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146685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49"/>
        </w:trPr>
        <w:tc>
          <w:tcPr>
            <w:tcW w:w="3600" w:type="dxa"/>
            <w:vAlign w:val="bottom"/>
          </w:tcPr>
          <w:p>
            <w:pPr>
              <w:jc w:val="center"/>
              <w:ind w:right="186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73"/>
        </w:trPr>
        <w:tc>
          <w:tcPr>
            <w:tcW w:w="360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221"/>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760" w:right="3620" w:hanging="3752"/>
        <w:spacing w:after="0" w:line="411" w:lineRule="auto"/>
        <w:tabs>
          <w:tab w:leader="none" w:pos="3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1"/>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CECE</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3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540"/>
        <w:spacing w:after="0" w:line="20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May 10, 2022, CECO Environmental Corp., a Delaware corporation (the “Company”), issued a press release announcing its financial results for the quarter ended March 31, 2022. A copy of the press release is furnished as Exhibit 99.1 to this report and is incorporated herein by reference.</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1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May 10, 2022, the Company issued a press release announcing that its Board of Directors authorized the repurchase of up to $20.0 million of the Company’s common stock. The press release is furnished herewith as Exhibit 99.2.</w:t>
      </w:r>
    </w:p>
    <w:p>
      <w:pPr>
        <w:spacing w:after="0" w:line="1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Also, on May 10, 2022, the Company issued a press release announcing it has acquired Compass Water Solutions, Inc. ("Compass"), a leading global supplier of membrane-based industrial water and wastewater treatment systems that help customers achieve regulatory compliance of water discharge at the lowest lifecycle cost.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highlights include:</w:t>
      </w:r>
    </w:p>
    <w:p>
      <w:pPr>
        <w:spacing w:after="0" w:line="10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of approximately $12.5 million financed with cash and debt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 generated approximately $11 million of revenue in 2021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 has above-average EBITDA margins and cash flows delivering attractive value for the Company.</w:t>
      </w:r>
    </w:p>
    <w:p>
      <w:pPr>
        <w:spacing w:after="0" w:line="2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furnished under Item 7.01 in this Form 8-K shall not be deemed “filed” for purposes of Section 18 of the Exchange Act, or incorporated by reference in any filing under the Securities Act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0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CECO Environmental Reports First Quarter 2022 Results</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CECO Environmental Announces $20 million Share Repurchase Program</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CECO Environmental Acquires Compass Water Solutions</w:t>
            </w:r>
          </w:p>
        </w:tc>
        <w:tc>
          <w:tcPr>
            <w:tcW w:w="0" w:type="dxa"/>
            <w:vAlign w:val="bottom"/>
          </w:tcPr>
          <w:p>
            <w:pPr>
              <w:spacing w:after="0"/>
              <w:rPr>
                <w:sz w:val="1"/>
                <w:szCs w:val="1"/>
                <w:color w:val="auto"/>
              </w:rPr>
            </w:pPr>
          </w:p>
        </w:tc>
      </w:tr>
      <w:tr>
        <w:trPr>
          <w:trHeight w:val="4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344"/>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00" w:lineRule="exact"/>
        <w:rPr>
          <w:sz w:val="20"/>
          <w:szCs w:val="20"/>
          <w:color w:val="auto"/>
        </w:rPr>
      </w:pPr>
    </w:p>
    <w:p>
      <w:pPr>
        <w:spacing w:after="0" w:line="214"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128905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6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Matthew Eckl</w:t>
      </w:r>
    </w:p>
    <w:p>
      <w:pPr>
        <w:spacing w:after="0" w:line="19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10553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CECO Environmental Reports First Quarter 2022 Results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Record Orders, New Share Repurchase Authorization, and Acquisition of Compass Water</w:t>
      </w:r>
    </w:p>
    <w:p>
      <w:pPr>
        <w:spacing w:after="0" w:line="20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DALLAS (May 10, 2022) -- CECO Environmental Corp. (Nasdaq: CECE)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reported its financial results for the first quarter of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Quarter and Recent Corporate Developments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orders of $160.9 million, up 75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$92.4 million, up 29 percent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$2.8 million, up 133 percent; Non-GAAP net income of $5.0 million, up 61 percent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$9.5 million, up 48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share repurchase program authorized May 4, 2022</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 Water Solutions acquired May 3, 2022, adds to industrial water offerings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222"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“We are pleased to report that our first quarter produced record orders and backlog, as well as strong double-digit growth in sales and income. Growth was broad-based across our entire portfolio, and we believe that we are well positioned for strong continued sales growth throughout the remainder of the year,” said CECO Chief Executive Officer, Todd Gleason.</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First quarter operating income was $5.2 million, up 68 percent when compared to $3.1 million in the first quarter 2021. On an adjusted basis, non-GAAP operating income was $7.8 million, up 56 percent when compared to $5.0 million in the first quarter of 2021. Net income was $2.8 million in the quarter, up 133 percent compared to $1.2 million in the first quarter 2021. Non-GAAP net income was $5.0 million, up 61 percent compared to $3.1 million in the first quarter 2021. Adjusted EBITDA was $9.5 million, up 48 percent compared to $6.4 million in the first quarter 2021.</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the strong start to 2022 reflects the hard work our team has done to better position CECO for sustainable growth and higher levels of profitability. Additionally, our healthy balance sheet has enabled us to authorize a $20 million share repurchase program – the largest in our company’s history, while continuing to improve our portfolio with strategic, accretive acquisitions, such as the Compass Water Solutions transaction,” Mr. Gleason concluded.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Compass Water Solutions Acquisition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3, 2022, CECO acquired Compass Water Solutions, Inc. ("Compass") for a total purchase price of $12.5 million with a mix of cash and debt. Compass is a leading global supplier of membrane-based industrial water and wastewater treatment systems that help customers achieve regulatory compliance of water discharge at the lowest lifecycle cost. With this acquisition, CECO expands its addressable industrial water technology market by over $250 million, with an expected CAGR through 2025 of over 6 percent for industrial oily-water and seawater reverse osmosis applications. CECO expects the acquisition to be accretive to total company EBITDA margins, earnings per share, and free cash flows in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2022 Outlook:</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introduces full year 2022 guidance of $360 to $380 million in revenue, up approximately 14 percent at the midpoint year over year. The Company anticipates $33 to $38 million of adjusted EBITDA, up approximately 40 percent at the midpoint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to deliver great financial results throughout the year as our businesses execute focused growth and operating excellence initiatives. We believe the incremental benefit of well-executed and accretive acquisitions will add to our 2022 performance and strengthen our portfolio for the future,” concluded Mr. Gleason.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first quarter financial results of 2022. The conference call may be accessed via webcast by going to the Company's website at http://www.cecoenviro.com/events-calendar or by dialing (888) 346-4547 (Toll-Free) within the U.S., (855) 669-9657 (Toll-Free) within Canada or Toll/International +1(412) 317-5251.</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at http://www.cecoenviro.com for seven days. The replay may be accessed by dialing (877) 344-7529 (Toll-Free) within the U.S., (855) 669-9658 (Toll-Free) within Canada, or Toll/International +1 (412) 317-0088 and entering access code 5313915.</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CECO Environmental is a global leader in industrial air quality and water treatment, serving a diversified set of niche markets through an attractive asset-light business model.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and wastewater treatment along with a wide range of other applications. CECO is listed on Nasdaq under the ticker symbol "CECE". For more information, please visit www.cecoenviro.com.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Eckl, Chief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990-6670</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or Gary Guyton</w:t>
      </w: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40" w:type="dxa"/>
            <w:vAlign w:val="bottom"/>
          </w:tcPr>
          <w:p>
            <w:pPr>
              <w:spacing w:after="0"/>
              <w:rPr>
                <w:sz w:val="16"/>
                <w:szCs w:val="16"/>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440" w:type="dxa"/>
            <w:vAlign w:val="bottom"/>
            <w:shd w:val="clear" w:color="auto" w:fill="CFF0FC"/>
          </w:tcPr>
          <w:p>
            <w:pPr>
              <w:ind w:left="3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189,011</w:t>
            </w: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458,393</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8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40" w:type="dxa"/>
            <w:vAlign w:val="bottom"/>
            <w:shd w:val="clear" w:color="auto" w:fill="CFF0FC"/>
          </w:tcPr>
          <w:p>
            <w:pPr>
              <w:ind w:left="16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8"/>
                <w:szCs w:val="18"/>
                <w:color w:val="auto"/>
              </w:rPr>
            </w:pPr>
          </w:p>
        </w:tc>
      </w:tr>
      <w:tr>
        <w:trPr>
          <w:trHeight w:val="210"/>
        </w:trPr>
        <w:tc>
          <w:tcPr>
            <w:tcW w:w="7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116,685</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8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245,171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210,240</w:t>
            </w:r>
          </w:p>
        </w:tc>
        <w:tc>
          <w:tcPr>
            <w:tcW w:w="80" w:type="dxa"/>
            <w:vAlign w:val="bottom"/>
          </w:tcPr>
          <w:p>
            <w:pPr>
              <w:spacing w:after="0"/>
              <w:rPr>
                <w:sz w:val="18"/>
                <w:szCs w:val="18"/>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4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$.01 par value; 100,000,000 shares authorized, 35,076,119 and</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4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35,028,197 shares issued and outstanding at March 31, 2022 and</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0"/>
                <w:szCs w:val="20"/>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253,875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252,989</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2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(33,923 )</w:t>
            </w:r>
          </w:p>
        </w:tc>
        <w:tc>
          <w:tcPr>
            <w:tcW w:w="2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(36,715 )</w:t>
            </w: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(12,601 )</w:t>
            </w:r>
          </w:p>
        </w:tc>
        <w:tc>
          <w:tcPr>
            <w:tcW w:w="2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(12,070 )</w:t>
            </w:r>
          </w:p>
        </w:tc>
      </w:tr>
      <w:tr>
        <w:trPr>
          <w:trHeight w:val="210"/>
        </w:trPr>
        <w:tc>
          <w:tcPr>
            <w:tcW w:w="74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207,701</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204,554</w:t>
            </w:r>
          </w:p>
        </w:tc>
        <w:tc>
          <w:tcPr>
            <w:tcW w:w="80" w:type="dxa"/>
            <w:vAlign w:val="bottom"/>
            <w:tcBorders>
              <w:top w:val="single" w:sz="8" w:color="CFF0FC"/>
            </w:tcBorders>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213,222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205,957</w:t>
            </w:r>
          </w:p>
        </w:tc>
        <w:tc>
          <w:tcPr>
            <w:tcW w:w="80" w:type="dxa"/>
            <w:vAlign w:val="bottom"/>
          </w:tcPr>
          <w:p>
            <w:pPr>
              <w:spacing w:after="0"/>
              <w:rPr>
                <w:sz w:val="18"/>
                <w:szCs w:val="18"/>
                <w:color w:val="auto"/>
              </w:rPr>
            </w:pPr>
          </w:p>
        </w:tc>
      </w:tr>
      <w:tr>
        <w:trPr>
          <w:trHeight w:val="250"/>
        </w:trPr>
        <w:tc>
          <w:tcPr>
            <w:tcW w:w="74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458,393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-4748530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-4748530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-3642995</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-3642995</wp:posOffset>
            </wp:positionV>
            <wp:extent cx="51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-1953895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-1953895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-599440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-316865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92,436</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71,892</w:t>
            </w:r>
          </w:p>
        </w:tc>
        <w:tc>
          <w:tcPr>
            <w:tcW w:w="8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66,008</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47,485</w:t>
            </w:r>
          </w:p>
        </w:tc>
        <w:tc>
          <w:tcPr>
            <w:tcW w:w="80" w:type="dxa"/>
            <w:vAlign w:val="bottom"/>
          </w:tcPr>
          <w:p>
            <w:pPr>
              <w:spacing w:after="0"/>
              <w:rPr>
                <w:sz w:val="18"/>
                <w:szCs w:val="18"/>
                <w:color w:val="auto"/>
              </w:rPr>
            </w:pPr>
          </w:p>
        </w:tc>
      </w:tr>
      <w:tr>
        <w:trPr>
          <w:trHeight w:val="210"/>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8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8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(458 )</w:t>
            </w: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(822 )</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(725 )</w:t>
            </w:r>
          </w:p>
        </w:tc>
      </w:tr>
      <w:tr>
        <w:trPr>
          <w:trHeight w:val="209"/>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8"/>
                <w:szCs w:val="18"/>
                <w:color w:val="auto"/>
              </w:rPr>
            </w:pPr>
          </w:p>
        </w:tc>
      </w:tr>
      <w:tr>
        <w:trPr>
          <w:trHeight w:val="209"/>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10"/>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197"/>
        </w:trPr>
        <w:tc>
          <w:tcPr>
            <w:tcW w:w="7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35,051,034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35,396,705</w:t>
            </w:r>
          </w:p>
        </w:tc>
        <w:tc>
          <w:tcPr>
            <w:tcW w:w="8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35,199,201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35,774,208</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-2014220</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-2014220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-882015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-882015</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-599440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-582295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-582295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410"/>
        </w:trPr>
        <w:tc>
          <w:tcPr>
            <w:tcW w:w="812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120" w:type="dxa"/>
            <w:vAlign w:val="bottom"/>
            <w:gridSpan w:val="3"/>
          </w:tcPr>
          <w:p>
            <w:pPr>
              <w:ind w:left="32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770"/>
        </w:trPr>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2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5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7"/>
              </w:rPr>
              <w:t>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i w:val="1"/>
                <w:iCs w:val="1"/>
                <w:color w:val="auto"/>
              </w:rPr>
              <w:t>5.6 %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4.3 %</w:t>
            </w: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7"/>
              </w:rPr>
              <w:t>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7"/>
              </w:rPr>
              <w:t>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Non-GAAP operating income</w:t>
            </w:r>
          </w:p>
        </w:tc>
        <w:tc>
          <w:tcPr>
            <w:tcW w:w="5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i w:val="1"/>
                <w:iCs w:val="1"/>
                <w:color w:val="auto"/>
              </w:rPr>
              <w:t>8.4 %</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7.0 %</w:t>
            </w:r>
          </w:p>
        </w:tc>
      </w:tr>
      <w:tr>
        <w:trPr>
          <w:trHeight w:val="999"/>
        </w:trPr>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2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0" w:type="dxa"/>
            <w:vAlign w:val="bottom"/>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7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income as reported in accordance with GAAP</w:t>
            </w:r>
          </w:p>
        </w:tc>
        <w:tc>
          <w:tcPr>
            <w:tcW w:w="20" w:type="dxa"/>
            <w:vAlign w:val="bottom"/>
            <w:shd w:val="clear" w:color="auto" w:fill="CCECFF"/>
          </w:tcPr>
          <w:p>
            <w:pPr>
              <w:spacing w:after="0"/>
              <w:rPr>
                <w:sz w:val="18"/>
                <w:szCs w:val="18"/>
                <w:color w:val="auto"/>
              </w:rPr>
            </w:pPr>
          </w:p>
        </w:tc>
        <w:tc>
          <w:tcPr>
            <w:tcW w:w="520" w:type="dxa"/>
            <w:vAlign w:val="bottom"/>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r>
      <w:tr>
        <w:trPr>
          <w:trHeight w:val="216"/>
        </w:trPr>
        <w:tc>
          <w:tcPr>
            <w:tcW w:w="7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38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r>
      <w:tr>
        <w:trPr>
          <w:trHeight w:val="216"/>
        </w:trPr>
        <w:tc>
          <w:tcPr>
            <w:tcW w:w="7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2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benefit of adjustments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09"/>
        </w:trPr>
        <w:tc>
          <w:tcPr>
            <w:tcW w:w="7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0" w:type="dxa"/>
            <w:vAlign w:val="bottom"/>
            <w:shd w:val="clear" w:color="auto" w:fill="CCECFF"/>
          </w:tcPr>
          <w:p>
            <w:pPr>
              <w:spacing w:after="0"/>
              <w:rPr>
                <w:sz w:val="18"/>
                <w:szCs w:val="18"/>
                <w:color w:val="auto"/>
              </w:rPr>
            </w:pPr>
          </w:p>
        </w:tc>
        <w:tc>
          <w:tcPr>
            <w:tcW w:w="520" w:type="dxa"/>
            <w:vAlign w:val="bottom"/>
            <w:tcBorders>
              <w:top w:val="single" w:sz="8" w:color="auto"/>
            </w:tcBorders>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40" w:type="dxa"/>
            <w:vAlign w:val="bottom"/>
            <w:tcBorders>
              <w:top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r>
      <w:tr>
        <w:trPr>
          <w:trHeight w:val="216"/>
        </w:trPr>
        <w:tc>
          <w:tcPr>
            <w:tcW w:w="7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2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7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10"/>
        </w:trPr>
        <w:tc>
          <w:tcPr>
            <w:tcW w:w="7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shd w:val="clear" w:color="auto" w:fill="CCECFF"/>
          </w:tcPr>
          <w:p>
            <w:pPr>
              <w:spacing w:after="0"/>
              <w:rPr>
                <w:sz w:val="18"/>
                <w:szCs w:val="18"/>
                <w:color w:val="auto"/>
              </w:rPr>
            </w:pPr>
          </w:p>
        </w:tc>
        <w:tc>
          <w:tcPr>
            <w:tcW w:w="520" w:type="dxa"/>
            <w:vAlign w:val="bottom"/>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8"/>
                <w:szCs w:val="18"/>
                <w:color w:val="auto"/>
              </w:rPr>
            </w:pPr>
          </w:p>
        </w:tc>
      </w:tr>
      <w:tr>
        <w:trPr>
          <w:trHeight w:val="216"/>
        </w:trPr>
        <w:tc>
          <w:tcPr>
            <w:tcW w:w="7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w:t>
            </w:r>
          </w:p>
        </w:tc>
        <w:tc>
          <w:tcPr>
            <w:tcW w:w="2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8"/>
                <w:szCs w:val="18"/>
                <w:color w:val="auto"/>
              </w:rPr>
            </w:pPr>
          </w:p>
        </w:tc>
      </w:tr>
      <w:tr>
        <w:trPr>
          <w:trHeight w:val="216"/>
        </w:trPr>
        <w:tc>
          <w:tcPr>
            <w:tcW w:w="7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-3942715</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-3942715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204"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95"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amortization expenses for acquisition 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08"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99"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non-GAAP earnings per basic and diluted share and adjusted EBITDA stated in the tables above are reconciled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2021,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economic and political conditions generally; our ability to successfully realize the expected benefits of our restructuring program; our ability to successfully integrate acquired businesses and realize the synergies from strategic transactions; and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CECO Environmental Announces $20 Million Share Repurchase Program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D0D0D"/>
        </w:rPr>
        <w:t xml:space="preserve">DALLAS (May 10, 2022) -- CECO Environmental Corp. (Nasdaq: CECE) </w:t>
      </w:r>
      <w:r>
        <w:rPr>
          <w:rFonts w:ascii="Times New Roman" w:cs="Times New Roman" w:eastAsia="Times New Roman" w:hAnsi="Times New Roman"/>
          <w:sz w:val="18"/>
          <w:szCs w:val="18"/>
          <w:color w:val="0D0D0D"/>
        </w:rPr>
        <w:t>(“CECO” or the “Company”)</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a leading environmentally focused,</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0D0D0D"/>
        </w:rPr>
        <w:t>diversified industrial company whose solutions protect people, the environment, and industrial equipment, today announced that its Board of Directors (the “Board”) has authorized a share repurchase program under which CECO may repurchase up to $20 million of its outstanding shares of common stock through April 30, 2025.</w:t>
      </w:r>
    </w:p>
    <w:p>
      <w:pPr>
        <w:spacing w:after="0" w:line="19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0D0D0D"/>
        </w:rPr>
        <w:t>Todd Gleason, CECO’s Chief Executive Officer, commented, “CECO is in great position to deliver strong organic growth, increased profitability, and strong free cash flows. We believe our current stock price represents an attractive valuation for our capital allocation strategy. Returning cash to stockholders through a prudent share repurchase plan, coupled with a focused acquisition program, is important to optimize long-term stockholder returns. The Board’s approval of our share repurchase program reflects our confidence in CECO’s strategic growth prospects and the health of our financial performance and balance sheet.”</w:t>
      </w:r>
    </w:p>
    <w:p>
      <w:pPr>
        <w:spacing w:after="0" w:line="18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0D0D0D"/>
        </w:rPr>
        <w:t>The share repurchase program is designed to return value to CECO stockholders, offset dilution from share issuances, and reduce share count over time. The $20 million authorization represents approximately 12 percent of outstanding shares based on the closing stock price of $4.75 as of May 4, 2022. The authorization permits the Company to repurchase shares in the open market, through accelerated share repurchases, block trades, 10b5-1 plans, or through privately negotiated transactions in accordance with applicable laws, rules, and regulations.</w:t>
      </w:r>
    </w:p>
    <w:p>
      <w:pPr>
        <w:spacing w:after="0" w:line="16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timing and amount of any future repurchases will be determined by the Company’s management at its discretion based on several factors, including ongoing assessments of the capital needs of the business, the market price of the company’s common stock, and general market considerations. The share repurchase program may be modified, extended, or terminated by the Board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202"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8"/>
          <w:szCs w:val="18"/>
          <w:color w:val="auto"/>
        </w:rPr>
        <w:t>CECO Environmental is a global leader in industrial air quality and water treatment, serving a diversified set of niche markets through an attractive asset-light business model.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and wastewater treatment along with a wide range of other applications. CECO is listed on Nasdaq under the ticker symbol "CECE". For more information, please visit www.cecoenviro.com.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16" w:lineRule="exact"/>
        <w:rPr>
          <w:sz w:val="20"/>
          <w:szCs w:val="20"/>
          <w:color w:val="auto"/>
        </w:rPr>
      </w:pPr>
    </w:p>
    <w:p>
      <w:pPr>
        <w:jc w:val="both"/>
        <w:ind w:right="100"/>
        <w:spacing w:after="0" w:line="24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CECO's Annual Report on Form 10-K for the fiscal year ended December 31, 2021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economic and political conditions generally; our ability to successfully realize the expected benefits of our restructuring program; our ability to successfully integrate acquired businesses and realize the synergies from strategic transactions; and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Eckl, Chief Financial Officer</w:t>
      </w:r>
    </w:p>
    <w:p>
      <w:pPr>
        <w:ind w:right="8880" w:firstLine="8"/>
        <w:spacing w:after="0" w:line="243"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990-6670 </w:t>
      </w:r>
      <w:r>
        <w:rPr>
          <w:rFonts w:ascii="Times New Roman" w:cs="Times New Roman" w:eastAsia="Times New Roman" w:hAnsi="Times New Roman"/>
          <w:sz w:val="18"/>
          <w:szCs w:val="18"/>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54100" cy="539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5410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CECO Environmental Acquires Compass Water Solutions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Broadens Industrial Water Capabilities and Expands CECO’s Short-Cycle Mix</w:t>
      </w:r>
    </w:p>
    <w:p>
      <w:pPr>
        <w:spacing w:after="0" w:line="29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color w:val="auto"/>
        </w:rPr>
        <w:t>DALLAS, TX (May 10, 2022) -- CECO Environmental Corp. (Nasdaq: CECE)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announced it has acquired Compass Water Solutions, Inc. (“Compass”) a leading global supplier of membrane-based industrial water and wastewater treatment systems that help customers achieve regulatory compliance of water discharge at the lowest lifecycle cost. The transaction adds to CECO’s growing industrial water technologies, which is anchored by its Peerless-Skimovex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w:t>
      </w:r>
    </w:p>
    <w:p>
      <w:pPr>
        <w:spacing w:after="0" w:line="87"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Compass generated approximately $11 million of revenue in 2021 with double-digit EBITDA margins. The total purchase price was $12.5 million and funded by a mix of cash and debt. Approximately 70 percent was paid at closing with the balance to be paid over a two-year period. CECO expects the acquisition to be accretive to total company EBITDA margins, earnings per share, and free cash flows in 2022.</w:t>
      </w:r>
    </w:p>
    <w:p>
      <w:pPr>
        <w:spacing w:after="0" w:line="17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With this acquisition, CECO expands its addressable industrial water technology market by over $250 million, with expected growth rates over six percent CAGR through 2025 for industrial oily-water and seawater reverse osmosis applications. CECO expects the Compass acquisition to unlock greater value by leveraging CECO’s international sales resources, existing US Navy expertise, and global engineering and production footprint. In addition to market growth rates, the expected stricter water discharge regulations coupled with hard-to-attain international certifications are expected to drive higher sales. Compass’ installed base of over 8,000 systems worldwide has created a robust aftermarket parts and services business that represents approximately 40 percent of current revenues. Finally, with an average order size of less than $250,000, Compass increases CECO’s short-cycle business mix to approximately $100 million, or 30 percent, of total company 2021 revenue.</w:t>
      </w:r>
    </w:p>
    <w:p>
      <w:pPr>
        <w:spacing w:after="0" w:line="168"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“Compass adds critical engineered solutions, and an experienced leadership team, to our growing industrial water capabilities, and we are excited to welcome them to the CECO organization,” said Todd Gleason, CEO of CECO Environmental. “CECO has completed three industrial water acquisitions in 2022 and each share our common mission to protect people, the environment, and industrial equipment. We expect that these businesses, when coupled with our global footprint and leading brands, will continue to drive strong revenue and income growth in this strategic market,” added Mr. Gleason.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COMPASS WATER SOLUTIONS</w:t>
      </w:r>
    </w:p>
    <w:p>
      <w:pPr>
        <w:spacing w:after="0" w:line="3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Compass Water Solutions® (“Compass”) is a world-wide leader in the engineering, manufacturing, sales, and service of membrane-based water and wastewater treatment systems. Compass helps customers achieve environmental compliance of water discharge (“assurance against a spill”) at the lowest lifecycle cost using high-capacity oil-water separators, slop-water separators, reverse osmosis water-makers, water filtration, and purification technology. The company is widely recognized for its brand name, international certifications, global installed base, and nearly 50 years of application expertise serving multiple industries. The company is headquartered in Tustin, California, and operates an ISO 9001 certified assembly plant. For more information, please visit www.compasswater.com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99.3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2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CECO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www.cecoenviro.com.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3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McLean Group served as financial advisor and O’Melveny provided legal counsel to Compass. BDO USA LLP and Dykema Gossett PLLC served as advisors on CECO’s behalf.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3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and include but are not limited to statements about CECO’s expectations regarding the integration of Compass into CECO; the benefits of the acquisition of Compass, and the expectations regarding the transaction’s impact on CECO’s strategic growth plan.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surrounding the acquisition of Compass that could cause actual results to differ materially include risks regarding the achievement of the anticipated benefits of the acquisition, our ability to successfully integrate acquired businesses and realize the synergies from acquisitions, as well as a number of factors related to our business, including economic and financial market conditions generally and economic conditions in CECO's service areas; the ability to expand operations in both new and existing markets; 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and the effect of competition in the air quality and fluid handling industries. Additional risks and uncertainties are discussed under "Part I – Item 1A. Risk Factors" of the Company's Annual Report on Form 10-K for the fiscal year ended December 31, 2021.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Contact</w:t>
      </w:r>
      <w:r>
        <w:rPr>
          <w:rFonts w:ascii="Times New Roman" w:cs="Times New Roman" w:eastAsia="Times New Roman" w:hAnsi="Times New Roman"/>
          <w:sz w:val="18"/>
          <w:szCs w:val="18"/>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Eckl, Chief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990-6670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Relations Contact</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Three Part Advisors, LLC</w:t>
      </w:r>
    </w:p>
    <w:p>
      <w:pPr>
        <w:spacing w:after="0"/>
        <w:rPr>
          <w:sz w:val="20"/>
          <w:szCs w:val="20"/>
          <w:color w:val="auto"/>
        </w:rPr>
      </w:pPr>
      <w:r>
        <w:rPr>
          <w:rFonts w:ascii="Times New Roman" w:cs="Times New Roman" w:eastAsia="Times New Roman" w:hAnsi="Times New Roman"/>
          <w:sz w:val="18"/>
          <w:szCs w:val="18"/>
          <w:color w:val="auto"/>
        </w:rPr>
        <w:t>214-872-2710 | investor.relations@onececo.com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News Media</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Plaskett, Corporate Communications Director</w:t>
      </w:r>
    </w:p>
    <w:p>
      <w:pPr>
        <w:spacing w:after="0"/>
        <w:rPr>
          <w:sz w:val="20"/>
          <w:szCs w:val="20"/>
          <w:color w:val="auto"/>
        </w:rPr>
      </w:pPr>
      <w:r>
        <w:rPr>
          <w:rFonts w:ascii="Times New Roman" w:cs="Times New Roman" w:eastAsia="Times New Roman" w:hAnsi="Times New Roman"/>
          <w:sz w:val="18"/>
          <w:szCs w:val="18"/>
          <w:color w:val="auto"/>
        </w:rPr>
        <w:t>CECO-Communications@onececo.com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2022-05-10T06:18:28Z</dcterms:created>
  <dcterms:modified xsi:type="dcterms:W3CDTF">2022-05-10T06:18:28Z</dcterms:modified>
</cp:coreProperties>
</file>