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140" w:hanging="285"/>
        <w:spacing w:after="0"/>
        <w:tabs>
          <w:tab w:leader="none" w:pos="31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ind w:left="3040" w:hanging="281"/>
        <w:spacing w:after="0"/>
        <w:tabs>
          <w:tab w:leader="none" w:pos="30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7" w:lineRule="exact"/>
        <w:rPr>
          <w:sz w:val="24"/>
          <w:szCs w:val="24"/>
          <w:color w:val="auto"/>
        </w:rPr>
      </w:pPr>
    </w:p>
    <w:p>
      <w:pPr>
        <w:ind w:left="4100"/>
        <w:spacing w:after="0"/>
        <w:tabs>
          <w:tab w:leader="none" w:pos="71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7620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456565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62230</wp:posOffset>
            </wp:positionV>
            <wp:extent cx="73723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723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tcPr>
          <w:p>
            <w:pPr>
              <w:jc w:val="right"/>
              <w:ind w:right="1869"/>
              <w:spacing w:after="0"/>
              <w:rPr>
                <w:sz w:val="20"/>
                <w:szCs w:val="20"/>
                <w:color w:val="auto"/>
              </w:rPr>
            </w:pPr>
            <w:r>
              <w:rPr>
                <w:rFonts w:ascii="Times New Roman" w:cs="Times New Roman" w:eastAsia="Times New Roman" w:hAnsi="Times New Roman"/>
                <w:sz w:val="14"/>
                <w:szCs w:val="14"/>
                <w:b w:val="1"/>
                <w:bCs w:val="1"/>
                <w:color w:val="auto"/>
              </w:rPr>
              <w:t>13-2566064</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tcPr>
          <w:p>
            <w:pPr>
              <w:jc w:val="center"/>
              <w:ind w:right="102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20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5080 Spectrum Drive</w:t>
            </w:r>
          </w:p>
        </w:tc>
        <w:tc>
          <w:tcPr>
            <w:tcW w:w="3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Suite 800E</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vMerge w:val="restart"/>
          </w:tcPr>
          <w:p>
            <w:pPr>
              <w:jc w:val="right"/>
              <w:ind w:right="2029"/>
              <w:spacing w:after="0"/>
              <w:rPr>
                <w:sz w:val="20"/>
                <w:szCs w:val="20"/>
                <w:color w:val="auto"/>
              </w:rPr>
            </w:pPr>
            <w:r>
              <w:rPr>
                <w:rFonts w:ascii="Times New Roman" w:cs="Times New Roman" w:eastAsia="Times New Roman" w:hAnsi="Times New Roman"/>
                <w:sz w:val="14"/>
                <w:szCs w:val="14"/>
                <w:b w:val="1"/>
                <w:bCs w:val="1"/>
                <w:color w:val="auto"/>
              </w:rPr>
              <w:t>75001</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Addison, Texas</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9980" w:type="dxa"/>
            <w:vAlign w:val="bottom"/>
            <w:gridSpan w:val="5"/>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357-6181</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under Section 12(b) of the Act:</w:t>
            </w:r>
          </w:p>
        </w:tc>
        <w:tc>
          <w:tcPr>
            <w:tcW w:w="3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 w:type="dxa"/>
            <w:vAlign w:val="bottom"/>
            <w:tcBorders>
              <w:right w:val="single" w:sz="8" w:color="auto"/>
            </w:tcBorders>
          </w:tcPr>
          <w:p>
            <w:pPr>
              <w:spacing w:after="0"/>
              <w:rPr>
                <w:sz w:val="16"/>
                <w:szCs w:val="16"/>
                <w:color w:val="auto"/>
              </w:rPr>
            </w:pPr>
          </w:p>
        </w:tc>
        <w:tc>
          <w:tcPr>
            <w:tcW w:w="320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Title of each class</w:t>
            </w:r>
          </w:p>
        </w:tc>
        <w:tc>
          <w:tcPr>
            <w:tcW w:w="380" w:type="dxa"/>
            <w:vAlign w:val="bottom"/>
            <w:tcBorders>
              <w:bottom w:val="single" w:sz="8" w:color="auto"/>
              <w:right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8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800" w:type="dxa"/>
            <w:vAlign w:val="bottom"/>
            <w:tcBorders>
              <w:right w:val="single" w:sz="8" w:color="auto"/>
            </w:tcBorders>
          </w:tcPr>
          <w:p>
            <w:pPr>
              <w:spacing w:after="0"/>
              <w:rPr>
                <w:sz w:val="14"/>
                <w:szCs w:val="14"/>
                <w:color w:val="auto"/>
              </w:rPr>
            </w:pPr>
          </w:p>
        </w:tc>
        <w:tc>
          <w:tcPr>
            <w:tcW w:w="32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8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CECO</w:t>
            </w:r>
          </w:p>
        </w:tc>
        <w:tc>
          <w:tcPr>
            <w:tcW w:w="180" w:type="dxa"/>
            <w:vAlign w:val="bottom"/>
          </w:tcPr>
          <w:p>
            <w:pPr>
              <w:spacing w:after="0"/>
              <w:rPr>
                <w:sz w:val="14"/>
                <w:szCs w:val="14"/>
                <w:color w:val="auto"/>
              </w:rPr>
            </w:pPr>
          </w:p>
        </w:tc>
        <w:tc>
          <w:tcPr>
            <w:tcW w:w="3460" w:type="dxa"/>
            <w:vAlign w:val="bottom"/>
            <w:tcBorders>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8"/>
        </w:trPr>
        <w:tc>
          <w:tcPr>
            <w:tcW w:w="800" w:type="dxa"/>
            <w:vAlign w:val="bottom"/>
            <w:tcBorders>
              <w:right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78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0" w:type="dxa"/>
            <w:vAlign w:val="bottom"/>
          </w:tcPr>
          <w:p>
            <w:pPr>
              <w:spacing w:after="0"/>
              <w:rPr>
                <w:sz w:val="1"/>
                <w:szCs w:val="1"/>
                <w:color w:val="auto"/>
              </w:rPr>
            </w:pPr>
          </w:p>
        </w:tc>
      </w:tr>
      <w:tr>
        <w:trPr>
          <w:trHeight w:val="148"/>
        </w:trPr>
        <w:tc>
          <w:tcPr>
            <w:tcW w:w="73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46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73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2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4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4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4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jc w:val="both"/>
        <w:ind w:right="1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The aggregate market value of voting and non-voting common stock held by non-affiliates of the registrant was $862.3 million based upon the closing market price and shares of common stock outstanding as of June 28, 2024,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1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February 13, 2025, the registrant had 34,989,986 shares of common stock, par value $0.01 per share, outstanding.</w:t>
      </w:r>
    </w:p>
    <w:p>
      <w:pPr>
        <w:spacing w:after="0" w:line="4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ind w:right="100" w:firstLine="509"/>
        <w:spacing w:after="0" w:line="278" w:lineRule="auto"/>
        <w:rPr>
          <w:sz w:val="20"/>
          <w:szCs w:val="20"/>
          <w:color w:val="auto"/>
        </w:rPr>
      </w:pPr>
      <w:r>
        <w:rPr>
          <w:rFonts w:ascii="Times New Roman" w:cs="Times New Roman" w:eastAsia="Times New Roman" w:hAnsi="Times New Roman"/>
          <w:sz w:val="13"/>
          <w:szCs w:val="13"/>
          <w:color w:val="auto"/>
        </w:rPr>
        <w:t>Portions of the definitive Proxy Statement for the 2025 Annual Meeting of Stockholders, which is to be filed with the Securities and Exchange Commission within 120 days of the fiscal year ended December 31, 2024,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280" w:type="dxa"/>
            <w:vAlign w:val="bottom"/>
          </w:tcPr>
          <w:p>
            <w:pPr>
              <w:spacing w:after="0"/>
              <w:rPr>
                <w:sz w:val="15"/>
                <w:szCs w:val="15"/>
                <w:color w:val="auto"/>
              </w:rPr>
            </w:pPr>
          </w:p>
        </w:tc>
        <w:tc>
          <w:tcPr>
            <w:tcW w:w="816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20" w:type="dxa"/>
            <w:vAlign w:val="bottom"/>
            <w:tcBorders>
              <w:bottom w:val="single" w:sz="8" w:color="0000EE"/>
            </w:tcBorders>
          </w:tcPr>
          <w:p>
            <w:pPr>
              <w:spacing w:after="0"/>
              <w:rPr>
                <w:sz w:val="14"/>
                <w:szCs w:val="14"/>
                <w:color w:val="auto"/>
              </w:rPr>
            </w:pPr>
          </w:p>
        </w:tc>
        <w:tc>
          <w:tcPr>
            <w:tcW w:w="6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PART I.</w:t>
            </w:r>
          </w:p>
        </w:tc>
        <w:tc>
          <w:tcPr>
            <w:tcW w:w="1520" w:type="dxa"/>
            <w:vAlign w:val="bottom"/>
            <w:gridSpan w:val="4"/>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20" w:type="dxa"/>
            <w:vAlign w:val="bottom"/>
            <w:tcBorders>
              <w:bottom w:val="single" w:sz="8" w:color="0000EE"/>
            </w:tcBorders>
          </w:tcPr>
          <w:p>
            <w:pPr>
              <w:spacing w:after="0"/>
              <w:rPr>
                <w:sz w:val="24"/>
                <w:szCs w:val="24"/>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PART II.</w:t>
            </w:r>
          </w:p>
        </w:tc>
        <w:tc>
          <w:tcPr>
            <w:tcW w:w="14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Securities</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8"/>
        </w:trPr>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PART III.</w:t>
            </w:r>
          </w:p>
        </w:tc>
        <w:tc>
          <w:tcPr>
            <w:tcW w:w="14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IV.</w:t>
            </w:r>
          </w:p>
        </w:tc>
        <w:tc>
          <w:tcPr>
            <w:tcW w:w="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14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280" w:type="dxa"/>
            <w:vAlign w:val="bottom"/>
          </w:tcPr>
          <w:p>
            <w:pPr>
              <w:spacing w:after="0"/>
              <w:rPr>
                <w:sz w:val="24"/>
                <w:szCs w:val="24"/>
                <w:color w:val="auto"/>
              </w:rPr>
            </w:pPr>
          </w:p>
        </w:tc>
        <w:tc>
          <w:tcPr>
            <w:tcW w:w="8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8"/>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647"/>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188" w:lineRule="exact"/>
        <w:rPr>
          <w:sz w:val="20"/>
          <w:szCs w:val="20"/>
          <w:color w:val="auto"/>
        </w:rPr>
      </w:pPr>
    </w:p>
    <w:p>
      <w:pPr>
        <w:ind w:left="760" w:right="40" w:hanging="378"/>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planned divestiture of our Fluid Handling business, the effect of recently announced acquisitions and the planned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outcome of any legal proceedings that have been or may in the future be instituted related to the Profire Energy, Inc. ("Profire Energy") transaction or other transactions,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80"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our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 or other customer-driven project delays relating to supply chain challenges or other customer considerations;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business portfolio by identifying acquisition targets, executing upon any strategic acquisitions or divestitures, integrating acquired businesses and realizing the synergies from strategic transactions; and</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CECO Environmental Corp. (“CECO”, “we”, “us”, "our" or the “Company”) is a leading environmentally focused, diversified industrial company, serving the broad landscape of industrial air, industrial water and energy transition markets globally by providing innovative technology and application expertise. We help companies grow their businesses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With an installed base of operating systems and equipment in excess of $10 billion, we are targeting to grow a higher share of recurring revenue from aftermarket products and installed base value-added services, which we believe will provide a greater customer retention and loyalty, and increased business resiliency.</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2024 and the first quarter of 2025, we disclosed multiple transactions that strategically align with the Company’s portfolio management strategy and vision. These transactions include the acquisition of Profire Energy ("Profire") and the intended divestiture of the Company’s Fluid Handling business. Profire, a former publicly traded company on the NASDAQ under ticker symbol PFIE, is a leading North American supplier of mission-critical combustion automation and control solution services. Their core offering supports emissions reduction, safety objectives, and industry regulations. Profire has a large install base across oil &amp; gas, petrochemical, and natural gas markets, with growing exposure to other energy transition markets. The business is headquartered in Lindon, Utah, with a research and development center in Edmonton-Alberta, Canada. The business has a long-tenured and experienced leadership team and had 2024 revenues of $63 million with accretive EBITDA margins. Fluid Handling is a well-positioned business with strong brands in the pumps and filters space. However, we are focused on businesses that more closely align with our strategic investments and leadership positions in the air, water and energy transition spaces.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serve a growing multi-billion dollar global industrial market that is highly fragmented and comprised of many industrial sectors and niche applications. Our legacy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production, polysilicon production, battery recycling, metals processing and production, and produced water treatment. Emerging sectors and applications include electric vehicle and battery production, desalination water transport, ultra-high purity water treatment for electrolysis and electronics production, naval/marine vessel oily water treatment, aluminum beverage can production, lightweight, high-strength metals production and datacenter acoustics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demand for our products and services will continue to be driven by the following factors:</w:t>
      </w:r>
    </w:p>
    <w:p>
      <w:pPr>
        <w:spacing w:after="0" w:line="223" w:lineRule="exact"/>
        <w:rPr>
          <w:sz w:val="20"/>
          <w:szCs w:val="20"/>
          <w:color w:val="auto"/>
        </w:rPr>
      </w:pPr>
    </w:p>
    <w:p>
      <w:pPr>
        <w:ind w:left="1020" w:right="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Focus on the Environment: </w:t>
      </w:r>
      <w:r>
        <w:rPr>
          <w:rFonts w:ascii="Times New Roman" w:cs="Times New Roman" w:eastAsia="Times New Roman" w:hAnsi="Times New Roman"/>
          <w:sz w:val="18"/>
          <w:szCs w:val="18"/>
          <w:color w:val="auto"/>
        </w:rPr>
        <w:t>Increased demand for efficient solutions and reduced air and water emissions remains at the forefront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503" w:right="200"/>
        <w:spacing w:after="0" w:line="282" w:lineRule="auto"/>
        <w:rPr>
          <w:sz w:val="20"/>
          <w:szCs w:val="20"/>
          <w:color w:val="auto"/>
        </w:rPr>
      </w:pPr>
      <w:r>
        <w:rPr>
          <w:rFonts w:ascii="Times New Roman" w:cs="Times New Roman" w:eastAsia="Times New Roman" w:hAnsi="Times New Roman"/>
          <w:sz w:val="18"/>
          <w:szCs w:val="18"/>
          <w:color w:val="auto"/>
        </w:rPr>
        <w:t>environment. We believe that through our air and water quality and emissions control offerings, companies want to work with us to protect people and our planet from the harmful effects of industrial processes.</w:t>
      </w:r>
    </w:p>
    <w:p>
      <w:pPr>
        <w:spacing w:after="0" w:line="52" w:lineRule="exact"/>
        <w:rPr>
          <w:sz w:val="20"/>
          <w:szCs w:val="20"/>
          <w:color w:val="auto"/>
        </w:rPr>
      </w:pPr>
    </w:p>
    <w:p>
      <w:pPr>
        <w:ind w:left="503" w:right="40" w:hanging="503"/>
        <w:spacing w:after="0" w:line="258"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Increasingly Stringent Regulatory Environment: </w:t>
      </w:r>
      <w:r>
        <w:rPr>
          <w:rFonts w:ascii="Times New Roman" w:cs="Times New Roman" w:eastAsia="Times New Roman" w:hAnsi="Times New Roman"/>
          <w:sz w:val="18"/>
          <w:szCs w:val="18"/>
          <w:color w:val="auto"/>
        </w:rPr>
        <w:t>The adoption of increasingly stringent environmental regulations globally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75" w:lineRule="exact"/>
        <w:rPr>
          <w:rFonts w:ascii="Times New Roman" w:cs="Times New Roman" w:eastAsia="Times New Roman" w:hAnsi="Times New Roman"/>
          <w:sz w:val="18"/>
          <w:szCs w:val="18"/>
          <w:color w:val="auto"/>
        </w:rPr>
      </w:pPr>
    </w:p>
    <w:p>
      <w:pPr>
        <w:ind w:left="503" w:right="100" w:hanging="503"/>
        <w:spacing w:after="0" w:line="284"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Investment Climate for Net-zero Technologies: </w:t>
      </w:r>
      <w:r>
        <w:rPr>
          <w:rFonts w:ascii="Times New Roman" w:cs="Times New Roman" w:eastAsia="Times New Roman" w:hAnsi="Times New Roman"/>
          <w:sz w:val="18"/>
          <w:szCs w:val="18"/>
          <w:color w:val="auto"/>
        </w:rPr>
        <w:t>Our businesses are positively impacted by capital expenditures on technologies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climate change and improve environmental outcomes.</w:t>
      </w:r>
    </w:p>
    <w:p>
      <w:pPr>
        <w:spacing w:after="0" w:line="50"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Emerging Market Industrialization: </w:t>
      </w:r>
      <w:r>
        <w:rPr>
          <w:rFonts w:ascii="Times New Roman" w:cs="Times New Roman" w:eastAsia="Times New Roman" w:hAnsi="Times New Roman"/>
          <w:sz w:val="18"/>
          <w:szCs w:val="18"/>
          <w:color w:val="auto"/>
        </w:rPr>
        <w:t>The rapid expansion of manufacturing in emerging economies, and the growing environmental focus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emerging economies, increases the demand for our industrial air treatment and pollution controls for newly constructed and upgraded facilities. For investments in semiconductor and electronics production, sources of ultra-pure water are required as are emission controls and scrubbers. We expect that more rigorous regulations being introduced to protect the workforce, the environment, and the operating equipment will favorably impact demand for our products and solutions.</w:t>
      </w:r>
    </w:p>
    <w:p>
      <w:pPr>
        <w:spacing w:after="0" w:line="75" w:lineRule="exact"/>
        <w:rPr>
          <w:rFonts w:ascii="Times New Roman" w:cs="Times New Roman" w:eastAsia="Times New Roman" w:hAnsi="Times New Roman"/>
          <w:sz w:val="18"/>
          <w:szCs w:val="18"/>
          <w:color w:val="auto"/>
        </w:rPr>
      </w:pPr>
    </w:p>
    <w:p>
      <w:pPr>
        <w:ind w:left="503" w:right="40" w:hanging="503"/>
        <w:spacing w:after="0" w:line="267"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Developed Market Industrial Re-shoring: </w:t>
      </w:r>
      <w:r>
        <w:rPr>
          <w:rFonts w:ascii="Times New Roman" w:cs="Times New Roman" w:eastAsia="Times New Roman" w:hAnsi="Times New Roman"/>
          <w:sz w:val="18"/>
          <w:szCs w:val="18"/>
          <w:color w:val="auto"/>
        </w:rPr>
        <w:t>The industries in which we operate have historically embraced a global supply chain which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advantages by offshoring select production and services. Today many companies are relocating their global supply chains to resume in-region. We believe the re-shoring of manufacturing operations is a driver of business growth.</w:t>
      </w:r>
    </w:p>
    <w:p>
      <w:pPr>
        <w:spacing w:after="0" w:line="65" w:lineRule="exact"/>
        <w:rPr>
          <w:rFonts w:ascii="Times New Roman" w:cs="Times New Roman" w:eastAsia="Times New Roman" w:hAnsi="Times New Roman"/>
          <w:sz w:val="18"/>
          <w:szCs w:val="18"/>
          <w:color w:val="auto"/>
        </w:rPr>
      </w:pPr>
    </w:p>
    <w:p>
      <w:pPr>
        <w:ind w:left="503" w:right="120" w:hanging="503"/>
        <w:spacing w:after="0" w:line="257"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and Renewal of Infrastructure: </w:t>
      </w:r>
      <w:r>
        <w:rPr>
          <w:rFonts w:ascii="Times New Roman" w:cs="Times New Roman" w:eastAsia="Times New Roman" w:hAnsi="Times New Roman"/>
          <w:sz w:val="18"/>
          <w:szCs w:val="18"/>
          <w:color w:val="auto"/>
        </w:rPr>
        <w:t>There is a growing trend to better manage and reduce air and water emissions which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solutions equipment will serve. Recent legislation, including the 2022 Creating Helpful Incentives to Produce Semiconductors (CHIPS) and Science Act, 2022 Inflation Reduction Act, and 2021 Infrastructure Investment and Jobs Act in the United States, as well as the 2020 European Green Deal, 2021 Fit for 55 package, and 2022 REPowerEU, have dedicated government funds to improving environmental outcomes. As industrial capital expenditures grow, corporations are seeking to make these investments while minimizing environmental impact. This spending serves as a driver of increased interest for our portfolio of products and solutions.</w:t>
      </w:r>
    </w:p>
    <w:p>
      <w:pPr>
        <w:spacing w:after="0" w:line="74" w:lineRule="exact"/>
        <w:rPr>
          <w:rFonts w:ascii="Times New Roman" w:cs="Times New Roman" w:eastAsia="Times New Roman" w:hAnsi="Times New Roman"/>
          <w:sz w:val="18"/>
          <w:szCs w:val="18"/>
          <w:color w:val="auto"/>
        </w:rPr>
      </w:pPr>
    </w:p>
    <w:p>
      <w:pPr>
        <w:ind w:left="503" w:right="120" w:hanging="503"/>
        <w:spacing w:after="0" w:line="261"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Scarcity: </w:t>
      </w:r>
      <w:r>
        <w:rPr>
          <w:rFonts w:ascii="Times New Roman" w:cs="Times New Roman" w:eastAsia="Times New Roman" w:hAnsi="Times New Roman"/>
          <w:sz w:val="18"/>
          <w:szCs w:val="18"/>
          <w:color w:val="auto"/>
        </w:rPr>
        <w:t>There are increasing risks associated with water quality and water access around the globe. Protecting water resources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crucial for the health and resiliency of our communities, ecosystems and our customers. We expect that more rigorous regulations are being, and will be introduced, to protect water as a natural resource. We are well-positioned to deliver solutions to our customers to meet this growing need.</w:t>
      </w:r>
    </w:p>
    <w:p>
      <w:pPr>
        <w:spacing w:after="0" w:line="71" w:lineRule="exact"/>
        <w:rPr>
          <w:rFonts w:ascii="Times New Roman" w:cs="Times New Roman" w:eastAsia="Times New Roman" w:hAnsi="Times New Roman"/>
          <w:sz w:val="18"/>
          <w:szCs w:val="18"/>
          <w:color w:val="auto"/>
        </w:rPr>
      </w:pPr>
    </w:p>
    <w:p>
      <w:pPr>
        <w:ind w:left="503" w:right="20" w:hanging="503"/>
        <w:spacing w:after="0" w:line="254"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Demand for Electrical Power Generation: </w:t>
      </w:r>
      <w:r>
        <w:rPr>
          <w:rFonts w:ascii="Times New Roman" w:cs="Times New Roman" w:eastAsia="Times New Roman" w:hAnsi="Times New Roman"/>
          <w:sz w:val="18"/>
          <w:szCs w:val="18"/>
          <w:color w:val="auto"/>
        </w:rPr>
        <w:t>An accelerating shift away from traditional fossil fuel powered electricity generation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transportation towards cleaner and sustainable forms of power generation and mass “electrification”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which we provide, as will the production facilities and producers of the lightweight materials, batteries, and electronics required to build and operate the new vehicles being deployed.</w:t>
      </w:r>
    </w:p>
    <w:p>
      <w:pPr>
        <w:spacing w:after="0" w:line="80"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Natural Gas Infrastructure: </w:t>
      </w:r>
      <w:r>
        <w:rPr>
          <w:rFonts w:ascii="Times New Roman" w:cs="Times New Roman" w:eastAsia="Times New Roman" w:hAnsi="Times New Roman"/>
          <w:sz w:val="18"/>
          <w:szCs w:val="18"/>
          <w:color w:val="auto"/>
        </w:rPr>
        <w:t>The International Energy Association projects a pronounced shift in Organization for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pacing w:after="0" w:line="75" w:lineRule="exact"/>
        <w:rPr>
          <w:rFonts w:ascii="Times New Roman" w:cs="Times New Roman" w:eastAsia="Times New Roman" w:hAnsi="Times New Roman"/>
          <w:sz w:val="18"/>
          <w:szCs w:val="18"/>
          <w:color w:val="auto"/>
        </w:rPr>
      </w:pPr>
    </w:p>
    <w:p>
      <w:pPr>
        <w:ind w:left="503" w:right="60" w:hanging="503"/>
        <w:spacing w:after="0" w:line="257"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Hydrocarbon Processing: </w:t>
      </w:r>
      <w:r>
        <w:rPr>
          <w:rFonts w:ascii="Times New Roman" w:cs="Times New Roman" w:eastAsia="Times New Roman" w:hAnsi="Times New Roman"/>
          <w:sz w:val="18"/>
          <w:szCs w:val="18"/>
          <w:color w:val="auto"/>
        </w:rPr>
        <w:t>Hydrocarbon processing involves the production, refining, and processing of hydrocarbons and organic chemicals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w:t>
      </w:r>
    </w:p>
    <w:p>
      <w:pPr>
        <w:spacing w:after="0" w:line="18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6" w:name="page7"/>
    <w:bookmarkEnd w:id="6"/>
    <w:p>
      <w:pPr>
        <w:ind w:left="1020"/>
        <w:spacing w:after="0" w:line="282" w:lineRule="auto"/>
        <w:rPr>
          <w:sz w:val="20"/>
          <w:szCs w:val="20"/>
          <w:color w:val="auto"/>
        </w:rPr>
      </w:pPr>
      <w:r>
        <w:rPr>
          <w:rFonts w:ascii="Times New Roman" w:cs="Times New Roman" w:eastAsia="Times New Roman" w:hAnsi="Times New Roman"/>
          <w:sz w:val="18"/>
          <w:szCs w:val="18"/>
          <w:color w:val="auto"/>
        </w:rPr>
        <w:t>environmental regulations, wastewater discharge, and emission controls requirements, and the adaptation of production processes will require new or modified catalyst recovery and regeneration systems which we provide.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Strategy</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mission is to help companies grow their business with safe, clean and more efficient solutions that help protect their people, the environment and their industrial equipment and facilities.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constantly look for opportunities to apply our technology and expertise to new customers and in new geographies in our existing end markets, and to enter new end markets with our existing set of products and solutions. Acquisitions are a key part of our growth model and we constantly are seeking out value-added, accretive additions to the CECO portfolio aligned with our strategic focus in industrial air, industrial water and the energy transition.</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intend to continue to expand our customer base and end markets and have continued to pursue potential attractive growth opportunities both domestically and internationally.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reportable segments continue to be focused on attractive end markets and each segment is aligned to generate profitable growth for the Company with a compelling technology and solution set to benefit customers.</w:t>
      </w:r>
    </w:p>
    <w:p>
      <w:pPr>
        <w:spacing w:after="0" w:line="160" w:lineRule="exact"/>
        <w:rPr>
          <w:sz w:val="20"/>
          <w:szCs w:val="20"/>
          <w:color w:val="auto"/>
        </w:rPr>
      </w:pPr>
    </w:p>
    <w:p>
      <w:pPr>
        <w:ind w:left="760" w:right="8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processing, water/wastewater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179" w:lineRule="exact"/>
        <w:rPr>
          <w:rFonts w:ascii="Times New Roman" w:cs="Times New Roman" w:eastAsia="Times New Roman" w:hAnsi="Times New Roman"/>
          <w:sz w:val="18"/>
          <w:szCs w:val="18"/>
          <w:color w:val="auto"/>
        </w:rPr>
      </w:pPr>
    </w:p>
    <w:p>
      <w:pPr>
        <w:ind w:left="760" w:right="4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sector with solutions for air pollution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Leading market position as a complete solution provider</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believe we are a leading provider of critical solutions in industrial air quality, industrial water treatment, and energy transition solutions.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Long-standing experience and customer relationships in growing industry</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serviced the needs of our target markets for over 50 years. Our 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Diversified equipment and solution portfolio and broad customer base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global diversity of our offering and footprint and customer base provides us 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Experienced management and engineering team</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management team has substantial experience in delivering highly-engineered solutions for industrial air quality, industrial water treatment, and energy transition applications. The collective experience of our teams enables us to pursue our strategy, and to successfully execute on our strategic and growth priorities. Our team includes approximately 400 engineers, designers, solution experts, and project managers whose industry experience and technical expertise enables them to have a deep understanding of the solutions that will best suit the needs of our customers. The experience and stability of our senior management, operating and engineering teams have been crucial to our recent growth and to developing and maintaining customer relationships, and increasing our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Innovative solutions</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leverage our engineering and manufacturing expertise, fabrication partner network, and strong customer relationships to develop 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Disciplined acquisition program with successful integration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we have demonstrated an ability to successfully acquire and integrate 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and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 fluid handling equipment, and plant engineering services and engineered design build fabrication. Our products and solutions primarily compete on the basis of performance, track record, speed of delivery, quality, price and customer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Design and Research and Development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strategy is to produce and supply differentiated, specialized or configured products and solutions that are often tailored to the specifications of a customer or application. We start by understanding our customers’ needs, then by focusing our new product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Support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 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sell and market our products and services with our own direct sales force in key regions including the United States, the Netherlands, United Kingdom, Germany, Canada, United Arab Emirates, India, China, Korea, and Singapore. Our direct sales and business development teams will work in conjunction with outside sales representatives in the North America, South America, Europe, Middle East, Southeast and East Asia, and India regions, when appropriate. We expect to continue expanding our sales and support capabilities and our network of outside sales representatives in key regions domestically and internationally.</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customer service organization and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not dependent upon any single customer, and no customer contributed 10% or more of our consolidated revenues for the years ended December 31, 2024, 2023, or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Subcontractors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and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 w:name="page10"/>
    <w:bookmarkEnd w:id="9"/>
    <w:p>
      <w:pPr>
        <w:ind w:right="20"/>
        <w:spacing w:after="0" w:line="282" w:lineRule="auto"/>
        <w:rPr>
          <w:sz w:val="20"/>
          <w:szCs w:val="20"/>
          <w:color w:val="auto"/>
        </w:rPr>
      </w:pPr>
      <w:r>
        <w:rPr>
          <w:rFonts w:ascii="Times New Roman" w:cs="Times New Roman" w:eastAsia="Times New Roman" w:hAnsi="Times New Roman"/>
          <w:sz w:val="18"/>
          <w:szCs w:val="18"/>
          <w:color w:val="auto"/>
        </w:rPr>
        <w:t>tracking major materials industry indices and projections. On contract work, we try to mitigate the risk of higher prices by including the current price in our estimate and generally include price inflation clauses for protection.</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prepared to quantify the impact of tariff policy changes on the purchase of raw materials and supplies, as they become available. Tariff policy is difficult to predict, any strategy shifts made in response to tariffs will be grounded in rigorous analysis that supports long-term value potential and that can hold up to further shifts in trade policy. We are partnering with trade policy experts and continuously assessing comprehensive supply chain vulnerability.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business model focuses on effective management of subcontractors and flow of raw and finished materials, which allows us to optimize working capital levels through reduction in certain assets and reduce capital expenditures.</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While we believe we have a good relationship with our suppliers and subcontractors, we are currently experiencing shortages of raw materials and inflationary pressures for certain materials and labor. We expect these supply chain challenges and cost impacts to continue for the foreseeable future as markets continue to recover and supply chains further normalize. Although we have secured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was $540.9 million as of December 31, 2024 as compared to $370.9 million as of December 31, 2023, an increase of $170.0 million or 45.8%. Backlog is adjusted on a quarterly basis for fluctuations in foreign currency exchange rates. Substantially all backlog is expected to be delivered within 18 - 24 months, with a majority within 12 months. Backlog is not defined by United States generally accepted accounting principles ("GAAP") and our methodology for calculating backlog may not be consistent with methodologies used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as well as being on the customer’s vendor approved list.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track record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design standard;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customer service and support;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stability.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compete favorably with respect to these factors.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our operations are in compliance with applicable environmental laws and regulations. We believe that changes in environmental laws and regulations create opportunity given the nature of our business.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evolving laws and regulations. While there are not currently regulations proposed or pending that we believe will result in material capital, operating or other costs to the business at this time, such regulations could be proposed and/or passed into law in 2025 or beyond. Other regulations currently in place could be withdrawn and replaced with more stringent requirements in 2025 or beyond. New laws and regulations and the costs of compliance with such new laws and regulations can only be broadly appraised until their implementation becomes more defined through regulatory guidance and enforcement.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employees located throughout the globe. CECO has approximately 1,600 employees, across 10 countries. Of our United States employees, 190 are unionized in our Pennsylvania, Tennessee, North Carolina and Ohio facilities. Outside the United States, we enter into employment contracts and/or agreements in those countries where such relationships are mandatory or customary. The provisions of these agreements correspond in each case with the required or customary terms in the subject jurisdiction. We have historically maintained good employee relations and have successfully concluded all of our recent negotiations without a work stoppage. However, we cannot predict the outcome of future contract negotiations.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strong employee base, along with our uncompromising commitment to our values of customer first, accountability, relentless execution, respect, integrity and teamwork, provide the foundation of our company’s success. Employee safety and managing the risks associated with our workplace, is of paramount importance to CECO.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 CECO’s foundational commitment to safety is demonstrated by our world-class recordable and loss time rates. We currently share scorecard information monthly with our team members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2024, CECO’s domestic Total Recordable Incident Rate (“TRIR”) was 1.2% as compared to our benchmark industry average TRIR of 4.3%.</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leads to problem solving, development, performance, and profitable business success.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invest in programs and processes that develop our employees’ capabilities to ensure that we have the talent we need to execute our strategic business plans. Our Performance Management Program ensures that all leaders have clear priorities, and that their performance relative to these priorities is linked to their total rewards package. We conduct an annual code of conduct training that includes, but is not limited to, the following subject matter areas: anti-corruption, discrimination, harassment, data privacy, appropriate use of company assets, protecting confidential information and how to report code violations. Each employee takes this annual training and follow up communications are conducted to ensure completion of the course by all employees. We also timely completed our mandated sexual harassment training courses both domestically and internationally with the impacted employees.</w:t>
      </w:r>
    </w:p>
    <w:p>
      <w:pPr>
        <w:spacing w:after="0" w:line="18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believe our management team has the experience necessary to effectively execute our strategy. Our platform leaders have significant industry experience and are supported by an experienced and talented management team who is dedicated to maintaining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240"/>
        <w:spacing w:after="0" w:line="282" w:lineRule="auto"/>
        <w:rPr>
          <w:sz w:val="20"/>
          <w:szCs w:val="20"/>
          <w:color w:val="auto"/>
        </w:rPr>
      </w:pPr>
      <w:r>
        <w:rPr>
          <w:rFonts w:ascii="Times New Roman" w:cs="Times New Roman" w:eastAsia="Times New Roman" w:hAnsi="Times New Roman"/>
          <w:sz w:val="18"/>
          <w:szCs w:val="18"/>
          <w:color w:val="auto"/>
        </w:rPr>
        <w:t>and expanding our position as a global leader in our markets. For discussion of the risks related to attracting and retention of management and executive employees, refer to “Part I, Item 1A. Risk Factors”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CECO</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are the executive officers of the Company as of February 13, 2025. All officers serve for a one year term and until their successors are elected and qualified.</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Todd Gleason </w:t>
      </w:r>
      <w:r>
        <w:rPr>
          <w:rFonts w:ascii="Times New Roman" w:cs="Times New Roman" w:eastAsia="Times New Roman" w:hAnsi="Times New Roman"/>
          <w:sz w:val="18"/>
          <w:szCs w:val="18"/>
          <w:color w:val="auto"/>
        </w:rPr>
        <w:t>(54) has served as a director and Chief Executive Officer since July 2020, and is responsible for driving the company’s strategic 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aligning the organization for optimal value creation. Prior to joining the Company, Mr. Gleason 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a Masters of Science degrees in Management and Public Policy from Carnegie Mellon University and a Bachelors of Arts in International Studies and History from Wesleyan University. Mr. Gleason currently serves on the board of directors of NSF, whose stated mission is to protect human and planet health through their leading test and measurement, consulting, training and certification and development of industry leading standards. Previously, Mr. Gleason served on the board of Faradyne, a strategic joint venture between Pentair and Xylem.</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Peter Johansson </w:t>
      </w:r>
      <w:r>
        <w:rPr>
          <w:rFonts w:ascii="Times New Roman" w:cs="Times New Roman" w:eastAsia="Times New Roman" w:hAnsi="Times New Roman"/>
          <w:sz w:val="18"/>
          <w:szCs w:val="18"/>
          <w:color w:val="auto"/>
        </w:rPr>
        <w:t>(60) has served as SVP, Chief Financial and Strategy Officer since August 2022. From April 2020 to August 2022, Mr. Johansson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an independent strategy and business development consultant and joined CECO as a consultant in October 2021. From June 2014 through March 2020, he was EVP, Strategy, Corporate Development &amp; Marketing for Accudyne Industries, LLC (“Accudyne”), where he was responsible for the formulation and execution of growth, value creation, business development, product line, and M&amp;A strategies, and deployment of a product-line based operating model for an industry-leading portfolio of industrial air and gas compressors, broad pump solutions, rotary mixers, and valves. Prior to joining Accudyne, Mr. Johansson led the corporate, product-line, and M&amp;A growth strategy and implementation of a differentiated business line operating model for IDEX Corporation. He has also held senior business, strategic business development, commercial and engineering leadership roles with ITT Inc., Trane Technologies PLC, WABCO Holdings, Inc., and Honeywell International, Inc. and its predecessor AlliedSignal Inc. Mr. Johansson earned a Bachelor of Science degree in Mechanical Engineering from Southern Methodist University of Dallas, Texas. He received his Master of Science degree in Mechanical Engineering from California State University at Fullerton, and his MBA from UCLA’s Anderson Graduate School of Management.</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Lynn Watkins-Asiyanbi </w:t>
      </w:r>
      <w:r>
        <w:rPr>
          <w:rFonts w:ascii="Times New Roman" w:cs="Times New Roman" w:eastAsia="Times New Roman" w:hAnsi="Times New Roman"/>
          <w:sz w:val="18"/>
          <w:szCs w:val="18"/>
          <w:color w:val="auto"/>
        </w:rPr>
        <w:t>(50) has served as SVP, Chief Administrative and Legal Officer, and Corporate Secretary since August 2022. Prior to that,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2022 to August 2022, Ms. Watkins-Asiyanbi served as Senior Vice President, General Counsel and Corporate Secretary. From June 2016 to June 2022, Ms. Watkins-Asiyanbi served in various roles of increasing responsibility within John Bean Technologies Corporation (“JBTC”), a publicly traded global food processing machinery and airport equipment company, most recently as its Deputy General Counsel (2018-2022), Chief Ethics/Compliance Officer (2020-2022), Global DEI Council Chair (2021-2022) and prior to that as Associate General Counsel at JBTC (from 2016 to 2018). Ms. Watkins-Asiyanbi has also served as a part of the W.W. Grainger, U.S. Foods, Mars, Inc. and General Mills, Inc. legal teams during her career, in addition to her significant legal experience at DLA Piper and Baker and McKenzie, both global law firms. Ms. Watkins-Asiyanbi holds a joint Juris Doctor and Master of Business Administration from Northwestern University’s Pritzker School of Law and the Kellogg School of Management and a Bachelor’s degree in Chemical Engineering and Economics from the University of Wisconsin-Madison.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use the Investor Relations section of our website, </w:t>
      </w:r>
      <w:r>
        <w:rPr>
          <w:rFonts w:ascii="Times New Roman" w:cs="Times New Roman" w:eastAsia="Times New Roman" w:hAnsi="Times New Roman"/>
          <w:sz w:val="18"/>
          <w:szCs w:val="18"/>
          <w:u w:val="single" w:color="auto"/>
          <w:color w:val="auto"/>
        </w:rPr>
        <w:t>www.cecoenviro.com</w:t>
      </w:r>
      <w:r>
        <w:rPr>
          <w:rFonts w:ascii="Times New Roman" w:cs="Times New Roman" w:eastAsia="Times New Roman" w:hAnsi="Times New Roman"/>
          <w:sz w:val="18"/>
          <w:szCs w:val="18"/>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adversely affected by global economic conditions.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62"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potential customers may reduce or delay their procurement or new product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suppliers may have difficulties resulting in delays for our material 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suppliers and other third parties may fail to perform their contractual obligations;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become insolvent and/or unable to obtain credit to finance purchases of our products and services.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dependence upon fixed-price contracts could adversely affect our operating results.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contract revenue may result in material adjustments that would adversely affect our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3" w:name="page14"/>
    <w:bookmarkEnd w:id="13"/>
    <w:p>
      <w:pPr>
        <w:ind w:right="160"/>
        <w:spacing w:after="0" w:line="261" w:lineRule="auto"/>
        <w:rPr>
          <w:sz w:val="20"/>
          <w:szCs w:val="20"/>
          <w:color w:val="auto"/>
        </w:rPr>
      </w:pPr>
      <w:r>
        <w:rPr>
          <w:rFonts w:ascii="Times New Roman" w:cs="Times New Roman" w:eastAsia="Times New Roman" w:hAnsi="Times New Roman"/>
          <w:sz w:val="18"/>
          <w:szCs w:val="18"/>
          <w:color w:val="auto"/>
        </w:rPr>
        <w:t>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deliver our backlog on time could affect our future sales and profitability, and our relationships with our customers.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backlog was $540.9 million at December 31, 2024 and $370.9 million at December 31, 2023.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of oil and natural gas prices can adversely affect demand for our products and services.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costs for manufactured components, raw materials, transportation, health care and energy prices may adversely affect our profitability.</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and increases in the price of these items could materially increase our operating costs and materially adversely affect our profit margins. Similarly, transportation, steel and health care costs have risen steadily over the past few years and could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performance may vary significantly from period to period.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 may cancel or delay projects. As a result, our backlog may not be indicative of our future revenue.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 example, in a year-long project as opposed to a three-month project, more time is available for the customer to experience a softening in its business, which may cause the customer to cancel a project.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We face significant competition in the markets we serve.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of the product and solution categories in which we compete are highly fragmented and competitive. We compete in industrial markets against a number of local, regional and national manufacturers and suppliers in each of our product or service lines. Our products primarily compete on the basis of performance, quality, reliability, lead time, on-time delivery, and safety supported by advanced engineering and operational excellence. We must also be responsive to any technological developments, including expanded use of data analytics, artificial intelligence, and machine learning, and related changing customer requirements. Any failure by us to compete effectively in the markets we serve could have a material adverse effect on our financial condition, results of operations and cash flows.</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to customers under warranties may adversely affect our reputation, our ability to obtain future business and our results of operations.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 and Capital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profit may be affected by shifts in our product mix.</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manufacturing operations are dependent on third-party suppliers.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ensure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fires or other natural disasters could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5" w:name="page16"/>
    <w:bookmarkEnd w:id="15"/>
    <w:p>
      <w:pPr>
        <w:ind w:right="20"/>
        <w:spacing w:after="0" w:line="266" w:lineRule="auto"/>
        <w:rPr>
          <w:sz w:val="20"/>
          <w:szCs w:val="20"/>
          <w:color w:val="auto"/>
        </w:rPr>
      </w:pPr>
      <w:r>
        <w:rPr>
          <w:rFonts w:ascii="Times New Roman" w:cs="Times New Roman" w:eastAsia="Times New Roman" w:hAnsi="Times New Roman"/>
          <w:sz w:val="18"/>
          <w:szCs w:val="18"/>
          <w:color w:val="auto"/>
        </w:rPr>
        <w:t>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of subcontractors could potentially harm our profitability and business reputation.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use the same subcontractors that we use and could potentially influence our ability to hire these subcontractors. If we were to lose relationships with key subcontractors, our business could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accounts receivable are related to larger contracts, which increases our exposure to credit risk.</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and whose activities are related to the power generation and oil and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billing terms can increase our exposure to working capital and credit risk.</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fluctuations may reduce profits on our foreign sales or increase our costs, either of which could adversely affect our financial results.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that approximately 33% of our 2024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178"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If our goodwill or indefinite lived intangibles become impaired, we may be required to recognize charges that would adversely impact our results of operations.</w:t>
      </w:r>
    </w:p>
    <w:p>
      <w:pPr>
        <w:spacing w:after="0" w:line="16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of December 31, 2024, goodwill and indefinite lived intangibles were $279.2 million, or 36.8%,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write-down of goodwill or intangible assets resulting from future periodic evaluations could adversely materially impact our results of operations.</w:t>
      </w:r>
    </w:p>
    <w:p>
      <w:pPr>
        <w:spacing w:after="0" w:line="22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party to asbestos-containing product litigation that could adversely affect our financial condition, results of operations and cash flows.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the asbestos-related litigation in which we are involved.</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have $221.5 million of indebtedness as of December 31, 2024, and incurrence of additional indebtedness could adversely affect our ability to operate our business, remain in compliance with debt covenants, make payments on our debt and limit our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indebtedness could have important consequences for investors, including the following:</w:t>
      </w:r>
    </w:p>
    <w:p>
      <w:pPr>
        <w:spacing w:after="0" w:line="225" w:lineRule="exact"/>
        <w:rPr>
          <w:sz w:val="20"/>
          <w:szCs w:val="20"/>
          <w:color w:val="auto"/>
        </w:rPr>
      </w:pPr>
    </w:p>
    <w:p>
      <w:pPr>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7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interest expense may increase because a substantial portion of our borrowings is at variable rates of interest, which, if interest rates increase, could result in higher interest expense;</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higher level of debt than some of our competitors, which could put us at a competitive disadvantage;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adverse developments in our industry or the economy in general;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could limit our flexibility in planning for, or reacting to, changes in our business and the industry in which we operate.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140"/>
        <w:spacing w:after="0" w:line="266" w:lineRule="auto"/>
        <w:rPr>
          <w:sz w:val="20"/>
          <w:szCs w:val="20"/>
          <w:color w:val="auto"/>
        </w:rPr>
      </w:pPr>
      <w:r>
        <w:rPr>
          <w:rFonts w:ascii="Times New Roman" w:cs="Times New Roman" w:eastAsia="Times New Roman" w:hAnsi="Times New Roman"/>
          <w:sz w:val="18"/>
          <w:szCs w:val="18"/>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pension plan may adversely impact our results of operations and cash flow.</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w:t>
      </w:r>
    </w:p>
    <w:p>
      <w:pPr>
        <w:spacing w:after="0" w:line="18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81"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We have made and may make future acquisitions or divestitures, which involve numerous risks that could impact our financial condition, results of operations and cash flows.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Societal responses to climate change could adversely affect our business and performance, including indirectly through impacts on our customers.</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20"/>
        <w:spacing w:after="0" w:line="256" w:lineRule="auto"/>
        <w:rPr>
          <w:sz w:val="20"/>
          <w:szCs w:val="20"/>
          <w:color w:val="auto"/>
        </w:rPr>
      </w:pPr>
      <w:r>
        <w:rPr>
          <w:rFonts w:ascii="Times New Roman" w:cs="Times New Roman" w:eastAsia="Times New Roman" w:hAnsi="Times New Roman"/>
          <w:sz w:val="18"/>
          <w:szCs w:val="18"/>
          <w:color w:val="auto"/>
        </w:rPr>
        <w:t>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oil and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Global climate change and related emphasis on environmental, social and governance ("ESG") matters by various stakeholders could negatively affect our business.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Customer, investor and employee expectations relating to ESG have been rapidly evolving and increasing. In addition,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 to attract and retain top talent. In addition, our adoption of certain standards or mandated compliance to certain requirements could necessitate additional investments that could impact our profitability.</w:t>
      </w:r>
    </w:p>
    <w:p>
      <w:pPr>
        <w:spacing w:after="0" w:line="187"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Climate changes, such as extreme weather conditions, create financial risk to our business. Global physical climate changes, including unseasonable weather conditions, could result in reduced demand or product obsolescence for certain of our customers’ products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key personnel or inability to attract and retain additional personnel could affect our ability to successfully grow our business.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competition for talent, particularly engineering talent, increasingly attempt to hire, and to varying degrees have been successful in hiring, our employees. If we are unable to attract and retain qualified employees, our business may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 stoppages or similar difficulties could significantly disrupt our operations.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Approximately 260 of our approximately 1,600 employees are represented by international or independent labor unions under various union contracts, which, for our covered employees in the United States, expire between November 12, 2025 and May 1, 2026. It is possible that our workforce will become more unionized in the future. Although we consider our employee relations to generally be good, our existing labor agreements may not prevent a strike or work stoppage at one or more of our facilities, which may have a material adverse effect on our business. Unionization activities could also increase our costs, which could have an adverse effect on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work stoppage at one of our suppliers could adversely affect our operations if an alternative source of supply were not readily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stoppages by employees of our customers also could result in reduced demand for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Risks</w:t>
      </w:r>
    </w:p>
    <w:p>
      <w:pPr>
        <w:spacing w:after="0" w:line="22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information systems and the failure of such systems, could significantly disrupt our business and negatively affect our financial condition, results of operations and cash flows.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including those related to force majeure, telecommunications failures, criminal acts, including hardware or software break-ins or extortion attempts, or viruses, or other cybersecurity incidents, we will have limited ability to affect the timing and success of systems restoration and any resulting interruption in our ability to manage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360"/>
        <w:spacing w:after="0" w:line="282" w:lineRule="auto"/>
        <w:rPr>
          <w:sz w:val="20"/>
          <w:szCs w:val="20"/>
          <w:color w:val="auto"/>
        </w:rPr>
      </w:pPr>
      <w:r>
        <w:rPr>
          <w:rFonts w:ascii="Times New Roman" w:cs="Times New Roman" w:eastAsia="Times New Roman" w:hAnsi="Times New Roman"/>
          <w:sz w:val="18"/>
          <w:szCs w:val="18"/>
          <w:color w:val="auto"/>
        </w:rPr>
        <w:t>and operate our business could have a material adverse effect on our operating results. Additionally, our vendors may incorporate artificial intelligence tools into their offerings, which may inhibit their ability to maintain an adequate level of service and experience.</w:t>
      </w:r>
    </w:p>
    <w:p>
      <w:pPr>
        <w:spacing w:after="0" w:line="16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Increased information technology cybersecurity threats and more sophisticated and targeted computer crime could pose a risk to our systems, networks, and products.</w:t>
      </w:r>
    </w:p>
    <w:p>
      <w:pPr>
        <w:spacing w:after="0" w:line="1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Increased global information technology cybersecurity threats and more sophisticated and targeted computer crime, including utilization of generative artificial intelligence,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("NIST")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Compliance and International Operations Risks</w:t>
      </w:r>
    </w:p>
    <w:p>
      <w:pPr>
        <w:spacing w:after="0" w:line="227"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Disruptions in the political, regulatory, economic and social conditions of the countries in which we conduct business could negatively impact our business, financial condition and profits.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and do business in many countries in addition to the United States. For the year ended December 31, 2024, approximately 33%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a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and (ix) the results of new trade agreements and changes in membership to international coalitions or unions.</w:t>
      </w:r>
    </w:p>
    <w:p>
      <w:pPr>
        <w:spacing w:after="0" w:line="1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compliance with foreign and domestic legal and regulatory requirements, including import, export, defense regulations and foreign exchange controls and anti-corruption laws, as discussed below, such as the FCPA (as defined below), the U.K. Bribery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ind w:right="100"/>
        <w:spacing w:after="0" w:line="266" w:lineRule="auto"/>
        <w:rPr>
          <w:sz w:val="20"/>
          <w:szCs w:val="20"/>
          <w:color w:val="auto"/>
        </w:rPr>
      </w:pPr>
      <w:r>
        <w:rPr>
          <w:rFonts w:ascii="Times New Roman" w:cs="Times New Roman" w:eastAsia="Times New Roman" w:hAnsi="Times New Roman"/>
          <w:sz w:val="18"/>
          <w:szCs w:val="18"/>
          <w:color w:val="auto"/>
        </w:rPr>
        <w:t>Act (as defined below),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 foregoing factors could have a material adverse effect on our international operations or upon our financial condition,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could be adversely affected by violations of the U.S. Foreign Corrupt Practices Act and similar anti-bribery laws worldwide.</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("FCPA"), the U.K. Bribery Act of 2010 ("U.K. Bribery Act"), and similar anti-bribery laws in other jurisdictions generally prohibit companies and their intermediaries from making improper payments for the purpose of obtaining or retaining business. 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there is no assurance that our internal control policies and procedures will protect us from acts committed by our employees or agents. If we are found to be liable for FCPA, U.K. Bribery Act or other similar violations (either due to our own acts or due to the acts of others), we could be subject to civil and criminal penalties or other sanctions, which could have a material adverse impact on our business, financial condition, and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can be significantly affected by changes in regulatory standards.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87"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6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Trump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 international trade agreements, and any resulting negative sentiments towards the United States as a result thereof, would likely have an adverse effect on our international operations or upon our business, financial condition, results of operations and cash flows.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The market price of our common stock may be volatile or may decline regardless of our operating performance and investors may not be able to resell shares they purchase at their purchase price.</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2024, the sales price of our common stock on the NASDAQ ranged from $18.50 to $35.16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75"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domestic and international macroeconomic factors unrelated to our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other outbreaks;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expectations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business success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advances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events affecting the political and economic environment in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including demand for our products and services, technological advances and governmental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involving or affecting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realization of any of these risks and other factors beyond our control could cause the market price of our common stock to decline significantly.</w:t>
      </w:r>
    </w:p>
    <w:p>
      <w:pPr>
        <w:spacing w:after="0" w:line="22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We are not currently paying dividends and cannot make assurances that we will pay dividends on our common stock and our indebtedness could limit our ability to pay dividends.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issue preferred stock could adversely affect the rights of holders of our common stock.</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provisions in our charter documents have anti-takeover effects.</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Failure to maintain adequate internal controls could adversely affect our business.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87"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There are inherent limitations in all internal control systems over financial reporting, and misstatements due to error or fraud may occur and not be detected.</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and Strategy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are not able to establish and maintain effective internal control over financial reporting, including any failure to implement required new or improved controls, or if we experience difficulties in their implementation, our business, financial condition and operating results could be harmed. We can give no assurances that any material weaknesses will not arise in the future due to our failure to implement and maintain adequate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(the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The Company’s cybersecurity policies, standards, and processes are being integrated into the Company’s ERM program and based on recognized frameworks and industry standards, including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Company and customer systems, information, and products.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engaged third-party cybersecurity service providers and leverages leading technologies and expertise to monitor, maintain, and provide 24/7 managed detection and response capabilities for coordination, escalation and remediation of alerts associated with information technology systems utilized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results of such assessments, audits and reviews are reported to the Audit Committee and the Board, and the Company adjusts its cybersecurity program as necessary based on the information provided by these assessments, audits, and reviews.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Board, in coordination with the Audit Committee, oversees the Company’s ERM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and third-party and independent reviews.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the Company's Vice President of Information Technology (the "VP of IT").</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 team of cybersecurity professionals reporting to the VP of IT, the head of the Company’s cybersecurity team, dedicated to managing threats and incidents in real time and the reporting of any such incidents. The VP of IT reports to the Chief Financial and Strategy Officer. Through regular and ongoing communications, the VP of IT and the Executive Leadership Team, which includes our Chief Executive Officer, Chief Financial and Strategy Officer, and Chief Administrative and Legal Officer, manage the prevention, detection, mitigation and remediation of cybersecurity threats and incidents and escalate any such threats and incidents to the Audit Committee when appropriate.</w:t>
      </w:r>
    </w:p>
    <w:p>
      <w:pPr>
        <w:spacing w:after="0" w:line="18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VP of IT has served in various leadership roles in information technology and information security for over 25 years, including leading the cybersecurity programs for three public companies. The VP of IT holds undergraduate and graduate degrees in business and has attained multiple cybersecurity certifications including Certified Information Security Manager and Data Privacy.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Cybersecurity threats, including those as a result of any previous cybersecurity incidents, have not materially affected or are reasonably likely to materially affect the Company, including its business strategy, results of operations or financial condition. For more information on our cybersecurity related risks, refer to "Part I, Item 1A. Risk Factors"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41 principal operating facilities across 12 states and 10 countries. The Company’s executive offices are located in Addison,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ind w:right="340"/>
        <w:spacing w:after="0" w:line="282" w:lineRule="auto"/>
        <w:rPr>
          <w:sz w:val="20"/>
          <w:szCs w:val="20"/>
          <w:color w:val="auto"/>
        </w:rPr>
      </w:pPr>
      <w:r>
        <w:rPr>
          <w:rFonts w:ascii="Times New Roman" w:cs="Times New Roman" w:eastAsia="Times New Roman" w:hAnsi="Times New Roman"/>
          <w:sz w:val="18"/>
          <w:szCs w:val="18"/>
          <w:color w:val="auto"/>
        </w:rPr>
        <w:t>renewed at expiration. The property we own is subject to collateral mortgages to secure the amounts owed under the Credit Facility. Information on the number and location of principal operating facilities by segment was as follows as of December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4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260" w:type="dxa"/>
            <w:vAlign w:val="bottom"/>
            <w:vMerge w:val="restart"/>
          </w:tcPr>
          <w:p>
            <w:pPr>
              <w:spacing w:after="0"/>
              <w:rPr>
                <w:sz w:val="20"/>
                <w:szCs w:val="20"/>
                <w:color w:val="auto"/>
              </w:rPr>
            </w:pPr>
          </w:p>
        </w:tc>
        <w:tc>
          <w:tcPr>
            <w:tcW w:w="6120" w:type="dxa"/>
            <w:vAlign w:val="bottom"/>
            <w:tcBorders>
              <w:bottom w:val="single" w:sz="8" w:color="auto"/>
            </w:tcBorders>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Location of Facilities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9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140" w:type="dxa"/>
            <w:vAlign w:val="bottom"/>
          </w:tcPr>
          <w:p>
            <w:pPr>
              <w:spacing w:after="0"/>
              <w:rPr>
                <w:sz w:val="18"/>
                <w:szCs w:val="18"/>
                <w:color w:val="auto"/>
              </w:rPr>
            </w:pPr>
          </w:p>
        </w:tc>
        <w:tc>
          <w:tcPr>
            <w:tcW w:w="30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Countries</w:t>
            </w:r>
          </w:p>
        </w:tc>
        <w:tc>
          <w:tcPr>
            <w:tcW w:w="0" w:type="dxa"/>
            <w:vAlign w:val="bottom"/>
          </w:tcPr>
          <w:p>
            <w:pPr>
              <w:spacing w:after="0"/>
              <w:rPr>
                <w:sz w:val="1"/>
                <w:szCs w:val="1"/>
                <w:color w:val="auto"/>
              </w:rPr>
            </w:pPr>
          </w:p>
        </w:tc>
      </w:tr>
      <w:tr>
        <w:trPr>
          <w:trHeight w:val="191"/>
        </w:trPr>
        <w:tc>
          <w:tcPr>
            <w:tcW w:w="30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Engineered Systems Segment</w:t>
            </w:r>
          </w:p>
        </w:tc>
        <w:tc>
          <w:tcPr>
            <w:tcW w:w="8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6"/>
                <w:szCs w:val="16"/>
                <w:color w:val="auto"/>
              </w:rPr>
            </w:pPr>
          </w:p>
        </w:tc>
        <w:tc>
          <w:tcPr>
            <w:tcW w:w="2980" w:type="dxa"/>
            <w:vAlign w:val="bottom"/>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Arizona, California, Connecticut,</w:t>
            </w:r>
          </w:p>
        </w:tc>
        <w:tc>
          <w:tcPr>
            <w:tcW w:w="140" w:type="dxa"/>
            <w:vAlign w:val="bottom"/>
            <w:shd w:val="clear" w:color="auto" w:fill="CFF0FC"/>
          </w:tcPr>
          <w:p>
            <w:pPr>
              <w:spacing w:after="0"/>
              <w:rPr>
                <w:sz w:val="16"/>
                <w:szCs w:val="16"/>
                <w:color w:val="auto"/>
              </w:rPr>
            </w:pPr>
          </w:p>
        </w:tc>
        <w:tc>
          <w:tcPr>
            <w:tcW w:w="300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w w:val="99"/>
              </w:rPr>
              <w:t>United States, The Netherlands, Canada,</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 New York, Ohio, Texas</w:t>
            </w:r>
          </w:p>
        </w:tc>
        <w:tc>
          <w:tcPr>
            <w:tcW w:w="140" w:type="dxa"/>
            <w:vAlign w:val="bottom"/>
            <w:shd w:val="clear" w:color="auto" w:fill="CFF0FC"/>
          </w:tcPr>
          <w:p>
            <w:pPr>
              <w:spacing w:after="0"/>
              <w:rPr>
                <w:sz w:val="18"/>
                <w:szCs w:val="18"/>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United Arab Emirates, Singapore,</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 People's Republic of</w:t>
            </w:r>
          </w:p>
        </w:tc>
        <w:tc>
          <w:tcPr>
            <w:tcW w:w="0" w:type="dxa"/>
            <w:vAlign w:val="bottom"/>
          </w:tcPr>
          <w:p>
            <w:pPr>
              <w:spacing w:after="0"/>
              <w:rPr>
                <w:sz w:val="1"/>
                <w:szCs w:val="1"/>
                <w:color w:val="auto"/>
              </w:rPr>
            </w:pPr>
          </w:p>
        </w:tc>
      </w:tr>
      <w:tr>
        <w:trPr>
          <w:trHeight w:val="234"/>
        </w:trPr>
        <w:tc>
          <w:tcPr>
            <w:tcW w:w="3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South Korea</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Industrial Process Solutions Segment</w:t>
            </w:r>
          </w:p>
        </w:tc>
        <w:tc>
          <w:tcPr>
            <w:tcW w:w="8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California, Indiana, Michigan, North</w:t>
            </w:r>
          </w:p>
        </w:tc>
        <w:tc>
          <w:tcPr>
            <w:tcW w:w="140" w:type="dxa"/>
            <w:vAlign w:val="bottom"/>
          </w:tcPr>
          <w:p>
            <w:pPr>
              <w:spacing w:after="0"/>
              <w:rPr>
                <w:sz w:val="17"/>
                <w:szCs w:val="17"/>
                <w:color w:val="auto"/>
              </w:rPr>
            </w:pPr>
          </w:p>
        </w:tc>
        <w:tc>
          <w:tcPr>
            <w:tcW w:w="3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United States, United Kingdom, The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Carolina, Ohio, Pennsylvania,</w:t>
            </w:r>
          </w:p>
        </w:tc>
        <w:tc>
          <w:tcPr>
            <w:tcW w:w="14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 Germany, People's</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1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China, Singapore, India</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18"/>
                <w:szCs w:val="18"/>
                <w:color w:val="auto"/>
              </w:rPr>
            </w:pPr>
          </w:p>
        </w:tc>
        <w:tc>
          <w:tcPr>
            <w:tcW w:w="2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Ohio, Texas</w:t>
            </w:r>
          </w:p>
        </w:tc>
        <w:tc>
          <w:tcPr>
            <w:tcW w:w="14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-170815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legal proceedings in which we are involved.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“CECO.”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graph sets forth the cumulative total return to CECO’s stockholders during the five years ended December 31, 2024, as well as the following indices: Russell 2000 Index, Standard and Poor’s (“S&amp;P”) 600 Small Cap Industrial Machinery Index, and S&amp;P 500 Index. The following graph assumes $100 was invested on December 31, 2019,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172200" cy="3274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approximate number of registered stockholders of record of our common stock as of February 13, 2025 was 237, although there is a larger number of beneficial owners.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our equity securities for the quarter ended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60" w:type="dxa"/>
            <w:vAlign w:val="bottom"/>
          </w:tcPr>
          <w:p>
            <w:pPr>
              <w:spacing w:after="0"/>
              <w:rPr>
                <w:sz w:val="12"/>
                <w:szCs w:val="12"/>
                <w:color w:val="auto"/>
              </w:rPr>
            </w:pPr>
          </w:p>
        </w:tc>
        <w:tc>
          <w:tcPr>
            <w:tcW w:w="13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360" w:type="dxa"/>
            <w:vAlign w:val="bottom"/>
          </w:tcPr>
          <w:p>
            <w:pPr>
              <w:spacing w:after="0"/>
              <w:rPr>
                <w:sz w:val="12"/>
                <w:szCs w:val="12"/>
                <w:color w:val="auto"/>
              </w:rPr>
            </w:pPr>
          </w:p>
        </w:tc>
        <w:tc>
          <w:tcPr>
            <w:tcW w:w="13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60" w:type="dxa"/>
            <w:vAlign w:val="bottom"/>
          </w:tcPr>
          <w:p>
            <w:pPr>
              <w:spacing w:after="0"/>
              <w:rPr>
                <w:sz w:val="12"/>
                <w:szCs w:val="12"/>
                <w:color w:val="auto"/>
              </w:rPr>
            </w:pPr>
          </w:p>
        </w:tc>
        <w:tc>
          <w:tcPr>
            <w:tcW w:w="13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 (amounts in thousands, except per share data)</w:t>
            </w:r>
          </w:p>
        </w:tc>
        <w:tc>
          <w:tcPr>
            <w:tcW w:w="1400" w:type="dxa"/>
            <w:vAlign w:val="bottom"/>
            <w:tcBorders>
              <w:bottom w:val="single" w:sz="8" w:color="auto"/>
            </w:tcBorders>
          </w:tcPr>
          <w:p>
            <w:pPr>
              <w:ind w:left="12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3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9 to the Consolidated Financial Statements. The program expires on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CECO is a leading environmentally focused, diversified industrial company, serving the broad landscape of industrial air, industrial water and energy transition markets globally by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2024 and the first quarter of 2025, we disclosed multiple transactions that strategically align with the Company’s portfolio management strategy and vision. These transactions include the acquisition of Profire Energy ("Profire") and the intended divestiture of the Company’s Fluid Handling business. Profire, a former publicly traded company on the NASDAQ under ticker symbol PFIE, is a leading North American supplier of mission-critical combustion automation and control solution services. Their core offering supports emissions reduction, safety objectives, and industry regulations. Profire has a large install base across oil &amp; gas, petrochemical, and natural gas markets, with growing exposure to other energy transition markets. The business is headquartered in Lindon, Utah, with a research and development center in Edmonton-Alberta, Canada. The business has a long-tenured and experienced leadership team and had 2024 revenues of $63 million with accretive EBITDA margins. Fluid Handling is a well-positioned business with strong brands in the pumps and filters space. However, we are focused on businesses that more closely align with our strategic investments and leadership positions in the air, water and energy transition spaces.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Corporate Strategy</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SCR systems for natural-gas-fired power plants. Increases in global natural gas, installed miles of new pipeline, including future CO2 and hydrogen pipelines, and liquified natural gas ("LNG") demand and supply all stand to drive the need for our products.</w:t>
      </w:r>
    </w:p>
    <w:p>
      <w:pPr>
        <w:spacing w:after="0" w:line="18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t>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 While the primary focuses of our capital allocation strategy is organic growth and portfolio management, the Company closely monitors its leverage and debt repayment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Pressures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In particular,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can continue to do so in the future. In this event, our business, results and financial condition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segments consist of like end-market and end-market adjacent platforms.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leverage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Our operations management team has distinct industry expertise coupled with strong leadership skills resulting in a customer-first mindset across the business. Our operations management team works closely with our Chief Executive Officer on global fulfillment strategies, operational excellence, resource allocation, and employee development.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support of the segments, centralized teams provide back-office functions for scale, efficiency, and compliance. These key functions include: accounting, treasury, tax, payroll, human resources and total rewards management, legal, information technology, marketing, and internal control over financial reporting. We have excellent collaboration between our platforms and our centralized service teams ensuring optimal efficiency and alignment on growth and improvement initiatives.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Our reportable segments are:</w:t>
      </w:r>
    </w:p>
    <w:p>
      <w:pPr>
        <w:spacing w:after="0" w:line="223" w:lineRule="exact"/>
        <w:rPr>
          <w:sz w:val="20"/>
          <w:szCs w:val="20"/>
          <w:color w:val="auto"/>
        </w:rPr>
      </w:pPr>
    </w:p>
    <w:p>
      <w:pPr>
        <w:ind w:left="760" w:right="100" w:hanging="378"/>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processing, water/wastewater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179" w:lineRule="exact"/>
        <w:rPr>
          <w:rFonts w:ascii="Times New Roman" w:cs="Times New Roman" w:eastAsia="Times New Roman" w:hAnsi="Times New Roman"/>
          <w:sz w:val="18"/>
          <w:szCs w:val="18"/>
          <w:color w:val="auto"/>
        </w:rPr>
      </w:pPr>
    </w:p>
    <w:p>
      <w:pPr>
        <w:ind w:left="760" w:right="60" w:hanging="378"/>
        <w:spacing w:after="0" w:line="25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sector with solutions for air pollution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contracts are obtained either through customer upselling based on our leading brands and significant install base,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cost of sales is principally driven by a number of factors, including material and subcontract prices and labor cost and availability. Changes in these factors may have a material impact on our overall gross profit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costs of sales into five categories, as follows:</w:t>
      </w:r>
    </w:p>
    <w:p>
      <w:pPr>
        <w:spacing w:after="0" w:line="22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Subcontracts—Electrical work, concrete work, subcomponents and other subcontracts necessary to produce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Labor—Our direct labor both in the shop and in the field;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Material—Raw materials that we buy to build our products, fans, motors, control panels and other equipment necessary for turnkey systems;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overhead—Costs of facilities and supervision wages necessary to produce our products.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quickly, which also reduces gross margin percentage. As material cost inflation occurs, the Company seeks to pass this cost onto our customers as price increases.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 principally includes sales and engineering payroll and related fringes, advertising and marketing expenditures as well as all corporate and administrative functions and other costs that support our operations. Variable compensation based on the Company’s performance is included in selling and administrative expense. An advantage of our operating model is that as revenue grows, we have significant operating leverage on our fixed selling and administrative cost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generated substantial income associated with acquisitions. While the Company cannot predict the exact timing or amounts of such charges, it does expect to treat these charges as special items in its future presentation of non-GAAP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statements of income for the years ended December 31, 2024, 2023 and 2022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35.1 %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31.4 %</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30.3 %</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26.3 %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22.6 %</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22.1 %</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6.3 %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6.4 %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5.3 %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(13.4 )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0"/>
        </w:trPr>
        <w:tc>
          <w:tcPr>
            <w:tcW w:w="48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0"/>
        </w:trPr>
        <w:tc>
          <w:tcPr>
            <w:tcW w:w="48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1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-2202180</wp:posOffset>
            </wp:positionV>
            <wp:extent cx="120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-2202180</wp:posOffset>
            </wp:positionV>
            <wp:extent cx="120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-2202180</wp:posOffset>
            </wp:positionV>
            <wp:extent cx="120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-1645285</wp:posOffset>
            </wp:positionV>
            <wp:extent cx="120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-1645285</wp:posOffset>
            </wp:positionV>
            <wp:extent cx="120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-1645285</wp:posOffset>
            </wp:positionV>
            <wp:extent cx="120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-1362075</wp:posOffset>
            </wp:positionV>
            <wp:extent cx="1200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-1362075</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-1362075</wp:posOffset>
            </wp:positionV>
            <wp:extent cx="120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-1079500</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-1079500</wp:posOffset>
            </wp:positionV>
            <wp:extent cx="120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compare operating performance between the years ended December 31, 2024, 2023 and 2022 the Company has adjusted GAAP operating income to exclude (1) amortization of intangible assets, and earnout expenses, (2) restructuring expenses primarily relating to severance, facility exits, and associated legal expenses, (3) acquisition and integration expenses, which include legal, accounting, and other expenses, (4) executive transition expenses, including severance for the Company's former executives, fees and expenses incurred in the search, for and hiring, of new executives and (5) asbestos litigation expenses related to expected future settlement payments.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6.4 %</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5.3 %</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8.9 %</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8.8 %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8.2 %</w:t>
            </w:r>
          </w:p>
        </w:tc>
        <w:tc>
          <w:tcPr>
            <w:tcW w:w="0" w:type="dxa"/>
            <w:vAlign w:val="bottom"/>
          </w:tcPr>
          <w:p>
            <w:pPr>
              <w:spacing w:after="0"/>
              <w:rPr>
                <w:sz w:val="1"/>
                <w:szCs w:val="1"/>
                <w:color w:val="auto"/>
              </w:rPr>
            </w:pPr>
          </w:p>
        </w:tc>
      </w:tr>
      <w:tr>
        <w:trPr>
          <w:trHeight w:val="365"/>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as reported in accordance with GAAP</w:t>
            </w:r>
          </w:p>
        </w:tc>
        <w:tc>
          <w:tcPr>
            <w:tcW w:w="1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expense of adjustments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180" w:type="dxa"/>
            <w:vAlign w:val="bottom"/>
            <w:shd w:val="clear" w:color="auto" w:fill="CFF0FC"/>
          </w:tcPr>
          <w:p>
            <w:pPr>
              <w:spacing w:after="0"/>
              <w:rPr>
                <w:sz w:val="18"/>
                <w:szCs w:val="18"/>
                <w:color w:val="auto"/>
              </w:rPr>
            </w:pPr>
          </w:p>
        </w:tc>
        <w:tc>
          <w:tcPr>
            <w:tcW w:w="360" w:type="dxa"/>
            <w:vAlign w:val="bottom"/>
            <w:tcBorders>
              <w:top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net income as a percentage of sales</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4.9 %</w:t>
            </w:r>
          </w:p>
        </w:tc>
        <w:tc>
          <w:tcPr>
            <w:tcW w:w="3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6.1 %</w:t>
            </w:r>
          </w:p>
        </w:tc>
        <w:tc>
          <w:tcPr>
            <w:tcW w:w="0" w:type="dxa"/>
            <w:vAlign w:val="bottom"/>
          </w:tcPr>
          <w:p>
            <w:pPr>
              <w:spacing w:after="0"/>
              <w:rPr>
                <w:sz w:val="1"/>
                <w:szCs w:val="1"/>
                <w:color w:val="auto"/>
              </w:rPr>
            </w:pPr>
          </w:p>
        </w:tc>
      </w:tr>
      <w:tr>
        <w:trPr>
          <w:trHeight w:val="628"/>
        </w:trPr>
        <w:tc>
          <w:tcPr>
            <w:tcW w:w="482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-2914015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-2914015</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-2914015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Consolidated net sales in 2024 were $557.9 million compared with $544.8 million in 2023, an increase of $13.1 million or 2.4%. The increase was driven by brands within the industrial processing solutions segment, notably in industrial air, ducting, and ventilation applications. Specific end markets driving the increase include building materials, metals, and automotive. Approximately $33.1 million of net sales is attributable to acquisitions that occurred during the preceding twelve-month period.</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Gross profit increased by $25.1 million, or 14.7%, to $196.1 million in 2024 compared with $171.0 million in 2023. The increase in gross profit was attributable to the increase in sales volume as described above, as well as sales mix, project execution and flow through from higher booked margins, as well as continued benefits from sourcing and value engineering. Gross profit as a percentage of sales increased to 35.1% in 2024 compared with 31.4% in 2023.</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Orders booked were $667.3 million in 2024 compared with $582.8 million in 2023, an increase of $84.5 million, or 14.5%. Of this $84.5 million increase, $51.5 million represents organic growth, while $33.0 million of orders were attributable to acquisitions that occurred during the preceding twelve-month period. The increase was driven by increased market demand for power. The Company’s current pipeline includes over $4.0 billion worth of project opportunities.</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$146.7 million in 2024 compared with $122.9 million in 2023, an increase of $23.8 million, or 19.4%. The increase is primarily attributed to workforce merit and other annual compensation adjustments, and investments in functional support for sourcing and manufacturing benefits.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Amortization and earnout expenses were $9.1 million in 2024 and $8.2 million in 2023, an increase of $0.9 million, or 11.0%. The increase in expense is attributable to an increase of $1.2 million in definite lived asset amortization due to recent acquisitions, partially offset by $0.4 million in earnout expense. See Note 7 to the Consolidated Financial Statements for further discussion on earnout expenses.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Acquisitions and integration expenses related to various merger and acquisition diligence activities, which include legal, accounting and banking expenses, were $4.2 million in 2024, as compared with $2.5 million in 2023, an increase of $1.7 million, or 68.0%. The increase is due to the timing and volume of acquisition activity. See Note 14 to the Consolidated Financial Statements for further discussion on recent acquisitions.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Executive transition expenses were zero in 2024 compared to $1.5 million in 2023, a decrease of $1.5 million. These expenses related to severance for the former executives, as well as fees and other expenses incurred in the search for and hiring of a new executive, specifically as it relates to the departure of the former Chief Operating Officer and transition of the role of Chief Accounting Officer.</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Restructuring expenses were $0.5 million in 2024 compared to $1.4 million in 2023, a decrease of $0.8 million, or 61.5%. These expenses related to severance, facility exits, and associated legal expenses, primarily as it relates to the exit of certain operations in China.</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Asbestos litigation expenses were $0.2 million in 2024 compared to zero in 2023, an increase of $0.2 million. These expenses related to expected future settlement payments. See Note 12 to the Consolidated Financial Statements for further discussion.</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Operating income for 2024 was $35.4 million, an increase of $0.8 million from $34.6 million in 2023. Operating income as a percentage of sales for 2024 was 6.3% compared with 6.4% for 2023. The increase in operating income is primarily attributable to the increase in gross profit.</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Non-GAAP operating income was $49.4 million in 2024, an increase of $1.3 million from $48.1 million in 2023. The increase in non-GAAP operating income is primarily attributable to the increase in gross profit. Non-GAAP operating income as a percentage of sales was 8.9% for 2024 compared with 8.8% for 2023.</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expense for 2024 was $(4.7) million compared to other income of $0.4 million in 2023, a decrease of $5.1 million. The decrease in other (expense) income was primarily attributable to net foreign currency transaction losses in the current year based on changes in exchange rates at our foreign subsidiaries.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expense was $13.0 million in 2024 compared to $13.4 million in 2023, a decrease of $0.4 million, or 3.0%. The decrease in interest expense is primarily due to lower a weighted average stated interest rate.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t>Income tax expense was $3.3 million in 2024 compared to $7.0 million in 2023, a decrease of $3.7 million, or 52.9%. The effective tax rate for 2024 was 18.5% compared with 32.6% in 2023. Income tax expense and the effective tax rate for 2024 were affected by changes in valuation allowances, and the net impact of global intangible low-taxed income ("GILTI") and foreign-derived intangible income ("FDII"), as well as certain permanent differences including state income taxes, non-deductible incentive stock-based compensation, and differences in tax rates among the jurisdictions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2023 for a discussion of our consolidated results of operations for the year ended December 31, 2023 compared to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and end markets that the segment serves and are presented in two reportable segments. The results of the segments are reviewed through the “Income from operations” line on the Consolidated Statements of Income.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at the reportable segment level include both intra-segment and inter-segment operating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384,025</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380,108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263,224</w:t>
            </w:r>
          </w:p>
        </w:tc>
        <w:tc>
          <w:tcPr>
            <w:tcW w:w="100" w:type="dxa"/>
            <w:vAlign w:val="bottom"/>
            <w:shd w:val="clear" w:color="auto" w:fill="CFF0FC"/>
          </w:tcPr>
          <w:p>
            <w:pPr>
              <w:spacing w:after="0"/>
              <w:rPr>
                <w:sz w:val="21"/>
                <w:szCs w:val="21"/>
                <w:color w:val="auto"/>
              </w:rPr>
            </w:pPr>
          </w:p>
        </w:tc>
      </w:tr>
      <w:tr>
        <w:trPr>
          <w:trHeight w:val="22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173,908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164,737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100" w:type="dxa"/>
            <w:vAlign w:val="bottom"/>
          </w:tcPr>
          <w:p>
            <w:pPr>
              <w:spacing w:after="0"/>
              <w:rPr>
                <w:sz w:val="19"/>
                <w:szCs w:val="19"/>
                <w:color w:val="auto"/>
              </w:rPr>
            </w:pPr>
          </w:p>
        </w:tc>
      </w:tr>
      <w:tr>
        <w:trPr>
          <w:trHeight w:val="249"/>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557,933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61"/>
        </w:trPr>
        <w:tc>
          <w:tcPr>
            <w:tcW w:w="61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21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(less intra-, inter-segment profit)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and Other (1)</w:t>
            </w:r>
          </w:p>
        </w:tc>
        <w:tc>
          <w:tcPr>
            <w:tcW w:w="9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(66,545 )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(46,907 )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(36,744 )</w:t>
            </w:r>
          </w:p>
        </w:tc>
      </w:tr>
      <w:tr>
        <w:trPr>
          <w:trHeight w:val="210"/>
        </w:trPr>
        <w:tc>
          <w:tcPr>
            <w:tcW w:w="6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tcBorders>
              <w:top w:val="single" w:sz="8" w:color="CFF0FC"/>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-1259840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-1242060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-1259840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-1242060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900" w:right="300" w:hanging="51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 This figure excludes earnout expenses / income, which are recorded in the segment in which the expense / income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Engineered Systems segment</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Engineered Systems segment orders booked increased $109.8 million, or 28.1%, to $500.9 million in 2024 compared with $391.1 million in 2023. The increase is primarily attributable to increased demand for energy transition projects and products as the market for power increases. Approximately $28.2 million of orders in 2024 are attributable to acquisitions that occurred during the preceding twelve-month period.</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Engineered Systems segment net sales increased $3.9 million to $384.0 million in 2024 compared with $380.1 million in 2023, an increase of 1.0%. The nominal increase in revenue year-over-year was primarily a result of specific, material project delays, primarily occurring in the second half of 2024 resulting in the absence of substantial revenue recognition in the period. The increase is driven by increases of $9.4 million in our dampers and expansion businesses and $7.2 million in our industrial air businesses, partially offset by a decrease of $9.5 million in our water and wastewater treatment technologies. Approximately $20.1 million of net sales in 2024 is attributable to acquisitions that occurred during the preceding twelve-month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4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$12.6 million to $72.4 million in 2024 compared with $59.8 million in 2023, an increase of 21.1%. The increase in operating income in primarily attributable to higher gross profit driven by improved sales mix, productivity, project execution, and cost savings initiatives.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Process Solutions segment</w:t>
      </w:r>
    </w:p>
    <w:p>
      <w:pPr>
        <w:spacing w:after="0" w:line="22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orders booked decreased $25.4 million, or 13.2%, to $166.3 million in 2024 compared with $191.7 million in 2023. The decrease is primarily related to two unique industrial air bookings from 2023 that were not expected to repeat. Approximately $7.9 million of orders in 2024 are attributable to acquisitions that occurred during the preceding twelve month period.</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$9.2 million to $173.9 million in 2024 compared with $164.7 million in 2023, an increase of 5.6%. The increase is primarily attributable to an increase of $7.6 million in our duct fabrication and installation businesses. Approximately $13.0 million of net sales in 2024 is attributable to acquisitions that have occurred during the preceding twelve-month period.</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income for the Industrial Process segment increased $8.0 million to $29.6 million in 2024 compared with $21.6 million in 2023. The increase in operating income in primarily attributable to higher gross profit related to increased sales and project execution.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$19.6 million to $66.5 million for 2024 compared with $46.9 million for 2023. The increase is primarily attributable to investments made to support growth inclusive of acquisition and integration expenses, and inflationary increases for wages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2023 for a discussion of business segment results of operations for the year ended December 31, 2023 compared to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working capital of $86.3 million, compared with $78.3 million at December 31, 2023. The ratio of current assets to current liabilities was 1.35 to 1.00 at December 31, 2024 as compared with a ratio of 1.39 to 1.00 at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cash and cash equivalents totaled $37.8 million and $54.8 million, respectively. As of December 31, 2024 and 2023,</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$29.7 million and $38.5 million, respectively, of our cash and cash equivalents were held by foreign subsidiaries, as well as being denominated in foreign currencies.</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Credit Facility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Term loan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Revolving Credit Loan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(2,617 )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(1,296 )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(1,650 )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(10,488 )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2024, the Company made repayments of $112.4 million on the term loan and $1.6 million on the joint venture term debt, with net borrowings of $196.9 million on the revolving credit line</w:t>
      </w:r>
      <w:r>
        <w:rPr>
          <w:rFonts w:ascii="Times New Roman" w:cs="Times New Roman" w:eastAsia="Times New Roman" w:hAnsi="Times New Roman"/>
          <w:sz w:val="18"/>
          <w:szCs w:val="18"/>
          <w:color w:val="212529"/>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October 30, 2023, the Company entered into Amendment No. 4 to the Second Amended and Restated Credit Agreement. Pursuant to this amendment, the lenders provided an additional term loan in the aggregate principal amount of $75.0 million.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This agreement provides for a senior secured revolving credit facility in an initial aggregate principal amount of up to $400.0 million.</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including the maintenance of a Consolidated Net Leverage Ratio not greater than 4.00 to 1.00 and a Consolidated Secured Net Leverage Ratio (as defined in the Credit Facility) not greater than 3.00 to 1.00.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entered into a loan agreement secured by the assets of the EFM JV in the aggregate principal amount of $11.0 million for the acquisition of General Rubber, LLC.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further information on the Company’s debt facilities.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760"/>
        <w:spacing w:after="0" w:line="282" w:lineRule="auto"/>
        <w:rPr>
          <w:sz w:val="20"/>
          <w:szCs w:val="20"/>
          <w:color w:val="auto"/>
        </w:rPr>
      </w:pPr>
      <w:r>
        <w:rPr>
          <w:rFonts w:ascii="Times New Roman" w:cs="Times New Roman" w:eastAsia="Times New Roman" w:hAnsi="Times New Roman"/>
          <w:sz w:val="18"/>
          <w:szCs w:val="18"/>
          <w:color w:val="auto"/>
        </w:rPr>
        <w:t>Total unused credit availability under our Credit Facility and other non-U.S. credit facilities and agreements, exclusive of any potential asset base limitations,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Draw down</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(214.2 )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Letters of credit open</w:t>
            </w:r>
          </w:p>
        </w:tc>
        <w:tc>
          <w:tcPr>
            <w:tcW w:w="10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100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1000" w:type="dxa"/>
            <w:vAlign w:val="bottom"/>
            <w:tcBorders>
              <w:bottom w:val="single" w:sz="8" w:color="auto"/>
            </w:tcBorders>
          </w:tcPr>
          <w:p>
            <w:pPr>
              <w:jc w:val="right"/>
              <w:ind w:right="8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cash flow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(105,312 )</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(56,486 )</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(48,257 )</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(2,673 )</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(442 )</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(4,978 )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(17,247 )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2024, $24.8 million of cash was provided by operating activities compared with $44.6 million provided by operating activities in 2023, a decrease of $19.8 million. Cash flow from operating activities in 2024 had an unfavorable impact year-over-year primarily due to changes in net working capital.</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2023, $44.6 million of cash was provided by operating activities compared with $29.6 million provided by operating activities in 2022, an increase of $15.0 million. Cash flow from operating activities in 2023 had a favorable impact year-over-year primarily due to changes in net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2024, $105.3 million of cash was used in investing activities, which consisted of $87.9 million for current year acquisitions and $17.4 million for acquisition of property and equipment.</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2023, $56.5 million of cash was used in investing activities, which consisted of $48.1 million for current year acquisitions and $8.4 million for acquisition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Financing activities in 2024 provided cash of $65.9 million, which consisted primarily of $82.9 million of net borrowings under the Credit Facility, used to finance current year acquisitions. This was partially offset by $5.0 million for the repurchase and retirement of our common stock, $2.2 million relating to equity compensation, inclusive of awards surrendered for tax liabilities, proceeds from employee stock purchase plan and exercise of stock options, $2.1 million in distributions to non-controlling interest, $2.1 million of deferred consideration for acquisitions, $1.9 million of financing fees, $2.8 million of earnout payments, and $0.9 million in payments on our capital leases.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Financing activities in 2023 provided cash of $21.1 million, which consisted primarily of $27.1 million of net borrowings under the Credit Facility, used to finance current year acquisitions, as well as $1.4 million of proceeds from employee stock purchase plan and exercise of stock options. This was partially offset by $2.1 million of earnout payments, $1.7 million in distributions to non-controlling interest, $1.2 million of deferred consideration for acquisitions, $0.9 million in payments on our capital leases, and $0.4 million of financing fees.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160"/>
        <w:spacing w:after="0" w:line="282" w:lineRule="auto"/>
        <w:rPr>
          <w:sz w:val="20"/>
          <w:szCs w:val="20"/>
          <w:color w:val="auto"/>
        </w:rPr>
      </w:pPr>
      <w:r>
        <w:rPr>
          <w:rFonts w:ascii="Times New Roman" w:cs="Times New Roman" w:eastAsia="Times New Roman" w:hAnsi="Times New Roman"/>
          <w:sz w:val="18"/>
          <w:szCs w:val="18"/>
          <w:color w:val="auto"/>
        </w:rPr>
        <w:t>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included (i) debt repayments under with respect to our Credit Facility and joint venture term debt, (ii) interest expense, (iii) purchase obligations for costs associated with uncompleted sales contracts, (iv) operating and capital lease obligations and (v) contingent liabilities related to acquisitions, including earnout liabilities and retention payments.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r>
      <w:tr>
        <w:trPr>
          <w:trHeight w:val="21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Debt, including joint venture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Loan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(estimated)</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related to acquisitions (2)</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197,879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68,491</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234,536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purchase obligations for costs associated with uncompleted sales contracts.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notes payable and expected earnout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Preparation of the consolidated financial statements in accordance with GAAP requires management to make estimates, judgments and assumptions affecting the reported amounts of assets, liabilities, revenues and expenses and related contingent liabilities. Critical accounting estimates or assumptions are those where the nature of the estimates or assumptions is material given the level of subjectivity and judgment necessary to account for uncertain matters, and the potential impact of the estimates and assumptions on financial condition or operating performance is material. We consider the estimates discussed below to be critical to the understanding of our financial statements. Actual results may differ from our estimates and assumptions, and any such differences could be material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No provision for estimated losses on uncompleted contracts was needed at December 31, 2024, 2023 and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our forecast of future demand and market conditions. Significant unanticipated changes to our forecasts could require a change in the provision for excess or obsolete inventory.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complete an impairment assessment of the Company's indefinite life intangible assets on an annual basis, during the fourth quarter, or more often as circumstances require. As a part of the annual assessment, we first qualitatively assess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calculated using the relief from royalty method. If the estimated fair value of an asset is less than its carrying value, an impairment charge is recorded for the amount by which the carrying value of the asset exceeds its estimated fair value.</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During 2024, 2023, and 2022, our annual impairment test indicated no impairment of our indefinite-lived tradenames. Accordingly, we recognized no impairment charges in our financial results for the years ended December 31, 2024, 2023, and 2022. For additional information on impairment testing results, see Note 6 to the Consolidated Financial Statements.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we review the remaining useful lives of assets to determine whether events and circumstances warrant a revision to the remaining period of depreciation or amortization. If the estimate of a long-lived asset’s remaining useful life is changed, the remaining carrying amount of the asset is depreciated/amortized prospectively over that revised remaining useful life.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complete an impairment assessment of the Company's indefinite life intangible assets on an annual basis, during the fourth quarter, or more often as circumstances require. As a part of the annual assessment, we first qualitatively assess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2024, 2023, and 2022, our annual impairment test indicated no impairment of goodwill. Accordingly, we recognized no impairment charges in our financial results for the years ended December 31, 2024, 2023, and 2022. For additional information on impairment testing results, see Note 6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39" w:name="page40"/>
    <w:bookmarkEnd w:id="39"/>
    <w:p>
      <w:pPr>
        <w:ind w:right="220"/>
        <w:spacing w:after="0" w:line="282" w:lineRule="auto"/>
        <w:rPr>
          <w:sz w:val="20"/>
          <w:szCs w:val="20"/>
          <w:color w:val="auto"/>
        </w:rPr>
      </w:pPr>
      <w:r>
        <w:rPr>
          <w:rFonts w:ascii="Times New Roman" w:cs="Times New Roman" w:eastAsia="Times New Roman" w:hAnsi="Times New Roman"/>
          <w:sz w:val="18"/>
          <w:szCs w:val="18"/>
          <w:color w:val="auto"/>
        </w:rPr>
        <w:t>measurement of a tax position taken or expected to be taken in a tax return. We record the related interest expense and penalties, if any, as tax expense in the tax provision.</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significant accounting policies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to the Consolidated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December 31, 2024 was $221.5 million. Market risk was estimated as the potential decrease (increase) in future earnings and cash flows resulting from a hypothetical 10% increase (decrease) in the Company’s estimated weighted average borrowing rate at December 31, 2024. Most of the interest on the Company’s debt is indexed to SOFR market rates. The estimated annual impact of a hypothetical 10% change in the estimated weighted average borrowing rate at December 31, 2024 is $1.6 million.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United Kingdom, Singapore, India, United Arab Emirates, Germany and South Korea. In the past, we have not hedged our foreign currency exposure. Future changes in exchange rates may positively or negatively impact our revenues, operating expenses and earnings. Transaction (losses) gains included in “Other (expense) income, net” line of the Consolidated Statements of Income were $(4.3) million, $1.2 million, and $6.3 million in 2024, 2023, and 2022,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CECO Environmental Corp. and subsidiaries for the years ended December 31, 2024, 2023 and 2022 and other data are included in this report following the signature page of this report and incorporated into this Item 8 by reference:</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(BDO USA, P.C., Cincinnati, Ohio, PCAOB #243)</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F-1</w:t>
            </w:r>
          </w:p>
        </w:tc>
      </w:tr>
      <w:tr>
        <w:trPr>
          <w:trHeight w:val="20"/>
        </w:trPr>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F-3</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0" w:type="dxa"/>
            <w:vAlign w:val="bottom"/>
            <w:shd w:val="clear" w:color="auto" w:fill="0000EE"/>
          </w:tcPr>
          <w:p>
            <w:pPr>
              <w:spacing w:after="0" w:line="20" w:lineRule="exact"/>
              <w:rPr>
                <w:sz w:val="1"/>
                <w:szCs w:val="1"/>
                <w:color w:val="auto"/>
              </w:rPr>
            </w:pPr>
          </w:p>
        </w:tc>
        <w:tc>
          <w:tcPr>
            <w:tcW w:w="25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F-5</w:t>
            </w:r>
          </w:p>
        </w:tc>
      </w:tr>
      <w:tr>
        <w:trPr>
          <w:trHeight w:val="20"/>
        </w:trPr>
        <w:tc>
          <w:tcPr>
            <w:tcW w:w="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F-6</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Accumulated Other Comprehensive Loss</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7"/>
              </w:rPr>
              <w:t>F-9</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and Strategy Officer, as appropriate, to allow timely decisions regarding required disclosure.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with the participation of our Chief Executive Officer and Chief Financial and Strategy Officer, carried out an evaluation of the effectiveness of the design and operation of our disclosure controls and procedures as of December 31, 2024. Based on that evaluation, our management, including our Chief Executive Officer and Chief Financial and Strategy Officer, concluded that our disclosure controls and procedures were effective as of December 31, 2024.</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and Strategy Officer, the Company conducted an evaluation of the effectiveness of internal control over financial reporting as of December 31, 2024, based on the criteria set forth in Internal Control – Integrated Framework (2013) (the “Framework”) issued by the Committee of Sponsoring Organizations of the Treadway Commission (“COSO”). Based on this assessment, management concluded that, as of December 31, 2024, its internal control over financial reporting was effective based on the Framework.</w:t>
      </w:r>
    </w:p>
    <w:p>
      <w:pPr>
        <w:spacing w:after="0" w:line="18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their attestation report on our internal control over financial reporting. The report is included below under the heading “Report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during the fiscal quarter ended December 31, 2024 that have materially affected, or are reasonably likely to materially affect, our internal control over financial reporting.</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CECO Environmental Corp.’s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2024, based on the COSO criteria</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shareholders’ equity, accumulated other comprehensive loss, and cash flows for each of the three years in the period ended December 31, 2024, and the related notes and our report dated February 25, 2025 expressed an unqualified opinion thereon.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called for by this Item 10 of Part III of Form 10-K is incorporated by reference to the information set forth in our definitive proxy statement relating to our 2025 Annual Meeting of Stockholders to be filed pursuant to Regulation 14A under the Exchange Act within 120 days from December 31, 2024 (the “Proxy Statement”). Reference is also made to the information appearing in Item 1 of Part I of this Annual Report on Form 10-K under the caption “Business— Executive Officers of CECO.”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11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12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20" w:type="dxa"/>
            <w:vAlign w:val="bottom"/>
          </w:tcPr>
          <w:p>
            <w:pPr>
              <w:spacing w:after="0"/>
              <w:rPr>
                <w:sz w:val="13"/>
                <w:szCs w:val="1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6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5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6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220" w:type="dxa"/>
            <w:vAlign w:val="bottom"/>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1"/>
        </w:trPr>
        <w:tc>
          <w:tcPr>
            <w:tcW w:w="5560" w:type="dxa"/>
            <w:vAlign w:val="bottom"/>
            <w:tcBorders>
              <w:top w:val="single" w:sz="8" w:color="auto"/>
            </w:tcBorders>
            <w:gridSpan w:val="3"/>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FF0FC"/>
          </w:tcPr>
          <w:p>
            <w:pPr>
              <w:spacing w:after="0"/>
              <w:rPr>
                <w:sz w:val="16"/>
                <w:szCs w:val="16"/>
                <w:color w:val="auto"/>
              </w:rPr>
            </w:pPr>
          </w:p>
        </w:tc>
        <w:tc>
          <w:tcPr>
            <w:tcW w:w="18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holders</w:t>
            </w:r>
          </w:p>
        </w:tc>
        <w:tc>
          <w:tcPr>
            <w:tcW w:w="1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2007</w:t>
            </w:r>
          </w:p>
        </w:tc>
        <w:tc>
          <w:tcPr>
            <w:tcW w:w="49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Incentive Plan </w:t>
            </w:r>
            <w:r>
              <w:rPr>
                <w:rFonts w:ascii="Times New Roman" w:cs="Times New Roman" w:eastAsia="Times New Roman" w:hAnsi="Times New Roman"/>
                <w:sz w:val="24"/>
                <w:szCs w:val="24"/>
                <w:color w:val="auto"/>
                <w:vertAlign w:val="superscript"/>
              </w:rPr>
              <w:t>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2017</w:t>
            </w:r>
          </w:p>
        </w:tc>
        <w:tc>
          <w:tcPr>
            <w:tcW w:w="49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and Incentive Plan </w:t>
            </w:r>
            <w:r>
              <w:rPr>
                <w:rFonts w:ascii="Times New Roman" w:cs="Times New Roman" w:eastAsia="Times New Roman" w:hAnsi="Times New Roman"/>
                <w:sz w:val="24"/>
                <w:szCs w:val="24"/>
                <w:color w:val="auto"/>
                <w:vertAlign w:val="superscript"/>
              </w:rPr>
              <w:t>2</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2021</w:t>
            </w:r>
          </w:p>
        </w:tc>
        <w:tc>
          <w:tcPr>
            <w:tcW w:w="49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and Incentive Plan </w:t>
            </w:r>
            <w:r>
              <w:rPr>
                <w:rFonts w:ascii="Times New Roman" w:cs="Times New Roman" w:eastAsia="Times New Roman" w:hAnsi="Times New Roman"/>
                <w:sz w:val="24"/>
                <w:szCs w:val="24"/>
                <w:color w:val="auto"/>
                <w:vertAlign w:val="superscript"/>
              </w:rPr>
              <w:t>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1,194,553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2020</w:t>
            </w:r>
          </w:p>
        </w:tc>
        <w:tc>
          <w:tcPr>
            <w:tcW w:w="49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Employee Stock Purchase Plan </w:t>
            </w:r>
            <w:r>
              <w:rPr>
                <w:rFonts w:ascii="Times New Roman" w:cs="Times New Roman" w:eastAsia="Times New Roman" w:hAnsi="Times New Roman"/>
                <w:sz w:val="24"/>
                <w:szCs w:val="24"/>
                <w:color w:val="auto"/>
                <w:vertAlign w:val="superscript"/>
              </w:rPr>
              <w:t>4</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1,215,106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2,436,310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300" w:hanging="512"/>
        <w:spacing w:after="0" w:line="25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2007 Equity Incentive Plan ("2007 Plan") was replaced with the 2017 Equity and Incentive Plan ("2017 Plan") and no further grants will be made under the 2007 Plan. The 2007 Plan remains in effect solely for the continued administration of the awards currently outstanding under the 2007 Plan.</w:t>
      </w:r>
    </w:p>
    <w:p>
      <w:pPr>
        <w:spacing w:after="0" w:line="1" w:lineRule="exact"/>
        <w:rPr>
          <w:rFonts w:ascii="Times New Roman" w:cs="Times New Roman" w:eastAsia="Times New Roman" w:hAnsi="Times New Roman"/>
          <w:sz w:val="18"/>
          <w:szCs w:val="18"/>
          <w:color w:val="auto"/>
        </w:rPr>
      </w:pPr>
    </w:p>
    <w:p>
      <w:pPr>
        <w:ind w:left="520" w:right="14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Equity and Incentive Plan was replaced with the 2021 Equity and Incentive Plan and no further grants will be made under the 2017 Plan. The 2017 Plan remains in effect solely for the continued administration of the awards currently outstanding under the 2017 Plan.</w:t>
      </w:r>
    </w:p>
    <w:p>
      <w:pPr>
        <w:ind w:left="520" w:right="6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and Incentive Plan was approved by our stockholders on May 25, 2021. We have reserved 2.6 million shares of our common stock for issuance under our 2021 Equity Incentive Plan.</w:t>
      </w: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Stock Purchase Plan was approved by our stockholders on June 11, 2020.</w:t>
      </w:r>
    </w:p>
    <w:p>
      <w:pPr>
        <w:spacing w:after="0" w:line="9" w:lineRule="exact"/>
        <w:rPr>
          <w:rFonts w:ascii="Times New Roman" w:cs="Times New Roman" w:eastAsia="Times New Roman" w:hAnsi="Times New Roman"/>
          <w:sz w:val="18"/>
          <w:szCs w:val="18"/>
          <w:color w:val="auto"/>
        </w:rPr>
      </w:pPr>
    </w:p>
    <w:p>
      <w:pPr>
        <w:ind w:left="520" w:right="160" w:hanging="512"/>
        <w:spacing w:after="0" w:line="25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13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14 of Part III of Form 10-K is incorporated by reference to the Proxy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set forth in this report following the signature page of this report.</w:t>
      </w:r>
    </w:p>
    <w:p>
      <w:pPr>
        <w:spacing w:after="0" w:line="22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3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are omitted because they are not applicable or because the required information is shown in the financial statements or in the notes thereto.</w:t>
      </w:r>
    </w:p>
    <w:p>
      <w:pPr>
        <w:spacing w:after="0" w:line="161"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3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 The exhibits listed below, as part of Form 10-K, are numbered in conformity with the numbering used in Item 601 of Regulation S-K and relate to SEC File No. 0-07099, unless otherwise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Certificate of Incorporation (incorporated by reference to Exhibit 3(i) to the Company’s Annual Report on Form 10-K for the fiscal year ended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December 31, 2001)</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Certificate of Amendment to the Certificate of Incorporation of CECO Environmental Corp. (incorporated by reference to Exhibit 3.1 to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Company’s Current Report on Form 8-K filed with the SEC on May 22, 2024)</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Amended and Restated Bylaws (incorporated by reference to Exhibit 3.1 to the Company’s Current Report on Form 8-K filed with the SEC 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March 9, 2023)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Description of Securities (incorporated by reference to Exhibit 4.1 to the Company’s Annual Report on Form 10-K for the fiscal year ended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December 31, 2019)</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Form of Director and Officer Indemnification Agreement (incorporated by reference to Exhibit 10.1 to the Company’s Current Report on Form</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8-K filed with the SEC on May 16, 2016)</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Nonqualified Stock Option Inducement Award Agreement, by and between CECO Environmental Corp. and Todd Gleason, dated as of July 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2020 (incorporated by reference to Exhibit 4.3 to the Registrant’s Registration Statement on Form S-8 (Commission File No. 333-239707) filed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on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Nonqualified Premium Stock Option Inducement Award Agreement, by and between CECO Environmental Corp. and Todd Gleason, dated as of</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36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July 6, 2020 (incorporated by reference to Exhibit 4.4 to the Registrant’s Registration Statement on Form S-8 (Commission File No. 333-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36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239707) filed on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4"/>
            <w:shd w:val="clear" w:color="auto" w:fill="0000FF"/>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Restricted Stock Units Inducement Award Agreement, by and between CECO Environmental Corp. and Todd Gleason, dated as of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tcBorders>
              <w:right w:val="single" w:sz="8" w:color="0000FF"/>
            </w:tcBorders>
            <w:gridSpan w:val="7"/>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(incorporated by reference to Exhibit 4.5 to the Registrant’s Registration Statement on Form S-8 (Commission File No. 333-239707) filed 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tcBorders>
              <w:right w:val="single" w:sz="8" w:color="0000FF"/>
            </w:tcBorders>
            <w:gridSpan w:val="7"/>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Second Amended and Restated CECO Environmental Corp. 2007 Equity Incentive Plan (incorporated by reference to Exhibit 10.6 to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tcBorders>
              <w:right w:val="single" w:sz="8" w:color="0000FF"/>
            </w:tcBorders>
            <w:gridSpan w:val="8"/>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Company’s Current Report on Form 8-K filed with the SEC on September 3, 2015)</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700" w:type="dxa"/>
            <w:vAlign w:val="bottom"/>
            <w:tcBorders>
              <w:right w:val="single" w:sz="8" w:color="0000EE"/>
            </w:tcBorders>
            <w:gridSpan w:val="8"/>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Form of Incentive Stock Option Agreement under the Second Amended and Restated CECO Environmental Corp. 2007 Equity Incentive Plan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tcBorders>
              <w:right w:val="single" w:sz="8" w:color="0000FF"/>
            </w:tcBorders>
            <w:gridSpan w:val="9"/>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(incorporated by reference to Exhibit 10.12 to the Company’s Annual Report on Form 10-K for the fiscal year ended December 31, 2010)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40" w:type="dxa"/>
            <w:vAlign w:val="bottom"/>
            <w:tcBorders>
              <w:right w:val="single" w:sz="8" w:color="0000FF"/>
            </w:tcBorders>
            <w:gridSpan w:val="9"/>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Form of Non-Statutory Stock Option Agreement under the Second Amended and Restated CECO Environmental Corp. 2007 Equity Incentive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tcBorders>
              <w:right w:val="single" w:sz="8" w:color="0000FF"/>
            </w:tcBorders>
            <w:gridSpan w:val="9"/>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Plan (incorporated by reference to Exhibit 10.13 to the Company’s Annual Report on Form 10-K for the fiscal year ended December 31, 2010)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40" w:type="dxa"/>
            <w:vAlign w:val="bottom"/>
            <w:tcBorders>
              <w:right w:val="single" w:sz="8" w:color="0000FF"/>
            </w:tcBorders>
            <w:gridSpan w:val="9"/>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CECO Environmental Corp. 2017 Equity and Incentive Compensation Plan (incorporated by reference to Exhibit 4.3 to the Company’s</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tcBorders>
              <w:right w:val="single" w:sz="8" w:color="0000FF"/>
            </w:tcBorders>
            <w:gridSpan w:val="9"/>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Registration Statement on Form S-8 (Registration No. 333-218030) filed on May 16, 2017)</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40" w:type="dxa"/>
            <w:vAlign w:val="bottom"/>
            <w:tcBorders>
              <w:right w:val="single" w:sz="8" w:color="0000EE"/>
            </w:tcBorders>
            <w:gridSpan w:val="9"/>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Form of Incentive Stock Option Agreement under the CECO Environmental Corp. 2017 Equity and Incentive Compensation Plan (incorporated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60" w:type="dxa"/>
            <w:vAlign w:val="bottom"/>
            <w:gridSpan w:val="10"/>
            <w:shd w:val="clear" w:color="auto" w:fill="0000FF"/>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by reference to Exhibit 10.2 to the Company’s Quarterly Report on Form 10-Q filed with the SEC on August 9, 2017)</w:t>
              </w:r>
            </w:hyperlink>
          </w:p>
        </w:tc>
      </w:tr>
      <w:tr>
        <w:trPr>
          <w:trHeight w:val="655"/>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tcBorders>
              <w:top w:val="single" w:sz="8" w:color="0000FF"/>
            </w:tcBorders>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82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Form of Nonqualified Stock Option Agreement under the CECO Environmental Corp. 2017 Equity and Incentive Compensation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(incorporated by reference to Exhibit 10.3 to the Company’s Quarterly Report on Form 10-Q filed with the SEC on August 9, 2017)</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Form of Restricted Stock Units Agreement for Directors under the CECO Environmental Corp. 2017 Equity and Incentive Compensation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(incorporated by reference to Exhibit 10.4 to the Company’s Quarterly Report on Form 10-Q filed with the SEC on August 9, 2017)</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Form of Restricted Stock Units Agreement for Employees under the CECO Environmental Corp. 2017 Equity and Incentive Compensation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(incorporated by reference to Exhibit 10.5 to the Company’s Quarterly Report on Form 10-Q filed with the SEC on August 9, 2017)</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CECO Environmental Corp. 2020 Employee Stock Purchase Plan (incorporated by reference to Exhibit 10.1 to the Company’s Current Report 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Form 8-K filed with the SEC on June 16, 2020)</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CECO Environmental Corp. 2021 Equity and Incentive Compensation Plan (incorporated by reference to Exhibit 10.1 to the Company’s Current</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Report on Form 8-K filed with the SEC on May 27,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Form of Restricted Stock Units Agreement for Directors under the CECO Environmental Corp. 2021 Equity and Incentive Compensation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(incorporated by reference to Exhibit 10.19 to the Company’s Annual Report on Form 10-K for the fiscal year ended December 31,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Form of Restricted Stock Units Agreement for Employees under the CECO Environmental Corp. 2021 Equity and Incentive Compensation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(incorporated by reference to Exhibit 10.20 to the Company’s Annual Report on Form 10-K for the fiscal year ended December 31,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CECO Environmental Corp. Executive Change in Control Severance Plan (incorporated by reference to Exhibit 10.1 to the Company’s Quarterly</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Report on Form 10-Q filed with the SEC on November 8,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Third Amended and Restated Credit Agreement, dated as of October 7, 2024, among the Company and certain of its subsidiaries, the Lenders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party thereto, and Bank of America, N.A. (incorporated by reference to Exhibit 10.1 to the Company’s Current Report on Form 8-K filed with</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the SEC on October 11, 2024)</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Form of Restricted Stock Units Agreement for Employees under the CECO Environmental Corp. 2021 Equity and Incentive Compensation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(incorporated by reference to Exhibit 10.26 to the Company’s Annual Report on Form 10-K for the fiscal year ended December 31, 2022)</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Form of Restricted Stock Units Agreement for Directors under the CECO Environmental Corp. 2021 Equity and Incentive Compensation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(incorporated by reference to Exhibit 10.27 to the Company’s Annual Report on Form 10-K for the fiscal year ended December 31, 2022)</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Equity Award Agreement between the Company and Peter Johansson, dated September 29, 2023 (incorporated by reference to Exhibit 10.1 to</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the Company’s Current Report on Form 8-K filed with the SEC on October 5, 2023)</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Equity Award Agreement between the Company and Joycelynn Watkins-Asiyanbi, dated September 29, 2023 (incorporated by reference to</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Exhibit 10.2 to the Company’s Current Report on Form 8-K filed with the SEC on October 5, 2023)</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Letter Agreement with Todd Gleason, dated July 5, 2023 (incorporated by reference to Exhibit 10.1 to the Company’s Current Report on Form 8-</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K filed with the SEC on July 11, 2023)</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Equity Award Agreement between the Company and Todd Gleason, dated July 5, 2023 (incorporated by reference to Exhibit 10.2 to the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Company’s Current Report on Form 8-K filed with the SEC on July 11, 2023)</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^10.25</w:t>
            </w:r>
          </w:p>
        </w:tc>
        <w:tc>
          <w:tcPr>
            <w:tcW w:w="9980" w:type="dxa"/>
            <w:vAlign w:val="bottom"/>
            <w:gridSpan w:val="21"/>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CECO Environmental Corp. Executive Change in Control and Severance Plan, as amended and restated July 6, 2023 (incorporated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3860" w:type="dxa"/>
            <w:vAlign w:val="bottom"/>
            <w:tcBorders>
              <w:right w:val="single" w:sz="8" w:color="0000FF"/>
            </w:tcBorders>
            <w:gridSpan w:val="6"/>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to Exhibit 10.3 to the Company’s Current Report on Form 8-K filed with the SEC on July 11, 2023)</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2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3860" w:type="dxa"/>
            <w:vAlign w:val="bottom"/>
            <w:tcBorders>
              <w:right w:val="single" w:sz="8" w:color="0000EE"/>
            </w:tcBorders>
            <w:gridSpan w:val="6"/>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60" w:type="dxa"/>
            <w:vAlign w:val="bottom"/>
            <w:vMerge w:val="continue"/>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Restricted Stock Units Agreement for Employees under the CECO Environmental Corp. 2021 Equity and Incentive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000" w:type="dxa"/>
            <w:vAlign w:val="bottom"/>
            <w:gridSpan w:val="7"/>
            <w:shd w:val="clear" w:color="auto" w:fill="0000FF"/>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Compensation Plan, revised March 2024 (incorporated by reference to Exhibit 10.32 to the Company’s Annual Report on Form 10-K for</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900" w:type="dxa"/>
            <w:vAlign w:val="bottom"/>
            <w:gridSpan w:val="1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the fiscal year ended December 31, 2023)</w:t>
              </w:r>
            </w:hyperlink>
          </w:p>
        </w:tc>
        <w:tc>
          <w:tcPr>
            <w:tcW w:w="0" w:type="dxa"/>
            <w:vAlign w:val="bottom"/>
          </w:tcPr>
          <w:p>
            <w:pPr>
              <w:spacing w:after="0"/>
              <w:rPr>
                <w:sz w:val="1"/>
                <w:szCs w:val="1"/>
                <w:color w:val="auto"/>
              </w:rPr>
            </w:pPr>
          </w:p>
        </w:tc>
      </w:tr>
      <w:tr>
        <w:trPr>
          <w:trHeight w:val="452"/>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top w:val="single" w:sz="8" w:color="0000FF"/>
            </w:tcBorders>
            <w:gridSpan w:val="3"/>
          </w:tcPr>
          <w:p>
            <w:pPr>
              <w:spacing w:after="0"/>
              <w:rPr>
                <w:sz w:val="24"/>
                <w:szCs w:val="24"/>
                <w:color w:val="auto"/>
              </w:rPr>
            </w:pPr>
          </w:p>
        </w:tc>
        <w:tc>
          <w:tcPr>
            <w:tcW w:w="236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48" w:name="page49"/>
    <w:bookmarkEnd w:id="48"/>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9960" w:type="dxa"/>
            <w:vAlign w:val="bottom"/>
            <w:gridSpan w:val="1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Performance-Based Restricted Stock Units Agreement for Employees under the CECO Environmental Corp. 2021 Equity and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13"/>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Incentive Compensation Plan, revised March 2024 (incorporated by reference to Exhibit 10.32 to the Company’s Annual Report on Form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13"/>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10-K for the fiscal year ended December 31, 2023)</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^10.28</w:t>
            </w: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vMerge w:val="continue"/>
          </w:tcPr>
          <w:p>
            <w:pPr>
              <w:spacing w:after="0"/>
              <w:rPr>
                <w:sz w:val="24"/>
                <w:szCs w:val="24"/>
                <w:color w:val="auto"/>
              </w:rPr>
            </w:pPr>
          </w:p>
        </w:tc>
        <w:tc>
          <w:tcPr>
            <w:tcW w:w="9960" w:type="dxa"/>
            <w:vAlign w:val="bottom"/>
            <w:gridSpan w:val="1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Nonqualified Stock Option Agreement for Employees under the CECO Environmental Corp. 2021 Equity and Incentive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1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Compensation Plan (incorporated by reference to Exhibit 10.32 to the Company’s Annual Report on Form 10-K for the fiscal year ended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3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1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December 31, 2023)</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*19.1</w:t>
            </w: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vMerge w:val="continue"/>
          </w:tcPr>
          <w:p>
            <w:pPr>
              <w:spacing w:after="0"/>
              <w:rPr>
                <w:sz w:val="24"/>
                <w:szCs w:val="24"/>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CECO Environmental Corp. Insider Trading Policy</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Consent of BDO USA, P.C.</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Rule 13(a)/15d-14(a) Certification by Chief Executive Officer</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Rule 13(a)/15d-14(a) Certification by Chief Financial Officer</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(18 U.S. Section 1350)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32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(18 U.S. Section 1350)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9960" w:type="dxa"/>
            <w:vAlign w:val="bottom"/>
            <w:gridSpan w:val="13"/>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CECO Environmental Corp. Compensation Recovery Policy (incorporated by reference to Exhibit 97.1 to the Company’s Annual Report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574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9960" w:type="dxa"/>
            <w:vAlign w:val="bottom"/>
            <w:gridSpan w:val="13"/>
          </w:tcPr>
          <w:p>
            <w:pPr>
              <w:spacing w:after="0" w:line="18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10-K for the fiscal year ended December 31,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60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40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 Linkbase Documents</w:t>
            </w:r>
          </w:p>
        </w:tc>
        <w:tc>
          <w:tcPr>
            <w:tcW w:w="0" w:type="dxa"/>
            <w:vAlign w:val="bottom"/>
          </w:tcPr>
          <w:p>
            <w:pPr>
              <w:spacing w:after="0"/>
              <w:rPr>
                <w:sz w:val="1"/>
                <w:szCs w:val="1"/>
                <w:color w:val="auto"/>
              </w:rPr>
            </w:pPr>
          </w:p>
        </w:tc>
      </w:tr>
      <w:tr>
        <w:trPr>
          <w:trHeight w:val="40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99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w:t>
      </w:r>
    </w:p>
    <w:p>
      <w:pPr>
        <w:spacing w:after="0" w:line="9" w:lineRule="exact"/>
        <w:rPr>
          <w:sz w:val="20"/>
          <w:szCs w:val="20"/>
          <w:color w:val="auto"/>
        </w:rPr>
      </w:pPr>
    </w:p>
    <w:p>
      <w:pPr>
        <w:ind w:right="180" w:firstLine="8"/>
        <w:spacing w:after="0" w:line="260" w:lineRule="auto"/>
        <w:tabs>
          <w:tab w:leader="none" w:pos="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5" w:right="3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52" w:lineRule="exact"/>
        <w:rPr>
          <w:sz w:val="20"/>
          <w:szCs w:val="20"/>
          <w:color w:val="auto"/>
        </w:rPr>
      </w:pPr>
    </w:p>
    <w:tbl>
      <w:tblPr>
        <w:tblLayout w:type="fixed"/>
        <w:tblInd w:w="6780" w:type="dxa"/>
        <w:tblCellMar>
          <w:top w:w="0" w:type="dxa"/>
          <w:left w:w="0" w:type="dxa"/>
          <w:bottom w:w="0" w:type="dxa"/>
          <w:right w:w="0" w:type="dxa"/>
        </w:tblCellMar>
      </w:tblP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r>
      <w:tr>
        <w:trPr>
          <w:trHeight w:val="223"/>
        </w:trPr>
        <w:tc>
          <w:tcPr>
            <w:tcW w:w="3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Peter Johansson</w:t>
            </w:r>
          </w:p>
        </w:tc>
      </w:tr>
      <w:tr>
        <w:trPr>
          <w:trHeight w:val="216"/>
        </w:trPr>
        <w:tc>
          <w:tcPr>
            <w:tcW w:w="3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and Strategy Officer</w:t>
            </w:r>
          </w:p>
        </w:tc>
      </w:tr>
      <w:tr>
        <w:trPr>
          <w:trHeight w:val="216"/>
        </w:trPr>
        <w:tc>
          <w:tcPr>
            <w:tcW w:w="3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February 25, 2025</w:t>
            </w:r>
          </w:p>
        </w:tc>
      </w:tr>
    </w:tbl>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25"/>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205"/>
              <w:spacing w:after="0" w:line="126" w:lineRule="exact"/>
              <w:rPr>
                <w:sz w:val="20"/>
                <w:szCs w:val="20"/>
                <w:color w:val="auto"/>
              </w:rPr>
            </w:pPr>
            <w:r>
              <w:rPr>
                <w:rFonts w:ascii="Times New Roman" w:cs="Times New Roman" w:eastAsia="Times New Roman" w:hAnsi="Times New Roman"/>
                <w:sz w:val="13"/>
                <w:szCs w:val="13"/>
                <w:b w:val="1"/>
                <w:bCs w:val="1"/>
                <w:color w:val="auto"/>
              </w:rPr>
              <w:t>Todd Gleason</w:t>
            </w:r>
          </w:p>
        </w:tc>
        <w:tc>
          <w:tcPr>
            <w:tcW w:w="1580" w:type="dxa"/>
            <w:vAlign w:val="bottom"/>
          </w:tcPr>
          <w:p>
            <w:pPr>
              <w:spacing w:after="0"/>
              <w:rPr>
                <w:sz w:val="10"/>
                <w:szCs w:val="10"/>
                <w:color w:val="auto"/>
              </w:rPr>
            </w:pPr>
          </w:p>
        </w:tc>
      </w:tr>
      <w:tr>
        <w:trPr>
          <w:trHeight w:val="178"/>
        </w:trPr>
        <w:tc>
          <w:tcPr>
            <w:tcW w:w="5560" w:type="dxa"/>
            <w:vAlign w:val="bottom"/>
            <w:gridSpan w:val="3"/>
          </w:tcPr>
          <w:p>
            <w:pPr>
              <w:ind w:left="1740"/>
              <w:spacing w:after="0"/>
              <w:rPr>
                <w:sz w:val="20"/>
                <w:szCs w:val="20"/>
                <w:color w:val="auto"/>
              </w:rPr>
            </w:pPr>
            <w:r>
              <w:rPr>
                <w:rFonts w:ascii="Times New Roman" w:cs="Times New Roman" w:eastAsia="Times New Roman" w:hAnsi="Times New Roman"/>
                <w:sz w:val="13"/>
                <w:szCs w:val="13"/>
                <w:b w:val="1"/>
                <w:bCs w:val="1"/>
                <w:color w:val="auto"/>
              </w:rPr>
              <w:t>Chief Executive Officer and Director</w:t>
            </w:r>
          </w:p>
        </w:tc>
        <w:tc>
          <w:tcPr>
            <w:tcW w:w="1580" w:type="dxa"/>
            <w:vAlign w:val="bottom"/>
          </w:tcPr>
          <w:p>
            <w:pPr>
              <w:spacing w:after="0"/>
              <w:rPr>
                <w:sz w:val="15"/>
                <w:szCs w:val="15"/>
                <w:color w:val="auto"/>
              </w:rPr>
            </w:pPr>
          </w:p>
        </w:tc>
      </w:tr>
      <w:tr>
        <w:trPr>
          <w:trHeight w:val="33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7"/>
        </w:trPr>
        <w:tc>
          <w:tcPr>
            <w:tcW w:w="228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45"/>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185"/>
              <w:spacing w:after="0" w:line="126" w:lineRule="exact"/>
              <w:rPr>
                <w:sz w:val="20"/>
                <w:szCs w:val="20"/>
                <w:color w:val="auto"/>
              </w:rPr>
            </w:pPr>
            <w:r>
              <w:rPr>
                <w:rFonts w:ascii="Times New Roman" w:cs="Times New Roman" w:eastAsia="Times New Roman" w:hAnsi="Times New Roman"/>
                <w:sz w:val="13"/>
                <w:szCs w:val="13"/>
                <w:b w:val="1"/>
                <w:bCs w:val="1"/>
                <w:color w:val="auto"/>
              </w:rPr>
              <w:t>Peter Johansson</w:t>
            </w:r>
          </w:p>
        </w:tc>
        <w:tc>
          <w:tcPr>
            <w:tcW w:w="1580" w:type="dxa"/>
            <w:vAlign w:val="bottom"/>
          </w:tcPr>
          <w:p>
            <w:pPr>
              <w:spacing w:after="0"/>
              <w:rPr>
                <w:sz w:val="10"/>
                <w:szCs w:val="10"/>
                <w:color w:val="auto"/>
              </w:rPr>
            </w:pPr>
          </w:p>
        </w:tc>
      </w:tr>
      <w:tr>
        <w:trPr>
          <w:trHeight w:val="178"/>
        </w:trPr>
        <w:tc>
          <w:tcPr>
            <w:tcW w:w="5560" w:type="dxa"/>
            <w:vAlign w:val="bottom"/>
            <w:gridSpan w:val="3"/>
          </w:tcPr>
          <w:p>
            <w:pPr>
              <w:ind w:left="1720"/>
              <w:spacing w:after="0"/>
              <w:rPr>
                <w:sz w:val="20"/>
                <w:szCs w:val="20"/>
                <w:color w:val="auto"/>
              </w:rPr>
            </w:pPr>
            <w:r>
              <w:rPr>
                <w:rFonts w:ascii="Times New Roman" w:cs="Times New Roman" w:eastAsia="Times New Roman" w:hAnsi="Times New Roman"/>
                <w:sz w:val="13"/>
                <w:szCs w:val="13"/>
                <w:b w:val="1"/>
                <w:bCs w:val="1"/>
                <w:color w:val="auto"/>
              </w:rPr>
              <w:t>Chief Financial and Strategy Officer</w:t>
            </w:r>
          </w:p>
        </w:tc>
        <w:tc>
          <w:tcPr>
            <w:tcW w:w="1580" w:type="dxa"/>
            <w:vAlign w:val="bottom"/>
          </w:tcPr>
          <w:p>
            <w:pPr>
              <w:spacing w:after="0"/>
              <w:rPr>
                <w:sz w:val="15"/>
                <w:szCs w:val="15"/>
                <w:color w:val="auto"/>
              </w:rPr>
            </w:pPr>
          </w:p>
        </w:tc>
      </w:tr>
      <w:tr>
        <w:trPr>
          <w:trHeight w:val="432"/>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8"/>
        </w:trPr>
        <w:tc>
          <w:tcPr>
            <w:tcW w:w="228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25"/>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3"/>
                <w:szCs w:val="13"/>
                <w:color w:val="auto"/>
              </w:rPr>
              <w:t>IRIL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OVACHEV</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205"/>
              <w:spacing w:after="0" w:line="126" w:lineRule="exact"/>
              <w:rPr>
                <w:sz w:val="20"/>
                <w:szCs w:val="20"/>
                <w:color w:val="auto"/>
              </w:rPr>
            </w:pPr>
            <w:r>
              <w:rPr>
                <w:rFonts w:ascii="Times New Roman" w:cs="Times New Roman" w:eastAsia="Times New Roman" w:hAnsi="Times New Roman"/>
                <w:sz w:val="13"/>
                <w:szCs w:val="13"/>
                <w:b w:val="1"/>
                <w:bCs w:val="1"/>
                <w:color w:val="auto"/>
              </w:rPr>
              <w:t>Kiril Kovachev</w:t>
            </w:r>
          </w:p>
        </w:tc>
        <w:tc>
          <w:tcPr>
            <w:tcW w:w="1580" w:type="dxa"/>
            <w:vAlign w:val="bottom"/>
          </w:tcPr>
          <w:p>
            <w:pPr>
              <w:spacing w:after="0"/>
              <w:rPr>
                <w:sz w:val="10"/>
                <w:szCs w:val="10"/>
                <w:color w:val="auto"/>
              </w:rPr>
            </w:pPr>
          </w:p>
        </w:tc>
      </w:tr>
      <w:tr>
        <w:trPr>
          <w:trHeight w:val="178"/>
        </w:trPr>
        <w:tc>
          <w:tcPr>
            <w:tcW w:w="2020" w:type="dxa"/>
            <w:vAlign w:val="bottom"/>
          </w:tcPr>
          <w:p>
            <w:pPr>
              <w:spacing w:after="0"/>
              <w:rPr>
                <w:sz w:val="15"/>
                <w:szCs w:val="15"/>
                <w:color w:val="auto"/>
              </w:rPr>
            </w:pPr>
          </w:p>
        </w:tc>
        <w:tc>
          <w:tcPr>
            <w:tcW w:w="35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Chief Accounting Officer</w:t>
            </w:r>
          </w:p>
        </w:tc>
        <w:tc>
          <w:tcPr>
            <w:tcW w:w="1580" w:type="dxa"/>
            <w:vAlign w:val="bottom"/>
          </w:tcPr>
          <w:p>
            <w:pPr>
              <w:spacing w:after="0"/>
              <w:rPr>
                <w:sz w:val="15"/>
                <w:szCs w:val="15"/>
                <w:color w:val="auto"/>
              </w:rPr>
            </w:pPr>
          </w:p>
        </w:tc>
      </w:tr>
      <w:tr>
        <w:trPr>
          <w:trHeight w:val="36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7"/>
        </w:trPr>
        <w:tc>
          <w:tcPr>
            <w:tcW w:w="228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25"/>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3"/>
                <w:szCs w:val="13"/>
                <w:color w:val="auto"/>
              </w:rPr>
              <w:t>EZWIREK</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25"/>
        </w:trPr>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80" w:type="dxa"/>
            <w:vAlign w:val="bottom"/>
          </w:tcPr>
          <w:p>
            <w:pPr>
              <w:jc w:val="center"/>
              <w:ind w:right="2185"/>
              <w:spacing w:after="0" w:line="126" w:lineRule="exact"/>
              <w:rPr>
                <w:sz w:val="20"/>
                <w:szCs w:val="20"/>
                <w:color w:val="auto"/>
              </w:rPr>
            </w:pPr>
            <w:r>
              <w:rPr>
                <w:rFonts w:ascii="Times New Roman" w:cs="Times New Roman" w:eastAsia="Times New Roman" w:hAnsi="Times New Roman"/>
                <w:sz w:val="13"/>
                <w:szCs w:val="13"/>
                <w:b w:val="1"/>
                <w:bCs w:val="1"/>
                <w:color w:val="auto"/>
              </w:rPr>
              <w:t>Jason DeZwirek</w:t>
            </w:r>
          </w:p>
        </w:tc>
        <w:tc>
          <w:tcPr>
            <w:tcW w:w="1580" w:type="dxa"/>
            <w:vAlign w:val="bottom"/>
          </w:tcPr>
          <w:p>
            <w:pPr>
              <w:spacing w:after="0"/>
              <w:rPr>
                <w:sz w:val="10"/>
                <w:szCs w:val="10"/>
                <w:color w:val="auto"/>
              </w:rPr>
            </w:pPr>
          </w:p>
        </w:tc>
      </w:tr>
      <w:tr>
        <w:trPr>
          <w:trHeight w:val="178"/>
        </w:trPr>
        <w:tc>
          <w:tcPr>
            <w:tcW w:w="5560" w:type="dxa"/>
            <w:vAlign w:val="bottom"/>
            <w:gridSpan w:val="3"/>
          </w:tcPr>
          <w:p>
            <w:pPr>
              <w:ind w:left="1720"/>
              <w:spacing w:after="0"/>
              <w:rPr>
                <w:sz w:val="20"/>
                <w:szCs w:val="20"/>
                <w:color w:val="auto"/>
              </w:rPr>
            </w:pPr>
            <w:r>
              <w:rPr>
                <w:rFonts w:ascii="Times New Roman" w:cs="Times New Roman" w:eastAsia="Times New Roman" w:hAnsi="Times New Roman"/>
                <w:sz w:val="13"/>
                <w:szCs w:val="13"/>
                <w:b w:val="1"/>
                <w:bCs w:val="1"/>
                <w:color w:val="auto"/>
              </w:rPr>
              <w:t>Chairman of the Board and Director</w:t>
            </w:r>
          </w:p>
        </w:tc>
        <w:tc>
          <w:tcPr>
            <w:tcW w:w="1580" w:type="dxa"/>
            <w:vAlign w:val="bottom"/>
          </w:tcPr>
          <w:p>
            <w:pPr>
              <w:spacing w:after="0"/>
              <w:rPr>
                <w:sz w:val="15"/>
                <w:szCs w:val="15"/>
                <w:color w:val="auto"/>
              </w:rPr>
            </w:pPr>
          </w:p>
        </w:tc>
      </w:tr>
      <w:tr>
        <w:trPr>
          <w:trHeight w:val="338"/>
        </w:trPr>
        <w:tc>
          <w:tcPr>
            <w:tcW w:w="20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NOWLING</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R.</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25"/>
        </w:trPr>
        <w:tc>
          <w:tcPr>
            <w:tcW w:w="2020" w:type="dxa"/>
            <w:vAlign w:val="bottom"/>
          </w:tcPr>
          <w:p>
            <w:pPr>
              <w:spacing w:after="0"/>
              <w:rPr>
                <w:sz w:val="10"/>
                <w:szCs w:val="10"/>
                <w:color w:val="auto"/>
              </w:rPr>
            </w:pPr>
          </w:p>
        </w:tc>
        <w:tc>
          <w:tcPr>
            <w:tcW w:w="3540" w:type="dxa"/>
            <w:vAlign w:val="bottom"/>
            <w:gridSpan w:val="2"/>
          </w:tcPr>
          <w:p>
            <w:pPr>
              <w:jc w:val="center"/>
              <w:ind w:right="1945"/>
              <w:spacing w:after="0" w:line="126" w:lineRule="exact"/>
              <w:rPr>
                <w:sz w:val="20"/>
                <w:szCs w:val="20"/>
                <w:color w:val="auto"/>
              </w:rPr>
            </w:pPr>
            <w:r>
              <w:rPr>
                <w:rFonts w:ascii="Times New Roman" w:cs="Times New Roman" w:eastAsia="Times New Roman" w:hAnsi="Times New Roman"/>
                <w:sz w:val="13"/>
                <w:szCs w:val="13"/>
                <w:b w:val="1"/>
                <w:bCs w:val="1"/>
                <w:color w:val="auto"/>
              </w:rPr>
              <w:t>Robert E. Knowling Jr.</w:t>
            </w:r>
          </w:p>
        </w:tc>
        <w:tc>
          <w:tcPr>
            <w:tcW w:w="1580" w:type="dxa"/>
            <w:vAlign w:val="bottom"/>
          </w:tcPr>
          <w:p>
            <w:pPr>
              <w:spacing w:after="0"/>
              <w:rPr>
                <w:sz w:val="10"/>
                <w:szCs w:val="10"/>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580" w:type="dxa"/>
            <w:vAlign w:val="bottom"/>
          </w:tcPr>
          <w:p>
            <w:pPr>
              <w:spacing w:after="0"/>
              <w:rPr>
                <w:sz w:val="15"/>
                <w:szCs w:val="15"/>
                <w:color w:val="auto"/>
              </w:rPr>
            </w:pPr>
          </w:p>
        </w:tc>
      </w:tr>
      <w:tr>
        <w:trPr>
          <w:trHeight w:val="338"/>
        </w:trPr>
        <w:tc>
          <w:tcPr>
            <w:tcW w:w="20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jc w:val="center"/>
              <w:ind w:right="1545"/>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3"/>
                <w:szCs w:val="13"/>
                <w:color w:val="auto"/>
              </w:rPr>
              <w:t>LAUDIO</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3"/>
                <w:szCs w:val="13"/>
                <w:color w:val="auto"/>
              </w:rPr>
              <w:t>ANNARINO</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125"/>
        </w:trPr>
        <w:tc>
          <w:tcPr>
            <w:tcW w:w="2020" w:type="dxa"/>
            <w:vAlign w:val="bottom"/>
          </w:tcPr>
          <w:p>
            <w:pPr>
              <w:spacing w:after="0"/>
              <w:rPr>
                <w:sz w:val="10"/>
                <w:szCs w:val="10"/>
                <w:color w:val="auto"/>
              </w:rPr>
            </w:pPr>
          </w:p>
        </w:tc>
        <w:tc>
          <w:tcPr>
            <w:tcW w:w="3540" w:type="dxa"/>
            <w:vAlign w:val="bottom"/>
            <w:gridSpan w:val="2"/>
          </w:tcPr>
          <w:p>
            <w:pPr>
              <w:jc w:val="center"/>
              <w:ind w:right="1945"/>
              <w:spacing w:after="0" w:line="126" w:lineRule="exact"/>
              <w:rPr>
                <w:sz w:val="20"/>
                <w:szCs w:val="20"/>
                <w:color w:val="auto"/>
              </w:rPr>
            </w:pPr>
            <w:r>
              <w:rPr>
                <w:rFonts w:ascii="Times New Roman" w:cs="Times New Roman" w:eastAsia="Times New Roman" w:hAnsi="Times New Roman"/>
                <w:sz w:val="13"/>
                <w:szCs w:val="13"/>
                <w:b w:val="1"/>
                <w:bCs w:val="1"/>
                <w:color w:val="auto"/>
              </w:rPr>
              <w:t>Claudio A. Mannarino</w:t>
            </w:r>
          </w:p>
        </w:tc>
        <w:tc>
          <w:tcPr>
            <w:tcW w:w="1580" w:type="dxa"/>
            <w:vAlign w:val="bottom"/>
          </w:tcPr>
          <w:p>
            <w:pPr>
              <w:spacing w:after="0"/>
              <w:rPr>
                <w:sz w:val="10"/>
                <w:szCs w:val="10"/>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580" w:type="dxa"/>
            <w:vAlign w:val="bottom"/>
          </w:tcPr>
          <w:p>
            <w:pPr>
              <w:spacing w:after="0"/>
              <w:rPr>
                <w:sz w:val="15"/>
                <w:szCs w:val="15"/>
                <w:color w:val="auto"/>
              </w:rPr>
            </w:pPr>
          </w:p>
        </w:tc>
      </w:tr>
      <w:tr>
        <w:trPr>
          <w:trHeight w:val="332"/>
        </w:trPr>
        <w:tc>
          <w:tcPr>
            <w:tcW w:w="2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65"/>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UNISH</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3"/>
                <w:szCs w:val="13"/>
                <w:color w:val="auto"/>
              </w:rPr>
              <w:t>ANDA</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32"/>
        </w:trPr>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jc w:val="center"/>
              <w:ind w:right="2185"/>
              <w:spacing w:after="0" w:line="132" w:lineRule="exact"/>
              <w:rPr>
                <w:sz w:val="20"/>
                <w:szCs w:val="20"/>
                <w:color w:val="auto"/>
              </w:rPr>
            </w:pPr>
            <w:r>
              <w:rPr>
                <w:rFonts w:ascii="Times New Roman" w:cs="Times New Roman" w:eastAsia="Times New Roman" w:hAnsi="Times New Roman"/>
                <w:sz w:val="13"/>
                <w:szCs w:val="13"/>
                <w:b w:val="1"/>
                <w:bCs w:val="1"/>
                <w:color w:val="auto"/>
              </w:rPr>
              <w:t>Munish Nanda</w:t>
            </w:r>
          </w:p>
        </w:tc>
        <w:tc>
          <w:tcPr>
            <w:tcW w:w="158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580" w:type="dxa"/>
            <w:vAlign w:val="bottom"/>
          </w:tcPr>
          <w:p>
            <w:pPr>
              <w:spacing w:after="0"/>
              <w:rPr>
                <w:sz w:val="15"/>
                <w:szCs w:val="15"/>
                <w:color w:val="auto"/>
              </w:rPr>
            </w:pPr>
          </w:p>
        </w:tc>
      </w:tr>
      <w:tr>
        <w:trPr>
          <w:trHeight w:val="331"/>
        </w:trPr>
        <w:tc>
          <w:tcPr>
            <w:tcW w:w="20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jc w:val="center"/>
              <w:ind w:right="1605"/>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3"/>
                <w:szCs w:val="13"/>
                <w:color w:val="auto"/>
              </w:rPr>
              <w:t>ALERIE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ENTILE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ACHS</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32"/>
        </w:trPr>
        <w:tc>
          <w:tcPr>
            <w:tcW w:w="2020" w:type="dxa"/>
            <w:vAlign w:val="bottom"/>
          </w:tcPr>
          <w:p>
            <w:pPr>
              <w:spacing w:after="0"/>
              <w:rPr>
                <w:sz w:val="11"/>
                <w:szCs w:val="11"/>
                <w:color w:val="auto"/>
              </w:rPr>
            </w:pPr>
          </w:p>
        </w:tc>
        <w:tc>
          <w:tcPr>
            <w:tcW w:w="3540" w:type="dxa"/>
            <w:vAlign w:val="bottom"/>
            <w:gridSpan w:val="2"/>
          </w:tcPr>
          <w:p>
            <w:pPr>
              <w:jc w:val="center"/>
              <w:ind w:right="1945"/>
              <w:spacing w:after="0" w:line="132" w:lineRule="exact"/>
              <w:rPr>
                <w:sz w:val="20"/>
                <w:szCs w:val="20"/>
                <w:color w:val="auto"/>
              </w:rPr>
            </w:pPr>
            <w:r>
              <w:rPr>
                <w:rFonts w:ascii="Times New Roman" w:cs="Times New Roman" w:eastAsia="Times New Roman" w:hAnsi="Times New Roman"/>
                <w:sz w:val="13"/>
                <w:szCs w:val="13"/>
                <w:b w:val="1"/>
                <w:bCs w:val="1"/>
                <w:color w:val="auto"/>
              </w:rPr>
              <w:t>Valerie Gentile Sachs</w:t>
            </w:r>
          </w:p>
        </w:tc>
        <w:tc>
          <w:tcPr>
            <w:tcW w:w="158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580" w:type="dxa"/>
            <w:vAlign w:val="bottom"/>
          </w:tcPr>
          <w:p>
            <w:pPr>
              <w:spacing w:after="0"/>
              <w:rPr>
                <w:sz w:val="15"/>
                <w:szCs w:val="15"/>
                <w:color w:val="auto"/>
              </w:rPr>
            </w:pPr>
          </w:p>
        </w:tc>
      </w:tr>
      <w:tr>
        <w:trPr>
          <w:trHeight w:val="332"/>
        </w:trPr>
        <w:tc>
          <w:tcPr>
            <w:tcW w:w="228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tcPr>
          <w:p>
            <w:pPr>
              <w:jc w:val="center"/>
              <w:ind w:right="1865"/>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3"/>
                <w:szCs w:val="13"/>
                <w:color w:val="auto"/>
              </w:rPr>
              <w:t>AURIE</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3"/>
                <w:szCs w:val="13"/>
                <w:color w:val="auto"/>
              </w:rPr>
              <w:t>IEGEL</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32"/>
        </w:trPr>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jc w:val="center"/>
              <w:ind w:right="2205"/>
              <w:spacing w:after="0" w:line="132" w:lineRule="exact"/>
              <w:rPr>
                <w:sz w:val="20"/>
                <w:szCs w:val="20"/>
                <w:color w:val="auto"/>
              </w:rPr>
            </w:pPr>
            <w:r>
              <w:rPr>
                <w:rFonts w:ascii="Times New Roman" w:cs="Times New Roman" w:eastAsia="Times New Roman" w:hAnsi="Times New Roman"/>
                <w:sz w:val="13"/>
                <w:szCs w:val="13"/>
                <w:b w:val="1"/>
                <w:bCs w:val="1"/>
                <w:color w:val="auto"/>
              </w:rPr>
              <w:t>Laurie A. Siegel</w:t>
            </w:r>
          </w:p>
        </w:tc>
        <w:tc>
          <w:tcPr>
            <w:tcW w:w="158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580" w:type="dxa"/>
            <w:vAlign w:val="bottom"/>
          </w:tcPr>
          <w:p>
            <w:pPr>
              <w:spacing w:after="0"/>
              <w:rPr>
                <w:sz w:val="15"/>
                <w:szCs w:val="15"/>
                <w:color w:val="auto"/>
              </w:rPr>
            </w:pPr>
          </w:p>
        </w:tc>
      </w:tr>
      <w:tr>
        <w:trPr>
          <w:trHeight w:val="331"/>
        </w:trPr>
        <w:tc>
          <w:tcPr>
            <w:tcW w:w="20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gridSpan w:val="2"/>
          </w:tcPr>
          <w:p>
            <w:pPr>
              <w:jc w:val="center"/>
              <w:ind w:right="1565"/>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W</w:t>
            </w:r>
            <w:r>
              <w:rPr>
                <w:rFonts w:ascii="Times New Roman" w:cs="Times New Roman" w:eastAsia="Times New Roman" w:hAnsi="Times New Roman"/>
                <w:sz w:val="13"/>
                <w:szCs w:val="13"/>
                <w:color w:val="auto"/>
              </w:rPr>
              <w:t>ALLMAN</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132"/>
        </w:trPr>
        <w:tc>
          <w:tcPr>
            <w:tcW w:w="2020" w:type="dxa"/>
            <w:vAlign w:val="bottom"/>
          </w:tcPr>
          <w:p>
            <w:pPr>
              <w:spacing w:after="0"/>
              <w:rPr>
                <w:sz w:val="11"/>
                <w:szCs w:val="11"/>
                <w:color w:val="auto"/>
              </w:rPr>
            </w:pPr>
          </w:p>
        </w:tc>
        <w:tc>
          <w:tcPr>
            <w:tcW w:w="3540" w:type="dxa"/>
            <w:vAlign w:val="bottom"/>
            <w:gridSpan w:val="2"/>
          </w:tcPr>
          <w:p>
            <w:pPr>
              <w:jc w:val="center"/>
              <w:ind w:right="1945"/>
              <w:spacing w:after="0" w:line="132" w:lineRule="exact"/>
              <w:rPr>
                <w:sz w:val="20"/>
                <w:szCs w:val="20"/>
                <w:color w:val="auto"/>
              </w:rPr>
            </w:pPr>
            <w:r>
              <w:rPr>
                <w:rFonts w:ascii="Times New Roman" w:cs="Times New Roman" w:eastAsia="Times New Roman" w:hAnsi="Times New Roman"/>
                <w:sz w:val="13"/>
                <w:szCs w:val="13"/>
                <w:b w:val="1"/>
                <w:bCs w:val="1"/>
                <w:color w:val="auto"/>
              </w:rPr>
              <w:t>Richard F. Wallman</w:t>
            </w:r>
          </w:p>
        </w:tc>
        <w:tc>
          <w:tcPr>
            <w:tcW w:w="1580" w:type="dxa"/>
            <w:vAlign w:val="bottom"/>
          </w:tcPr>
          <w:p>
            <w:pPr>
              <w:spacing w:after="0"/>
              <w:rPr>
                <w:sz w:val="11"/>
                <w:szCs w:val="11"/>
                <w:color w:val="auto"/>
              </w:rPr>
            </w:pPr>
          </w:p>
        </w:tc>
      </w:tr>
      <w:tr>
        <w:trPr>
          <w:trHeight w:val="178"/>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jc w:val="center"/>
              <w:ind w:right="220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5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CECO Environmental Corp. (the “Company”) as of December 31, 2024 and 2023, the related consolidated statements of income, comprehensive income, shareholders’ equity, accumulated other comprehensive loss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25,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 Time Revenue Recognition Using the Cost-to-Cost Measure</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Notes 1 and 15 to the Company’s consolidated financial statements, the Company derives a significant portion of its revenues from fixed-price contracts within the Engineered Systems and Industrial Process Solutions segments. The revenue for such contracts is recognized over a period of time based on the extent of progress towards completion of the performance obligation, which is measured based on the ratio of costs incurred to date to total estimated costs to complete the performance obligation. Changes in these estimates can have a material impact on the amount of revenue recognized each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accuracy of revenue recognized over time for open contracts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 by the Company. Auditing these complex judgments and assumptions involves especially challenging auditor judgment due to the nature and extent of audit evidence available and effort required to address these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20" w:right="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internal controls for the Industrial Process Solutions segment related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existence, and accuracy of estimated costs and progress to completion calculations for a sample of open contracts by validating the underlying project data and assumptions used as inputs through the inspection of relevant source documents including contracts, project plans or budgets and activity reports, invoices of costs incurred to date, results of recent similar historical projects, other third-party subcontractor support, inquiry of project managers, and confirmations.</w:t>
      </w:r>
    </w:p>
    <w:p>
      <w:pPr>
        <w:spacing w:after="0" w:line="71"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estimate costs and progress to completion by performing a retrospective review on a sample basis of estimated project costs to actual project costs for completed contracts and investigating variances outside of predetermined thresholds through the inspection of relevant source documents.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$8,863 and $6,460</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shd w:val="clear" w:color="auto" w:fill="CFF0FC"/>
          </w:tcPr>
          <w:p>
            <w:pPr>
              <w:ind w:left="16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507,806</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100,000,000 shares authorized, 34,978,009 and</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34,835,293 shares issued and outstanding at December 31, 2024</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2023, respectively</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loss)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(6,387 )</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(14,441 )</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c>
          <w:tcPr>
            <w:tcW w:w="0" w:type="dxa"/>
            <w:vAlign w:val="bottom"/>
          </w:tcPr>
          <w:p>
            <w:pPr>
              <w:spacing w:after="0"/>
              <w:rPr>
                <w:sz w:val="1"/>
                <w:szCs w:val="1"/>
                <w:color w:val="auto"/>
              </w:rPr>
            </w:pPr>
          </w:p>
        </w:tc>
      </w:tr>
      <w:tr>
        <w:trPr>
          <w:trHeight w:val="209"/>
        </w:trPr>
        <w:tc>
          <w:tcPr>
            <w:tcW w:w="73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247,689</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251,893</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-5057140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-5057140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-3950970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-1988185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-599440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373,829</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196,147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171,016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(4,692 )</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(13,020 )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(13,416 )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(5,419 )</w:t>
            </w: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(1,464 )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per share: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34,927,313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34,665,473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36,381,910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35,334,090</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35,005,159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-2031365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-2031365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-899160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-882015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-899160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-882015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Translation (loss) gain</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(860 )</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(5,635 )</w:t>
            </w:r>
          </w:p>
        </w:tc>
        <w:tc>
          <w:tcPr>
            <w:tcW w:w="0" w:type="dxa"/>
            <w:vAlign w:val="bottom"/>
          </w:tcPr>
          <w:p>
            <w:pPr>
              <w:spacing w:after="0"/>
              <w:rPr>
                <w:sz w:val="1"/>
                <w:szCs w:val="1"/>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-591185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-591185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restart"/>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5"/>
                <w:szCs w:val="15"/>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2"/>
                <w:szCs w:val="12"/>
                <w:color w:val="auto"/>
              </w:rPr>
            </w:pPr>
          </w:p>
        </w:tc>
        <w:tc>
          <w:tcPr>
            <w:tcW w:w="900" w:type="dxa"/>
            <w:vAlign w:val="bottom"/>
            <w:gridSpan w:val="2"/>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2"/>
                <w:szCs w:val="12"/>
                <w:color w:val="auto"/>
              </w:rPr>
            </w:pPr>
          </w:p>
        </w:tc>
        <w:tc>
          <w:tcPr>
            <w:tcW w:w="8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0" w:type="dxa"/>
            <w:vAlign w:val="bottom"/>
          </w:tcPr>
          <w:p>
            <w:pPr>
              <w:spacing w:after="0"/>
              <w:rPr>
                <w:sz w:val="13"/>
                <w:szCs w:val="13"/>
                <w:color w:val="auto"/>
              </w:rPr>
            </w:pPr>
          </w:p>
        </w:tc>
        <w:tc>
          <w:tcPr>
            <w:tcW w:w="900" w:type="dxa"/>
            <w:vAlign w:val="bottom"/>
            <w:gridSpan w:val="2"/>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d</w:t>
            </w:r>
          </w:p>
        </w:tc>
        <w:tc>
          <w:tcPr>
            <w:tcW w:w="140" w:type="dxa"/>
            <w:vAlign w:val="bottom"/>
          </w:tcPr>
          <w:p>
            <w:pPr>
              <w:spacing w:after="0"/>
              <w:rPr>
                <w:sz w:val="13"/>
                <w:szCs w:val="13"/>
                <w:color w:val="auto"/>
              </w:rPr>
            </w:pPr>
          </w:p>
        </w:tc>
        <w:tc>
          <w:tcPr>
            <w:tcW w:w="8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sive</w:t>
            </w:r>
          </w:p>
        </w:tc>
        <w:tc>
          <w:tcPr>
            <w:tcW w:w="160" w:type="dxa"/>
            <w:vAlign w:val="bottom"/>
          </w:tcPr>
          <w:p>
            <w:pPr>
              <w:spacing w:after="0"/>
              <w:rPr>
                <w:sz w:val="13"/>
                <w:szCs w:val="13"/>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ng</w:t>
            </w:r>
          </w:p>
        </w:tc>
        <w:tc>
          <w:tcPr>
            <w:tcW w:w="200" w:type="dxa"/>
            <w:vAlign w:val="bottom"/>
          </w:tcPr>
          <w:p>
            <w:pPr>
              <w:spacing w:after="0"/>
              <w:rPr>
                <w:sz w:val="13"/>
                <w:szCs w:val="13"/>
                <w:color w:val="auto"/>
              </w:rPr>
            </w:pPr>
          </w:p>
        </w:tc>
        <w:tc>
          <w:tcPr>
            <w:tcW w:w="60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40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3"/>
              <w:spacing w:after="0" w:line="11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73"/>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3"/>
              <w:spacing w:after="0" w:line="109" w:lineRule="exact"/>
              <w:rPr>
                <w:sz w:val="20"/>
                <w:szCs w:val="20"/>
                <w:color w:val="auto"/>
              </w:rPr>
            </w:pPr>
            <w:r>
              <w:rPr>
                <w:rFonts w:ascii="Times New Roman" w:cs="Times New Roman" w:eastAsia="Times New Roman" w:hAnsi="Times New Roman"/>
                <w:sz w:val="12"/>
                <w:szCs w:val="12"/>
                <w:b w:val="1"/>
                <w:bCs w:val="1"/>
                <w:color w:val="auto"/>
              </w:rPr>
              <w:t>par value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3"/>
              <w:spacing w:after="0" w:line="109" w:lineRule="exact"/>
              <w:rPr>
                <w:sz w:val="20"/>
                <w:szCs w:val="20"/>
                <w:color w:val="auto"/>
              </w:rPr>
            </w:pPr>
            <w:r>
              <w:rPr>
                <w:rFonts w:ascii="Times New Roman" w:cs="Times New Roman" w:eastAsia="Times New Roman" w:hAnsi="Times New Roman"/>
                <w:sz w:val="12"/>
                <w:szCs w:val="12"/>
                <w:b w:val="1"/>
                <w:bCs w:val="1"/>
                <w:color w:val="auto"/>
              </w:rPr>
              <w:t>Loss)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3"/>
              <w:spacing w:after="0" w:line="109" w:lineRule="exact"/>
              <w:rPr>
                <w:sz w:val="20"/>
                <w:szCs w:val="20"/>
                <w:color w:val="auto"/>
              </w:rPr>
            </w:pPr>
            <w:r>
              <w:rPr>
                <w:rFonts w:ascii="Times New Roman" w:cs="Times New Roman" w:eastAsia="Times New Roman" w:hAnsi="Times New Roman"/>
                <w:sz w:val="12"/>
                <w:szCs w:val="12"/>
                <w:b w:val="1"/>
                <w:bCs w:val="1"/>
                <w:color w:val="auto"/>
              </w:rPr>
              <w:t>Loss</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3"/>
              <w:spacing w:after="0" w:line="10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220" w:type="dxa"/>
            <w:vAlign w:val="bottom"/>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133"/>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35,028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252,989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(36,715 )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(12,070 )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205,957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year ended December 31, 2022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(443 )</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(440 )</w:t>
            </w: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earned</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 (See Note 9)</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(1,032 )</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(7,010 )</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(7,020 )</w:t>
            </w: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$97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(291 )</w:t>
            </w: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(5,635 )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(5,635 )</w:t>
            </w:r>
          </w:p>
        </w:tc>
        <w:tc>
          <w:tcPr>
            <w:tcW w:w="0" w:type="dxa"/>
            <w:vAlign w:val="bottom"/>
          </w:tcPr>
          <w:p>
            <w:pPr>
              <w:spacing w:after="0"/>
              <w:rPr>
                <w:sz w:val="1"/>
                <w:szCs w:val="1"/>
                <w:color w:val="auto"/>
              </w:rPr>
            </w:pPr>
          </w:p>
        </w:tc>
      </w:tr>
      <w:tr>
        <w:trPr>
          <w:trHeight w:val="14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(1,425 )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(1,425 )</w:t>
            </w: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noncontrolling interest equity issued (See Note 14)</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December 31, 2022</w:t>
            </w:r>
          </w:p>
        </w:tc>
        <w:tc>
          <w:tcPr>
            <w:tcW w:w="8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34,382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250,174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(19,298 )</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(17,996 )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4,924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218,148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income for the year ended December 31, 2023</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12,911</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1,590</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14,501</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(1,189 )</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(1,186 )</w:t>
            </w: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earned</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$619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(1,666 )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(1,666 )</w:t>
            </w:r>
          </w:p>
        </w:tc>
        <w:tc>
          <w:tcPr>
            <w:tcW w:w="0" w:type="dxa"/>
            <w:vAlign w:val="bottom"/>
          </w:tcPr>
          <w:p>
            <w:pPr>
              <w:spacing w:after="0"/>
              <w:rPr>
                <w:sz w:val="1"/>
                <w:szCs w:val="1"/>
                <w:color w:val="auto"/>
              </w:rPr>
            </w:pPr>
          </w:p>
        </w:tc>
      </w:tr>
      <w:tr>
        <w:trPr>
          <w:trHeight w:val="182"/>
        </w:trPr>
        <w:tc>
          <w:tcPr>
            <w:tcW w:w="44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December 31, 2023</w:t>
            </w:r>
          </w:p>
        </w:tc>
        <w:tc>
          <w:tcPr>
            <w:tcW w:w="80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34,835</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254,956</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(6,387</w:t>
            </w:r>
          </w:p>
        </w:tc>
        <w:tc>
          <w:tcPr>
            <w:tcW w:w="220" w:type="dxa"/>
            <w:vAlign w:val="bottom"/>
            <w:tcBorders>
              <w:bottom w:val="single" w:sz="8" w:color="CFF0FC"/>
            </w:tcBorders>
            <w:shd w:val="clear" w:color="auto" w:fill="CFF0FC"/>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(16,274</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4,848</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237,491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income for the year ended December 31, 2024</w:t>
            </w: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12,957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14,421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(3,018 )</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(3,015 )</w:t>
            </w: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(230 )</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(5,002 )</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(5,004 )</w:t>
            </w:r>
          </w:p>
        </w:tc>
        <w:tc>
          <w:tcPr>
            <w:tcW w:w="0" w:type="dxa"/>
            <w:vAlign w:val="bottom"/>
          </w:tcPr>
          <w:p>
            <w:pPr>
              <w:spacing w:after="0"/>
              <w:rPr>
                <w:sz w:val="1"/>
                <w:szCs w:val="1"/>
                <w:color w:val="auto"/>
              </w:rPr>
            </w:pPr>
          </w:p>
        </w:tc>
      </w:tr>
      <w:tr>
        <w:trPr>
          <w:trHeight w:val="14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$782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(860 )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(860 )</w:t>
            </w:r>
          </w:p>
        </w:tc>
        <w:tc>
          <w:tcPr>
            <w:tcW w:w="0" w:type="dxa"/>
            <w:vAlign w:val="bottom"/>
          </w:tcPr>
          <w:p>
            <w:pPr>
              <w:spacing w:after="0"/>
              <w:rPr>
                <w:sz w:val="1"/>
                <w:szCs w:val="1"/>
                <w:color w:val="auto"/>
              </w:rPr>
            </w:pPr>
          </w:p>
        </w:tc>
      </w:tr>
      <w:tr>
        <w:trPr>
          <w:trHeight w:val="14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(2,108 )</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(2,108 )</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December 31, 2024</w:t>
            </w: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34,978</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255,211</w:t>
            </w:r>
          </w:p>
        </w:tc>
        <w:tc>
          <w:tcPr>
            <w:tcW w:w="2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6,570</w:t>
            </w:r>
          </w:p>
        </w:tc>
        <w:tc>
          <w:tcPr>
            <w:tcW w:w="2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(14,441 )</w:t>
            </w:r>
          </w:p>
        </w:tc>
        <w:tc>
          <w:tcPr>
            <w:tcW w:w="10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251,893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-1696720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-1679575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-1696720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-1679575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-1696720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-1679575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-1696720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-1679575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-1696720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-1679575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-1696720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-1679575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-1679575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-908050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-890905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-908050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-890905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-908050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-890905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-890905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-908050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-890905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-908050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-890905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-128270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-128270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-128270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-128270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-128270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3"/>
                <w:szCs w:val="13"/>
                <w:color w:val="auto"/>
              </w:rPr>
            </w:pPr>
          </w:p>
        </w:tc>
        <w:tc>
          <w:tcPr>
            <w:tcW w:w="19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Minimum pension</w:t>
            </w:r>
          </w:p>
        </w:tc>
        <w:tc>
          <w:tcPr>
            <w:tcW w:w="220" w:type="dxa"/>
            <w:vAlign w:val="bottom"/>
          </w:tcPr>
          <w:p>
            <w:pPr>
              <w:spacing w:after="0"/>
              <w:rPr>
                <w:sz w:val="13"/>
                <w:szCs w:val="13"/>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7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liability adjustment, net</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5"/>
                <w:szCs w:val="15"/>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2022</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(6,358 )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(5,712 )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(12,070 )</w:t>
            </w: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activity</w:t>
            </w:r>
          </w:p>
        </w:tc>
        <w:tc>
          <w:tcPr>
            <w:tcW w:w="2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(5,635 )</w:t>
            </w:r>
          </w:p>
        </w:tc>
        <w:tc>
          <w:tcPr>
            <w:tcW w:w="14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(291 )</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(5,926 )</w:t>
            </w:r>
          </w:p>
        </w:tc>
      </w:tr>
      <w:tr>
        <w:trPr>
          <w:trHeight w:val="20"/>
        </w:trPr>
        <w:tc>
          <w:tcPr>
            <w:tcW w:w="5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(11,993 )</w:t>
            </w: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(6,003 )</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(17,996 )</w:t>
            </w: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activity</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8"/>
                <w:szCs w:val="18"/>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(11,496 )</w:t>
            </w: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(4,778 )</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activity</w:t>
            </w:r>
          </w:p>
        </w:tc>
        <w:tc>
          <w:tcPr>
            <w:tcW w:w="2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(860 )</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(12,356 )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(2,085 )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10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loss (gain)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(1,041 )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(1,284 )</w:t>
            </w: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Earnout payments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(1,007 )</w:t>
            </w: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(3,606 )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(118 )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(52,355 )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(26,851 )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(6,751 )</w:t>
            </w: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(4,149 )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(16,851 )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(9,814 )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(6,896 )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(6,023 )</w:t>
            </w: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(8,347 )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(12,736 )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(1,420 )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(1,976 )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(2,120 )</w:t>
            </w: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(3,680 )</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24,828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44,647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(17,368 )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(8,384 )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(3,376 )</w:t>
            </w: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(87,948 )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(48,102 )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(44,900 )</w:t>
            </w: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(105,312 )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(56,486 )</w:t>
            </w: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(48,257 )</w:t>
            </w: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(112,400 )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(150,600 )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(35,900 )</w:t>
            </w:r>
          </w:p>
        </w:tc>
        <w:tc>
          <w:tcPr>
            <w:tcW w:w="0" w:type="dxa"/>
            <w:vAlign w:val="bottom"/>
          </w:tcPr>
          <w:p>
            <w:pPr>
              <w:spacing w:after="0"/>
              <w:rPr>
                <w:sz w:val="1"/>
                <w:szCs w:val="1"/>
                <w:color w:val="auto"/>
              </w:rPr>
            </w:pPr>
          </w:p>
        </w:tc>
      </w:tr>
      <w:tr>
        <w:trPr>
          <w:trHeight w:val="202"/>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(113,982 )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(4,985 )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(3,120 )</w:t>
            </w: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3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(1,924 )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(363 )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(2,050 )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(1,247 )</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capital leases and sale-leaseback financing liability</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(925 )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(907 )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(600 )</w:t>
            </w: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(2,831 )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(2,123 )</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plan and exercise of stock options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(2,169 )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(2,109 )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(1,666 )</w:t>
            </w: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(1,425 )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(5,000 )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(7,020 )</w:t>
            </w:r>
          </w:p>
        </w:tc>
        <w:tc>
          <w:tcPr>
            <w:tcW w:w="0" w:type="dxa"/>
            <w:vAlign w:val="bottom"/>
          </w:tcPr>
          <w:p>
            <w:pPr>
              <w:spacing w:after="0"/>
              <w:rPr>
                <w:sz w:val="1"/>
                <w:szCs w:val="1"/>
                <w:color w:val="auto"/>
              </w:rPr>
            </w:pPr>
          </w:p>
        </w:tc>
      </w:tr>
      <w:tr>
        <w:trPr>
          <w:trHeight w:val="196"/>
        </w:trPr>
        <w:tc>
          <w:tcPr>
            <w:tcW w:w="6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65,910</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21,144</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(2,673 )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(442 )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(4,978 )</w:t>
            </w: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(17,247 )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0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13,335</w:t>
            </w:r>
          </w:p>
        </w:tc>
        <w:tc>
          <w:tcPr>
            <w:tcW w:w="10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-3608070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-3608070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-3085465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-3085465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-1139190</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-1139190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-864870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-864870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-599440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-599440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00" w:lineRule="exact"/>
        <w:rPr>
          <w:sz w:val="20"/>
          <w:szCs w:val="20"/>
          <w:color w:val="auto"/>
        </w:rPr>
      </w:pPr>
    </w:p>
    <w:p>
      <w:pPr>
        <w:spacing w:after="0" w:line="246"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Summary of Significant Accounting Policies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CECO Environmental Corp. and its consolidated subsidiaries (“CECO,” the “Company,” “we,” “us,” or “our”) is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—The consolidated financial statements include the Company and its controlled subsidiaries. All intercompany balances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have been eliminated.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indicated, all balances within tables are in thousands with the exception of per share amounts.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the estimates of contracts' progress to completion used in the recognition of revenue over time, inventory valuation, the estimated useful lives of fixed assets and intangible assets, fair values of long-lived assets and goodwill, and deferred tax assets.</w:t>
      </w:r>
    </w:p>
    <w:p>
      <w:pPr>
        <w:spacing w:after="0" w:line="18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 considers all highly liquid investments with original maturities of three months or less to be cash equivalents.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 Restricted Cash is cash in support of letters of credit issued by various foreign subsidiaries of the Company. The Company occasionally enters into letters of credit with durations in excess of one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Statements of Cash Flows.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0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0"/>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—Receivables are generally uncollateralized customer obligations due under normal terms requiring payment generally within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—The Company’s inventory is valued at the lower of cost or net realizable value, using the first-in, first-out inventory costing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8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—Property, plant and equipment are carried at the cost of acquisition or construction and depreciated over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the assets. Depreciation and amortization are provided using the straight-line method in amounts sufficient to amortize the cost of the assets over their estimated useful lives (buildings and improvements—generally five to 40 years;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ind w:right="260"/>
        <w:spacing w:after="0" w:line="282" w:lineRule="auto"/>
        <w:rPr>
          <w:sz w:val="20"/>
          <w:szCs w:val="20"/>
          <w:color w:val="auto"/>
        </w:rPr>
      </w:pPr>
      <w:r>
        <w:rPr>
          <w:rFonts w:ascii="Times New Roman" w:cs="Times New Roman" w:eastAsia="Times New Roman" w:hAnsi="Times New Roman"/>
          <w:sz w:val="18"/>
          <w:szCs w:val="18"/>
          <w:color w:val="auto"/>
        </w:rPr>
        <w:t>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60"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Indefinite life intangible assets are comprised of tradenames, while finite life intangible assets are comprised of technology,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lists, and tradenames. Finite life intangible assets are amortized on a straight line or accelerated basis over their estimated useful lives of seven to 10 years for technology, five to 20 years for customer lists, and 10 years for tradenames.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—Property, plant and equipment and finite life intangible assets are reviewed whenever events or changes in circumstances occur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completes an impairment assessment annually in the fourth quarter, or more often as circumstances require, of its indefinite life intangible assets. As a part of its annual assessment, typically, the Company first qualitatively assesses whether current events or changes in circumstances lead to a determination that it is more likely than not, as defined as a likelihood of more than 50 percent, that the fair value of an asset is less than its carrying amount. If there is a qualitative determination that the fair value of a particular asset is more likely than not greater than its carrying value, the Company does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—The Company completes an impairment assessment annually in the fourth quarter or more often as circumstances require, of its goodwill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—The Company allocates the fair value of purchase consideration to the tangible assets acquired, liabilities assumed, and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based upon their estimated fair values as of the acquisition date. The Company determines the fair value of intangible assets using the income method, which is based upon a discounted future cash flow. The discounted future cash flow utilizes unobservable inputs, or Level 3 assumptions. Specifically, the discounted future cash flow uses the significant assumptions of projected revenue, projected operational profit, terminal growth rates, and the cost of capital. Projected revenue and operational profit, and terminal growth rates have been determined to be significant assumptions because they are three primary drivers of the projected cash flows in the discounted future cash flow approach. Cost of capital has also been determined to be a significant assumption as it is the discount rate used to calculate the current fair value of those projected cash flows. The excess of the fair value of purchase consideration over the fair values of these identifiable assets and liabilities is recorded as goodwill based on the expected benefits from the business combination. Allocation of purchase consideration to identifiable assets and liabilities affects the amortization expense, as acquired finite-lived intangible assets are amortized over the useful life, whereas any indefinite-lived intangible assets, including goodwill, are not amortized. During the measurement period, which is not to exceed one year from the date of acquisition, the Company may record adjustments to the assets acquired and liabilities assumed, with the corresponding offset to goodwill. Subsequent to the measurement period, any necessary adjustments are recorded to earnings. Acquisition-related expenses are recognized separately from business combinations, and expensed as incurred.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i w:val="1"/>
          <w:iCs w:val="1"/>
          <w:color w:val="auto"/>
        </w:rPr>
        <w:t>Deferred financing costs</w:t>
      </w:r>
      <w:r>
        <w:rPr>
          <w:rFonts w:ascii="Times New Roman" w:cs="Times New Roman" w:eastAsia="Times New Roman" w:hAnsi="Times New Roman"/>
          <w:sz w:val="18"/>
          <w:szCs w:val="18"/>
          <w:color w:val="auto"/>
        </w:rPr>
        <w:t>—Deferred financing costs are amortized to interest expense over the life of the related loan. In fiscal 2021, the Company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Amendment No.2 to the Second Amended and Restated Credit Agreement.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In fiscal 2023, the Company entered into Amendment No.4 to the to the Second Amended and Restated Credit Agreement. In connection with this amendment, the Company incurred $0.4 million in customary closing fees in the fourth quarter of 2023 that were capitalized and classified as a debt discount (see Note 8). In fiscal 2024, the Company entered into the Third Amended and Restated Credit Agreement. In connection with this agreement, the Company incurred $1.8 million in customary closing fees that were capitalized and classified as a debt discount (see Note 8). In addition, $0.1 million of loss on extinguishments of debt was recorded within Interest expense on the Consolidated Statement of Income related to the previously capitalized amounts relating to the portion of the Third Amended and Restated Credit Agreement that was concluded to be debt extinguishment. Amortization expense was $0.5 million, $0.4 million and $0.4 million for 2024, 2023 and 2022, respectively. As of December 31, 2024, and 2023, remaining capitalized deferred financing costs of $2.7 million and $1.3 million, respectively, are included as a discount to debt in the accompanying Consolidated Balance Sheets.</w:t>
      </w:r>
    </w:p>
    <w:p>
      <w:pPr>
        <w:spacing w:after="0" w:line="19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—A significant portion of the Company's revenue is derived from fixed-price contracts. The Company accounts for a contract after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approved by all parties to the arrangement, the rights of the parties are identified, payment terms are identified, the contract has commercial substance and collectability of consideration is probable.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each contract, the Company assesses the goods and services promised to a customer and identifies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 price for each contract based on the consideration the Company expects to receive for the products or services being provided under the contract.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75% of total revenue for the years ended December 31, 2024, 2023, and 2022.</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 Annual revenue recognized at a point in time is approximately 25% of total revenue for the years ended December 31, 2024, 2023, and 2022.</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Assets and Contract Liabilities </w:t>
      </w:r>
      <w:r>
        <w:rPr>
          <w:rFonts w:ascii="Times New Roman" w:cs="Times New Roman" w:eastAsia="Times New Roman" w:hAnsi="Times New Roman"/>
          <w:sz w:val="18"/>
          <w:szCs w:val="18"/>
          <w:color w:val="auto"/>
        </w:rPr>
        <w:t>— Contract assets consist of costs and earnings in excess of billings, costs incurred for contracts recognized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1" w:name="page62"/>
    <w:bookmarkEnd w:id="61"/>
    <w:p>
      <w:pPr>
        <w:ind w:right="20"/>
        <w:spacing w:after="0" w:line="256"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2023, costs and estimated earnings in excess of billings on uncompleted contracts and billings in excess of costs and estimated earnings on uncompleted contracts were $71.0 million and $32.7 million, respectively. The contract liabilities recorded in “Accrued expenses” on the Consolidated Balance Sheets were $4.5 million as of January 1, 2023. Approximately 95% of the Company's contract liabilities as of December 31, 2023 were recognized as revenue in the year ended December 31, 2024. Approximately 95% of the Company's contract liabilities as of December 31, 2022 were recognized as revenue in the year ended December 31, 2023. Approximately 75% of the Company's contract liabilities as of December 31, 2021 were recognized as revenue in the year ended December 31, 2022.</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revenue streams within the Company are consistent with those disclosed for the Company's reportable segments. See Note 15 to the Consolidated Financial Statements for additional information on product offerings and segments.</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2024 and 2023.</w:t>
      </w:r>
    </w:p>
    <w:p>
      <w:pPr>
        <w:spacing w:after="0" w:line="17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—Cost of sales amounts include materials, subcontract costs, direct labor and associated benefits, inbound freight charges, purchasing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receiving, inspection, warehousing, and depreciation.</w:t>
      </w:r>
    </w:p>
    <w:p>
      <w:pPr>
        <w:spacing w:after="0" w:line="158"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—Change orders arise when the scope of the original project is modified for any of a variety of reasons. The Company will negotiate the extent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modifications, its expected costs and recovery with the customer. Costs related to change orders are added to the expected total cost of the project. In cases where contract revenues are increased in excess of the expected costs of the change order, incremental profit also is recognized on the contract.</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Generally, in order for this recognition of incremental profit to occur, the customer approves in writing the scope and pricing of the change order. Change orders that are in dispute are effectively handled as claims.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83"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Pre-contract costs</w:t>
      </w:r>
      <w:r>
        <w:rPr>
          <w:rFonts w:ascii="Times New Roman" w:cs="Times New Roman" w:eastAsia="Times New Roman" w:hAnsi="Times New Roman"/>
          <w:sz w:val="18"/>
          <w:szCs w:val="18"/>
          <w:color w:val="auto"/>
        </w:rPr>
        <w:t>—Pre-contract costs are not significant and are primarily internal costs. As most of the Company’s contracts are one year or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expenses all pre-contract costs as incurred regardless of whether or not the bids are successful. A majority of the Company's business is obtained through a bidding process and this activity is on-going with multiple bids in process at any one time. These costs consist primarily of engineering, sales and project manager wages, fringes and general corporate overhead.</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Selling and administrative expenses</w:t>
      </w:r>
      <w:r>
        <w:rPr>
          <w:rFonts w:ascii="Times New Roman" w:cs="Times New Roman" w:eastAsia="Times New Roman" w:hAnsi="Times New Roman"/>
          <w:sz w:val="18"/>
          <w:szCs w:val="18"/>
          <w:color w:val="auto"/>
        </w:rPr>
        <w:t>—Selling and administrative expenses on the Consolidated Statements of Income include sales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and associated benefits, selling and office expenses, professional fees, bad debt expense and depreciation. Selling and administrative expenses are charged to expense as incurred. Selling and administrative expenses for the years ended December 31, 2024, 2023, and 2022 included $0.7 million, $0.6 million, and $0.5 million of advertising expenses, respectively.</w:t>
      </w:r>
    </w:p>
    <w:p>
      <w:pPr>
        <w:spacing w:after="0" w:line="1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Acquisition and integration expenses</w:t>
      </w:r>
      <w:r>
        <w:rPr>
          <w:rFonts w:ascii="Times New Roman" w:cs="Times New Roman" w:eastAsia="Times New Roman" w:hAnsi="Times New Roman"/>
          <w:sz w:val="18"/>
          <w:szCs w:val="18"/>
          <w:color w:val="auto"/>
        </w:rPr>
        <w:t>—Acquisition and integration expenses on the Consolidated Statements of Income are related to acquisition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legal, accounting, and other expenses.</w:t>
      </w:r>
    </w:p>
    <w:p>
      <w:pPr>
        <w:spacing w:after="0" w:line="15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and earnout expenses</w:t>
      </w:r>
      <w:r>
        <w:rPr>
          <w:rFonts w:ascii="Times New Roman" w:cs="Times New Roman" w:eastAsia="Times New Roman" w:hAnsi="Times New Roman"/>
          <w:sz w:val="18"/>
          <w:szCs w:val="18"/>
          <w:color w:val="auto"/>
        </w:rPr>
        <w:t>—Amortization and earnout expenses on the Consolidated Statements of Income include amortization of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changes to earnout and contingent compensation amounts related to acquisitions.</w:t>
      </w:r>
    </w:p>
    <w:p>
      <w:pPr>
        <w:spacing w:after="0" w:line="1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—Restructuring expenses on the Consolidated Statements of Income include expenses related to ongoing restructuring programs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operating costs in the future. Within restructuring expenses are charges related to severance, facility exit, legal and property, plant and equipment impairment associated with exit or disposal activities.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Executive transition expenses</w:t>
      </w:r>
      <w:r>
        <w:rPr>
          <w:rFonts w:ascii="Times New Roman" w:cs="Times New Roman" w:eastAsia="Times New Roman" w:hAnsi="Times New Roman"/>
          <w:sz w:val="18"/>
          <w:szCs w:val="18"/>
          <w:color w:val="auto"/>
        </w:rPr>
        <w:t>—Executive transition expenses on the Consolidated Statements of Income include expenses related to the severance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former executives, as well as fees and expenses incurred in the search for, and hiring of, new executives.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Asbestos litigation expenses</w:t>
      </w:r>
      <w:r>
        <w:rPr>
          <w:rFonts w:ascii="Times New Roman" w:cs="Times New Roman" w:eastAsia="Times New Roman" w:hAnsi="Times New Roman"/>
          <w:sz w:val="18"/>
          <w:szCs w:val="18"/>
          <w:color w:val="auto"/>
        </w:rPr>
        <w:t>—Asbestos litigation expenses on the Consolidated Statements of Income include expenses related to the settlement of asbestos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involving the Company's subsidiaries.</w:t>
      </w:r>
    </w:p>
    <w:p>
      <w:pPr>
        <w:spacing w:after="0" w:line="1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Product warranties</w:t>
      </w:r>
      <w:r>
        <w:rPr>
          <w:rFonts w:ascii="Times New Roman" w:cs="Times New Roman" w:eastAsia="Times New Roman" w:hAnsi="Times New Roman"/>
          <w:sz w:val="18"/>
          <w:szCs w:val="18"/>
          <w:color w:val="auto"/>
        </w:rPr>
        <w:t>—The Company’s warranty reserve is to cover the products sold. The warranty accrual is based on historical claims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reserve is reviewed and adjusted as necessary on a quarterly basis and is presented within Note 7.</w:t>
      </w:r>
    </w:p>
    <w:p>
      <w:pPr>
        <w:spacing w:after="0" w:line="15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—Although not technically defined as research and development, a significant amount of time, effort and expense is devoted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 engineering which qualifies products for specific customer applications, developing proprietary process technology and partnering with customers to develop new products.</w:t>
      </w:r>
    </w:p>
    <w:p>
      <w:pPr>
        <w:spacing w:after="0" w:line="17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taxes are determined using the asset and liability method of accounting for income taxes in accordance with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Board (“FASB”), Accounting Standards Codification (“ASC”) Topic 740, “Income Taxes”. Income tax expense includes federal, state and foreign income taxes.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—The following table reconciles the numerators and denominators used to calculate basic and diluted earnings per share for 2024,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2022.</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(table only in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2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equivalents arising from stock options and restricted stock awards</w:t>
            </w:r>
          </w:p>
        </w:tc>
        <w:tc>
          <w:tcPr>
            <w:tcW w:w="9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-744855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-728345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-744855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-728345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Options and unvested restricted stock units are included in the computation of diluted earnings per share using the treasury stock method. For 2024, 2023 and 2022, outstanding options and unvested restricted stock units of zero, zero and 1.1 million, respectively, were excluded from the computation of diluted earnings per share due to their having an anti-dilutive effect.</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Once a restricted stock award vests, it is included in the computation of weighted average shares outstanding for purposes of basic and diluted earnings per share.</w:t>
      </w:r>
    </w:p>
    <w:p>
      <w:pPr>
        <w:spacing w:after="0" w:line="16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functional currencies of the Company’s foreign subsidiaries are their local currencies and their books and records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expenses are translated into USD at average exchange rates in effect during the period.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denominated in other than the local currency are remeasured into the local currency and the resulting exchange gains or losses are included in “Other (expense) income, net” line of the Consolidated Statements of Income. Transaction (losses) gains were $(4.3) million, $1.2 million, and $6.3 million in 2024,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2024</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2024, the Company adopted Accounting Standards Update ("ASU") 2023-07, Segment Reporting (Topic 280): Improvements to Reportable Segment Disclosures, which addresses segment disclosure requirements, primarily the disclosure of significant segment expenses. See Note 15 for the associated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to be Adopted</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spacing w:after="0" w:line="176"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receivables and certain other assets, notes payable, foreign debt, and accounts payable, which approximate fair value at December 31, 2024 and 2023, due to their short-term nature or variable, market-driven interest rates.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$221.5 million and $138.6 million at December 31, 2024 and 2023, respectively. The fair value was determined considering market conditions, the Company's credit worthiness and the current terms of debt, which is considered Level 2 on the fair value hierarchy.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4" w:name="page65"/>
    <w:bookmarkEnd w:id="64"/>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cash and cash equivalents of $37.8 million and $54.8 million, respectively, of which $29.7 million and $38.5 million, respectively, was held outside of the United States, principally in the United Arab Emirates, Netherlands, United Kingdom, China, and Mexico.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credit risk consist principally of cash and cash equivalents, and accounts receivable.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168,435</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(8,863 )</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(6,460 )</w:t>
            </w:r>
          </w:p>
        </w:tc>
        <w:tc>
          <w:tcPr>
            <w:tcW w:w="0" w:type="dxa"/>
            <w:vAlign w:val="bottom"/>
          </w:tcPr>
          <w:p>
            <w:pPr>
              <w:spacing w:after="0"/>
              <w:rPr>
                <w:sz w:val="1"/>
                <w:szCs w:val="1"/>
                <w:color w:val="auto"/>
              </w:rPr>
            </w:pPr>
          </w:p>
        </w:tc>
      </w:tr>
      <w:tr>
        <w:trPr>
          <w:trHeight w:val="209"/>
        </w:trPr>
        <w:tc>
          <w:tcPr>
            <w:tcW w:w="180" w:type="dxa"/>
            <w:vAlign w:val="bottom"/>
            <w:tcBorders>
              <w:top w:val="single" w:sz="8" w:color="CFF0FC"/>
            </w:tcBorders>
          </w:tcPr>
          <w:p>
            <w:pPr>
              <w:spacing w:after="0"/>
              <w:rPr>
                <w:sz w:val="18"/>
                <w:szCs w:val="18"/>
                <w:color w:val="auto"/>
              </w:rPr>
            </w:pPr>
          </w:p>
        </w:tc>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2023, were $83.1 million.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amounted to approximately $13.6 million and $3.2 million at December 31, 2024 and 2023, respectively. Retainage receivables as of the beginning of the prior year period, or January 1, 2023, were $1.6 million.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Provision for credit losses was $0.3 million, $1.6 million and $1.3 million during 2024, 2023 and 2022, respectively, while accounts charged to (recovered from) the provision were $2.9 million, $(0.6) million and $0.6 million during 2024, 2023 and 2022,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26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Obsolescence allowance</w:t>
            </w: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(3,716 )</w:t>
            </w:r>
          </w:p>
        </w:tc>
        <w:tc>
          <w:tcPr>
            <w:tcW w:w="5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(3,808 )</w:t>
            </w:r>
          </w:p>
        </w:tc>
        <w:tc>
          <w:tcPr>
            <w:tcW w:w="0" w:type="dxa"/>
            <w:vAlign w:val="bottom"/>
          </w:tcPr>
          <w:p>
            <w:pPr>
              <w:spacing w:after="0"/>
              <w:rPr>
                <w:sz w:val="1"/>
                <w:szCs w:val="1"/>
                <w:color w:val="auto"/>
              </w:rPr>
            </w:pPr>
          </w:p>
        </w:tc>
      </w:tr>
      <w:tr>
        <w:trPr>
          <w:trHeight w:val="209"/>
        </w:trPr>
        <w:tc>
          <w:tcPr>
            <w:tcW w:w="180" w:type="dxa"/>
            <w:vAlign w:val="bottom"/>
            <w:tcBorders>
              <w:top w:val="single" w:sz="8" w:color="CFF0FC"/>
            </w:tcBorders>
          </w:tcPr>
          <w:p>
            <w:pPr>
              <w:spacing w:after="0"/>
              <w:rPr>
                <w:sz w:val="18"/>
                <w:szCs w:val="18"/>
                <w:color w:val="auto"/>
              </w:rPr>
            </w:pPr>
          </w:p>
        </w:tc>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$1.1 million, $1.1 million and $0.1 million during 2024, 2023 and 2022, respectively. Items charged to the allowance for inventory write-offs were $0.3 million, $0.3 million, and zero, during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 and other</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57,197</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74,985</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(41,175 )</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(19,411 )</w:t>
            </w:r>
          </w:p>
        </w:tc>
        <w:tc>
          <w:tcPr>
            <w:tcW w:w="0" w:type="dxa"/>
            <w:vAlign w:val="bottom"/>
          </w:tcPr>
          <w:p>
            <w:pPr>
              <w:spacing w:after="0"/>
              <w:rPr>
                <w:sz w:val="1"/>
                <w:szCs w:val="1"/>
                <w:color w:val="auto"/>
              </w:rPr>
            </w:pPr>
          </w:p>
        </w:tc>
      </w:tr>
      <w:tr>
        <w:trPr>
          <w:trHeight w:val="210"/>
        </w:trPr>
        <w:tc>
          <w:tcPr>
            <w:tcW w:w="180" w:type="dxa"/>
            <w:vAlign w:val="bottom"/>
            <w:tcBorders>
              <w:top w:val="single" w:sz="8" w:color="CFF0FC"/>
            </w:tcBorders>
          </w:tcPr>
          <w:p>
            <w:pPr>
              <w:spacing w:after="0"/>
              <w:rPr>
                <w:sz w:val="18"/>
                <w:szCs w:val="18"/>
                <w:color w:val="auto"/>
              </w:rPr>
            </w:pPr>
          </w:p>
        </w:tc>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-453390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$5.8 million, $5.1 million and $3.6 million for 2024, 2023 and 2022,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Industrial Process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3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120" w:type="dxa"/>
            <w:vAlign w:val="bottom"/>
          </w:tcPr>
          <w:p>
            <w:pPr>
              <w:spacing w:after="0"/>
              <w:rPr>
                <w:sz w:val="15"/>
                <w:szCs w:val="15"/>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 w:type="dxa"/>
            <w:vAlign w:val="bottom"/>
          </w:tcPr>
          <w:p>
            <w:pPr>
              <w:spacing w:after="0"/>
              <w:rPr>
                <w:sz w:val="15"/>
                <w:szCs w:val="15"/>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1560" w:type="dxa"/>
            <w:vAlign w:val="bottom"/>
            <w:gridSpan w:val="3"/>
          </w:tcPr>
          <w:p>
            <w:pPr>
              <w:jc w:val="center"/>
              <w:ind w:right="340"/>
              <w:spacing w:after="0"/>
              <w:rPr>
                <w:sz w:val="20"/>
                <w:szCs w:val="20"/>
                <w:color w:val="auto"/>
              </w:rPr>
            </w:pPr>
            <w:r>
              <w:rPr>
                <w:rFonts w:ascii="Calibri" w:cs="Calibri" w:eastAsia="Calibri" w:hAnsi="Calibri"/>
                <w:sz w:val="14"/>
                <w:szCs w:val="14"/>
                <w:b w:val="1"/>
                <w:bCs w:val="1"/>
                <w:color w:val="auto"/>
              </w:rPr>
              <w:t>s</w:t>
            </w:r>
            <w:r>
              <w:rPr>
                <w:rFonts w:ascii="Times New Roman" w:cs="Times New Roman" w:eastAsia="Times New Roman" w:hAnsi="Times New Roman"/>
                <w:sz w:val="14"/>
                <w:szCs w:val="14"/>
                <w:b w:val="1"/>
                <w:bCs w:val="1"/>
                <w:color w:val="auto"/>
              </w:rPr>
              <w:t>egment</w:t>
            </w:r>
          </w:p>
        </w:tc>
        <w:tc>
          <w:tcPr>
            <w:tcW w:w="320" w:type="dxa"/>
            <w:vAlign w:val="bottom"/>
          </w:tcPr>
          <w:p>
            <w:pPr>
              <w:spacing w:after="0"/>
              <w:rPr>
                <w:sz w:val="15"/>
                <w:szCs w:val="15"/>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09"/>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114,746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(694 )</w:t>
            </w:r>
          </w:p>
        </w:tc>
      </w:tr>
      <w:tr>
        <w:trPr>
          <w:trHeight w:val="249"/>
        </w:trPr>
        <w:tc>
          <w:tcPr>
            <w:tcW w:w="6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2024</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141,743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-591185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-591185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has an aggregate amount of goodwill acquired of $330.4 million and $272.0 million, respectively, and an aggregate amount of impairment losses of $60.7 million which was recognized in 2017.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indefinite lived intangible assets as of December 31, 2024 and 2023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(104 )</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completes an impairment assessment of its goodwill and indefinite life intangible assets at the reporting unit level annually, or upon the occurrence of a triggering event or a change in circumstances that would more likely than not reduce the fair value of a reporting unit below its carrying amount. The annual assessment was performed in the fourth quarters of 2024, 2023 and 2022. The assessments did not result in impairment in 2024, 2023 or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finite lived intangible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3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1"/>
                <w:szCs w:val="11"/>
                <w:color w:val="auto"/>
              </w:rPr>
            </w:pPr>
          </w:p>
        </w:tc>
        <w:tc>
          <w:tcPr>
            <w:tcW w:w="102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Accum.</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1"/>
                <w:szCs w:val="11"/>
                <w:color w:val="auto"/>
              </w:rPr>
            </w:pPr>
          </w:p>
        </w:tc>
        <w:tc>
          <w:tcPr>
            <w:tcW w:w="104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 finite life</w:t>
            </w: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4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24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127,354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103,471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(2,770 )</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(1,528 )</w:t>
            </w:r>
          </w:p>
        </w:tc>
        <w:tc>
          <w:tcPr>
            <w:tcW w:w="4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(1,083 )</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finite life intangible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163,728</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89,678</w:t>
            </w:r>
          </w:p>
        </w:tc>
        <w:tc>
          <w:tcPr>
            <w:tcW w:w="2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-170815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Amortization expense of finite life intangible assets was $8.7 million, $7.4 million and $7.0 million for 2024, 2023 and 2022, respectively. Amortization over the next five years for finite life intangibles is $12.2 million in 2025, $11.7 million in 2026, $10.6 million in 2027, $9.8 million in 2028, and $8.5 million in 2029.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liability</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0" w:type="dxa"/>
            <w:vAlign w:val="bottom"/>
            <w:tcBorders>
              <w:bottom w:val="single" w:sz="8" w:color="CFF0FC"/>
            </w:tcBorders>
            <w:shd w:val="clear" w:color="auto" w:fill="CFF0FC"/>
          </w:tcPr>
          <w:p>
            <w:pPr>
              <w:spacing w:after="0"/>
              <w:rPr>
                <w:sz w:val="21"/>
                <w:szCs w:val="21"/>
                <w:color w:val="auto"/>
              </w:rPr>
            </w:pPr>
          </w:p>
        </w:tc>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in the Company’s earnout liability consisted of the following</w:t>
            </w: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Earnout accrued at beginning of year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earnout at acquisition date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and other</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(2,831 )</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(2,096 )</w:t>
            </w:r>
          </w:p>
        </w:tc>
        <w:tc>
          <w:tcPr>
            <w:tcW w:w="0" w:type="dxa"/>
            <w:vAlign w:val="bottom"/>
          </w:tcPr>
          <w:p>
            <w:pPr>
              <w:spacing w:after="0"/>
              <w:rPr>
                <w:sz w:val="1"/>
                <w:szCs w:val="1"/>
                <w:color w:val="auto"/>
              </w:rPr>
            </w:pPr>
          </w:p>
        </w:tc>
      </w:tr>
      <w:tr>
        <w:trPr>
          <w:trHeight w:val="209"/>
        </w:trPr>
        <w:tc>
          <w:tcPr>
            <w:tcW w:w="7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Earnout accrued at end of year</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gridSpan w:val="2"/>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recorded within Accrued expenses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portion, recorded within Other liabilities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-1704975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-1687830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-582295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additional consideration in the acquisition of WK Germany KG, GmbH and WK Asia-Pacific Pte. Ltd. (collectively, "WK Group"), the former owners of WK Group are entitled to earn-out payments up to $27.5 million based upon specified financial results through September 30, 2025. Based on projections at the acquisition date, the Company estimated the fair value of the earn-out to be $6.3 million, recorded in "Other liabilities" on its Consolidated Balance Sheets.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additional consideration in the acquisition of Kemco Systems Co., LLC ("Kemco"), the former owners of Kemco are entitled to earn-out payments up to $4.0 million based upon specified financial results through August 31, 2026. Based on projections at the acquisition date, the Company estimated the fair value of the earn-out to be $2.2 million. As of December 31, 2024, the earnout liability recorded in "Accrued expenses" on its Consolidated Balance Sheets was $0.1 million, reflecting earnout payments of $2.8 million made in the year ended December 31, 2024 and fair value adjustments of $0.7 million during the year ended December 31, 2024. The fair value adjustments were recorded in "Amortization and earnout expenses" on the Consolidated Statement of Income.</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additional consideration in the acquisition of Malvar Engineering Limited, including its subsidiaries Arkanum Management Limited and Wakefield Acoustics Limited (collectively, "Wakefield"), the former owners of Wakefield were entitled to earn-out payments based upon specified financial results through July 31, 2023. Based on projections at the acquisition date, the Company estimated the fair value of the earn-out to be $0.6 million. An earnout payment of $0.6 million was made in the year ended December 31, 2023.</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additional consideration in the acquisition of Compass Water Solutions, Inc. ("Compass"), the former owners of Compass were entitled to earn-out payments based upon specified financial results through April 30, 2023. Based on projections at the acquisition date of May 3, 2022, the Company estimated the fair value of the earnout to be $1.4 million. During the year ended December 31, 2022, the Company decreased the earnout by $0.2 million based on the estimated fair value at December 31, 2022. The fair value adjustment was recorded in "Amortization and earnout expenses" on the Consolidated Statement of Income. An earnout payment of $1.5 million was made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Senior debt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FF0FC"/>
          </w:tcPr>
          <w:p>
            <w:pPr>
              <w:spacing w:after="0"/>
              <w:rPr>
                <w:sz w:val="18"/>
                <w:szCs w:val="18"/>
                <w:color w:val="auto"/>
              </w:rPr>
            </w:pPr>
          </w:p>
        </w:tc>
        <w:tc>
          <w:tcPr>
            <w:tcW w:w="7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Term loan</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Revolving Credit Loan</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Credit Facility</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(2,617 )</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(1,296 )</w:t>
            </w:r>
          </w:p>
        </w:tc>
        <w:tc>
          <w:tcPr>
            <w:tcW w:w="0" w:type="dxa"/>
            <w:vAlign w:val="bottom"/>
          </w:tcPr>
          <w:p>
            <w:pPr>
              <w:spacing w:after="0"/>
              <w:rPr>
                <w:sz w:val="1"/>
                <w:szCs w:val="1"/>
                <w:color w:val="auto"/>
              </w:rPr>
            </w:pPr>
          </w:p>
        </w:tc>
      </w:tr>
      <w:tr>
        <w:trPr>
          <w:trHeight w:val="209"/>
        </w:trPr>
        <w:tc>
          <w:tcPr>
            <w:tcW w:w="7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(1,650 )</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(10,488 )</w:t>
            </w:r>
          </w:p>
        </w:tc>
        <w:tc>
          <w:tcPr>
            <w:tcW w:w="0" w:type="dxa"/>
            <w:vAlign w:val="bottom"/>
          </w:tcPr>
          <w:p>
            <w:pPr>
              <w:spacing w:after="0"/>
              <w:rPr>
                <w:sz w:val="1"/>
                <w:szCs w:val="1"/>
                <w:color w:val="auto"/>
              </w:rPr>
            </w:pPr>
          </w:p>
        </w:tc>
      </w:tr>
      <w:tr>
        <w:trPr>
          <w:trHeight w:val="209"/>
        </w:trPr>
        <w:tc>
          <w:tcPr>
            <w:tcW w:w="7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-454025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$1.7 million in 2025, $1.9 million in 2025, $3.7 million in 2027, zero in 2028, and $214.2 million in 2029.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17, 2021, the Company entered into Amendment No. 2 to the Second Amended and Restated Credit Agreement. This agreement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restated the Company’s prior credit agreement. Pursuant to this amendment, the lenders provided a term loan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 million and a senior secured revolving credit commitment up to an aggregate principal amount of $140.0 million. This revolving credit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allowed the Company the ability to borrow loans denominated in different currencies. Additionally, the agreement extended the maturity date to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2026, replaced LIBOR interest with Secured Overnight Financing Rate ("SOFR") interest for USD loans, Sterling Overnight Interbank Average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("SONIA") for GBP loans, and Canadian Dollar Offered Rate ("CDOR") for CAD loans, and redefined certain financial covenants.</w:t>
      </w:r>
    </w:p>
    <w:p>
      <w:pPr>
        <w:spacing w:after="0" w:line="207" w:lineRule="exact"/>
        <w:rPr>
          <w:sz w:val="20"/>
          <w:szCs w:val="20"/>
          <w:color w:val="auto"/>
        </w:rPr>
      </w:pPr>
    </w:p>
    <w:p>
      <w:pPr>
        <w:ind w:right="60" w:firstLine="45"/>
        <w:spacing w:after="0" w:line="253" w:lineRule="auto"/>
        <w:rPr>
          <w:sz w:val="20"/>
          <w:szCs w:val="20"/>
          <w:color w:val="auto"/>
        </w:rPr>
      </w:pPr>
      <w:r>
        <w:rPr>
          <w:rFonts w:ascii="Times New Roman" w:cs="Times New Roman" w:eastAsia="Times New Roman" w:hAnsi="Times New Roman"/>
          <w:sz w:val="18"/>
          <w:szCs w:val="18"/>
          <w:color w:val="auto"/>
        </w:rPr>
        <w:t>On October 30, 2023, the Company entered into Amendment No. 4 to the Second Amended and Restated Credit Agreement. Pursuant to this amendment, the lenders provided an additional term loan in the aggregate principal amount of $75.0 million, which was subsequently used to repay a portion of the outstanding balance on the revolving credit loan. At the Company’s option, revolving loans and the term loans accrued interest at a per annum rate based on (a) either the highest of (i) the federal funds rate plus 0.5%, or (ii) the prime lending rate of the Agent (as defined in the Credit Agreement), (b) Daily Simple SOFR plus the Daily Simple SOFR Adjustment of 0.11% plus 1.0%, (c) 1.0%, plus a margin ranging from 1.75% to 3.25% depending on the Company’s Consolidated Leverage Ratio, or (d) a one/three/six-month Term SOFR Rate (as defined in the Credit Agreement) plus the Term SOFR Adjustment ranging from 0.11% to 0.43% plus 1.75% to 3.25% depending on the Company’s Consolidated Leverage Ratio. Interest on swing line loans is the Base Rate. Interest on Base Rate loans was payable quarterly in arrears on the last day of each calendar quarter and at maturity. Interest on Term SOFR rate loans was payable on the last date of each applicable Interest Period (as defined in the agreement), but in no event less than once every three months and at maturity.</w:t>
      </w:r>
    </w:p>
    <w:p>
      <w:pPr>
        <w:spacing w:after="0" w:line="1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(the “Amended Credit Agreement”), among the Company, its subsidiaries from time to time party thereto, the lenders from time to time party thereto (the “Lenders”) and Bank of America, N.A., as administrative agent (the “Agent”), which amended and restated in its entirety the Company’s Second Amended and Restated Credit Agreement, dated as of June 11, 2019, among the Company, its subsidiaries from time to time party thereto, the lenders from time to time party thereto and the Agent. The Amended Credit Agreement provides for a senior secured revolving credit facility in an initial aggregate principal amount of up to $400.0 million (the "Credit Facility”). At the Company’s option, the Company may increase the aggregate principal amount of the Credit Facility from time to time by an additional aggregate principal amount of up to (a) $125.0 million plus (b) such additional amount, if any, as would not cause the Consolidated Secured Net Leverage Ratio (as defined in the Amended Credit Agreement) to exceed 3.00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Facility will mature on October 7, 2029. The Credit Facility accrues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Amended Credit Agreement, whether the Company has elected for interest on such loans to accrue at a daily rate or a term rate: (a) for term rate loans, if denominated (1) in U.S. Dollars, Term SOFR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t>(as defined in the Amended Credit Agreement inclusive of a 0.10% per annum adjustment),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inclusive of a 0.10% per annum adjustment),</w:t>
      </w:r>
    </w:p>
    <w:p>
      <w:pPr>
        <w:spacing w:after="0" w:line="3" w:lineRule="exact"/>
        <w:rPr>
          <w:sz w:val="20"/>
          <w:szCs w:val="20"/>
          <w:color w:val="auto"/>
        </w:rPr>
      </w:pPr>
    </w:p>
    <w:p>
      <w:pPr>
        <w:ind w:right="14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financial covenants, the Company is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Amended Credit Agreement, following the occurrence of a Permitted Acquisition (as defined in the Credit Agreement) involving aggregate consideration of $15.0 million or more, such maximum Consolidated Net Leverage Ratio and Consolidated Secured Net Leverage Ratio may be increased to 4.50 to 1.00 and 3.50 to 1.00, respectively, for the fiscal quarter in which such Permitted Acquisition is consummated and the subsequent three fiscal quarters of the Company. The Company is also required to maintain a Consolidated Fixed Charge Coverage Ratio (as defined in the Amended Credit Agreement) as of the last day of each fiscal quarter of the Company of not less than 1.25 to 1.00.</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$18.9 million and $13.3 million of letters of credit were outstanding, respectively. Total unused credit availability under the Company’s senior secured term loan and senior secured revolver loan with sub-facilities for letters of credit, swing-line loans and senior secured multi-currency loans was $166.9 million and $109.4 million at December 31, 2024 and 2023, respectively. Revolving loans may be borrowed, repaid and reborrowed until October 7, 2029, at which time all outstanding balances of the Credit Facility must be repaid.</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weighted average stated interest rate on outstanding borrowings was 7.07% and 8.29% at December 31, 2024 and 2023, respectively. The effective interest rate was 7.82% and 7.70% at December 31, 2024 and 2023, respectively.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Credit Facility, the Company paid $0.8 million in customary closing fees during 2021, and $0.4 million in customary closing fees during 2023, that were deferred and classified as a debt discount, as a result of the associated amendments being accounted for as debt modifications. In 2024, $0.1 million of loss on extinguishments of debt was recorded related to the Amended Credit Agreement. The remaining amount continues to be deferred and classified as a debt discount, along with $1.8 million in customary closing fees during 2024, as these amounts relate to portions of the Amended Credit Agreement accounted for as debt modifications.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entered into a loan agreement secured by the assets of the EFM JV in the aggregate principal amount of $11.0 million for the acquisition of General Rubber, LLC, as further described in Note 14. As of December 31, 2024 and 2023, $7.3 million and $8.9 million was outstanding under the loan.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was 7.96% and 8.70% at December 31, 2024 and 2023, respectively. As of December 31, 2024, the EFM JV was in compliance with all related financial and other restrictive covenants under this loan agreement. This loan balance does not impact the Company’s borrowing capacity or the financial covenants under the Credit Facility.</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$16.2 million in current assets, $25.4 million in long-lived assets, and $14.0 million in total liabilities related to the EFM JV included in the Consolidated Balance Sheets. As of December 31, 2023, there were $14.5 million in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current assets, $26.7 million in long-lived assets, and $12.5 million in total liabilities related to the EFM JV included in the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EFM JV accounted for $47.0 million, $37.7 million and $35.8 million in revenue,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EFM JV accounted for $4.1 million, $4.2 million and $2.3 million in net income,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$80.0 million from the bilateral lines of credit secured by pledged assets and collateral under the Credit Facility. As of December 31, 2024 and 2023, $45.9 million and $45.8 million in bank guarantees were outstanding, respectively, inclusive of $1.1 million and $1.3 million in outstanding bank guarantees as of December 31, 2024 and 2023, respectively, under a Euro-denominated bank guarantee agreement held by a subsidiary of the Company located in the Netherlands and secured by local assets, as well as $2.1 million and $2.3 million in outstanding bank guarantees as of December 31, 2024 and 2023, respectively, under Yuan-denominated bank guarantee agreements held by a subsidiary of the Company located in China and secured by local assets. As of December 31, 2024, the borrowers of these facilities and agreements were in compliance with all related financial and other restrictive covenants.</w:t>
      </w:r>
    </w:p>
    <w:p>
      <w:pPr>
        <w:spacing w:after="0" w:line="18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2021 Equity and Incentive Compensation Plan (the “2021 Plan”) was approved by the Company’s stockholders on May 25, 2021 which replaced the 2017 Equity Incentive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2024, 1.3 million shares remain available for future issuance. Stock options granted to employees generally vest equally over a period of four years from the date of the grant with a maximum contractual term of ten years from the date of the grant. Stock awards granted to employees generally vest over a period of two to four years from the date of the grant.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6, 2020, in connection with the appointment of the Chief Executive Officer, the Company granted its Chief Executive Officer approximately 94,000 restricted stock units with a fair value of $0.6 million, which are being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awards under these plans was $7.2 million, $4.3 million and $3.9 million for the years ended December 31, 2024, 2023 and 2022, respectively. The tax benefit related to share-based compensation expense was $1.6 million, $0.8 million and $0.5 million in 2024,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2024, 1.1 million shares remain available for future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employee stock purchase plan expense of $0.3 million, $0.2 million and $0.1 million in 2024, 2023 and 2022,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estimated weighted-average fair value of stock options was determined using the Black-Scholes option-pricing model at the grant date based on the following assumptions: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The Company utilizes a volatility factor based on the Company’s historical stock prices for a period of time equal to the expected term of the stock option utilizing weekly price observations.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Due to limited historical exercise data, the Company utilizes the simplified method of determining the expected term based on the vesting schedules and terms of the stock options.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The risk-free interest rate factor utilized is based upon the implied yields currently available on U.S. Treasury zero-coupon issues over the expected term of the stock options.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granted approximately 25,000 stock options during the year ended December 31, 2024. No stock options were granted for the years ended December 31, 2023, and 2022.</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related to all stock options under the 2021 Plan, 2017 Plan and 2007 Plan, and the 2020 Inducement Awards for 2024, 2023 and 2022 is shown in the tables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($000)</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3.4 years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gridSpan w:val="2"/>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at December 31, 2024</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2.6 years</w:t>
            </w:r>
          </w:p>
        </w:tc>
        <w:tc>
          <w:tcPr>
            <w:tcW w:w="3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1,216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2"/>
          </w:tcPr>
          <w:p>
            <w:pPr>
              <w:ind w:left="700"/>
              <w:spacing w:after="0" w:line="196" w:lineRule="exact"/>
              <w:rPr>
                <w:sz w:val="20"/>
                <w:szCs w:val="20"/>
                <w:color w:val="auto"/>
              </w:rPr>
            </w:pPr>
            <w:r>
              <w:rPr>
                <w:rFonts w:ascii="Times New Roman" w:cs="Times New Roman" w:eastAsia="Times New Roman" w:hAnsi="Times New Roman"/>
                <w:sz w:val="18"/>
                <w:szCs w:val="18"/>
                <w:color w:val="auto"/>
                <w:w w:val="98"/>
              </w:rPr>
              <w:t>2.5 years</w:t>
            </w:r>
          </w:p>
        </w:tc>
        <w:tc>
          <w:tcPr>
            <w:tcW w:w="34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line="20" w:lineRule="exact"/>
              <w:rPr>
                <w:sz w:val="1"/>
                <w:szCs w:val="1"/>
                <w:color w:val="auto"/>
              </w:rPr>
            </w:pPr>
          </w:p>
        </w:tc>
      </w:tr>
      <w:tr>
        <w:trPr>
          <w:trHeight w:val="536"/>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4.0 years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(92 )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gridSpan w:val="2"/>
            <w:shd w:val="clear" w:color="auto" w:fill="CFF0FC"/>
          </w:tcPr>
          <w:p>
            <w:pPr>
              <w:spacing w:after="0"/>
              <w:rPr>
                <w:sz w:val="18"/>
                <w:szCs w:val="18"/>
                <w:color w:val="auto"/>
              </w:rPr>
            </w:pP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(101 )</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at December 31, 2023</w:t>
            </w:r>
          </w:p>
        </w:tc>
        <w:tc>
          <w:tcPr>
            <w:tcW w:w="120" w:type="dxa"/>
            <w:vAlign w:val="bottom"/>
            <w:tcBorders>
              <w:top w:val="single" w:sz="8" w:color="CFF0FC"/>
            </w:tcBorders>
            <w:gridSpan w:val="2"/>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360" w:type="dxa"/>
            <w:vAlign w:val="bottom"/>
            <w:tcBorders>
              <w:top w:val="single" w:sz="8" w:color="CFF0FC"/>
            </w:tcBorders>
            <w:gridSpan w:val="2"/>
          </w:tcPr>
          <w:p>
            <w:pPr>
              <w:ind w:left="680"/>
              <w:spacing w:after="0"/>
              <w:rPr>
                <w:sz w:val="20"/>
                <w:szCs w:val="20"/>
                <w:color w:val="auto"/>
              </w:rPr>
            </w:pPr>
            <w:r>
              <w:rPr>
                <w:rFonts w:ascii="Times New Roman" w:cs="Times New Roman" w:eastAsia="Times New Roman" w:hAnsi="Times New Roman"/>
                <w:sz w:val="18"/>
                <w:szCs w:val="18"/>
                <w:color w:val="auto"/>
              </w:rPr>
              <w:t>3.4 years</w:t>
            </w:r>
          </w:p>
        </w:tc>
        <w:tc>
          <w:tcPr>
            <w:tcW w:w="340" w:type="dxa"/>
            <w:vAlign w:val="bottom"/>
            <w:tcBorders>
              <w:top w:val="single" w:sz="8" w:color="CFF0FC"/>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2023</w:t>
            </w:r>
          </w:p>
        </w:tc>
        <w:tc>
          <w:tcPr>
            <w:tcW w:w="138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942</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ind w:left="680"/>
              <w:spacing w:after="0" w:line="196" w:lineRule="exact"/>
              <w:rPr>
                <w:sz w:val="20"/>
                <w:szCs w:val="20"/>
                <w:color w:val="auto"/>
              </w:rPr>
            </w:pPr>
            <w:r>
              <w:rPr>
                <w:rFonts w:ascii="Times New Roman" w:cs="Times New Roman" w:eastAsia="Times New Roman" w:hAnsi="Times New Roman"/>
                <w:sz w:val="18"/>
                <w:szCs w:val="18"/>
                <w:color w:val="auto"/>
              </w:rPr>
              <w:t>3.4 years</w:t>
            </w:r>
          </w:p>
        </w:tc>
        <w:tc>
          <w:tcPr>
            <w:tcW w:w="340" w:type="dxa"/>
            <w:vAlign w:val="bottom"/>
            <w:gridSpan w:val="3"/>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8,652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36"/>
        </w:trPr>
        <w:tc>
          <w:tcPr>
            <w:tcW w:w="52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4.9 years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gridSpan w:val="2"/>
            <w:shd w:val="clear" w:color="auto" w:fill="CFF0FC"/>
          </w:tcPr>
          <w:p>
            <w:pPr>
              <w:spacing w:after="0"/>
              <w:rPr>
                <w:sz w:val="18"/>
                <w:szCs w:val="18"/>
                <w:color w:val="auto"/>
              </w:rPr>
            </w:pP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(42 )</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at December 31, 2022</w:t>
            </w:r>
          </w:p>
        </w:tc>
        <w:tc>
          <w:tcPr>
            <w:tcW w:w="120" w:type="dxa"/>
            <w:vAlign w:val="bottom"/>
            <w:tcBorders>
              <w:top w:val="single" w:sz="8" w:color="CFF0FC"/>
            </w:tcBorders>
            <w:gridSpan w:val="2"/>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360" w:type="dxa"/>
            <w:vAlign w:val="bottom"/>
            <w:tcBorders>
              <w:top w:val="single" w:sz="8" w:color="CFF0FC"/>
            </w:tcBorders>
            <w:gridSpan w:val="2"/>
          </w:tcPr>
          <w:p>
            <w:pPr>
              <w:ind w:left="680"/>
              <w:spacing w:after="0"/>
              <w:rPr>
                <w:sz w:val="20"/>
                <w:szCs w:val="20"/>
                <w:color w:val="auto"/>
              </w:rPr>
            </w:pPr>
            <w:r>
              <w:rPr>
                <w:rFonts w:ascii="Times New Roman" w:cs="Times New Roman" w:eastAsia="Times New Roman" w:hAnsi="Times New Roman"/>
                <w:sz w:val="18"/>
                <w:szCs w:val="18"/>
                <w:color w:val="auto"/>
              </w:rPr>
              <w:t>4.0 years</w:t>
            </w:r>
          </w:p>
        </w:tc>
        <w:tc>
          <w:tcPr>
            <w:tcW w:w="340" w:type="dxa"/>
            <w:vAlign w:val="bottom"/>
            <w:tcBorders>
              <w:top w:val="single" w:sz="8" w:color="CFF0FC"/>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2022</w:t>
            </w: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833</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11.47</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gridSpan w:val="2"/>
            <w:shd w:val="clear" w:color="auto" w:fill="CFF0FC"/>
          </w:tcPr>
          <w:p>
            <w:pPr>
              <w:ind w:left="680"/>
              <w:spacing w:after="0" w:line="196" w:lineRule="exact"/>
              <w:rPr>
                <w:sz w:val="20"/>
                <w:szCs w:val="20"/>
                <w:color w:val="auto"/>
              </w:rPr>
            </w:pPr>
            <w:r>
              <w:rPr>
                <w:rFonts w:ascii="Times New Roman" w:cs="Times New Roman" w:eastAsia="Times New Roman" w:hAnsi="Times New Roman"/>
                <w:sz w:val="18"/>
                <w:szCs w:val="18"/>
                <w:color w:val="auto"/>
              </w:rPr>
              <w:t>3.6 years</w:t>
            </w:r>
          </w:p>
        </w:tc>
        <w:tc>
          <w:tcPr>
            <w:tcW w:w="340" w:type="dxa"/>
            <w:vAlign w:val="bottom"/>
            <w:tcBorders>
              <w:bottom w:val="single" w:sz="8" w:color="CFF0FC"/>
            </w:tcBorders>
            <w:gridSpan w:val="3"/>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923</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F-21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-4122420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-4105275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-2767965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-2459355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-2442210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-1268095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-959485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-942340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1" w:name="page72"/>
    <w:bookmarkEnd w:id="71"/>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received $0.4 million, $1.2 million and $0.4 million of cash from employees exercising options in 2024, 2023 and 2022, respectively. The intrinsic value of options exercised during the years ended December 31, 2024, 2023 and 2022 was $0.4 million, $0.3 million and $0.2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Information related to restricted stock awards under the 2021 Plan, 2017 Plan, 2007 Plan, and the 2020 Inducement Awards for 2024, 2023 and 2022 is shown in the table below. The fair value of restricted stock awards is based on the price of the stock in the open market on the date of the grant, and the fair value of performance-based restricted stock units is determined by using the Monte Carlo valuation model. The fair value of the restricted stock awards is recorded as compensation expense on a straight-line basis over the vesting periods of the awards and forfeitures are accounted for when they occur.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80" w:type="dxa"/>
            <w:vAlign w:val="bottom"/>
          </w:tcPr>
          <w:p>
            <w:pPr>
              <w:spacing w:after="0"/>
              <w:rPr>
                <w:sz w:val="12"/>
                <w:szCs w:val="12"/>
                <w:color w:val="auto"/>
              </w:rPr>
            </w:pPr>
          </w:p>
        </w:tc>
        <w:tc>
          <w:tcPr>
            <w:tcW w:w="176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1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(355 )</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(255 )</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8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(417 )</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(174 )</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8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(409 )</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of awards vested and released during the years ended December 31, 2024, 2023 and 2022 was $4.1 million, $5.9 million, and $2.3 million, respectively.</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shares of stock options, restricted stock and performance units was $11.7 million at December 31, 2024 and will be recognized over a weighted average vesting period of 1.1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year ended December 31, 2022, the Company repurchased and retired approximately 1,032,000 shares of common stock at a cost of $7.0 million under the program. No repurchases occurred during the year ended December 31, 2023. During the year ended December 31, 2024, the Company repurchased and retired approximately 230,000 shares of common stock at a cost of $5.0 million under the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during the years ended December 31, 2024, 2023 or 2022.</w:t>
      </w:r>
    </w:p>
    <w:p>
      <w:pPr>
        <w:spacing w:after="0" w:line="176"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sponsors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The accumulated benefit obligation as of December 31, 2024, 2023 and 2022, was $24.7 million, $26.8 million, and $27.4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plan changes in benefit obligations, plan assets and funded status on the measurement dates: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(1,237 )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(6,540 )</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(2,073 )</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(2,047 )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(2,022 )</w:t>
            </w:r>
          </w:p>
        </w:tc>
        <w:tc>
          <w:tcPr>
            <w:tcW w:w="0" w:type="dxa"/>
            <w:vAlign w:val="bottom"/>
          </w:tcPr>
          <w:p>
            <w:pPr>
              <w:spacing w:after="0"/>
              <w:rPr>
                <w:sz w:val="1"/>
                <w:szCs w:val="1"/>
                <w:color w:val="auto"/>
              </w:rPr>
            </w:pPr>
          </w:p>
        </w:tc>
      </w:tr>
      <w:tr>
        <w:trPr>
          <w:trHeight w:val="209"/>
        </w:trPr>
        <w:tc>
          <w:tcPr>
            <w:tcW w:w="6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24,665</w:t>
            </w:r>
          </w:p>
        </w:tc>
        <w:tc>
          <w:tcPr>
            <w:tcW w:w="3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(5,631 )</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(2,073 )</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(2,047 )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(2,022 )</w:t>
            </w:r>
          </w:p>
        </w:tc>
        <w:tc>
          <w:tcPr>
            <w:tcW w:w="0" w:type="dxa"/>
            <w:vAlign w:val="bottom"/>
          </w:tcPr>
          <w:p>
            <w:pPr>
              <w:spacing w:after="0"/>
              <w:rPr>
                <w:sz w:val="1"/>
                <w:szCs w:val="1"/>
                <w:color w:val="auto"/>
              </w:rPr>
            </w:pPr>
          </w:p>
        </w:tc>
      </w:tr>
      <w:tr>
        <w:trPr>
          <w:trHeight w:val="209"/>
        </w:trPr>
        <w:tc>
          <w:tcPr>
            <w:tcW w:w="6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3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(4,114 )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(5,529 )</w:t>
            </w:r>
          </w:p>
        </w:tc>
        <w:tc>
          <w:tcPr>
            <w:tcW w:w="0" w:type="dxa"/>
            <w:vAlign w:val="bottom"/>
          </w:tcPr>
          <w:p>
            <w:pPr>
              <w:spacing w:after="0"/>
              <w:rPr>
                <w:sz w:val="1"/>
                <w:szCs w:val="1"/>
                <w:color w:val="auto"/>
              </w:rPr>
            </w:pPr>
          </w:p>
        </w:tc>
      </w:tr>
      <w:tr>
        <w:trPr>
          <w:trHeight w:val="178"/>
        </w:trPr>
        <w:tc>
          <w:tcPr>
            <w:tcW w:w="600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assumptions used to determine benefit obligations for the</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5.35 %</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4.70 %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-1567815</wp:posOffset>
            </wp:positionV>
            <wp:extent cx="1200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-1567815</wp:posOffset>
            </wp:positionV>
            <wp:extent cx="120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-1567815</wp:posOffset>
            </wp:positionV>
            <wp:extent cx="1200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-728345</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-728345</wp:posOffset>
            </wp:positionV>
            <wp:extent cx="1200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-728345</wp:posOffset>
            </wp:positionV>
            <wp:extent cx="1200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-436245</wp:posOffset>
            </wp:positionV>
            <wp:extent cx="1200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-419735</wp:posOffset>
            </wp:positionV>
            <wp:extent cx="1200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-436245</wp:posOffset>
            </wp:positionV>
            <wp:extent cx="120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-419735</wp:posOffset>
            </wp:positionV>
            <wp:extent cx="1200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-436245</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-419735</wp:posOffset>
            </wp:positionV>
            <wp:extent cx="1200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funded status as of December 31, 2024, 2023 and 2022, was $0.5 million, $(4.1) million, and $(5.5) million, respectively and is recognized in "Deferred charges and other assets" or "Other liabilities" within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net periodic benefit cost for pension benefits included in the accompanying Consolidated Statements of Income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(1,223 )</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(1,142 )</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(1,560 )</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income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0"/>
        </w:trPr>
        <w:tc>
          <w:tcPr>
            <w:tcW w:w="6200" w:type="dxa"/>
            <w:vAlign w:val="bottom"/>
            <w:tcBorders>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(3,475 )</w:t>
            </w:r>
          </w:p>
        </w:tc>
        <w:tc>
          <w:tcPr>
            <w:tcW w:w="16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(1,845 )</w:t>
            </w:r>
          </w:p>
        </w:tc>
        <w:tc>
          <w:tcPr>
            <w:tcW w:w="1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00" w:type="dxa"/>
            <w:vAlign w:val="bottom"/>
            <w:tcBorders>
              <w:right w:val="single" w:sz="8" w:color="CFF0FC"/>
            </w:tcBorders>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440" w:type="dxa"/>
            <w:vAlign w:val="bottom"/>
            <w:vMerge w:val="restart"/>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(3,257 )</w:t>
            </w: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140" w:type="dxa"/>
            <w:vAlign w:val="bottom"/>
            <w:tcBorders>
              <w:right w:val="single" w:sz="8" w:color="CFF0FC"/>
            </w:tcBorders>
            <w:shd w:val="clear" w:color="auto" w:fill="CFF0FC"/>
          </w:tcPr>
          <w:p>
            <w:pPr>
              <w:spacing w:after="0"/>
              <w:rPr>
                <w:sz w:val="15"/>
                <w:szCs w:val="15"/>
                <w:color w:val="auto"/>
              </w:rPr>
            </w:pPr>
          </w:p>
        </w:tc>
        <w:tc>
          <w:tcPr>
            <w:tcW w:w="320" w:type="dxa"/>
            <w:vAlign w:val="bottom"/>
            <w:vMerge w:val="restart"/>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4"/>
        </w:trPr>
        <w:tc>
          <w:tcPr>
            <w:tcW w:w="6200" w:type="dxa"/>
            <w:vAlign w:val="bottom"/>
            <w:tcBorders>
              <w:right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(loss)</w:t>
            </w:r>
          </w:p>
        </w:tc>
        <w:tc>
          <w:tcPr>
            <w:tcW w:w="44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costs are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right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-1319530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-1319530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-899160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-882015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-899160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-882015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future long range projections of investment returns for each asset category. The long-term rate of return also considers administrative expenses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the plan is not based on wages and, therefore, future wage adjustments have no effect on the projected benefit obligation.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2024, 2023 and 2022, the Company updated the mortality tables (RP-2021 Total Mortality Table, RP-2020 Total Mortality Table, and RP-2019 Total Mortality Table for each respective year) in the underlying assumptions used to determine the benefit obligation.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defined benefit pension plan asset allocation by asset category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20" w:type="dxa"/>
            <w:vAlign w:val="bottom"/>
          </w:tcPr>
          <w:p>
            <w:pPr>
              <w:spacing w:after="0"/>
              <w:rPr>
                <w:sz w:val="13"/>
                <w:szCs w:val="13"/>
                <w:color w:val="auto"/>
              </w:rPr>
            </w:pPr>
          </w:p>
        </w:tc>
        <w:tc>
          <w:tcPr>
            <w:tcW w:w="2200" w:type="dxa"/>
            <w:vAlign w:val="bottom"/>
            <w:gridSpan w:val="3"/>
          </w:tcPr>
          <w:p>
            <w:pPr>
              <w:jc w:val="center"/>
              <w:ind w:right="103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62"/>
        </w:trPr>
        <w:tc>
          <w:tcPr>
            <w:tcW w:w="6180" w:type="dxa"/>
            <w:vAlign w:val="bottom"/>
          </w:tcPr>
          <w:p>
            <w:pPr>
              <w:spacing w:after="0"/>
              <w:rPr>
                <w:sz w:val="14"/>
                <w:szCs w:val="14"/>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1050"/>
              <w:spacing w:after="0"/>
              <w:rPr>
                <w:sz w:val="20"/>
                <w:szCs w:val="20"/>
                <w:color w:val="auto"/>
              </w:rPr>
            </w:pPr>
            <w:r>
              <w:rPr>
                <w:rFonts w:ascii="Times New Roman" w:cs="Times New Roman" w:eastAsia="Times New Roman" w:hAnsi="Times New Roman"/>
                <w:sz w:val="14"/>
                <w:szCs w:val="14"/>
                <w:b w:val="1"/>
                <w:bCs w:val="1"/>
                <w:color w:val="auto"/>
              </w:rPr>
              <w:t>Plan Assets</w:t>
            </w:r>
          </w:p>
        </w:tc>
      </w:tr>
      <w:tr>
        <w:trPr>
          <w:trHeight w:val="142"/>
        </w:trPr>
        <w:tc>
          <w:tcPr>
            <w:tcW w:w="61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1120" w:type="dxa"/>
            <w:vAlign w:val="bottom"/>
          </w:tcPr>
          <w:p>
            <w:pPr>
              <w:jc w:val="center"/>
              <w:ind w:left="3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0" w:type="dxa"/>
            <w:vAlign w:val="bottom"/>
            <w:gridSpan w:val="3"/>
          </w:tcPr>
          <w:p>
            <w:pPr>
              <w:jc w:val="center"/>
              <w:ind w:left="54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6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tcPr>
          <w:p>
            <w:pPr>
              <w:spacing w:after="0"/>
              <w:rPr>
                <w:sz w:val="18"/>
                <w:szCs w:val="18"/>
                <w:color w:val="auto"/>
              </w:rPr>
            </w:pPr>
          </w:p>
        </w:tc>
        <w:tc>
          <w:tcPr>
            <w:tcW w:w="11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9"/>
              </w:rPr>
              <w:t>1%</w:t>
            </w:r>
          </w:p>
        </w:tc>
        <w:tc>
          <w:tcPr>
            <w:tcW w:w="2200" w:type="dxa"/>
            <w:vAlign w:val="bottom"/>
            <w:gridSpan w:val="3"/>
          </w:tcPr>
          <w:p>
            <w:pPr>
              <w:jc w:val="center"/>
              <w:ind w:left="561"/>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center"/>
              <w:ind w:left="394"/>
              <w:spacing w:after="0"/>
              <w:rPr>
                <w:sz w:val="20"/>
                <w:szCs w:val="20"/>
                <w:color w:val="auto"/>
              </w:rPr>
            </w:pPr>
            <w:r>
              <w:rPr>
                <w:rFonts w:ascii="Times New Roman" w:cs="Times New Roman" w:eastAsia="Times New Roman" w:hAnsi="Times New Roman"/>
                <w:sz w:val="18"/>
                <w:szCs w:val="18"/>
                <w:color w:val="auto"/>
                <w:w w:val="96"/>
              </w:rPr>
              <w:t>74%</w:t>
            </w:r>
          </w:p>
        </w:tc>
        <w:tc>
          <w:tcPr>
            <w:tcW w:w="2200" w:type="dxa"/>
            <w:vAlign w:val="bottom"/>
            <w:gridSpan w:val="3"/>
            <w:shd w:val="clear" w:color="auto" w:fill="CFF0FC"/>
          </w:tcPr>
          <w:p>
            <w:pPr>
              <w:jc w:val="center"/>
              <w:ind w:left="541"/>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w w:val="96"/>
              </w:rPr>
              <w:t>25%</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w:t>
            </w:r>
          </w:p>
        </w:tc>
      </w:tr>
      <w:tr>
        <w:trPr>
          <w:trHeight w:val="249"/>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center"/>
              <w:ind w:left="374"/>
              <w:spacing w:after="0"/>
              <w:rPr>
                <w:sz w:val="20"/>
                <w:szCs w:val="20"/>
                <w:color w:val="auto"/>
              </w:rPr>
            </w:pPr>
            <w:r>
              <w:rPr>
                <w:rFonts w:ascii="Times New Roman" w:cs="Times New Roman" w:eastAsia="Times New Roman" w:hAnsi="Times New Roman"/>
                <w:sz w:val="18"/>
                <w:szCs w:val="18"/>
                <w:color w:val="auto"/>
                <w:w w:val="99"/>
              </w:rPr>
              <w:t>100%</w:t>
            </w:r>
          </w:p>
        </w:tc>
        <w:tc>
          <w:tcPr>
            <w:tcW w:w="4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939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939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939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contributions to the pension plan of $1.3 million during the year ended December 31, 2024. No contributions were made in 2023 or 2022. Estimated pension plan cash obligations are $2.1 million annually for 2025 through 2029, and a total of $9.5 million for the years 2030 through 2034.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of Pension Plan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pension assets measured at fair value: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Cash and cash equivalents consist primarily of cash on deposit in money market funds. Cash and cash equivalents are stated at cost, which approximates fair value.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2024, are summarized in the tables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6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18,622</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Pr>
          <w:p>
            <w:pPr>
              <w:spacing w:after="0"/>
              <w:rPr>
                <w:sz w:val="18"/>
                <w:szCs w:val="18"/>
                <w:color w:val="auto"/>
              </w:rPr>
            </w:pPr>
          </w:p>
        </w:tc>
      </w:tr>
      <w:tr>
        <w:trPr>
          <w:trHeight w:val="249"/>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2023, are summarized in the tables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4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62" w:lineRule="exact"/>
        <w:rPr>
          <w:sz w:val="20"/>
          <w:szCs w:val="20"/>
          <w:color w:val="auto"/>
        </w:rPr>
      </w:pPr>
    </w:p>
    <w:p>
      <w:pPr>
        <w:ind w:left="1020" w:right="8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6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16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CECO may be required to pay those plans an amount based on the underfunded status of the plan, referred to as a withdrawal liability.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participation in these plans for the year ended December 31, 2024, is outlined in the table below. The “EIN/Pension Plan Number” column provides the Employer Identification Number and the three-digit plan number, if applicable. Unless otherwise noted, the most recent Pension Protection Act zone status available in 2024 is for the plan’s year-end at December 31, 2023.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Protection</w:t>
            </w: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2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FIF/RP Status</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Pending/Implemented</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191"/>
        </w:trPr>
        <w:tc>
          <w:tcPr>
            <w:tcW w:w="38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Sheet Metal Workers’ National Pension Fund</w:t>
            </w:r>
          </w:p>
        </w:tc>
        <w:tc>
          <w:tcPr>
            <w:tcW w:w="1540" w:type="dxa"/>
            <w:vAlign w:val="bottom"/>
            <w:gridSpan w:val="2"/>
            <w:shd w:val="clear" w:color="auto" w:fill="CFF0FC"/>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52-6112463/001</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shd w:val="clear" w:color="auto" w:fill="CFF0FC"/>
          </w:tcPr>
          <w:p>
            <w:pPr>
              <w:spacing w:after="0"/>
              <w:rPr>
                <w:sz w:val="16"/>
                <w:szCs w:val="16"/>
                <w:color w:val="auto"/>
              </w:rPr>
            </w:pPr>
          </w:p>
        </w:tc>
        <w:tc>
          <w:tcPr>
            <w:tcW w:w="2260" w:type="dxa"/>
            <w:vAlign w:val="bottom"/>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FIF: Yes - Implemented</w:t>
            </w: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RP: Yes - Implemented</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Sheet Metal Workers Local 224 Pension Plan</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31-6171353/001</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Yellow</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FIF: Yes - Implemented</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Sheet Metal Workers Local No. 177 Pension Fund</w:t>
            </w:r>
          </w:p>
        </w:tc>
        <w:tc>
          <w:tcPr>
            <w:tcW w:w="1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62-6093256/001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Is not subject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Kirk and Blum was listed in the Sheet Metal Workers Local No. 177 Pension Fund’s Form 5500 as providing more than five percent of total contributions for the year ended December 31, 2023. The Company was not listed in any of the other plans’ Forms 5500 as providing more than five percent of the total contributions for the plans and plan years. At the date the financial statements were issued, Forms 5500 were not available for the plan years ended December 31, 2024.</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no current intention of withdrawing from any plan and, therefore, no liability has been provided in the accompanying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120"/>
        <w:spacing w:after="0" w:line="282" w:lineRule="auto"/>
        <w:rPr>
          <w:sz w:val="20"/>
          <w:szCs w:val="20"/>
          <w:color w:val="auto"/>
        </w:rPr>
      </w:pPr>
      <w:r>
        <w:rPr>
          <w:rFonts w:ascii="Times New Roman" w:cs="Times New Roman" w:eastAsia="Times New Roman" w:hAnsi="Times New Roman"/>
          <w:sz w:val="18"/>
          <w:szCs w:val="18"/>
          <w:color w:val="auto"/>
        </w:rPr>
        <w:t>Amounts charged to pension expense under the above plans including the multi-employer plans totaled $0.2 million, $0.5 million, and $0.4 million for the years ended December 31, 2024, 2023 and 2022,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$2.3 million, $2.0 million, and $1.5 million during the years ended December 31, 2024, 2023 and 2022, respectively.</w:t>
      </w:r>
    </w:p>
    <w:p>
      <w:pPr>
        <w:spacing w:after="0" w:line="176"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lease accounting guidance under ASC 842 establishes a right-of-use (“ROU”) model that requires a lessee to record a ROU asset and a lease liability on the balance sheet for all leases with terms longer than 12 months. The Company's leasing activity is primarily related to buildings used for manufacturing, warehousing, sales, and administrative activities. The Company determines if an arrangement is a lease at inception.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 The Company's variable lease costs are not material.</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determining its ROU assets and lease liabilities, the Company applies a discount rate to the minimum lease payments within each lease agreement. ASC 842 requires the Company to use the rate of interest that a lessee would have to pay to borrow on a collateralized basis over a similar term an amount equal to the lease payments in a similar economic environment.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types of assets being leased, and the term of the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180" w:type="dxa"/>
            <w:vAlign w:val="bottom"/>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13"/>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13"/>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4"/>
                <w:szCs w:val="24"/>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-316865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260" w:firstLine="8"/>
        <w:spacing w:after="0" w:line="528"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variable lease costs which are immaterial. Supplemental cash flow information related to leases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1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4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w:t>
            </w:r>
          </w:p>
        </w:tc>
        <w:tc>
          <w:tcPr>
            <w:tcW w:w="58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925</w:t>
            </w:r>
          </w:p>
        </w:tc>
        <w:tc>
          <w:tcPr>
            <w:tcW w:w="46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907</w:t>
            </w:r>
          </w:p>
        </w:tc>
        <w:tc>
          <w:tcPr>
            <w:tcW w:w="580" w:type="dxa"/>
            <w:vAlign w:val="bottom"/>
            <w:gridSpan w:val="2"/>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-650875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-633730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-650875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-633730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-325120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-307975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-325120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-307975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were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9 years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40" w:type="dxa"/>
            <w:vAlign w:val="bottom"/>
            <w:gridSpan w:val="5"/>
            <w:shd w:val="clear" w:color="auto" w:fill="CFF0FC"/>
          </w:tcPr>
          <w:p>
            <w:pPr>
              <w:jc w:val="center"/>
              <w:ind w:right="460"/>
              <w:spacing w:after="0"/>
              <w:rPr>
                <w:sz w:val="20"/>
                <w:szCs w:val="20"/>
                <w:color w:val="auto"/>
              </w:rPr>
            </w:pPr>
            <w:r>
              <w:rPr>
                <w:rFonts w:ascii="Times New Roman" w:cs="Times New Roman" w:eastAsia="Times New Roman" w:hAnsi="Times New Roman"/>
                <w:sz w:val="18"/>
                <w:szCs w:val="18"/>
                <w:color w:val="auto"/>
              </w:rPr>
              <w:t>7 years</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center"/>
              <w:ind w:right="400"/>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center"/>
              <w:ind w:right="133"/>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maturities of lease liabilities were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5,810</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4,026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31,161</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(6,669 )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24,492</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-4876800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-4311015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-3470910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Asbestos cases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20"/>
        <w:spacing w:after="0" w:line="261" w:lineRule="auto"/>
        <w:rPr>
          <w:sz w:val="20"/>
          <w:szCs w:val="20"/>
          <w:color w:val="auto"/>
        </w:rPr>
      </w:pPr>
      <w:r>
        <w:rPr>
          <w:rFonts w:ascii="Times New Roman" w:cs="Times New Roman" w:eastAsia="Times New Roman" w:hAnsi="Times New Roman"/>
          <w:sz w:val="18"/>
          <w:szCs w:val="18"/>
          <w:color w:val="auto"/>
        </w:rPr>
        <w:t>payments from 2002 through December 31, 2024 for cases involving asbestos-related claims were $7.5 million which together with all legal fees other than corporate counsel expenses have substantially been paid by the Company’s insurers. The average cost per settled claim, excluding legal fees, was approximately $34,000. As of December 31, 2024 and 2023, the amount recorded within "Accrued expenses" on the Consolidated Balance Sheets was $0.2 million and zero, respectively, related to asbestos litigation.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347 cases pending against the Company as of December 31, 2024 (with Illinois, New York, Pennsylvania and West Virginia having the largest number of cases), as compared with 313 cases that were pending as of December 31, 2023. During 2024, 207 new cases were filed against the Company, and the Company was dismissed from 133 cases and settled 40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was generated in the United States and globally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tcPr>
          <w:p>
            <w:pPr>
              <w:spacing w:after="0"/>
              <w:rPr>
                <w:sz w:val="18"/>
                <w:szCs w:val="18"/>
                <w:color w:val="auto"/>
              </w:rPr>
            </w:pPr>
          </w:p>
        </w:tc>
      </w:tr>
      <w:tr>
        <w:trPr>
          <w:trHeight w:val="250"/>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$0.9 million has been recorded for the deferred taxes on such undistributed foreign earnings as of December 31, 2024. The deferred taxes are attributable primarily to the foreign withholding taxes that would become payable should the Company repatriate cash held in its foreign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8"/>
                <w:szCs w:val="18"/>
                <w:color w:val="auto"/>
              </w:rPr>
            </w:pPr>
          </w:p>
        </w:tc>
      </w:tr>
      <w:tr>
        <w:trPr>
          <w:trHeight w:val="210"/>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8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(1,905 )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(495 )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(3,001 )</w:t>
            </w:r>
          </w:p>
        </w:tc>
      </w:tr>
      <w:tr>
        <w:trPr>
          <w:trHeight w:val="21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(295 )</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(1,472 )</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FF0FC"/>
          </w:tcPr>
          <w:p>
            <w:pPr>
              <w:spacing w:after="0"/>
              <w:rPr>
                <w:sz w:val="18"/>
                <w:szCs w:val="18"/>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(3,672 )</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(2,174 )</w:t>
            </w:r>
          </w:p>
        </w:tc>
      </w:tr>
      <w:tr>
        <w:trPr>
          <w:trHeight w:val="249"/>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tax expense</w:t>
            </w:r>
          </w:p>
        </w:tc>
        <w:tc>
          <w:tcPr>
            <w:tcW w:w="24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3700" w:type="dxa"/>
            <w:vAlign w:val="bottom"/>
          </w:tcPr>
          <w:p>
            <w:pPr>
              <w:spacing w:after="0"/>
              <w:rPr>
                <w:sz w:val="24"/>
                <w:szCs w:val="24"/>
                <w:color w:val="auto"/>
              </w:rPr>
            </w:pPr>
          </w:p>
        </w:tc>
        <w:tc>
          <w:tcPr>
            <w:tcW w:w="28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F-28</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-1782445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-1782445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-1224915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-1224915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-933450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-916305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income tax expense differs from the statutory rate due to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expense at statutory rate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resulting from:</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(618 )</w:t>
            </w:r>
          </w:p>
        </w:tc>
        <w:tc>
          <w:tcPr>
            <w:tcW w:w="3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rate differences and adjustments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(1,046 )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 tax credits and incentives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(534 )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(532 )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(626 )</w:t>
            </w: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tax credits and incentives</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(3,142 )</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(895 )</w:t>
            </w: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(1,508 )</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(526 )</w:t>
            </w: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withholding taxes on repatriation of foreign earnings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Earnout expense (income)</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compensation</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Excess compensation</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Provision-to-return adjustments</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(189 )</w:t>
            </w: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(371 )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(155 )</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effect GILTI and FDII</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(428 )</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r>
      <w:tr>
        <w:trPr>
          <w:trHeight w:val="210"/>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tax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Borders>
              <w:top w:val="single" w:sz="8" w:color="CFF0FC"/>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 on assets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Minimum pension</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allowances</w:t>
            </w: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(5,415 )</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(6,545 )</w:t>
            </w:r>
          </w:p>
        </w:tc>
      </w:tr>
      <w:tr>
        <w:trPr>
          <w:trHeight w:val="209"/>
        </w:trPr>
        <w:tc>
          <w:tcPr>
            <w:tcW w:w="7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(2,099 )</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(1,809 )</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(19,652 )</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(14,299 )</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inventory</w:t>
            </w: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Withholding tax on unremitted foreign earnings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(915 )</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(662 )</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(5,883 )</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(3,571 )</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recognition</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(407 )</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(694 )</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w:t>
            </w: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(106 )</w:t>
            </w:r>
          </w:p>
        </w:tc>
        <w:tc>
          <w:tcPr>
            <w:tcW w:w="4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r>
      <w:tr>
        <w:trPr>
          <w:trHeight w:val="20"/>
        </w:trPr>
        <w:tc>
          <w:tcPr>
            <w:tcW w:w="7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4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(28,977 )</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(21,348 )</w:t>
            </w:r>
          </w:p>
        </w:tc>
      </w:tr>
      <w:tr>
        <w:trPr>
          <w:trHeight w:val="20"/>
        </w:trPr>
        <w:tc>
          <w:tcPr>
            <w:tcW w:w="7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(10,356 )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(8,534 )</w:t>
            </w: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-1696720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-316230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federal net operating loss carry forwards total $3.7 million, which expire from 2029 to 2034. As of December 31, 2024, state and local net operating loss carry forwards total $28.3 million, which expire from 2025 to 2044. The Company has recorded a valuation allowance on certain of these net operating loss carry forwards to reflect expected realization.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100"/>
        <w:spacing w:after="0" w:line="261" w:lineRule="auto"/>
        <w:rPr>
          <w:sz w:val="20"/>
          <w:szCs w:val="20"/>
          <w:color w:val="auto"/>
        </w:rPr>
      </w:pPr>
      <w:r>
        <w:rPr>
          <w:rFonts w:ascii="Times New Roman" w:cs="Times New Roman" w:eastAsia="Times New Roman" w:hAnsi="Times New Roman"/>
          <w:sz w:val="18"/>
          <w:szCs w:val="18"/>
          <w:color w:val="auto"/>
        </w:rPr>
        <w:t>Company also has net operating loss carry forwards in foreign jurisdictions totaling $7.3 million. As of December 31, 2024 and 2023, the Company has recorded a valuation reserve, including but not limited to net operating losses, in the amount of $5.4 million and $6.5 million, respectively. The changes in the valuation allowance resulted in additional income tax expense (benefit) of $(1.1) million, $1.5 million, and $(0.5) million in 2024, 2023, and 2022, respectively.</w:t>
      </w:r>
    </w:p>
    <w:p>
      <w:pPr>
        <w:spacing w:after="0" w:line="18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2024. The amount of the deferred tax assets considered realizable, however, could be reduced in the near term if estimates of future taxable income during the carryforward period are reduced.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acquired companies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reserve for uncertain tax positions includes $0.1 million of interest and penalties as of both December 31, 2024 and 2023. The favorable settlement of all uncertain tax positions would impact the Company’s effective income tax rate. Tax years going back to 2019 remain open for examination by all significant federal, state and foreign authorities.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8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Verantis Environmental Solutions Group</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acquired 100% of the equity interests of Verantis Environmental Solutions Group ("Verantis") for $65.5 million in cash, which was financed with a draw on the Company's revolving credit facility. Verantis is a global leader in engineering services and environmental systems that focuses on process improvement in a wide range of general industrial and high technology processes within the Industrial Processing Solutions segment. The following table summarizes the preliminary fair values of the assets acquired and liabilities assumed at the date of closing.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$10,557)</w:t>
            </w:r>
          </w:p>
        </w:tc>
        <w:tc>
          <w:tcPr>
            <w:tcW w:w="7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21,107</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22,070</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44,676</w:t>
            </w:r>
          </w:p>
        </w:tc>
        <w:tc>
          <w:tcPr>
            <w:tcW w:w="12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88,368</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(17,595 )</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(4,349 )</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(928 )</w:t>
            </w:r>
          </w:p>
        </w:tc>
      </w:tr>
      <w:tr>
        <w:trPr>
          <w:trHeight w:val="210"/>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65,496</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$2.4 million, $17.0 million and $2.6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Verantis accounted for $2.4 million in revenue and $0.2 million of net income in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WK Group</w:t>
      </w:r>
    </w:p>
    <w:p>
      <w:pPr>
        <w:spacing w:after="0" w:line="22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October 2, 2024, the Company acquired 100% of the equity interests of WK Group for $6.8 million in cash, which was financed with a draw on the Company's revolving credit facility. As additional consideration in the acquisition of WK Germany KG, GmbH and WK Asia-Pacific Pte. Ltd. (collectively, "WK Group"), the former owners of WK Group are also entitled to earn-out payments up to $27.5 million based upon specified financial results through September 30, 2025. Based on projections at the acquisition date, the Company estimated the fair value of the earn-out to be $6.3 million, recorded within "Accrued expenses" on its Consolidated Balance Sheets. This fair value measurement is based on inputs not observable in the market, which is considered Level 3 on the fair value hierarchy. WK Group designs and engineers a broad range of cutting-edge technical equipment and systems for process and environmental and surface technology applications, as well as innovative sustainable solutions within the Industrial Processing Solutions segment. The following table summarizes the preliminary fair values of the assets acquired and liabilities assumed at the date of closing.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$9,705)</w:t>
            </w:r>
          </w:p>
        </w:tc>
        <w:tc>
          <w:tcPr>
            <w:tcW w:w="7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(12,430 )</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(854 )</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(1,320 )</w:t>
            </w:r>
          </w:p>
        </w:tc>
      </w:tr>
      <w:tr>
        <w:trPr>
          <w:trHeight w:val="209"/>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$1.0 million, $1.2 million and $1.0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WK Group accounted for $4.6 million in revenue and $0.7 million of net loss in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EnviroCare International LLC</w:t>
      </w:r>
    </w:p>
    <w:p>
      <w:pPr>
        <w:spacing w:after="0" w:line="22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On July 29, 2024, the Company acquired 100% of the equity interests of EnviroCare International LLC (“EnviroCare") for $16.8 million, including $15.7 million paid at closing, which was financed with a draw on the Company's revolving credit facility, and a seller promissory note of $1.7 million, partially offset by a working capital adjustment of $0.7 million. EnviroCare is an international designer and provider of industrial exhaust air contamination treatment and control systems, solutions and services across a wide range of industrial and municipal applications within the Industrial Processing Solutions segment. The following table summarizes the preliminary fair values of the assets acquired and liabilities assumed at the date of closing.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$596 and accounts receivable of $405)</w:t>
            </w: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Pr>
          <w:p>
            <w:pPr>
              <w:spacing w:after="0"/>
              <w:rPr>
                <w:sz w:val="18"/>
                <w:szCs w:val="18"/>
                <w:color w:val="auto"/>
              </w:rPr>
            </w:pPr>
          </w:p>
        </w:tc>
      </w:tr>
      <w:tr>
        <w:trPr>
          <w:trHeight w:val="210"/>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(5,024 )</w:t>
            </w:r>
          </w:p>
        </w:tc>
      </w:tr>
      <w:tr>
        <w:trPr>
          <w:trHeight w:val="249"/>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$0.8 million, $0.8 million and $5.7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EnviroCare accounted for $6.0 million in revenue and $0.9 million of net income in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Kemco Systems Co., LLC</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23, 2023, the Company acquired 100% of the equity interests of Kemco for $24.0 million in cash, which was financed with a draw on the Company’s revolving credit facility. During the year ended December 31, 2024, the Company received $0.4 million from the former owners of Kemco as a working capital adjustment, reducing the purchase price to $23.6 million. As additional consideration, the former owners of Kemco are entitled to earnout payments up to $4.0 million based upon specified financial results through August 31, 2026, of which $2.8 million was paid during the year ended December 31, 2024. Based on projections at the acquisition date, the Company estimated the fair value of the earnout to be $2.2 million, which was subsequently adjusted to $2.9 million during the year ended December 31, 2024. This fair value measurement is based on inputs not observable in the market, which is considered Level 3 on the fair value hierarchy. The remaining $0.1 million earnout liability was recorded in "Accrued expenses" on its Consolidated Balance Sheets as of December 31, 2024.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fair values of the assets acquired and liabilities assumed at the date of closing.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$2,328)</w:t>
            </w: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r>
      <w:tr>
        <w:trPr>
          <w:trHeight w:val="210"/>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(6,853 )</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26,231</w:t>
            </w:r>
          </w:p>
        </w:tc>
        <w:tc>
          <w:tcPr>
            <w:tcW w:w="12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$1.4 million, $8.7 million and $1.5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Kemco accounted for $13.1 million in revenue and $2.0 million of net income included in the Company’s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Transcend Solutions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31, 2023, the Company acquired 100% of the equity interests of Transcend Solutions, LLC ("Transcend") for $22.4 million, including $20.0 million in cash, which was financed with a draw on the Company’s revolving credit facility, $2.4 million of deferred cash consideration, consisting of $0.4 million of holdback paid within one year and $2.0 million of notes payable due in equal installments over two years, of which $1.0 million was paid in the year ended December 31, 2024.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2" w:name="page83"/>
    <w:bookmarkEnd w:id="82"/>
    <w:p>
      <w:pPr>
        <w:ind w:right="140"/>
        <w:spacing w:after="0" w:line="282" w:lineRule="auto"/>
        <w:rPr>
          <w:sz w:val="20"/>
          <w:szCs w:val="20"/>
          <w:color w:val="auto"/>
        </w:rPr>
      </w:pPr>
      <w:r>
        <w:rPr>
          <w:rFonts w:ascii="Times New Roman" w:cs="Times New Roman" w:eastAsia="Times New Roman" w:hAnsi="Times New Roman"/>
          <w:sz w:val="18"/>
          <w:szCs w:val="18"/>
          <w:color w:val="auto"/>
        </w:rPr>
        <w:t>hydrocarbon processing, and chemical processing applications within the Engineered Systems segment. The following table summarizes the fair values of the assets acquired and liabilities assumed at the date of closing.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$52 and accounts receivable of $1,493)</w:t>
            </w: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2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(1,203 )</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7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r>
      <w:tr>
        <w:trPr>
          <w:trHeight w:val="249"/>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$0.6 million, $7.6 million and $0.7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were determined to have useful lives of 7, 10 and 10 years, respectively.</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Transcend accounted for $10.3 million in revenue and $1.7 million of net income included in the Company’s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Malvar Engineering Limited</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were entitled to earn-out payments based upon specified financial results through July 31, 2023. Based on projections at the acquisition date, the Company estimated the fair value of the earn-out to be $0.6 million. A payment of $0.6 million, representing the fully earned amount, was made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fair values of the assets acquired and liabilities assumed at the date of closing.</w:t>
      </w:r>
    </w:p>
    <w:p>
      <w:pPr>
        <w:sectPr>
          <w:pgSz w:w="11900" w:h="16838" w:orient="portrait"/>
          <w:cols w:equalWidth="0" w:num="1">
            <w:col w:w="11240"/>
          </w:cols>
          <w:pgMar w:left="320" w:top="1201" w:right="339" w:bottom="1440" w:gutter="0" w:footer="0" w:header="0"/>
        </w:sectPr>
      </w:pP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$2,467)</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18"/>
                <w:szCs w:val="18"/>
                <w:color w:val="auto"/>
              </w:rPr>
            </w:pPr>
          </w:p>
        </w:tc>
      </w:tr>
      <w:tr>
        <w:trPr>
          <w:trHeight w:val="234"/>
        </w:trPr>
        <w:tc>
          <w:tcPr>
            <w:tcW w:w="7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80" w:type="dxa"/>
            <w:vAlign w:val="bottom"/>
          </w:tcPr>
          <w:p>
            <w:pPr>
              <w:spacing w:after="0"/>
              <w:rPr>
                <w:sz w:val="20"/>
                <w:szCs w:val="20"/>
                <w:color w:val="auto"/>
              </w:rPr>
            </w:pPr>
          </w:p>
        </w:tc>
      </w:tr>
      <w:tr>
        <w:trPr>
          <w:trHeight w:val="191"/>
        </w:trPr>
        <w:tc>
          <w:tcPr>
            <w:tcW w:w="7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10,949</w:t>
            </w:r>
          </w:p>
        </w:tc>
        <w:tc>
          <w:tcPr>
            <w:tcW w:w="8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(4,860 )</w:t>
            </w:r>
          </w:p>
        </w:tc>
      </w:tr>
      <w:tr>
        <w:trPr>
          <w:trHeight w:val="234"/>
        </w:trPr>
        <w:tc>
          <w:tcPr>
            <w:tcW w:w="7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(961 )</w:t>
            </w:r>
          </w:p>
        </w:tc>
      </w:tr>
      <w:tr>
        <w:trPr>
          <w:trHeight w:val="210"/>
        </w:trPr>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18"/>
                <w:szCs w:val="18"/>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500" w:space="720"/>
            <w:col w:w="2020"/>
          </w:cols>
          <w:pgMar w:left="320" w:top="1201" w:right="339" w:bottom="1440" w:gutter="0" w:footer="0" w:header="0"/>
          <w:type w:val="continuous"/>
        </w:sect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$1.5 million and $0.3 million, respectively. These assets were determined to have useful lives of 10 years.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Wakefield accounted for $13.8 million in revenue and $1.3 million of net income included in the Company’s results.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acquired DS21 Co., Ltd. which accounted for $1.9 million in revenue and $0.5 million of net loss included in the Company’s results, Western Air Ducts Ltd. which accounted for $1.5 million in revenue and $0.3 million of net loss included in the Company’s results, Compass Water Solutions, Inc. which accounted for $3.7 million in revenue and $0.1 million of net loss included in the Company’s results, and General Rubber LLC, through the EFM JV, which accounted for $11.7 million in revenue and $2.1 million of net income included in the Company’s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83" w:name="page84"/>
    <w:bookmarkEnd w:id="83"/>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finalized the valuation of assets acquired and liabilities assumed related to the 2023 acquisitions. The purchase accounting related to the 2024 acquisitions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Consolidated Statements of Income are related to acquisition activities, which include retention, legal, accounting, banking, and other expenses.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 except per share data)</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636,191</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662,569</w:t>
            </w:r>
          </w:p>
        </w:tc>
        <w:tc>
          <w:tcPr>
            <w:tcW w:w="2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-821055</wp:posOffset>
            </wp:positionV>
            <wp:extent cx="93980" cy="1365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-821055</wp:posOffset>
            </wp:positionV>
            <wp:extent cx="93980" cy="1365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-821055</wp:posOffset>
            </wp:positionV>
            <wp:extent cx="93980" cy="1365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76"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markets that the segment serves and are presented in two reportable segments. The results of the segments, specifically income from operations as adjusted for intercompany profits, are reviewed quarterly by the chief operating decision maker, which is the Company's Chief Executive Officer, for the purposes of allocating resources, including personnel, capital, and financial resources, and assessing performance, including the monitoring of budget versus actual results. Asset information by segment is not reported internally or otherwise regularly reviewed by the CODM. The accounting policies of the segments are the same as those described in the summary of significant accounting policies in Note 1 to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Engineered Systems segment:</w:t>
      </w:r>
      <w:r>
        <w:rPr>
          <w:rFonts w:ascii="Times New Roman" w:cs="Times New Roman" w:eastAsia="Times New Roman" w:hAnsi="Times New Roman"/>
          <w:sz w:val="18"/>
          <w:szCs w:val="18"/>
          <w:color w:val="auto"/>
        </w:rPr>
        <w:t xml:space="preserve"> The Company's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u w:val="single" w:color="auto"/>
          <w:color w:val="auto"/>
        </w:rPr>
        <w:t>Industrial Process Solutions segment:</w:t>
      </w:r>
      <w:r>
        <w:rPr>
          <w:rFonts w:ascii="Times New Roman" w:cs="Times New Roman" w:eastAsia="Times New Roman" w:hAnsi="Times New Roman"/>
          <w:sz w:val="18"/>
          <w:szCs w:val="18"/>
          <w:color w:val="auto"/>
        </w:rPr>
        <w:t xml:space="preserve"> The Company's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year ended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20" w:type="dxa"/>
            <w:vAlign w:val="bottom"/>
          </w:tcPr>
          <w:p>
            <w:pPr>
              <w:spacing w:after="0"/>
              <w:rPr>
                <w:sz w:val="15"/>
                <w:szCs w:val="15"/>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399,032</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184,807</w:t>
            </w:r>
          </w:p>
        </w:tc>
        <w:tc>
          <w:tcPr>
            <w:tcW w:w="120" w:type="dxa"/>
            <w:vAlign w:val="bottom"/>
            <w:shd w:val="clear" w:color="auto" w:fill="CFF0FC"/>
          </w:tcPr>
          <w:p>
            <w:pPr>
              <w:spacing w:after="0"/>
              <w:rPr>
                <w:sz w:val="18"/>
                <w:szCs w:val="18"/>
                <w:color w:val="auto"/>
              </w:rPr>
            </w:pP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120" w:type="dxa"/>
            <w:vAlign w:val="bottom"/>
          </w:tcPr>
          <w:p>
            <w:pPr>
              <w:spacing w:after="0"/>
              <w:rPr>
                <w:sz w:val="20"/>
                <w:szCs w:val="20"/>
                <w:color w:val="auto"/>
              </w:rPr>
            </w:pPr>
          </w:p>
        </w:tc>
      </w:tr>
    </w:tbl>
    <w:p>
      <w:pPr>
        <w:spacing w:after="0" w:line="2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year ended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384,025</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173,908</w:t>
            </w: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Intra-segment sales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sales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583,839</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consolidated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 of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254,381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110,835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365,216</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Shop burden</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33,992</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29,024</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intersegment profit</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8"/>
                <w:szCs w:val="18"/>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consolidated income from operations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profit or loss</w:t>
            </w:r>
            <w:r>
              <w:rPr>
                <w:rFonts w:ascii="Times New Roman" w:cs="Times New Roman" w:eastAsia="Times New Roman" w:hAnsi="Times New Roman"/>
                <w:sz w:val="24"/>
                <w:szCs w:val="24"/>
                <w:color w:val="auto"/>
                <w:vertAlign w:val="superscript"/>
              </w:rPr>
              <w:t>(3)</w:t>
            </w:r>
          </w:p>
        </w:tc>
        <w:tc>
          <w:tcPr>
            <w:tcW w:w="2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-2660015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-2660015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-2660015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asbestos litigation expenses.</w:t>
      </w:r>
    </w:p>
    <w:p>
      <w:pPr>
        <w:spacing w:after="0" w:line="2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w:t>
      </w:r>
    </w:p>
    <w:p>
      <w:pPr>
        <w:spacing w:after="0" w:line="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information is as follows for the year ended December 31,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8"/>
                <w:szCs w:val="18"/>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80" w:type="dxa"/>
            <w:vAlign w:val="bottom"/>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 Other</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4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100" w:type="dxa"/>
            <w:vAlign w:val="bottom"/>
            <w:shd w:val="clear" w:color="auto" w:fill="CFF0FC"/>
          </w:tcPr>
          <w:p>
            <w:pPr>
              <w:spacing w:after="0"/>
              <w:rPr>
                <w:sz w:val="18"/>
                <w:szCs w:val="18"/>
                <w:color w:val="auto"/>
              </w:rPr>
            </w:pPr>
          </w:p>
        </w:tc>
      </w:tr>
      <w:tr>
        <w:trPr>
          <w:trHeight w:val="31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tcPr>
          <w:p>
            <w:pPr>
              <w:spacing w:after="0"/>
              <w:rPr>
                <w:sz w:val="24"/>
                <w:szCs w:val="24"/>
                <w:color w:val="auto"/>
              </w:rPr>
            </w:pPr>
          </w:p>
        </w:tc>
      </w:tr>
    </w:tbl>
    <w:p>
      <w:pPr>
        <w:spacing w:after="0" w:line="16" w:lineRule="exact"/>
        <w:rPr>
          <w:sz w:val="20"/>
          <w:szCs w:val="20"/>
          <w:color w:val="auto"/>
        </w:rPr>
      </w:pPr>
    </w:p>
    <w:p>
      <w:pPr>
        <w:ind w:left="760" w:right="100" w:hanging="3"/>
        <w:spacing w:after="0" w:line="282"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year ended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20" w:type="dxa"/>
            <w:vAlign w:val="bottom"/>
          </w:tcPr>
          <w:p>
            <w:pPr>
              <w:spacing w:after="0"/>
              <w:rPr>
                <w:sz w:val="15"/>
                <w:szCs w:val="15"/>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412,929</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120" w:type="dxa"/>
            <w:vAlign w:val="bottom"/>
            <w:shd w:val="clear" w:color="auto" w:fill="CFF0FC"/>
          </w:tcPr>
          <w:p>
            <w:pPr>
              <w:spacing w:after="0"/>
              <w:rPr>
                <w:sz w:val="18"/>
                <w:szCs w:val="18"/>
                <w:color w:val="auto"/>
              </w:rPr>
            </w:pP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59,846</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20" w:type="dxa"/>
            <w:vAlign w:val="bottom"/>
          </w:tcPr>
          <w:p>
            <w:pPr>
              <w:spacing w:after="0"/>
              <w:rPr>
                <w:sz w:val="20"/>
                <w:szCs w:val="20"/>
                <w:color w:val="auto"/>
              </w:rPr>
            </w:pPr>
          </w:p>
        </w:tc>
      </w:tr>
    </w:tbl>
    <w:p>
      <w:pPr>
        <w:spacing w:after="0" w:line="7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380,108</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164,737</w:t>
            </w: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Intra-segment sales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48,891</w:t>
            </w: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sales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412,929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595,940</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51,095</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consolidated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 of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287,016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404,763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Shop burden</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29,765</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82,461</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42,374</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intersegment profit</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consolidated income from operations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profit or loss</w:t>
            </w:r>
            <w:r>
              <w:rPr>
                <w:rFonts w:ascii="Times New Roman" w:cs="Times New Roman" w:eastAsia="Times New Roman" w:hAnsi="Times New Roman"/>
                <w:sz w:val="24"/>
                <w:szCs w:val="24"/>
                <w:color w:val="auto"/>
                <w:vertAlign w:val="superscript"/>
              </w:rPr>
              <w:t>(3)</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r>
      <w:tr>
        <w:trPr>
          <w:trHeight w:val="228"/>
        </w:trPr>
        <w:tc>
          <w:tcPr>
            <w:tcW w:w="4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20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12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-2660015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-2660015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-2660015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asbestos litigation expenses.</w:t>
      </w:r>
    </w:p>
    <w:p>
      <w:pPr>
        <w:spacing w:after="0" w:line="2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w:t>
      </w:r>
    </w:p>
    <w:p>
      <w:pPr>
        <w:spacing w:after="0" w:line="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information is as follows for the year ended December 31,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8"/>
                <w:szCs w:val="18"/>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80" w:type="dxa"/>
            <w:vAlign w:val="bottom"/>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 Other</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8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00" w:type="dxa"/>
            <w:vAlign w:val="bottom"/>
            <w:shd w:val="clear" w:color="auto" w:fill="CFF0FC"/>
          </w:tcPr>
          <w:p>
            <w:pPr>
              <w:spacing w:after="0"/>
              <w:rPr>
                <w:sz w:val="18"/>
                <w:szCs w:val="18"/>
                <w:color w:val="auto"/>
              </w:rPr>
            </w:pPr>
          </w:p>
        </w:tc>
      </w:tr>
      <w:tr>
        <w:trPr>
          <w:trHeight w:val="31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24"/>
                <w:szCs w:val="24"/>
                <w:color w:val="auto"/>
              </w:rPr>
            </w:pPr>
          </w:p>
        </w:tc>
      </w:tr>
    </w:tbl>
    <w:p>
      <w:pPr>
        <w:spacing w:after="0" w:line="16" w:lineRule="exact"/>
        <w:rPr>
          <w:sz w:val="20"/>
          <w:szCs w:val="20"/>
          <w:color w:val="auto"/>
        </w:rPr>
      </w:pPr>
    </w:p>
    <w:p>
      <w:pPr>
        <w:ind w:left="760" w:right="100" w:hanging="3"/>
        <w:spacing w:after="0" w:line="282" w:lineRule="auto"/>
        <w:tabs>
          <w:tab w:leader="none" w:pos="10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year ended December 31,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20" w:type="dxa"/>
            <w:vAlign w:val="bottom"/>
          </w:tcPr>
          <w:p>
            <w:pPr>
              <w:spacing w:after="0"/>
              <w:rPr>
                <w:sz w:val="15"/>
                <w:szCs w:val="15"/>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278,354</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165,221</w:t>
            </w:r>
          </w:p>
        </w:tc>
        <w:tc>
          <w:tcPr>
            <w:tcW w:w="120" w:type="dxa"/>
            <w:vAlign w:val="bottom"/>
            <w:shd w:val="clear" w:color="auto" w:fill="CFF0FC"/>
          </w:tcPr>
          <w:p>
            <w:pPr>
              <w:spacing w:after="0"/>
              <w:rPr>
                <w:sz w:val="18"/>
                <w:szCs w:val="18"/>
                <w:color w:val="auto"/>
              </w:rPr>
            </w:pP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20" w:type="dxa"/>
            <w:vAlign w:val="bottom"/>
          </w:tcPr>
          <w:p>
            <w:pPr>
              <w:spacing w:after="0"/>
              <w:rPr>
                <w:sz w:val="20"/>
                <w:szCs w:val="20"/>
                <w:color w:val="auto"/>
              </w:rPr>
            </w:pPr>
          </w:p>
        </w:tc>
      </w:tr>
    </w:tbl>
    <w:p>
      <w:pPr>
        <w:spacing w:after="0" w:line="2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year ended December 31,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263,224</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159,404</w:t>
            </w: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Intra-segment sales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sales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165,221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443,574</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00" w:type="dxa"/>
            <w:vAlign w:val="bottom"/>
          </w:tcPr>
          <w:p>
            <w:pPr>
              <w:spacing w:after="0"/>
              <w:rPr>
                <w:sz w:val="18"/>
                <w:szCs w:val="18"/>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consolidated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 of sales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200,020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106,037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306,057</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Shop burden</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56,390</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intersegment profit</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(2,515 )</w:t>
            </w: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consolidated income from operations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profit or loss</w:t>
            </w:r>
            <w:r>
              <w:rPr>
                <w:rFonts w:ascii="Times New Roman" w:cs="Times New Roman" w:eastAsia="Times New Roman" w:hAnsi="Times New Roman"/>
                <w:sz w:val="24"/>
                <w:szCs w:val="24"/>
                <w:color w:val="auto"/>
                <w:vertAlign w:val="superscript"/>
              </w:rPr>
              <w:t>(3)</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(6,947 )</w:t>
            </w:r>
          </w:p>
        </w:tc>
      </w:tr>
      <w:tr>
        <w:trPr>
          <w:trHeight w:val="228"/>
        </w:trPr>
        <w:tc>
          <w:tcPr>
            <w:tcW w:w="4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20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12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-2660015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-2660015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-2660015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asbestos litigation expenses.</w:t>
      </w:r>
    </w:p>
    <w:p>
      <w:pPr>
        <w:spacing w:after="0" w:line="2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w:t>
      </w:r>
    </w:p>
    <w:p>
      <w:pPr>
        <w:spacing w:after="0" w:line="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information is as follows for the year ended December 31,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8"/>
                <w:szCs w:val="18"/>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80" w:type="dxa"/>
            <w:vAlign w:val="bottom"/>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 Other</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8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FF0FC"/>
          </w:tcPr>
          <w:p>
            <w:pPr>
              <w:spacing w:after="0"/>
              <w:rPr>
                <w:sz w:val="18"/>
                <w:szCs w:val="18"/>
                <w:color w:val="auto"/>
              </w:rPr>
            </w:pPr>
          </w:p>
        </w:tc>
      </w:tr>
      <w:tr>
        <w:trPr>
          <w:trHeight w:val="31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Pr>
          <w:p>
            <w:pPr>
              <w:spacing w:after="0"/>
              <w:rPr>
                <w:sz w:val="24"/>
                <w:szCs w:val="24"/>
                <w:color w:val="auto"/>
              </w:rPr>
            </w:pPr>
          </w:p>
        </w:tc>
      </w:tr>
    </w:tbl>
    <w:p>
      <w:pPr>
        <w:spacing w:after="0" w:line="16" w:lineRule="exact"/>
        <w:rPr>
          <w:sz w:val="20"/>
          <w:szCs w:val="20"/>
          <w:color w:val="auto"/>
        </w:rPr>
      </w:pPr>
    </w:p>
    <w:p>
      <w:pPr>
        <w:ind w:left="760" w:right="100" w:hanging="3"/>
        <w:spacing w:after="0" w:line="282" w:lineRule="auto"/>
        <w:tabs>
          <w:tab w:leader="none" w:pos="10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greater than 10% of consolidated net sales or accounts receivable for 2024, 2023, or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area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376,281</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364,483</w:t>
            </w:r>
          </w:p>
        </w:tc>
        <w:tc>
          <w:tcPr>
            <w:tcW w:w="5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51,066</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51,149</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53,487</w:t>
            </w:r>
          </w:p>
        </w:tc>
        <w:tc>
          <w:tcPr>
            <w:tcW w:w="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5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5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-980440</wp:posOffset>
            </wp:positionV>
            <wp:extent cx="93980" cy="1365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-980440</wp:posOffset>
            </wp:positionV>
            <wp:extent cx="93980" cy="1365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-980440</wp:posOffset>
            </wp:positionV>
            <wp:extent cx="93980" cy="1365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net sales is based upon the country location of the Company's business unit generating such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by geographic area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3"/>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580" w:type="dxa"/>
            <w:vAlign w:val="bottom"/>
          </w:tcPr>
          <w:p>
            <w:pPr>
              <w:spacing w:after="0"/>
              <w:rPr>
                <w:sz w:val="15"/>
                <w:szCs w:val="15"/>
                <w:color w:val="auto"/>
              </w:rPr>
            </w:pPr>
          </w:p>
        </w:tc>
        <w:tc>
          <w:tcPr>
            <w:tcW w:w="300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9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9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332,162</w:t>
            </w:r>
          </w:p>
        </w:tc>
        <w:tc>
          <w:tcPr>
            <w:tcW w:w="56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5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36,315</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5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long-lived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11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5153025</wp:posOffset>
            </wp:positionH>
            <wp:positionV relativeFrom="paragraph">
              <wp:posOffset>-843280</wp:posOffset>
            </wp:positionV>
            <wp:extent cx="93980" cy="1365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-843280</wp:posOffset>
            </wp:positionV>
            <wp:extent cx="93980" cy="1365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long-lived assets is based upon physical location of such assets.</w:t>
      </w:r>
    </w:p>
    <w:p>
      <w:pPr>
        <w:spacing w:after="0" w:line="221"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3, 2025, the Company completed its acquisition of Profire Energy, Inc. ("Profire"), a technology company and provider of intelligent control solutions that enhance the efficiency, safety, and reliability of industrial combustion appliances while mitigating potential environmental impacts related to the operation of these devices with its primary operations in Lindon, Utah and Acheson, Alberta. The aggregate consideration paid by the Company to acquire the shares of Profire was approximately $122.7 million, which the Company financed through a combination of cash on hand and borrowings under its existing credit facility. The impact of this acquisition is not included in the Company's results for the year ended December 31, 2024. The initial accounting for the acquisition was not complete at the time the financial statements were issued due to the timing of the acquisition and the filing of this Annual Report on Form 10-K. As a result, complete disclosures required under ASC 805, Business Combinations, cannot be made at this time.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January 16, 2025, the Company announced its intention to divest its Fluid Handling business. The Company entered into a non-binding Letter of Intent in the first quarter of 2025 in regards to this potential divestiture.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1348740</wp:posOffset>
            </wp:positionV>
            <wp:extent cx="4105910" cy="15773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410591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40"/>
        <w:spacing w:after="0"/>
        <w:rPr>
          <w:sz w:val="20"/>
          <w:szCs w:val="20"/>
          <w:color w:val="auto"/>
        </w:rPr>
      </w:pPr>
      <w:r>
        <w:rPr>
          <w:rFonts w:ascii="Arial" w:cs="Arial" w:eastAsia="Arial" w:hAnsi="Arial"/>
          <w:sz w:val="43"/>
          <w:szCs w:val="43"/>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Rev.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348"/>
        </w:trPr>
        <w:tc>
          <w:tcPr>
            <w:tcW w:w="340" w:type="dxa"/>
            <w:vAlign w:val="bottom"/>
          </w:tcPr>
          <w:p>
            <w:pPr>
              <w:spacing w:after="0"/>
              <w:rPr>
                <w:sz w:val="24"/>
                <w:szCs w:val="24"/>
                <w:color w:val="auto"/>
              </w:rPr>
            </w:pPr>
          </w:p>
        </w:tc>
        <w:tc>
          <w:tcPr>
            <w:tcW w:w="8720" w:type="dxa"/>
            <w:vAlign w:val="bottom"/>
          </w:tcPr>
          <w:p>
            <w:pPr>
              <w:ind w:left="2960"/>
              <w:spacing w:after="0"/>
              <w:rPr>
                <w:sz w:val="20"/>
                <w:szCs w:val="20"/>
                <w:color w:val="auto"/>
              </w:rPr>
            </w:pPr>
            <w:r>
              <w:rPr>
                <w:rFonts w:ascii="Arial" w:cs="Arial" w:eastAsia="Arial" w:hAnsi="Arial"/>
                <w:sz w:val="25"/>
                <w:szCs w:val="25"/>
                <w:b w:val="1"/>
                <w:bCs w:val="1"/>
                <w:color w:val="auto"/>
              </w:rPr>
              <w:t>TABLE OF CONTENTS</w:t>
            </w:r>
          </w:p>
        </w:tc>
        <w:tc>
          <w:tcPr>
            <w:tcW w:w="1040" w:type="dxa"/>
            <w:vAlign w:val="bottom"/>
          </w:tcPr>
          <w:p>
            <w:pPr>
              <w:spacing w:after="0"/>
              <w:rPr>
                <w:sz w:val="24"/>
                <w:szCs w:val="24"/>
                <w:color w:val="auto"/>
              </w:rPr>
            </w:pPr>
          </w:p>
        </w:tc>
      </w:tr>
      <w:tr>
        <w:trPr>
          <w:trHeight w:val="198"/>
        </w:trPr>
        <w:tc>
          <w:tcPr>
            <w:tcW w:w="9060" w:type="dxa"/>
            <w:vAlign w:val="bottom"/>
            <w:tcBorders>
              <w:bottom w:val="single" w:sz="8" w:color="auto"/>
            </w:tcBorders>
            <w:gridSpan w:val="2"/>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10"/>
        </w:trPr>
        <w:tc>
          <w:tcPr>
            <w:tcW w:w="9060" w:type="dxa"/>
            <w:vAlign w:val="bottom"/>
            <w:tcBorders>
              <w:top w:val="single" w:sz="8" w:color="auto"/>
              <w:left w:val="single" w:sz="8" w:color="auto"/>
              <w:bottom w:val="single" w:sz="8" w:color="auto"/>
              <w:right w:val="single" w:sz="8" w:color="auto"/>
            </w:tcBorders>
            <w:gridSpan w:val="2"/>
            <w:shd w:val="clear" w:color="auto" w:fill="DEEAF6"/>
          </w:tcPr>
          <w:p>
            <w:pPr>
              <w:ind w:left="120"/>
              <w:spacing w:after="0" w:line="189" w:lineRule="exact"/>
              <w:rPr>
                <w:sz w:val="20"/>
                <w:szCs w:val="20"/>
                <w:color w:val="auto"/>
              </w:rPr>
            </w:pPr>
            <w:r>
              <w:rPr>
                <w:rFonts w:ascii="Arial" w:cs="Arial" w:eastAsia="Arial" w:hAnsi="Arial"/>
                <w:sz w:val="20"/>
                <w:szCs w:val="20"/>
                <w:b w:val="1"/>
                <w:bCs w:val="1"/>
                <w:color w:val="auto"/>
              </w:rPr>
              <w:t>Section</w:t>
            </w:r>
          </w:p>
        </w:tc>
        <w:tc>
          <w:tcPr>
            <w:tcW w:w="1040" w:type="dxa"/>
            <w:vAlign w:val="bottom"/>
            <w:tcBorders>
              <w:top w:val="single" w:sz="8" w:color="DEEAF6"/>
              <w:bottom w:val="single" w:sz="8" w:color="auto"/>
              <w:right w:val="single" w:sz="8" w:color="auto"/>
            </w:tcBorders>
            <w:shd w:val="clear" w:color="auto" w:fill="DEEAF6"/>
          </w:tcPr>
          <w:p>
            <w:pPr>
              <w:ind w:left="20"/>
              <w:spacing w:after="0" w:line="189" w:lineRule="exact"/>
              <w:rPr>
                <w:sz w:val="20"/>
                <w:szCs w:val="20"/>
                <w:color w:val="auto"/>
              </w:rPr>
            </w:pPr>
            <w:r>
              <w:rPr>
                <w:rFonts w:ascii="Arial" w:cs="Arial" w:eastAsia="Arial" w:hAnsi="Arial"/>
                <w:sz w:val="20"/>
                <w:szCs w:val="20"/>
                <w:b w:val="1"/>
                <w:bCs w:val="1"/>
                <w:color w:val="auto"/>
              </w:rPr>
              <w:t>Page</w:t>
            </w:r>
          </w:p>
        </w:tc>
      </w:tr>
      <w:tr>
        <w:trPr>
          <w:trHeight w:val="213"/>
        </w:trPr>
        <w:tc>
          <w:tcPr>
            <w:tcW w:w="3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I.</w:t>
            </w:r>
          </w:p>
        </w:tc>
        <w:tc>
          <w:tcPr>
            <w:tcW w:w="8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Purpose</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r>
      <w:tr>
        <w:trPr>
          <w:trHeight w:val="237"/>
        </w:trPr>
        <w:tc>
          <w:tcPr>
            <w:tcW w:w="3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II.</w:t>
            </w:r>
          </w:p>
        </w:tc>
        <w:tc>
          <w:tcPr>
            <w:tcW w:w="8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Scope</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r>
      <w:tr>
        <w:trPr>
          <w:trHeight w:val="237"/>
        </w:trPr>
        <w:tc>
          <w:tcPr>
            <w:tcW w:w="90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III. Insider Trading Prohibitions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r>
      <w:tr>
        <w:trPr>
          <w:trHeight w:val="236"/>
        </w:trPr>
        <w:tc>
          <w:tcPr>
            <w:tcW w:w="90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IV. Policy</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 Trading on Material Nonpublic Information</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 Hedging; Loans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 Speculative Trades and Short Sales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 Stock Option Plan Transactions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 Transactions by Related Persons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 Tipping</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 Rule 10b5-1</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H. Short-Term Trading</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8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 Bona Fide Gifts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r>
      <w:tr>
        <w:trPr>
          <w:trHeight w:val="237"/>
        </w:trPr>
        <w:tc>
          <w:tcPr>
            <w:tcW w:w="90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V. Definitions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w:t>
            </w:r>
          </w:p>
        </w:tc>
      </w:tr>
      <w:tr>
        <w:trPr>
          <w:trHeight w:val="237"/>
        </w:trPr>
        <w:tc>
          <w:tcPr>
            <w:tcW w:w="90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VI. Enforcement and Consequences of the Insider Trading Laws</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w:t>
            </w:r>
          </w:p>
        </w:tc>
      </w:tr>
      <w:tr>
        <w:trPr>
          <w:trHeight w:val="236"/>
        </w:trPr>
        <w:tc>
          <w:tcPr>
            <w:tcW w:w="90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VII. Safeguarding Confidential Information</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r>
      <w:tr>
        <w:trPr>
          <w:trHeight w:val="237"/>
        </w:trPr>
        <w:tc>
          <w:tcPr>
            <w:tcW w:w="90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VIII. A Word of Caution</w:t>
            </w:r>
          </w:p>
        </w:tc>
        <w:tc>
          <w:tcPr>
            <w:tcW w:w="1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r>
      <w:tr>
        <w:trPr>
          <w:trHeight w:val="236"/>
        </w:trPr>
        <w:tc>
          <w:tcPr>
            <w:tcW w:w="90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Supplement to Insider Trading Policy: Additional Trading Restrictions for Section 16 Individuals</w:t>
            </w:r>
          </w:p>
        </w:tc>
        <w:tc>
          <w:tcPr>
            <w:tcW w:w="1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w:t>
            </w:r>
          </w:p>
        </w:tc>
      </w:tr>
    </w:tbl>
    <w:p>
      <w:pPr>
        <w:spacing w:after="0" w:line="19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892175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440" w:top="1440" w:right="1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7" w:hanging="367"/>
        <w:spacing w:after="0"/>
        <w:tabs>
          <w:tab w:leader="none" w:pos="367"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180" w:lineRule="exact"/>
        <w:rPr>
          <w:sz w:val="20"/>
          <w:szCs w:val="20"/>
          <w:color w:val="auto"/>
        </w:rPr>
      </w:pPr>
    </w:p>
    <w:p>
      <w:pPr>
        <w:jc w:val="both"/>
        <w:ind w:left="7" w:right="900"/>
        <w:spacing w:after="0" w:line="238" w:lineRule="auto"/>
        <w:rPr>
          <w:sz w:val="20"/>
          <w:szCs w:val="20"/>
          <w:color w:val="auto"/>
        </w:rPr>
      </w:pPr>
      <w:r>
        <w:rPr>
          <w:rFonts w:ascii="Arial" w:cs="Arial" w:eastAsia="Arial" w:hAnsi="Arial"/>
          <w:sz w:val="18"/>
          <w:szCs w:val="18"/>
          <w:color w:val="auto"/>
        </w:rPr>
        <w:t>The purpose of this Insider Trading Policy (“Policy”) is to provide general procedural guidelines for CECO Environmental Corp. (“CECO” or “Company”) and its directors, officers, and employees to follow when in possession of Material Nonpublic Information (defined below) about Company or other entities and to reduce the risk that Insider Trading occurs. In order to avoid the appearance of Trading on Material Nonpublic Information concerning Company and to facilitate compliance with certain transaction reporting obligations under applicable federal securities laws, the Policy also provides procedures for directors, officers, and certain employees to follow when conducting transactions in Company Securities (defined below) and reporting such transactions to the U.S. Securities and Exchange Commission ("SEC") and other applicable exchanges. Trading on Material Nonpublic Information or providing Material Nonpublic Information to others who purchase or sell securities based on such information is a violation of the federal securities laws and is prohibited by Company. Violations of federal securities laws may result in civil or criminal liability for Company and its officers and directors. Therefore, any violation of this Policy by a director, officer, or employee of Company may result in disciplinary action including termination.</w:t>
      </w:r>
    </w:p>
    <w:p>
      <w:pPr>
        <w:spacing w:after="0" w:line="140" w:lineRule="exact"/>
        <w:rPr>
          <w:sz w:val="20"/>
          <w:szCs w:val="20"/>
          <w:color w:val="auto"/>
        </w:rPr>
      </w:pPr>
    </w:p>
    <w:p>
      <w:pPr>
        <w:ind w:left="367" w:hanging="367"/>
        <w:spacing w:after="0"/>
        <w:tabs>
          <w:tab w:leader="none" w:pos="367"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SCOPE</w:t>
      </w:r>
    </w:p>
    <w:p>
      <w:pPr>
        <w:spacing w:after="0" w:line="180" w:lineRule="exact"/>
        <w:rPr>
          <w:sz w:val="20"/>
          <w:szCs w:val="20"/>
          <w:color w:val="auto"/>
        </w:rPr>
      </w:pPr>
    </w:p>
    <w:p>
      <w:pPr>
        <w:jc w:val="both"/>
        <w:ind w:left="7" w:right="920"/>
        <w:spacing w:after="0" w:line="239" w:lineRule="auto"/>
        <w:rPr>
          <w:sz w:val="20"/>
          <w:szCs w:val="20"/>
          <w:color w:val="auto"/>
        </w:rPr>
      </w:pPr>
      <w:r>
        <w:rPr>
          <w:rFonts w:ascii="Arial" w:cs="Arial" w:eastAsia="Arial" w:hAnsi="Arial"/>
          <w:sz w:val="18"/>
          <w:szCs w:val="18"/>
          <w:color w:val="auto"/>
        </w:rPr>
        <w:t>This Policy applies to all individuals, including but not limited to Company’s executive officers, directors, other management personnel, full-time and part-time employees, temporary employees, consultants, independent contractors, outside advisers, and other temporary Insiders (including, without limitation, investment bankers, analysts, accountants and attorneys), who provide services to Company or any of its subsidiaries and who receive or have access to Material Nonpublic Information. This Policy also applies to family members and to those who share a household with someone otherwise subject to this Policy, as well as independent retirement accounts, trusts and other entities controlled by those subject to this Policy. In addition, individuals who have recently departed from Company or any of its subsidiaries or otherwise terminated a relationship with Company or any of its subsidiaries will be expected to comply with the terms of this Policy for the period of time during which such individuals are in possession of Material Nonpublic Information until its public release and absorption by the securities market.</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III.  INSIDER TRADING PROHIBITIONS</w:t>
      </w:r>
    </w:p>
    <w:p>
      <w:pPr>
        <w:spacing w:after="0" w:line="180" w:lineRule="exact"/>
        <w:rPr>
          <w:sz w:val="20"/>
          <w:szCs w:val="20"/>
          <w:color w:val="auto"/>
        </w:rPr>
      </w:pPr>
    </w:p>
    <w:p>
      <w:pPr>
        <w:jc w:val="both"/>
        <w:ind w:left="7" w:right="920"/>
        <w:spacing w:after="0" w:line="244" w:lineRule="auto"/>
        <w:rPr>
          <w:sz w:val="20"/>
          <w:szCs w:val="20"/>
          <w:color w:val="auto"/>
        </w:rPr>
      </w:pPr>
      <w:r>
        <w:rPr>
          <w:rFonts w:ascii="Arial" w:cs="Arial" w:eastAsia="Arial" w:hAnsi="Arial"/>
          <w:sz w:val="18"/>
          <w:szCs w:val="18"/>
          <w:color w:val="auto"/>
        </w:rPr>
        <w:t>The Insider Trading laws prohibit (i) buying, selling, or gifting securities of a company while in possession of Material Nonpublic Information (as defined below) about that company, (ii) engaging in any other action to take advantage of such Material Nonpublic Information, and (iii) passing such Material Nonpublic Information on to others who might purchase or sell securities on the basis of the information. These laws apply not only to Trading (defined below) Company Securities, but also to Trading in the securities of other companies about which the person doing the Trading has acquired Material Nonpublic Information.</w:t>
      </w:r>
    </w:p>
    <w:p>
      <w:pPr>
        <w:spacing w:after="0" w:line="149" w:lineRule="exact"/>
        <w:rPr>
          <w:sz w:val="20"/>
          <w:szCs w:val="20"/>
          <w:color w:val="auto"/>
        </w:rPr>
      </w:pPr>
    </w:p>
    <w:p>
      <w:pPr>
        <w:jc w:val="both"/>
        <w:ind w:left="7" w:right="920"/>
        <w:spacing w:after="0"/>
        <w:rPr>
          <w:sz w:val="20"/>
          <w:szCs w:val="20"/>
          <w:color w:val="auto"/>
        </w:rPr>
      </w:pPr>
      <w:r>
        <w:rPr>
          <w:rFonts w:ascii="Arial" w:cs="Arial" w:eastAsia="Arial" w:hAnsi="Arial"/>
          <w:sz w:val="18"/>
          <w:szCs w:val="18"/>
          <w:color w:val="auto"/>
        </w:rPr>
        <w:t>If employees obtain Material Nonpublic Information concerning a customer, potential customer, supplier, potential supplier, or another company doing or contemplating doing business with CECO, the law considers that individual to be an Insider of that company and, therefore, prohibits the purchase or sale of such company's securities or making Trading recommendations to others. If an individual violates this prohibition, the individual may be subject to all the penalties for Insider Trading described in this Policy. Employees must also always remember that information that may not be material to CECO may be material to a customer, supplier, or another company. This Policy is in addition to existing conflict of interest policies prohibiting or restricting employees' investing in CECO’s customers, potential customers, suppliers, potential suppliers, and business partners.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810895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4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IV. POLICY</w:t>
      </w:r>
    </w:p>
    <w:p>
      <w:pPr>
        <w:spacing w:after="0" w:line="175" w:lineRule="exact"/>
        <w:rPr>
          <w:sz w:val="20"/>
          <w:szCs w:val="20"/>
          <w:color w:val="auto"/>
        </w:rPr>
      </w:pPr>
    </w:p>
    <w:p>
      <w:pPr>
        <w:ind w:left="740" w:hanging="373"/>
        <w:spacing w:after="0"/>
        <w:tabs>
          <w:tab w:leader="none" w:pos="7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Trading on Material Nonpublic Information</w:t>
      </w:r>
    </w:p>
    <w:p>
      <w:pPr>
        <w:spacing w:after="0" w:line="193" w:lineRule="exact"/>
        <w:rPr>
          <w:rFonts w:ascii="Arial" w:cs="Arial" w:eastAsia="Arial" w:hAnsi="Arial"/>
          <w:sz w:val="20"/>
          <w:szCs w:val="20"/>
          <w:b w:val="1"/>
          <w:bCs w:val="1"/>
          <w:color w:val="auto"/>
        </w:rPr>
      </w:pPr>
    </w:p>
    <w:p>
      <w:pPr>
        <w:jc w:val="both"/>
        <w:ind w:left="1460" w:right="920" w:hanging="344"/>
        <w:spacing w:after="0" w:line="247"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you have Material Nonpublic Information relating to CECO or information that might affect the market value of securities of any other company that is acquired in the course of your employment with CECO, neither you nor any Related Person (defined below) may Trade Company Securities, or the securities of the other company, or engage in any other actions to take advantage of, or pass on to others, that information.</w:t>
      </w:r>
    </w:p>
    <w:p>
      <w:pPr>
        <w:spacing w:after="0" w:line="160" w:lineRule="exact"/>
        <w:rPr>
          <w:rFonts w:ascii="Arial" w:cs="Arial" w:eastAsia="Arial" w:hAnsi="Arial"/>
          <w:sz w:val="18"/>
          <w:szCs w:val="18"/>
          <w:color w:val="auto"/>
        </w:rPr>
      </w:pPr>
    </w:p>
    <w:p>
      <w:pPr>
        <w:jc w:val="both"/>
        <w:ind w:left="1460" w:right="1020" w:hanging="344"/>
        <w:spacing w:after="0" w:line="253"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Directors, officers, and other personnel who regularly have access to or generate Material Nonpublic Information are subject to additional restrictions on Trading of Company Securities. (If you are subject to these additional restrictions, a summary of the restrictions is attached as a Supplement to this Policy.)</w:t>
      </w:r>
    </w:p>
    <w:p>
      <w:pPr>
        <w:spacing w:after="0" w:line="155" w:lineRule="exact"/>
        <w:rPr>
          <w:rFonts w:ascii="Arial" w:cs="Arial" w:eastAsia="Arial" w:hAnsi="Arial"/>
          <w:sz w:val="18"/>
          <w:szCs w:val="18"/>
          <w:color w:val="auto"/>
        </w:rPr>
      </w:pPr>
    </w:p>
    <w:p>
      <w:pPr>
        <w:ind w:left="1460" w:right="920" w:hanging="344"/>
        <w:spacing w:after="0" w:line="271"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bear the ultimate responsibility for following this Policy and avoiding improper transactions or the appearance of improper transactions.</w:t>
      </w:r>
    </w:p>
    <w:p>
      <w:pPr>
        <w:spacing w:after="0" w:line="140" w:lineRule="exact"/>
        <w:rPr>
          <w:rFonts w:ascii="Arial" w:cs="Arial" w:eastAsia="Arial" w:hAnsi="Arial"/>
          <w:sz w:val="18"/>
          <w:szCs w:val="18"/>
          <w:color w:val="auto"/>
        </w:rPr>
      </w:pPr>
    </w:p>
    <w:p>
      <w:pPr>
        <w:ind w:left="1500" w:hanging="384"/>
        <w:spacing w:after="0"/>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CECO may adopt additional restrictions or limitations applicable to some or all employees.</w:t>
      </w:r>
    </w:p>
    <w:p>
      <w:pPr>
        <w:spacing w:after="0" w:line="198" w:lineRule="exact"/>
        <w:rPr>
          <w:rFonts w:ascii="Arial" w:cs="Arial" w:eastAsia="Arial" w:hAnsi="Arial"/>
          <w:sz w:val="18"/>
          <w:szCs w:val="18"/>
          <w:color w:val="auto"/>
        </w:rPr>
      </w:pPr>
    </w:p>
    <w:p>
      <w:pPr>
        <w:ind w:left="1500" w:hanging="384"/>
        <w:spacing w:after="0"/>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questions regarding this Policy should be directed to Company’s General Counsel.</w:t>
      </w:r>
    </w:p>
    <w:p>
      <w:pPr>
        <w:spacing w:after="0" w:line="198" w:lineRule="exact"/>
        <w:rPr>
          <w:rFonts w:ascii="Arial" w:cs="Arial" w:eastAsia="Arial" w:hAnsi="Arial"/>
          <w:sz w:val="18"/>
          <w:szCs w:val="18"/>
          <w:color w:val="auto"/>
        </w:rPr>
      </w:pPr>
    </w:p>
    <w:p>
      <w:pPr>
        <w:ind w:left="1460" w:right="920" w:hanging="344"/>
        <w:spacing w:after="0" w:line="271"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restrictions on Trading in this Paragraph A do not apply to transactions made under an Approved Rule 10b5-1 Trading Plan (defined below).</w:t>
      </w:r>
    </w:p>
    <w:p>
      <w:pPr>
        <w:spacing w:after="0" w:line="153" w:lineRule="exact"/>
        <w:rPr>
          <w:rFonts w:ascii="Arial" w:cs="Arial" w:eastAsia="Arial" w:hAnsi="Arial"/>
          <w:sz w:val="18"/>
          <w:szCs w:val="18"/>
          <w:color w:val="auto"/>
        </w:rPr>
      </w:pPr>
    </w:p>
    <w:p>
      <w:pPr>
        <w:ind w:left="1460" w:right="920" w:hanging="344"/>
        <w:spacing w:after="0" w:line="271"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addition, CECO is prohibited from Trading in Company Securities on the basis of Material Nonpublic Information.</w:t>
      </w:r>
    </w:p>
    <w:p>
      <w:pPr>
        <w:spacing w:after="0" w:line="148" w:lineRule="exact"/>
        <w:rPr>
          <w:rFonts w:ascii="Arial" w:cs="Arial" w:eastAsia="Arial" w:hAnsi="Arial"/>
          <w:sz w:val="18"/>
          <w:szCs w:val="18"/>
          <w:color w:val="auto"/>
        </w:rPr>
      </w:pPr>
    </w:p>
    <w:p>
      <w:pPr>
        <w:ind w:left="740" w:hanging="373"/>
        <w:spacing w:after="0"/>
        <w:tabs>
          <w:tab w:leader="none" w:pos="7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Hedging; Loans</w:t>
      </w:r>
    </w:p>
    <w:p>
      <w:pPr>
        <w:spacing w:after="0" w:line="220" w:lineRule="exact"/>
        <w:rPr>
          <w:sz w:val="20"/>
          <w:szCs w:val="20"/>
          <w:color w:val="auto"/>
        </w:rPr>
      </w:pPr>
    </w:p>
    <w:p>
      <w:pPr>
        <w:jc w:val="both"/>
        <w:ind w:right="920"/>
        <w:spacing w:after="0" w:line="239" w:lineRule="auto"/>
        <w:rPr>
          <w:sz w:val="20"/>
          <w:szCs w:val="20"/>
          <w:color w:val="auto"/>
        </w:rPr>
      </w:pPr>
      <w:r>
        <w:rPr>
          <w:rFonts w:ascii="Arial" w:cs="Arial" w:eastAsia="Arial" w:hAnsi="Arial"/>
          <w:sz w:val="18"/>
          <w:szCs w:val="18"/>
          <w:color w:val="auto"/>
        </w:rPr>
        <w:t>Certain forms of hedging or monetization transactions, such as zero-cost collars and forward sale contracts, allow an Insider to lock in much of the value of his or her stock holdings, often in exchange for all or part of the potential for upside appreciation in the securities. These transactions allow the Insider to continue to own the covered securities, but without the full risks and rewards of ownership. When that occurs, the Insider may no longer have the same objectives as the Company’s other shareholders. Therefore, Company prohibits Insiders from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Insiders are also prohibited from pledging, hypothecating, or otherwise using Company Securities as collateral for a loan or other form of indebtedness.</w:t>
      </w:r>
    </w:p>
    <w:p>
      <w:pPr>
        <w:spacing w:after="0" w:line="152" w:lineRule="exact"/>
        <w:rPr>
          <w:sz w:val="20"/>
          <w:szCs w:val="20"/>
          <w:color w:val="auto"/>
        </w:rPr>
      </w:pPr>
    </w:p>
    <w:p>
      <w:pPr>
        <w:ind w:left="740" w:hanging="373"/>
        <w:spacing w:after="0"/>
        <w:tabs>
          <w:tab w:leader="none" w:pos="7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Speculative Trading and Short Sales</w:t>
      </w:r>
    </w:p>
    <w:p>
      <w:pPr>
        <w:spacing w:after="0" w:line="220" w:lineRule="exact"/>
        <w:rPr>
          <w:sz w:val="20"/>
          <w:szCs w:val="20"/>
          <w:color w:val="auto"/>
        </w:rPr>
      </w:pPr>
    </w:p>
    <w:p>
      <w:pPr>
        <w:jc w:val="both"/>
        <w:ind w:right="920"/>
        <w:spacing w:after="0" w:line="253" w:lineRule="auto"/>
        <w:rPr>
          <w:sz w:val="20"/>
          <w:szCs w:val="20"/>
          <w:color w:val="auto"/>
        </w:rPr>
      </w:pPr>
      <w:r>
        <w:rPr>
          <w:rFonts w:ascii="Arial" w:cs="Arial" w:eastAsia="Arial" w:hAnsi="Arial"/>
          <w:sz w:val="18"/>
          <w:szCs w:val="18"/>
          <w:color w:val="auto"/>
        </w:rPr>
        <w:t xml:space="preserve">CECO considers it improper and inappropriate for any of its personnel to engage in short-term or speculative transactions involving Company Securities. It also is CECO's policy that you </w:t>
      </w:r>
      <w:r>
        <w:rPr>
          <w:rFonts w:ascii="Arial" w:cs="Arial" w:eastAsia="Arial" w:hAnsi="Arial"/>
          <w:sz w:val="18"/>
          <w:szCs w:val="18"/>
          <w:i w:val="1"/>
          <w:iCs w:val="1"/>
          <w:color w:val="auto"/>
        </w:rPr>
        <w:t>may not</w:t>
      </w:r>
      <w:r>
        <w:rPr>
          <w:rFonts w:ascii="Arial" w:cs="Arial" w:eastAsia="Arial" w:hAnsi="Arial"/>
          <w:sz w:val="18"/>
          <w:szCs w:val="18"/>
          <w:color w:val="auto"/>
        </w:rPr>
        <w:t xml:space="preserve"> engage in any of the following activities with respect to Company Securities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-163195</wp:posOffset>
            </wp:positionV>
            <wp:extent cx="4064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406400" cy="8890"/>
                    </a:xfrm>
                    <a:prstGeom prst="rect">
                      <a:avLst/>
                    </a:prstGeom>
                    <a:noFill/>
                  </pic:spPr>
                </pic:pic>
              </a:graphicData>
            </a:graphic>
          </wp:anchor>
        </w:drawing>
      </w:r>
    </w:p>
    <w:p>
      <w:pPr>
        <w:spacing w:after="0" w:line="135" w:lineRule="exact"/>
        <w:rPr>
          <w:sz w:val="20"/>
          <w:szCs w:val="20"/>
          <w:color w:val="auto"/>
        </w:rPr>
      </w:pPr>
    </w:p>
    <w:p>
      <w:pPr>
        <w:ind w:left="720" w:right="1000" w:hanging="353"/>
        <w:spacing w:after="0" w:line="244"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Short sales (a sale of securities which are not owned by the seller at the time of the sale), including short sales against the box.</w:t>
      </w:r>
    </w:p>
    <w:p>
      <w:pPr>
        <w:spacing w:after="0" w:line="1"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Buying or selling puts or calls.</w:t>
      </w:r>
    </w:p>
    <w:p>
      <w:pPr>
        <w:spacing w:after="0" w:line="8"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Frequent Trading (for example, daily or weekly) to take advantage of fluctuations in stock price.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790575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54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7" w:right="920"/>
        <w:spacing w:after="0" w:line="253" w:lineRule="auto"/>
        <w:rPr>
          <w:sz w:val="20"/>
          <w:szCs w:val="20"/>
          <w:color w:val="auto"/>
        </w:rPr>
      </w:pPr>
      <w:r>
        <w:rPr>
          <w:rFonts w:ascii="Arial" w:cs="Arial" w:eastAsia="Arial" w:hAnsi="Arial"/>
          <w:sz w:val="18"/>
          <w:szCs w:val="18"/>
          <w:color w:val="auto"/>
        </w:rPr>
        <w:t>In addition, because purchasing of Company Securities on margin can raise potential problems under the securities laws, it is strongly suggested that you consult with the General Counsel before purchasing or selling Company Securities in margin accounts.</w:t>
      </w:r>
    </w:p>
    <w:p>
      <w:pPr>
        <w:spacing w:after="0" w:line="178" w:lineRule="exact"/>
        <w:rPr>
          <w:sz w:val="20"/>
          <w:szCs w:val="20"/>
          <w:color w:val="auto"/>
        </w:rPr>
      </w:pPr>
    </w:p>
    <w:p>
      <w:pPr>
        <w:ind w:left="747" w:hanging="373"/>
        <w:spacing w:after="0"/>
        <w:tabs>
          <w:tab w:leader="none" w:pos="747"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Option Plan Transactions</w:t>
      </w:r>
    </w:p>
    <w:p>
      <w:pPr>
        <w:spacing w:after="0" w:line="193" w:lineRule="exact"/>
        <w:rPr>
          <w:sz w:val="20"/>
          <w:szCs w:val="20"/>
          <w:color w:val="auto"/>
        </w:rPr>
      </w:pPr>
    </w:p>
    <w:p>
      <w:pPr>
        <w:jc w:val="both"/>
        <w:ind w:left="7" w:right="900"/>
        <w:spacing w:after="0"/>
        <w:rPr>
          <w:sz w:val="20"/>
          <w:szCs w:val="20"/>
          <w:color w:val="auto"/>
        </w:rPr>
      </w:pPr>
      <w:r>
        <w:rPr>
          <w:rFonts w:ascii="Arial" w:cs="Arial" w:eastAsia="Arial" w:hAnsi="Arial"/>
          <w:sz w:val="18"/>
          <w:szCs w:val="18"/>
          <w:color w:val="auto"/>
        </w:rPr>
        <w:t>Employee benefit plan transactions present special issues any time you possess Material Nonpublic Information. Generally, a stock option exercise is not likely to violate the Insider Trading rules because the exercise price was set when the option was granted. If, however, the exercise price is paid by tendering previously-owned shares of Company Securities and you possess Material Nonpublic Information, a violation can occur. Furthermore, if you possess Material Nonpublic Information, the sale of Company Securities acquired on exercise will result in a violation. Because of the complexity of the rules, if you believe you may possess Material Nonpublic Information, you should seek advice from the General Counsel (ogc@onececo.com) before engaging in any benefit plan transaction involving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-667385</wp:posOffset>
            </wp:positionV>
            <wp:extent cx="4254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425450" cy="825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-539115</wp:posOffset>
            </wp:positionV>
            <wp:extent cx="1905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146" w:lineRule="exact"/>
        <w:rPr>
          <w:sz w:val="20"/>
          <w:szCs w:val="20"/>
          <w:color w:val="auto"/>
        </w:rPr>
      </w:pPr>
    </w:p>
    <w:p>
      <w:pPr>
        <w:ind w:left="747" w:hanging="373"/>
        <w:spacing w:after="0"/>
        <w:tabs>
          <w:tab w:leader="none" w:pos="747"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Transactions by Related Persons</w:t>
      </w:r>
    </w:p>
    <w:p>
      <w:pPr>
        <w:spacing w:after="0" w:line="193" w:lineRule="exact"/>
        <w:rPr>
          <w:sz w:val="20"/>
          <w:szCs w:val="20"/>
          <w:color w:val="auto"/>
        </w:rPr>
      </w:pPr>
    </w:p>
    <w:p>
      <w:pPr>
        <w:ind w:left="7" w:right="1480"/>
        <w:spacing w:after="0" w:line="271" w:lineRule="auto"/>
        <w:rPr>
          <w:sz w:val="20"/>
          <w:szCs w:val="20"/>
          <w:color w:val="auto"/>
        </w:rPr>
      </w:pPr>
      <w:r>
        <w:rPr>
          <w:rFonts w:ascii="Arial" w:cs="Arial" w:eastAsia="Arial" w:hAnsi="Arial"/>
          <w:sz w:val="18"/>
          <w:szCs w:val="18"/>
          <w:color w:val="auto"/>
        </w:rPr>
        <w:t>The same restrictions that apply to you also apply to Related Persons. Each individual to whom this Policy is applicable is expected to be responsible for Related Persons’ compliance with the terms of this Policy.</w:t>
      </w:r>
    </w:p>
    <w:p>
      <w:pPr>
        <w:spacing w:after="0" w:line="162" w:lineRule="exact"/>
        <w:rPr>
          <w:sz w:val="20"/>
          <w:szCs w:val="20"/>
          <w:color w:val="auto"/>
        </w:rPr>
      </w:pPr>
    </w:p>
    <w:p>
      <w:pPr>
        <w:ind w:left="747" w:hanging="373"/>
        <w:spacing w:after="0"/>
        <w:tabs>
          <w:tab w:leader="none" w:pos="747"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Tipping</w:t>
      </w:r>
    </w:p>
    <w:p>
      <w:pPr>
        <w:spacing w:after="0" w:line="207" w:lineRule="exact"/>
        <w:rPr>
          <w:sz w:val="20"/>
          <w:szCs w:val="20"/>
          <w:color w:val="auto"/>
        </w:rPr>
      </w:pPr>
    </w:p>
    <w:p>
      <w:pPr>
        <w:jc w:val="both"/>
        <w:ind w:left="7" w:right="920"/>
        <w:spacing w:after="0"/>
        <w:rPr>
          <w:sz w:val="20"/>
          <w:szCs w:val="20"/>
          <w:color w:val="auto"/>
        </w:rPr>
      </w:pPr>
      <w:r>
        <w:rPr>
          <w:rFonts w:ascii="Arial" w:cs="Arial" w:eastAsia="Arial" w:hAnsi="Arial"/>
          <w:sz w:val="18"/>
          <w:szCs w:val="18"/>
          <w:color w:val="auto"/>
        </w:rPr>
        <w:t>Insiders may be liable for Tipping (defined below) to any third party not limited to just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that has been misappropriated. Tippees inherit an Insider’s duties and are liable for Trading on Material Nonpublic Information Tipped to them by an Insider. Similarly, just as Insiders are liable for the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48" w:lineRule="exact"/>
        <w:rPr>
          <w:sz w:val="20"/>
          <w:szCs w:val="20"/>
          <w:color w:val="auto"/>
        </w:rPr>
      </w:pPr>
    </w:p>
    <w:p>
      <w:pPr>
        <w:ind w:left="747" w:hanging="373"/>
        <w:spacing w:after="0"/>
        <w:tabs>
          <w:tab w:leader="none" w:pos="747"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Rule 10b5-1</w:t>
      </w:r>
    </w:p>
    <w:p>
      <w:pPr>
        <w:spacing w:after="0" w:line="220" w:lineRule="exact"/>
        <w:rPr>
          <w:sz w:val="20"/>
          <w:szCs w:val="20"/>
          <w:color w:val="auto"/>
        </w:rPr>
      </w:pPr>
    </w:p>
    <w:p>
      <w:pPr>
        <w:jc w:val="both"/>
        <w:ind w:left="7" w:right="920"/>
        <w:spacing w:after="0" w:line="247" w:lineRule="auto"/>
        <w:rPr>
          <w:sz w:val="20"/>
          <w:szCs w:val="20"/>
          <w:color w:val="auto"/>
        </w:rPr>
      </w:pPr>
      <w:r>
        <w:rPr>
          <w:rFonts w:ascii="Arial" w:cs="Arial" w:eastAsia="Arial" w:hAnsi="Arial"/>
          <w:sz w:val="18"/>
          <w:szCs w:val="18"/>
          <w:color w:val="auto"/>
        </w:rPr>
        <w:t>Under Rule 10b5 -1 of the Securities Exchange Act of 1934, an individual has an affirmative defense against an allegation of Insider Trading if he or she demonstrates that the purchase, sale, or other trade in question took place pursuant to a binding contract, specific instruction or written plan that was put into place before he or she became aware of Material Nonpublic Information. Such contracts, irrevocable instructions, and plans are commonly referred to as Rule 10b5-1 Trading Plans.</w:t>
      </w:r>
    </w:p>
    <w:p>
      <w:pPr>
        <w:spacing w:after="0" w:line="160" w:lineRule="exact"/>
        <w:rPr>
          <w:sz w:val="20"/>
          <w:szCs w:val="20"/>
          <w:color w:val="auto"/>
        </w:rPr>
      </w:pPr>
    </w:p>
    <w:p>
      <w:pPr>
        <w:jc w:val="both"/>
        <w:ind w:left="7" w:right="920"/>
        <w:spacing w:after="0" w:line="271" w:lineRule="auto"/>
        <w:rPr>
          <w:sz w:val="20"/>
          <w:szCs w:val="20"/>
          <w:color w:val="auto"/>
        </w:rPr>
      </w:pPr>
      <w:r>
        <w:rPr>
          <w:rFonts w:ascii="Arial" w:cs="Arial" w:eastAsia="Arial" w:hAnsi="Arial"/>
          <w:sz w:val="18"/>
          <w:szCs w:val="18"/>
          <w:color w:val="auto"/>
        </w:rPr>
        <w:t>Employees will be permitted to Trade in Company Securities outside of a permitted Trading period pursuant to an Approved Rule 10b5-1 Trading Plan, which requires:</w:t>
      </w:r>
    </w:p>
    <w:p>
      <w:pPr>
        <w:spacing w:after="0" w:line="181" w:lineRule="exact"/>
        <w:rPr>
          <w:sz w:val="20"/>
          <w:szCs w:val="20"/>
          <w:color w:val="auto"/>
        </w:rPr>
      </w:pPr>
    </w:p>
    <w:p>
      <w:pPr>
        <w:ind w:left="7" w:right="980" w:hanging="7"/>
        <w:spacing w:after="0" w:line="271" w:lineRule="auto"/>
        <w:tabs>
          <w:tab w:leader="none" w:pos="3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adoption of a binding, good faith contract for Trading securities with another person (who does not have Material Nonpublic Information) to execute Trades for the instructing person’s account;</w:t>
      </w:r>
    </w:p>
    <w:p>
      <w:pPr>
        <w:spacing w:after="0" w:line="180" w:lineRule="exact"/>
        <w:rPr>
          <w:rFonts w:ascii="Arial" w:cs="Arial" w:eastAsia="Arial" w:hAnsi="Arial"/>
          <w:sz w:val="18"/>
          <w:szCs w:val="18"/>
          <w:color w:val="auto"/>
        </w:rPr>
      </w:pPr>
    </w:p>
    <w:p>
      <w:pPr>
        <w:ind w:left="347" w:hanging="347"/>
        <w:spacing w:after="0"/>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the contract is in the form of a written plan for Trading securities, which is:</w:t>
      </w:r>
    </w:p>
    <w:p>
      <w:pPr>
        <w:spacing w:after="0" w:line="14"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799465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4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90" w:lineRule="exact"/>
        <w:rPr>
          <w:sz w:val="20"/>
          <w:szCs w:val="20"/>
          <w:color w:val="auto"/>
        </w:rPr>
      </w:pPr>
    </w:p>
    <w:p>
      <w:pPr>
        <w:ind w:left="740" w:hanging="298"/>
        <w:spacing w:after="0"/>
        <w:tabs>
          <w:tab w:leader="none" w:pos="7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Adopted during an open window period,</w:t>
      </w:r>
    </w:p>
    <w:p>
      <w:pPr>
        <w:spacing w:after="0" w:line="13" w:lineRule="exact"/>
        <w:rPr>
          <w:rFonts w:ascii="Arial" w:cs="Arial" w:eastAsia="Arial" w:hAnsi="Arial"/>
          <w:sz w:val="18"/>
          <w:szCs w:val="18"/>
          <w:color w:val="auto"/>
        </w:rPr>
      </w:pPr>
    </w:p>
    <w:p>
      <w:pPr>
        <w:ind w:left="740" w:hanging="343"/>
        <w:spacing w:after="0" w:line="234" w:lineRule="auto"/>
        <w:tabs>
          <w:tab w:leader="none" w:pos="7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Adopted when the individual is not in possession of Material Nonpublic Information, and</w:t>
      </w:r>
    </w:p>
    <w:p>
      <w:pPr>
        <w:ind w:left="740" w:hanging="387"/>
        <w:spacing w:after="0"/>
        <w:tabs>
          <w:tab w:leader="none" w:pos="7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Approved by Company’s General Counsel, prior to any Trades under that plan being executed; and</w:t>
      </w:r>
    </w:p>
    <w:p>
      <w:pPr>
        <w:spacing w:after="0" w:line="220" w:lineRule="exact"/>
        <w:rPr>
          <w:rFonts w:ascii="Arial" w:cs="Arial" w:eastAsia="Arial" w:hAnsi="Arial"/>
          <w:sz w:val="18"/>
          <w:szCs w:val="18"/>
          <w:color w:val="auto"/>
        </w:rPr>
      </w:pPr>
    </w:p>
    <w:p>
      <w:pPr>
        <w:jc w:val="both"/>
        <w:ind w:right="920"/>
        <w:spacing w:after="0" w:line="253" w:lineRule="auto"/>
        <w:rPr>
          <w:rFonts w:ascii="Arial" w:cs="Arial" w:eastAsia="Arial" w:hAnsi="Arial"/>
          <w:sz w:val="18"/>
          <w:szCs w:val="18"/>
          <w:color w:val="auto"/>
        </w:rPr>
      </w:pPr>
      <w:r>
        <w:rPr>
          <w:rFonts w:ascii="Arial" w:cs="Arial" w:eastAsia="Arial" w:hAnsi="Arial"/>
          <w:sz w:val="18"/>
          <w:szCs w:val="18"/>
          <w:color w:val="auto"/>
        </w:rPr>
        <w:t>c. that the plan specify the dates, prices, and amounts of securities to be sold and cannot be modified during the specified execution period (i.e., the individual is not permitted to exercise any subsequent influence over how, when, or whether to effect purchases or sales).</w:t>
      </w:r>
    </w:p>
    <w:p>
      <w:pPr>
        <w:spacing w:after="0" w:line="142"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For persons other than CECO itself, the Rule 10b5-1 Trading Plan must provide for a waiting period between the date of signing and the earliest possible trade date under the Rule 10b5-1 Trading Plan (a “cooling-off period”). The required cooling-off period for directors and Section 16 Individuals is the later of (a) ninety (90) days, or (b) two business days following the filing of the Form 10-Q or Form 10-K for the fiscal quarter in which the plan was adopted, subject to a maximum of 120 days. The cooling-off period for persons other than Section 16 Individuals is thirty (30) days. Modifications of a Rule 10b5-1 Trading Plan will trigger a new cooling-off period if the modification changes the amount, price, or timing of trades, including a change to a formula that affects these inputs. Modifications do not trigger a new cooling-off period if they are immaterial or administrative, such as an adjustment for stock splits or a change in account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Insiders (other than issuers) may not have more than one Rule 10b5-1 Trading Plan in place at the same time, other than:</w:t>
      </w:r>
    </w:p>
    <w:p>
      <w:pPr>
        <w:spacing w:after="0" w:line="198" w:lineRule="exact"/>
        <w:rPr>
          <w:sz w:val="20"/>
          <w:szCs w:val="20"/>
          <w:color w:val="auto"/>
        </w:rPr>
      </w:pPr>
    </w:p>
    <w:p>
      <w:pPr>
        <w:jc w:val="both"/>
        <w:ind w:left="600" w:right="1280" w:hanging="338"/>
        <w:spacing w:after="0" w:line="241" w:lineRule="auto"/>
        <w:tabs>
          <w:tab w:leader="none" w:pos="6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Contracts with multiple brokers – A series of separate contracts with different broker-dealers or other agents may be treated as a single Rule 10b5-1 Trading Plan if each, when taken as a whole, meets the applicable conditions of and remain collectively subject to Rule 10b5-1.</w:t>
      </w:r>
    </w:p>
    <w:p>
      <w:pPr>
        <w:spacing w:after="0" w:line="1" w:lineRule="exact"/>
        <w:rPr>
          <w:rFonts w:ascii="Times New Roman" w:cs="Times New Roman" w:eastAsia="Times New Roman" w:hAnsi="Times New Roman"/>
          <w:sz w:val="18"/>
          <w:szCs w:val="18"/>
          <w:color w:val="auto"/>
        </w:rPr>
      </w:pPr>
    </w:p>
    <w:p>
      <w:pPr>
        <w:ind w:left="600" w:right="1080" w:hanging="338"/>
        <w:spacing w:after="0" w:line="234" w:lineRule="auto"/>
        <w:tabs>
          <w:tab w:leader="none" w:pos="6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Later-commencing plans – An Insider may maintain separate Rule 10b5-1 Trading Plans at the same time so long as Trading under the later-commencing Rule 10b5-1 Trading Plan is not authorized to begin until after all trades under the earlier-commencing Rule 10b5-1 Trading Plan are completed or expired without execution.</w:t>
      </w:r>
    </w:p>
    <w:p>
      <w:pPr>
        <w:spacing w:after="0" w:line="1" w:lineRule="exact"/>
        <w:rPr>
          <w:rFonts w:ascii="Times New Roman" w:cs="Times New Roman" w:eastAsia="Times New Roman" w:hAnsi="Times New Roman"/>
          <w:sz w:val="18"/>
          <w:szCs w:val="18"/>
          <w:color w:val="auto"/>
        </w:rPr>
      </w:pPr>
    </w:p>
    <w:p>
      <w:pPr>
        <w:ind w:left="600" w:right="920" w:hanging="338"/>
        <w:spacing w:after="0" w:line="242" w:lineRule="auto"/>
        <w:tabs>
          <w:tab w:leader="none" w:pos="6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Sell-to-cover plans – An Insider may enter into additional Rule 10b5-1 Trading Plans that only authorize qualified “sell-to-cover” transactions to satisfy tax withholding obligations at the time an equity award vests, and the person does not otherwise exercise control over the timing of such sales.</w:t>
      </w:r>
    </w:p>
    <w:p>
      <w:pPr>
        <w:spacing w:after="0" w:line="165" w:lineRule="exact"/>
        <w:rPr>
          <w:sz w:val="20"/>
          <w:szCs w:val="20"/>
          <w:color w:val="auto"/>
        </w:rPr>
      </w:pPr>
    </w:p>
    <w:p>
      <w:pPr>
        <w:ind w:right="920"/>
        <w:spacing w:after="0" w:line="244" w:lineRule="auto"/>
        <w:rPr>
          <w:sz w:val="20"/>
          <w:szCs w:val="20"/>
          <w:color w:val="auto"/>
        </w:rPr>
      </w:pPr>
      <w:r>
        <w:rPr>
          <w:rFonts w:ascii="Arial" w:cs="Arial" w:eastAsia="Arial" w:hAnsi="Arial"/>
          <w:sz w:val="18"/>
          <w:szCs w:val="18"/>
          <w:color w:val="auto"/>
        </w:rPr>
        <w:t>Anyone (other than CECO itself) may only once during any 12-month period rely on the Rule 10b5-1 affirmative defense for a single-trade plan (one designed to effect the purchase or sale of the total amount of the securities subject to the plan as a single transaction) with the exception of “sell-to-cover” plans as described above. The determination of whether a Rule 10b5-1 Trading Plan constitutes a single-trade plan pursuant to the exception provided in Rule 10b5-1 will be made by CECO’s General Counsel in his or her sole determination.</w:t>
      </w:r>
    </w:p>
    <w:p>
      <w:pPr>
        <w:spacing w:after="0" w:line="158" w:lineRule="exact"/>
        <w:rPr>
          <w:sz w:val="20"/>
          <w:szCs w:val="20"/>
          <w:color w:val="auto"/>
        </w:rPr>
      </w:pPr>
    </w:p>
    <w:p>
      <w:pPr>
        <w:ind w:left="740" w:hanging="373"/>
        <w:spacing w:after="0"/>
        <w:tabs>
          <w:tab w:leader="none" w:pos="74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Short-term Trading</w:t>
      </w:r>
    </w:p>
    <w:p>
      <w:pPr>
        <w:spacing w:after="0" w:line="139"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Insiders who purchase Company Securities may not sell any Company Securities of the same class for at least six months after the purchase.</w:t>
      </w:r>
    </w:p>
    <w:p>
      <w:pPr>
        <w:spacing w:after="0" w:line="135" w:lineRule="exact"/>
        <w:rPr>
          <w:sz w:val="20"/>
          <w:szCs w:val="20"/>
          <w:color w:val="auto"/>
        </w:rPr>
      </w:pPr>
    </w:p>
    <w:p>
      <w:pPr>
        <w:ind w:left="740" w:hanging="373"/>
        <w:spacing w:after="0"/>
        <w:tabs>
          <w:tab w:leader="none" w:pos="74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Bona Fide Gifts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Bona Fide Gifts of Company Securities are subject to the restrictions of this policy.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579120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9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V.</w:t>
      </w:r>
      <w:r>
        <w:rPr>
          <w:sz w:val="20"/>
          <w:szCs w:val="20"/>
          <w:color w:val="auto"/>
        </w:rPr>
        <w:tab/>
      </w:r>
      <w:r>
        <w:rPr>
          <w:rFonts w:ascii="Arial" w:cs="Arial" w:eastAsia="Arial" w:hAnsi="Arial"/>
          <w:sz w:val="19"/>
          <w:szCs w:val="19"/>
          <w:b w:val="1"/>
          <w:bCs w:val="1"/>
          <w:color w:val="auto"/>
        </w:rPr>
        <w:t>DEFINITIONS</w:t>
      </w:r>
    </w:p>
    <w:p>
      <w:pPr>
        <w:spacing w:after="0" w:line="160" w:lineRule="exact"/>
        <w:rPr>
          <w:sz w:val="20"/>
          <w:szCs w:val="20"/>
          <w:color w:val="auto"/>
        </w:rPr>
      </w:pPr>
    </w:p>
    <w:p>
      <w:pPr>
        <w:jc w:val="both"/>
        <w:ind w:right="920"/>
        <w:spacing w:after="0" w:line="271" w:lineRule="auto"/>
        <w:rPr>
          <w:sz w:val="20"/>
          <w:szCs w:val="20"/>
          <w:color w:val="auto"/>
        </w:rPr>
      </w:pPr>
      <w:r>
        <w:rPr>
          <w:rFonts w:ascii="Arial" w:cs="Arial" w:eastAsia="Arial" w:hAnsi="Arial"/>
          <w:sz w:val="18"/>
          <w:szCs w:val="18"/>
          <w:color w:val="auto"/>
        </w:rPr>
        <w:t>This Policy prohibits, among other things, Trading Company Securities, or the securities of any other company while in possession of Material Nonpublic Information, or Tipping.</w:t>
      </w:r>
    </w:p>
    <w:p>
      <w:pPr>
        <w:spacing w:after="0" w:line="140" w:lineRule="exact"/>
        <w:rPr>
          <w:sz w:val="20"/>
          <w:szCs w:val="20"/>
          <w:color w:val="auto"/>
        </w:rPr>
      </w:pPr>
    </w:p>
    <w:p>
      <w:pPr>
        <w:jc w:val="both"/>
        <w:ind w:right="920" w:firstLine="374"/>
        <w:spacing w:after="0" w:line="271" w:lineRule="auto"/>
        <w:rPr>
          <w:sz w:val="20"/>
          <w:szCs w:val="20"/>
          <w:color w:val="auto"/>
        </w:rPr>
      </w:pPr>
      <w:r>
        <w:rPr>
          <w:rFonts w:ascii="Arial" w:cs="Arial" w:eastAsia="Arial" w:hAnsi="Arial"/>
          <w:sz w:val="18"/>
          <w:szCs w:val="18"/>
          <w:b w:val="1"/>
          <w:bCs w:val="1"/>
          <w:color w:val="auto"/>
        </w:rPr>
        <w:t xml:space="preserve">“Approved Rule 10b5-1 Trading Plan” </w:t>
      </w:r>
      <w:r>
        <w:rPr>
          <w:rFonts w:ascii="Arial" w:cs="Arial" w:eastAsia="Arial" w:hAnsi="Arial"/>
          <w:sz w:val="18"/>
          <w:szCs w:val="18"/>
          <w:color w:val="auto"/>
        </w:rPr>
        <w:t>means a Trading plan adopted pursuant to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Rule 10b5-1(c) (17 C.F.R. §240.10b5-1(c)) and approved by Company’s General Counsel.</w:t>
      </w:r>
    </w:p>
    <w:p>
      <w:pPr>
        <w:spacing w:after="0" w:line="127" w:lineRule="exact"/>
        <w:rPr>
          <w:sz w:val="20"/>
          <w:szCs w:val="20"/>
          <w:color w:val="auto"/>
        </w:rPr>
      </w:pPr>
    </w:p>
    <w:p>
      <w:pPr>
        <w:jc w:val="both"/>
        <w:ind w:right="920" w:firstLine="374"/>
        <w:spacing w:after="0" w:line="271" w:lineRule="auto"/>
        <w:rPr>
          <w:sz w:val="20"/>
          <w:szCs w:val="20"/>
          <w:color w:val="auto"/>
        </w:rPr>
      </w:pPr>
      <w:r>
        <w:rPr>
          <w:rFonts w:ascii="Arial" w:cs="Arial" w:eastAsia="Arial" w:hAnsi="Arial"/>
          <w:sz w:val="18"/>
          <w:szCs w:val="18"/>
          <w:b w:val="1"/>
          <w:bCs w:val="1"/>
          <w:color w:val="auto"/>
        </w:rPr>
        <w:t xml:space="preserve">“Bona Fide Gift” </w:t>
      </w:r>
      <w:r>
        <w:rPr>
          <w:rFonts w:ascii="Arial" w:cs="Arial" w:eastAsia="Arial" w:hAnsi="Arial"/>
          <w:sz w:val="18"/>
          <w:szCs w:val="18"/>
          <w:color w:val="auto"/>
        </w:rPr>
        <w:t>means a gift that is not required or inspired by any legal duty or that is in any sense a payment to settle a</w:t>
      </w:r>
      <w:r>
        <w:rPr>
          <w:rFonts w:ascii="Arial" w:cs="Arial" w:eastAsia="Arial" w:hAnsi="Arial"/>
          <w:sz w:val="18"/>
          <w:szCs w:val="18"/>
          <w:b w:val="1"/>
          <w:bCs w:val="1"/>
          <w:color w:val="auto"/>
        </w:rPr>
        <w:t xml:space="preserve"> </w:t>
      </w:r>
      <w:r>
        <w:rPr>
          <w:rFonts w:ascii="Arial" w:cs="Arial" w:eastAsia="Arial" w:hAnsi="Arial"/>
          <w:sz w:val="18"/>
          <w:szCs w:val="18"/>
          <w:color w:val="auto"/>
        </w:rPr>
        <w:t>debt or other obligation.</w:t>
      </w:r>
    </w:p>
    <w:p>
      <w:pPr>
        <w:spacing w:after="0" w:line="140" w:lineRule="exact"/>
        <w:rPr>
          <w:sz w:val="20"/>
          <w:szCs w:val="20"/>
          <w:color w:val="auto"/>
        </w:rPr>
      </w:pPr>
    </w:p>
    <w:p>
      <w:pPr>
        <w:jc w:val="both"/>
        <w:ind w:right="920" w:firstLine="374"/>
        <w:spacing w:after="0" w:line="244"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is information gained in the course of employment with Company. An employee may gain</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while performing duties or merely by being in contact with Company customers or suppliers. Confidential Information may belong to Company or to a Company customer or supplier. For certain projects, Confidential Information may be specifically defined in a master service agreement, a nondisclosure agreement, or a confidentiality agreement.</w:t>
      </w:r>
    </w:p>
    <w:p>
      <w:pPr>
        <w:spacing w:after="0" w:line="163" w:lineRule="exact"/>
        <w:rPr>
          <w:sz w:val="20"/>
          <w:szCs w:val="20"/>
          <w:color w:val="auto"/>
        </w:rPr>
      </w:pPr>
    </w:p>
    <w:p>
      <w:pPr>
        <w:jc w:val="both"/>
        <w:ind w:right="920" w:firstLine="374"/>
        <w:spacing w:after="0" w:line="271" w:lineRule="auto"/>
        <w:rPr>
          <w:sz w:val="20"/>
          <w:szCs w:val="20"/>
          <w:color w:val="auto"/>
        </w:rPr>
      </w:pPr>
      <w:r>
        <w:rPr>
          <w:rFonts w:ascii="Arial" w:cs="Arial" w:eastAsia="Arial" w:hAnsi="Arial"/>
          <w:sz w:val="18"/>
          <w:szCs w:val="18"/>
          <w:b w:val="1"/>
          <w:bCs w:val="1"/>
          <w:color w:val="auto"/>
        </w:rPr>
        <w:t xml:space="preserve">“Company Securities” </w:t>
      </w:r>
      <w:r>
        <w:rPr>
          <w:rFonts w:ascii="Arial" w:cs="Arial" w:eastAsia="Arial" w:hAnsi="Arial"/>
          <w:sz w:val="18"/>
          <w:szCs w:val="18"/>
          <w:color w:val="auto"/>
        </w:rPr>
        <w:t>means any security of Company, including common stock, preferred stock, derivative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warrants and options, and debt securities such as debentures, bonds, and notes (convertible and non-convertible).</w:t>
      </w:r>
    </w:p>
    <w:p>
      <w:pPr>
        <w:spacing w:after="0" w:line="127" w:lineRule="exact"/>
        <w:rPr>
          <w:sz w:val="20"/>
          <w:szCs w:val="20"/>
          <w:color w:val="auto"/>
        </w:rPr>
      </w:pPr>
    </w:p>
    <w:p>
      <w:pPr>
        <w:jc w:val="both"/>
        <w:ind w:right="920" w:firstLine="374"/>
        <w:spacing w:after="0" w:line="247" w:lineRule="auto"/>
        <w:rPr>
          <w:sz w:val="20"/>
          <w:szCs w:val="20"/>
          <w:color w:val="auto"/>
        </w:rPr>
      </w:pPr>
      <w:r>
        <w:rPr>
          <w:rFonts w:ascii="Arial" w:cs="Arial" w:eastAsia="Arial" w:hAnsi="Arial"/>
          <w:sz w:val="18"/>
          <w:szCs w:val="18"/>
          <w:b w:val="1"/>
          <w:bCs w:val="1"/>
          <w:color w:val="auto"/>
        </w:rPr>
        <w:t xml:space="preserve">“Insider” </w:t>
      </w:r>
      <w:r>
        <w:rPr>
          <w:rFonts w:ascii="Arial" w:cs="Arial" w:eastAsia="Arial" w:hAnsi="Arial"/>
          <w:sz w:val="18"/>
          <w:szCs w:val="18"/>
          <w:color w:val="auto"/>
        </w:rPr>
        <w:t>Any person who possesses Material Nonpublic Information is an</w:t>
      </w:r>
      <w:r>
        <w:rPr>
          <w:rFonts w:ascii="Arial" w:cs="Arial" w:eastAsia="Arial" w:hAnsi="Arial"/>
          <w:sz w:val="18"/>
          <w:szCs w:val="18"/>
          <w:b w:val="1"/>
          <w:bCs w:val="1"/>
          <w:color w:val="auto"/>
        </w:rPr>
        <w:t xml:space="preserve"> “Insider” </w:t>
      </w:r>
      <w:r>
        <w:rPr>
          <w:rFonts w:ascii="Arial" w:cs="Arial" w:eastAsia="Arial" w:hAnsi="Arial"/>
          <w:sz w:val="18"/>
          <w:szCs w:val="18"/>
          <w:color w:val="auto"/>
        </w:rPr>
        <w:t>as to that information. Insiders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directors, officers, employees, independent contractors, and those persons in a special relationship with Company (e.g., its auditors, consultants, or attorneys). The definition of “Insider” is transaction specific; that is, an individual is an Insider with respect to each piece of Material Nonpublic Information of which he or she is aware.</w:t>
      </w:r>
    </w:p>
    <w:p>
      <w:pPr>
        <w:spacing w:after="0" w:line="160" w:lineRule="exact"/>
        <w:rPr>
          <w:sz w:val="20"/>
          <w:szCs w:val="20"/>
          <w:color w:val="auto"/>
        </w:rPr>
      </w:pPr>
    </w:p>
    <w:p>
      <w:pPr>
        <w:jc w:val="both"/>
        <w:ind w:right="920" w:firstLine="374"/>
        <w:spacing w:after="0" w:line="244" w:lineRule="auto"/>
        <w:rPr>
          <w:sz w:val="20"/>
          <w:szCs w:val="20"/>
          <w:color w:val="auto"/>
        </w:rPr>
      </w:pPr>
      <w:r>
        <w:rPr>
          <w:rFonts w:ascii="Arial" w:cs="Arial" w:eastAsia="Arial" w:hAnsi="Arial"/>
          <w:sz w:val="18"/>
          <w:szCs w:val="18"/>
          <w:b w:val="1"/>
          <w:bCs w:val="1"/>
          <w:color w:val="auto"/>
        </w:rPr>
        <w:t xml:space="preserve">“Material Information” </w:t>
      </w:r>
      <w:r>
        <w:rPr>
          <w:rFonts w:ascii="Arial" w:cs="Arial" w:eastAsia="Arial" w:hAnsi="Arial"/>
          <w:sz w:val="18"/>
          <w:szCs w:val="18"/>
          <w:color w:val="auto"/>
        </w:rPr>
        <w:t>is any information that a reasonable investor would consider important in making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decision regarding the purchase or sale of the securities in question. In other words, </w:t>
      </w:r>
      <w:r>
        <w:rPr>
          <w:rFonts w:ascii="Arial" w:cs="Arial" w:eastAsia="Arial" w:hAnsi="Arial"/>
          <w:sz w:val="18"/>
          <w:szCs w:val="18"/>
          <w:b w:val="1"/>
          <w:bCs w:val="1"/>
          <w:color w:val="auto"/>
        </w:rPr>
        <w:t>any information which could reasonably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 expected to affect the price of Company Securities is "material" information. </w:t>
      </w:r>
      <w:r>
        <w:rPr>
          <w:rFonts w:ascii="Arial" w:cs="Arial" w:eastAsia="Arial" w:hAnsi="Arial"/>
          <w:sz w:val="18"/>
          <w:szCs w:val="18"/>
          <w:color w:val="auto"/>
        </w:rPr>
        <w:t>Either positive or negative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material. While it is impossible to provide a complete list, for illustrative purposes, some examples of information that, as a general rule, should be considered "material" are:</w:t>
      </w:r>
    </w:p>
    <w:p>
      <w:pPr>
        <w:spacing w:after="0" w:line="176" w:lineRule="exact"/>
        <w:rPr>
          <w:sz w:val="20"/>
          <w:szCs w:val="20"/>
          <w:color w:val="auto"/>
        </w:rPr>
      </w:pPr>
    </w:p>
    <w:p>
      <w:pPr>
        <w:ind w:left="740" w:hanging="373"/>
        <w:spacing w:after="0"/>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results, reports, or projections</w:t>
      </w:r>
    </w:p>
    <w:p>
      <w:pPr>
        <w:spacing w:after="0" w:line="26" w:lineRule="exact"/>
        <w:rPr>
          <w:rFonts w:ascii="Times New Roman" w:cs="Times New Roman" w:eastAsia="Times New Roman" w:hAnsi="Times New Roman"/>
          <w:sz w:val="18"/>
          <w:szCs w:val="18"/>
          <w:color w:val="auto"/>
        </w:rPr>
      </w:pPr>
    </w:p>
    <w:p>
      <w:pPr>
        <w:ind w:left="680" w:hanging="313"/>
        <w:spacing w:after="0"/>
        <w:tabs>
          <w:tab w:leader="none" w:pos="68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news of a pending or proposed merger, acquisition, divestiture, tender offer, or financing transaction</w:t>
      </w:r>
    </w:p>
    <w:p>
      <w:pPr>
        <w:spacing w:after="0" w:line="8"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new equity or debt offerings</w:t>
      </w:r>
    </w:p>
    <w:p>
      <w:pPr>
        <w:spacing w:after="0" w:line="8" w:lineRule="exact"/>
        <w:rPr>
          <w:rFonts w:ascii="Times New Roman" w:cs="Times New Roman" w:eastAsia="Times New Roman" w:hAnsi="Times New Roman"/>
          <w:sz w:val="18"/>
          <w:szCs w:val="18"/>
          <w:color w:val="auto"/>
        </w:rPr>
      </w:pPr>
    </w:p>
    <w:p>
      <w:pPr>
        <w:ind w:left="740" w:right="6260" w:hanging="373"/>
        <w:spacing w:after="0" w:line="242" w:lineRule="auto"/>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impending bankruptcy or financial liquidity problems changes in top management</w:t>
      </w:r>
    </w:p>
    <w:p>
      <w:pPr>
        <w:ind w:left="740" w:right="480" w:hanging="373"/>
        <w:spacing w:after="0" w:line="234" w:lineRule="auto"/>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dividend policy, declarations of stock splits or offerings of Company Securitiescalls, redemptions, or purchases of Company Securities</w:t>
      </w:r>
    </w:p>
    <w:p>
      <w:pPr>
        <w:ind w:left="680" w:hanging="313"/>
        <w:spacing w:after="0"/>
        <w:tabs>
          <w:tab w:leader="none" w:pos="68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prices or demand for CECO's products or services, or changes in CECO's cost structure</w:t>
      </w:r>
    </w:p>
    <w:p>
      <w:pPr>
        <w:spacing w:after="0" w:line="8"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gain or loss of a substantial customer or supplier</w:t>
      </w:r>
    </w:p>
    <w:p>
      <w:pPr>
        <w:spacing w:after="0" w:line="8"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new orders, products or services or other changes in operations</w:t>
      </w:r>
    </w:p>
    <w:p>
      <w:pPr>
        <w:spacing w:after="0" w:line="8"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litigation or governmental investigation or other governmental action</w:t>
      </w:r>
    </w:p>
    <w:p>
      <w:pPr>
        <w:spacing w:after="0" w:line="8"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or settlement of labor negotiations or disputes, strikes or lockouts</w:t>
      </w:r>
    </w:p>
    <w:p>
      <w:pPr>
        <w:spacing w:after="0" w:line="193" w:lineRule="exact"/>
        <w:rPr>
          <w:sz w:val="20"/>
          <w:szCs w:val="20"/>
          <w:color w:val="auto"/>
        </w:rPr>
      </w:pPr>
    </w:p>
    <w:p>
      <w:pPr>
        <w:ind w:right="920" w:firstLine="374"/>
        <w:spacing w:after="0" w:line="271" w:lineRule="auto"/>
        <w:rPr>
          <w:sz w:val="20"/>
          <w:szCs w:val="20"/>
          <w:color w:val="auto"/>
        </w:rPr>
      </w:pPr>
      <w:r>
        <w:rPr>
          <w:rFonts w:ascii="Arial" w:cs="Arial" w:eastAsia="Arial" w:hAnsi="Arial"/>
          <w:sz w:val="18"/>
          <w:szCs w:val="18"/>
          <w:b w:val="1"/>
          <w:bCs w:val="1"/>
          <w:color w:val="auto"/>
        </w:rPr>
        <w:t xml:space="preserve">“Material Nonpublic Information” </w:t>
      </w:r>
      <w:r>
        <w:rPr>
          <w:rFonts w:ascii="Arial" w:cs="Arial" w:eastAsia="Arial" w:hAnsi="Arial"/>
          <w:sz w:val="18"/>
          <w:szCs w:val="18"/>
          <w:color w:val="auto"/>
        </w:rPr>
        <w:t>is information that is both “Material Information” and “Nonpublic Information,” as each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579120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97" w:right="339" w:bottom="1440" w:gutter="0" w:footer="0" w:header="0"/>
        </w:sectPr>
      </w:pPr>
    </w:p>
    <w:bookmarkStart w:id="95" w:name="page96"/>
    <w:bookmarkEnd w:id="95"/>
    <w:p>
      <w:pPr>
        <w:ind w:left="1020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26" w:lineRule="exact"/>
        <w:rPr>
          <w:sz w:val="20"/>
          <w:szCs w:val="20"/>
          <w:color w:val="auto"/>
        </w:rPr>
      </w:pPr>
    </w:p>
    <w:p>
      <w:pPr>
        <w:jc w:val="both"/>
        <w:ind w:right="920" w:firstLine="374"/>
        <w:spacing w:after="0" w:line="242" w:lineRule="auto"/>
        <w:rPr>
          <w:sz w:val="20"/>
          <w:szCs w:val="20"/>
          <w:color w:val="auto"/>
        </w:rPr>
      </w:pPr>
      <w:r>
        <w:rPr>
          <w:rFonts w:ascii="Arial" w:cs="Arial" w:eastAsia="Arial" w:hAnsi="Arial"/>
          <w:sz w:val="18"/>
          <w:szCs w:val="18"/>
          <w:b w:val="1"/>
          <w:bCs w:val="1"/>
          <w:color w:val="auto"/>
        </w:rPr>
        <w:t xml:space="preserve">“Nonpublic Information” </w:t>
      </w:r>
      <w:r>
        <w:rPr>
          <w:rFonts w:ascii="Arial" w:cs="Arial" w:eastAsia="Arial" w:hAnsi="Arial"/>
          <w:sz w:val="18"/>
          <w:szCs w:val="18"/>
          <w:color w:val="auto"/>
        </w:rPr>
        <w:t>is information that has not been previously disclosed to the general public or is otherwise not</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available to the general public. Information becomes public when it has been released through appropriate channels, such as a press release, governmental filing, or statement from a senior officer. Enough time (usually two to three days) must be allowed after such a release for the investing public to evaluate the information. At that point - and not before - the information is considered "public." All information that you learn about CECO (or any other company) in connection with your employment is Nonpublic Information until publicly disclosed.</w:t>
      </w:r>
    </w:p>
    <w:p>
      <w:pPr>
        <w:spacing w:after="0" w:line="165" w:lineRule="exact"/>
        <w:rPr>
          <w:sz w:val="20"/>
          <w:szCs w:val="20"/>
          <w:color w:val="auto"/>
        </w:rPr>
      </w:pPr>
    </w:p>
    <w:p>
      <w:pPr>
        <w:jc w:val="both"/>
        <w:ind w:right="920" w:firstLine="374"/>
        <w:spacing w:after="0"/>
        <w:rPr>
          <w:sz w:val="20"/>
          <w:szCs w:val="20"/>
          <w:color w:val="auto"/>
        </w:rPr>
      </w:pPr>
      <w:r>
        <w:rPr>
          <w:rFonts w:ascii="Arial" w:cs="Arial" w:eastAsia="Arial" w:hAnsi="Arial"/>
          <w:sz w:val="18"/>
          <w:szCs w:val="18"/>
          <w:b w:val="1"/>
          <w:bCs w:val="1"/>
          <w:color w:val="auto"/>
        </w:rPr>
        <w:t xml:space="preserve">“Related Person” </w:t>
      </w:r>
      <w:r>
        <w:rPr>
          <w:rFonts w:ascii="Arial" w:cs="Arial" w:eastAsia="Arial" w:hAnsi="Arial"/>
          <w:sz w:val="18"/>
          <w:szCs w:val="18"/>
          <w:color w:val="auto"/>
        </w:rPr>
        <w:t>includes a spouse, children, and anyone else living in an employee’s household, and may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children temporarily living away from home and adult relatives of you and your spouse, whether in your household or not; partnerships in which employees are a general partner; trusts of which employees are a trustee; and estates of which employees are an executor. Although a person’s adult relatives not living in the same household may not be considered a Related Person, in the context of Insider Trading these persons are likely to be suspect of an Insider Trading investigation and may be a “Tippee” for securities law purposes; therefore, it is crucial that you not disclose Confidential Information concerning CECO to anyone, including members of your household and extended family.</w:t>
      </w:r>
    </w:p>
    <w:p>
      <w:pPr>
        <w:spacing w:after="0" w:line="171" w:lineRule="exact"/>
        <w:rPr>
          <w:sz w:val="20"/>
          <w:szCs w:val="20"/>
          <w:color w:val="auto"/>
        </w:rPr>
      </w:pPr>
    </w:p>
    <w:p>
      <w:pPr>
        <w:jc w:val="both"/>
        <w:ind w:right="920" w:firstLine="374"/>
        <w:spacing w:after="0" w:line="247" w:lineRule="auto"/>
        <w:rPr>
          <w:sz w:val="20"/>
          <w:szCs w:val="20"/>
          <w:color w:val="auto"/>
        </w:rPr>
      </w:pPr>
      <w:r>
        <w:rPr>
          <w:rFonts w:ascii="Arial" w:cs="Arial" w:eastAsia="Arial" w:hAnsi="Arial"/>
          <w:sz w:val="18"/>
          <w:szCs w:val="18"/>
          <w:b w:val="1"/>
          <w:bCs w:val="1"/>
          <w:color w:val="auto"/>
        </w:rPr>
        <w:t xml:space="preserve">“Restricted Persons” </w:t>
      </w:r>
      <w:r>
        <w:rPr>
          <w:rFonts w:ascii="Arial" w:cs="Arial" w:eastAsia="Arial" w:hAnsi="Arial"/>
          <w:sz w:val="18"/>
          <w:szCs w:val="18"/>
          <w:color w:val="auto"/>
        </w:rPr>
        <w:t>are Section 16 Individuals, as well as their spouses and immediate family members sharing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household, entities controlled by any such person and, upon their receipt of notice that they have been designated as a “Restricted Person,” other persons (their spouses and immediate family members sharing the same household and entities controlled by any such person) designated (including, in some cases, for specific time periods) by Company.</w:t>
      </w:r>
    </w:p>
    <w:p>
      <w:pPr>
        <w:spacing w:after="0" w:line="160" w:lineRule="exact"/>
        <w:rPr>
          <w:sz w:val="20"/>
          <w:szCs w:val="20"/>
          <w:color w:val="auto"/>
        </w:rPr>
      </w:pPr>
    </w:p>
    <w:p>
      <w:pPr>
        <w:jc w:val="both"/>
        <w:ind w:right="920" w:firstLine="374"/>
        <w:spacing w:after="0" w:line="253" w:lineRule="auto"/>
        <w:rPr>
          <w:sz w:val="20"/>
          <w:szCs w:val="20"/>
          <w:color w:val="auto"/>
        </w:rPr>
      </w:pPr>
      <w:r>
        <w:rPr>
          <w:rFonts w:ascii="Arial" w:cs="Arial" w:eastAsia="Arial" w:hAnsi="Arial"/>
          <w:sz w:val="18"/>
          <w:szCs w:val="18"/>
          <w:b w:val="1"/>
          <w:bCs w:val="1"/>
          <w:color w:val="auto"/>
        </w:rPr>
        <w:t xml:space="preserve">“Section 16 Individuals” </w:t>
      </w:r>
      <w:r>
        <w:rPr>
          <w:rFonts w:ascii="Arial" w:cs="Arial" w:eastAsia="Arial" w:hAnsi="Arial"/>
          <w:sz w:val="18"/>
          <w:szCs w:val="18"/>
          <w:color w:val="auto"/>
        </w:rPr>
        <w:t>are the directors of Company and the persons designated as “executive officers”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by Company’s Board of Directors. Stockholders that beneficially own more than 10% of Company common stock are also subject to Section 16 of the Securities Exchange Act of 1934.</w:t>
      </w:r>
    </w:p>
    <w:p>
      <w:pPr>
        <w:spacing w:after="0" w:line="155" w:lineRule="exact"/>
        <w:rPr>
          <w:sz w:val="20"/>
          <w:szCs w:val="20"/>
          <w:color w:val="auto"/>
        </w:rPr>
      </w:pPr>
    </w:p>
    <w:p>
      <w:pPr>
        <w:jc w:val="both"/>
        <w:ind w:right="920" w:firstLine="374"/>
        <w:spacing w:after="0" w:line="25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“Tippee”</w:t>
      </w:r>
      <w:r>
        <w:rPr>
          <w:rFonts w:ascii="Arial" w:cs="Arial" w:eastAsia="Arial" w:hAnsi="Arial"/>
          <w:sz w:val="18"/>
          <w:szCs w:val="18"/>
          <w:color w:val="auto"/>
        </w:rPr>
        <w:t xml:space="preserve"> is a person to whom an employee has disclosed Material Nonpublic Information regarding a company or to whom the employee has made recommendations or expressed an opinion on Trading in a company’s securities based on such information.</w:t>
      </w:r>
    </w:p>
    <w:p>
      <w:pPr>
        <w:spacing w:after="0" w:line="142" w:lineRule="exact"/>
        <w:rPr>
          <w:sz w:val="20"/>
          <w:szCs w:val="20"/>
          <w:color w:val="auto"/>
        </w:rPr>
      </w:pPr>
    </w:p>
    <w:p>
      <w:pPr>
        <w:jc w:val="both"/>
        <w:ind w:right="920" w:firstLine="374"/>
        <w:spacing w:after="0" w:line="253" w:lineRule="auto"/>
        <w:rPr>
          <w:sz w:val="20"/>
          <w:szCs w:val="20"/>
          <w:color w:val="auto"/>
        </w:rPr>
      </w:pPr>
      <w:r>
        <w:rPr>
          <w:rFonts w:ascii="Arial" w:cs="Arial" w:eastAsia="Arial" w:hAnsi="Arial"/>
          <w:sz w:val="18"/>
          <w:szCs w:val="18"/>
          <w:b w:val="1"/>
          <w:bCs w:val="1"/>
          <w:color w:val="auto"/>
        </w:rPr>
        <w:t xml:space="preserve">“Tipping” </w:t>
      </w:r>
      <w:r>
        <w:rPr>
          <w:rFonts w:ascii="Arial" w:cs="Arial" w:eastAsia="Arial" w:hAnsi="Arial"/>
          <w:sz w:val="18"/>
          <w:szCs w:val="18"/>
          <w:color w:val="auto"/>
        </w:rPr>
        <w:t>is the passing along of Material Nonpublic Information to others. Penalties for Tipping apply whether or not you</w:t>
      </w:r>
      <w:r>
        <w:rPr>
          <w:rFonts w:ascii="Arial" w:cs="Arial" w:eastAsia="Arial" w:hAnsi="Arial"/>
          <w:sz w:val="18"/>
          <w:szCs w:val="18"/>
          <w:b w:val="1"/>
          <w:bCs w:val="1"/>
          <w:color w:val="auto"/>
        </w:rPr>
        <w:t xml:space="preserve"> </w:t>
      </w:r>
      <w:r>
        <w:rPr>
          <w:rFonts w:ascii="Arial" w:cs="Arial" w:eastAsia="Arial" w:hAnsi="Arial"/>
          <w:sz w:val="18"/>
          <w:szCs w:val="18"/>
          <w:color w:val="auto"/>
        </w:rPr>
        <w:t>derive benefit from another's actions. Recommending that others buy or sell stock or other securities, even without telling them why, can still be unlawful.</w:t>
      </w:r>
    </w:p>
    <w:p>
      <w:pPr>
        <w:spacing w:after="0" w:line="142" w:lineRule="exact"/>
        <w:rPr>
          <w:sz w:val="20"/>
          <w:szCs w:val="20"/>
          <w:color w:val="auto"/>
        </w:rPr>
      </w:pPr>
    </w:p>
    <w:p>
      <w:pPr>
        <w:jc w:val="both"/>
        <w:ind w:right="920" w:firstLine="374"/>
        <w:spacing w:after="0" w:line="301" w:lineRule="auto"/>
        <w:rPr>
          <w:sz w:val="20"/>
          <w:szCs w:val="20"/>
          <w:color w:val="auto"/>
        </w:rPr>
      </w:pPr>
      <w:r>
        <w:rPr>
          <w:rFonts w:ascii="Arial" w:cs="Arial" w:eastAsia="Arial" w:hAnsi="Arial"/>
          <w:sz w:val="17"/>
          <w:szCs w:val="17"/>
          <w:b w:val="1"/>
          <w:bCs w:val="1"/>
          <w:color w:val="auto"/>
        </w:rPr>
        <w:t xml:space="preserve">“Trading” </w:t>
      </w:r>
      <w:r>
        <w:rPr>
          <w:rFonts w:ascii="Arial" w:cs="Arial" w:eastAsia="Arial" w:hAnsi="Arial"/>
          <w:sz w:val="17"/>
          <w:szCs w:val="17"/>
          <w:color w:val="auto"/>
        </w:rPr>
        <w:t>(or</w:t>
      </w:r>
      <w:r>
        <w:rPr>
          <w:rFonts w:ascii="Arial" w:cs="Arial" w:eastAsia="Arial" w:hAnsi="Arial"/>
          <w:sz w:val="17"/>
          <w:szCs w:val="17"/>
          <w:b w:val="1"/>
          <w:bCs w:val="1"/>
          <w:color w:val="auto"/>
        </w:rPr>
        <w:t xml:space="preserve"> “Trade”</w:t>
      </w:r>
      <w:r>
        <w:rPr>
          <w:rFonts w:ascii="Arial" w:cs="Arial" w:eastAsia="Arial" w:hAnsi="Arial"/>
          <w:sz w:val="17"/>
          <w:szCs w:val="17"/>
          <w:color w:val="auto"/>
        </w:rPr>
        <w:t>) includes buying, selling, or otherwise transferring securities. Trading refers to not only the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 sale of a company’s securities, but also to the purchase or sale of puts, calls, or other options with respect to such securities.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 ENFORCEMENT AND CONSEQUENCES OF THE INSIDER TRADING LAWS</w:t>
      </w:r>
    </w:p>
    <w:p>
      <w:pPr>
        <w:spacing w:after="0" w:line="207" w:lineRule="exact"/>
        <w:rPr>
          <w:sz w:val="20"/>
          <w:szCs w:val="20"/>
          <w:color w:val="auto"/>
        </w:rPr>
      </w:pPr>
    </w:p>
    <w:p>
      <w:pPr>
        <w:jc w:val="both"/>
        <w:ind w:right="900"/>
        <w:spacing w:after="0" w:line="242" w:lineRule="auto"/>
        <w:rPr>
          <w:sz w:val="20"/>
          <w:szCs w:val="20"/>
          <w:color w:val="auto"/>
        </w:rPr>
      </w:pPr>
      <w:r>
        <w:rPr>
          <w:rFonts w:ascii="Arial" w:cs="Arial" w:eastAsia="Arial" w:hAnsi="Arial"/>
          <w:sz w:val="18"/>
          <w:szCs w:val="18"/>
          <w:color w:val="auto"/>
        </w:rPr>
        <w:t>The SEC, the U.S. Department of Justice, NASDAQ (the exchange on which CECO's Common Stock is traded), and private litigants have been vigorously pursuing violations of Insider Trading laws. Although most of the publicity about Insider Trading has centered around violations by individuals, federal law also imposes liability on companies and on "controlling persons" for Insider Trading law violations by company personnel. CECO's reputation for integrity and ethical conduct is extremely important to all of us. None of us can afford to have that reputation damaged by even the appearance of improper conduct by anyone employed by or associated with our company.</w:t>
      </w: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579120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9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penalties for Insider Trading law violations are significant:</w:t>
      </w:r>
    </w:p>
    <w:p>
      <w:pPr>
        <w:spacing w:after="0" w:line="180" w:lineRule="exact"/>
        <w:rPr>
          <w:sz w:val="20"/>
          <w:szCs w:val="20"/>
          <w:color w:val="auto"/>
        </w:rPr>
      </w:pPr>
    </w:p>
    <w:p>
      <w:pPr>
        <w:jc w:val="both"/>
        <w:ind w:left="860" w:right="920"/>
        <w:spacing w:after="0" w:line="253" w:lineRule="auto"/>
        <w:rPr>
          <w:sz w:val="20"/>
          <w:szCs w:val="20"/>
          <w:color w:val="auto"/>
        </w:rPr>
      </w:pPr>
      <w:r>
        <w:rPr>
          <w:rFonts w:ascii="Arial" w:cs="Arial" w:eastAsia="Arial" w:hAnsi="Arial"/>
          <w:sz w:val="18"/>
          <w:szCs w:val="18"/>
          <w:color w:val="auto"/>
        </w:rPr>
        <w:t>Individuals who Trade on inside information, and those who tip information to others who then Trade, are subject to a civil penalty of up to three times the profit gained, or loss avoided; a criminal fine (no matter how small the profit) of up to $1 million; and a jail term of up to 10 years.</w:t>
      </w:r>
    </w:p>
    <w:p>
      <w:pPr>
        <w:spacing w:after="0" w:line="155" w:lineRule="exact"/>
        <w:rPr>
          <w:sz w:val="20"/>
          <w:szCs w:val="20"/>
          <w:color w:val="auto"/>
        </w:rPr>
      </w:pPr>
    </w:p>
    <w:p>
      <w:pPr>
        <w:jc w:val="both"/>
        <w:ind w:left="860" w:right="920"/>
        <w:spacing w:after="0" w:line="253" w:lineRule="auto"/>
        <w:rPr>
          <w:sz w:val="20"/>
          <w:szCs w:val="20"/>
          <w:color w:val="auto"/>
        </w:rPr>
      </w:pPr>
      <w:r>
        <w:rPr>
          <w:rFonts w:ascii="Arial" w:cs="Arial" w:eastAsia="Arial" w:hAnsi="Arial"/>
          <w:sz w:val="18"/>
          <w:szCs w:val="18"/>
          <w:color w:val="auto"/>
        </w:rPr>
        <w:t>In addition, persons who violate this Insider Trading Policy, or who refuse to certify compliance with it, will be subject to appropriate disciplinary action up to and including dismissal. CECO may also refer potential violations of law to appropriate authorities.</w:t>
      </w:r>
    </w:p>
    <w:p>
      <w:pPr>
        <w:spacing w:after="0" w:line="155" w:lineRule="exact"/>
        <w:rPr>
          <w:sz w:val="20"/>
          <w:szCs w:val="20"/>
          <w:color w:val="auto"/>
        </w:rPr>
      </w:pPr>
    </w:p>
    <w:p>
      <w:pPr>
        <w:jc w:val="both"/>
        <w:ind w:left="860" w:right="920"/>
        <w:spacing w:after="0" w:line="271" w:lineRule="auto"/>
        <w:rPr>
          <w:sz w:val="20"/>
          <w:szCs w:val="20"/>
          <w:color w:val="auto"/>
        </w:rPr>
      </w:pPr>
      <w:r>
        <w:rPr>
          <w:rFonts w:ascii="Arial" w:cs="Arial" w:eastAsia="Arial" w:hAnsi="Arial"/>
          <w:sz w:val="18"/>
          <w:szCs w:val="18"/>
          <w:color w:val="auto"/>
        </w:rPr>
        <w:t>Any of the above consequences, or even an SEC investigation which does not result in legal action, can tarnish CECO's reputation, and irreparably damage the careers of those involved.</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VII. SAFEGUARDING CONFIDENTIAL INFORMATION</w:t>
      </w:r>
    </w:p>
    <w:p>
      <w:pPr>
        <w:spacing w:after="0" w:line="207" w:lineRule="exact"/>
        <w:rPr>
          <w:sz w:val="20"/>
          <w:szCs w:val="20"/>
          <w:color w:val="auto"/>
        </w:rPr>
      </w:pPr>
    </w:p>
    <w:p>
      <w:pPr>
        <w:jc w:val="both"/>
        <w:ind w:left="120" w:right="920"/>
        <w:spacing w:after="0"/>
        <w:rPr>
          <w:sz w:val="20"/>
          <w:szCs w:val="20"/>
          <w:color w:val="auto"/>
        </w:rPr>
      </w:pPr>
      <w:r>
        <w:rPr>
          <w:rFonts w:ascii="Arial" w:cs="Arial" w:eastAsia="Arial" w:hAnsi="Arial"/>
          <w:sz w:val="18"/>
          <w:szCs w:val="18"/>
          <w:color w:val="auto"/>
        </w:rPr>
        <w:t>You should treat all sensitive, Nonpublic Information about CECO (or any other company) as confidential and proprietary to CECO. You may not disclose such information to others (such as Related Persons, other relatives, business, or social acquaintances) who do not have a legitimate need for such information for business reasons. You must treat all such information carefully and avoid inadvertent or indirect disclosure of it. Even within CECO, Confidential Information should be distributed to or discussed with others only on a need-to-know basis, and those people should be told that the information is confidential. Be careful that your conversations are not overheard on elevators, airplanes, or other public places; do not leave confidential documents on conference tables, desks or otherwise unguarded; and take whatever steps are reasonably necessary to keep Confidential Information from being disclosed.</w:t>
      </w:r>
    </w:p>
    <w:p>
      <w:pPr>
        <w:spacing w:after="0" w:line="167" w:lineRule="exact"/>
        <w:rPr>
          <w:sz w:val="20"/>
          <w:szCs w:val="20"/>
          <w:color w:val="auto"/>
        </w:rPr>
      </w:pPr>
    </w:p>
    <w:p>
      <w:pPr>
        <w:jc w:val="both"/>
        <w:ind w:left="120" w:right="920"/>
        <w:spacing w:after="0" w:line="244" w:lineRule="auto"/>
        <w:rPr>
          <w:sz w:val="20"/>
          <w:szCs w:val="20"/>
          <w:color w:val="auto"/>
        </w:rPr>
      </w:pPr>
      <w:r>
        <w:rPr>
          <w:rFonts w:ascii="Arial" w:cs="Arial" w:eastAsia="Arial" w:hAnsi="Arial"/>
          <w:sz w:val="18"/>
          <w:szCs w:val="18"/>
          <w:color w:val="auto"/>
        </w:rPr>
        <w:t>In addition, you must be especially alert to inquiries about CECO that may be made by the financial press, investment analysts, or others in the financial community. All such communications on behalf of CECO must be made through an appropriately designated individual(s) and under carefully controlled circumstances. Unless you are expressly authorized to the contrary, if you receive any inquiries of this nature, you should decline comment and refer the inquirer to CECO’s Office of the General Counsel at ogc@onececo.com.</w:t>
      </w:r>
    </w:p>
    <w:p>
      <w:pPr>
        <w:spacing w:after="0" w:line="145"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20"/>
          <w:szCs w:val="20"/>
          <w:b w:val="1"/>
          <w:bCs w:val="1"/>
          <w:color w:val="auto"/>
        </w:rPr>
        <w:t>VIII.</w:t>
      </w:r>
      <w:r>
        <w:rPr>
          <w:sz w:val="20"/>
          <w:szCs w:val="20"/>
          <w:color w:val="auto"/>
        </w:rPr>
        <w:tab/>
      </w:r>
      <w:r>
        <w:rPr>
          <w:rFonts w:ascii="Arial" w:cs="Arial" w:eastAsia="Arial" w:hAnsi="Arial"/>
          <w:sz w:val="20"/>
          <w:szCs w:val="20"/>
          <w:b w:val="1"/>
          <w:bCs w:val="1"/>
          <w:color w:val="auto"/>
        </w:rPr>
        <w:t>A WORD OF CAUTION</w:t>
      </w:r>
    </w:p>
    <w:p>
      <w:pPr>
        <w:spacing w:after="0" w:line="193" w:lineRule="exact"/>
        <w:rPr>
          <w:sz w:val="20"/>
          <w:szCs w:val="20"/>
          <w:color w:val="auto"/>
        </w:rPr>
      </w:pPr>
    </w:p>
    <w:p>
      <w:pPr>
        <w:jc w:val="both"/>
        <w:ind w:left="120" w:right="920"/>
        <w:spacing w:after="0"/>
        <w:rPr>
          <w:sz w:val="20"/>
          <w:szCs w:val="20"/>
          <w:color w:val="auto"/>
        </w:rPr>
      </w:pPr>
      <w:r>
        <w:rPr>
          <w:rFonts w:ascii="Arial" w:cs="Arial" w:eastAsia="Arial" w:hAnsi="Arial"/>
          <w:sz w:val="18"/>
          <w:szCs w:val="18"/>
          <w:color w:val="auto"/>
        </w:rPr>
        <w:t xml:space="preserve">Any transaction that becomes the subject of an Insider Trading inquiry will be viewed by the SEC and the courts with 20-20 hindsight. Therefore, you must consider the appearance of any transaction both now and in the future. </w:t>
      </w:r>
      <w:r>
        <w:rPr>
          <w:rFonts w:ascii="Arial" w:cs="Arial" w:eastAsia="Arial" w:hAnsi="Arial"/>
          <w:sz w:val="18"/>
          <w:szCs w:val="18"/>
          <w:b w:val="1"/>
          <w:bCs w:val="1"/>
          <w:i w:val="1"/>
          <w:iCs w:val="1"/>
          <w:color w:val="auto"/>
        </w:rPr>
        <w:t>If you have 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questions at all about the propriety of a transaction, you should contact the Office of the General Counsel at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 xml:space="preserve">ogc@onececo.com </w:t>
      </w:r>
      <w:r>
        <w:rPr>
          <w:rFonts w:ascii="Arial" w:cs="Arial" w:eastAsia="Arial" w:hAnsi="Arial"/>
          <w:sz w:val="17"/>
          <w:szCs w:val="17"/>
          <w:b w:val="1"/>
          <w:bCs w:val="1"/>
          <w:i w:val="1"/>
          <w:iCs w:val="1"/>
          <w:color w:val="auto"/>
        </w:rPr>
        <w:t>for advice before Trading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-22860</wp:posOffset>
            </wp:positionV>
            <wp:extent cx="3492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349250" cy="8255"/>
                    </a:xfrm>
                    <a:prstGeom prst="rect">
                      <a:avLst/>
                    </a:prstGeom>
                    <a:noFill/>
                  </pic:spPr>
                </pic:pic>
              </a:graphicData>
            </a:graphic>
          </wp:anchor>
        </w:drawing>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IX. REFERENCES, RELATED POLICIES, ATTACHMENTS, EXHIBITS, AND/OR APPENDICES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Attachment: Supplement to Insider Trading Policy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Check the Code of Conduct for more information related to this topic, and see the following related policy: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CG-009 - Conflict of Interest Policy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14"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SUPPLEMENT TO INSIDER TRADING POLICY</w:t>
      </w:r>
    </w:p>
    <w:p>
      <w:pPr>
        <w:jc w:val="center"/>
        <w:ind w:right="100"/>
        <w:spacing w:after="0" w:line="225" w:lineRule="auto"/>
        <w:rPr>
          <w:sz w:val="20"/>
          <w:szCs w:val="20"/>
          <w:color w:val="auto"/>
        </w:rPr>
      </w:pPr>
      <w:r>
        <w:rPr>
          <w:rFonts w:ascii="Arial" w:cs="Arial" w:eastAsia="Arial" w:hAnsi="Arial"/>
          <w:sz w:val="20"/>
          <w:szCs w:val="20"/>
          <w:b w:val="1"/>
          <w:bCs w:val="1"/>
          <w:color w:val="auto"/>
        </w:rPr>
        <w:t>ADDITIONAL TRADING RESTRICTIONS</w:t>
      </w:r>
    </w:p>
    <w:p>
      <w:pPr>
        <w:jc w:val="center"/>
        <w:ind w:right="100"/>
        <w:spacing w:after="0"/>
        <w:rPr>
          <w:sz w:val="20"/>
          <w:szCs w:val="20"/>
          <w:color w:val="auto"/>
        </w:rPr>
      </w:pPr>
      <w:r>
        <w:rPr>
          <w:rFonts w:ascii="Arial" w:cs="Arial" w:eastAsia="Arial" w:hAnsi="Arial"/>
          <w:sz w:val="20"/>
          <w:szCs w:val="20"/>
          <w:b w:val="1"/>
          <w:bCs w:val="1"/>
          <w:color w:val="auto"/>
        </w:rPr>
        <w:t>FOR SECTION 16 INDIVIDUALS</w:t>
      </w:r>
    </w:p>
    <w:p>
      <w:pPr>
        <w:spacing w:after="0" w:line="187" w:lineRule="exact"/>
        <w:rPr>
          <w:sz w:val="20"/>
          <w:szCs w:val="20"/>
          <w:color w:val="auto"/>
        </w:rPr>
      </w:pPr>
    </w:p>
    <w:p>
      <w:pPr>
        <w:jc w:val="both"/>
        <w:ind w:right="920" w:firstLine="747"/>
        <w:spacing w:after="0" w:line="256" w:lineRule="auto"/>
        <w:rPr>
          <w:sz w:val="20"/>
          <w:szCs w:val="20"/>
          <w:color w:val="auto"/>
        </w:rPr>
      </w:pPr>
      <w:r>
        <w:rPr>
          <w:rFonts w:ascii="Arial" w:cs="Arial" w:eastAsia="Arial" w:hAnsi="Arial"/>
          <w:sz w:val="17"/>
          <w:szCs w:val="17"/>
          <w:color w:val="auto"/>
        </w:rPr>
        <w:t>CECO Environmental Corp. has adopted a policy prohibiting Insider Trading and certain other securities transactions. That Policy applies to all of our personnel. As noted in the Policy, directors, officers, and others who regularly have access to, or generate, Material Nonpublic Information are subject to additional restrictions on the Trading of Company Securities. This Supplement applies to all directors and executive officers of CECO who are subject to the requirements of Section 16 of the Securities Exchange act of 1934 and all other Section 16 Individuals and Restricted Persons. In addition, CECO’s Chief Executive Officer or Chief Financial Officer may from time to time designate non-executive employees, either by name or by title, as subject to this Supplement, and the Supplement will be effective as to each such employee immediately upon the employee's receipt of notice of designation and a copy of this Supplement. Please see the Policy for defined terms used in this Supplement.</w:t>
      </w:r>
    </w:p>
    <w:p>
      <w:pPr>
        <w:spacing w:after="0" w:line="154" w:lineRule="exact"/>
        <w:rPr>
          <w:sz w:val="20"/>
          <w:szCs w:val="20"/>
          <w:color w:val="auto"/>
        </w:rPr>
      </w:pPr>
    </w:p>
    <w:p>
      <w:pPr>
        <w:ind w:right="1000" w:firstLine="747"/>
        <w:spacing w:after="0" w:line="271" w:lineRule="auto"/>
        <w:rPr>
          <w:sz w:val="20"/>
          <w:szCs w:val="20"/>
          <w:color w:val="auto"/>
        </w:rPr>
      </w:pPr>
      <w:r>
        <w:rPr>
          <w:rFonts w:ascii="Arial" w:cs="Arial" w:eastAsia="Arial" w:hAnsi="Arial"/>
          <w:sz w:val="18"/>
          <w:szCs w:val="18"/>
          <w:color w:val="auto"/>
        </w:rPr>
        <w:t>So long as you are a director or executive officer or other employee who has been designated as subject to these policies and procedures, this Supplement applies to:</w:t>
      </w:r>
    </w:p>
    <w:p>
      <w:pPr>
        <w:spacing w:after="0" w:line="154" w:lineRule="exact"/>
        <w:rPr>
          <w:sz w:val="20"/>
          <w:szCs w:val="20"/>
          <w:color w:val="auto"/>
        </w:rPr>
      </w:pPr>
    </w:p>
    <w:p>
      <w:pPr>
        <w:ind w:left="740" w:hanging="373"/>
        <w:spacing w:after="0"/>
        <w:tabs>
          <w:tab w:leader="none" w:pos="7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You;</w:t>
      </w:r>
    </w:p>
    <w:p>
      <w:pPr>
        <w:spacing w:after="0" w:line="26" w:lineRule="exact"/>
        <w:rPr>
          <w:rFonts w:ascii="Times New Roman" w:cs="Times New Roman" w:eastAsia="Times New Roman" w:hAnsi="Times New Roman"/>
          <w:sz w:val="18"/>
          <w:szCs w:val="18"/>
          <w:color w:val="auto"/>
        </w:rPr>
      </w:pPr>
    </w:p>
    <w:p>
      <w:pPr>
        <w:ind w:left="740" w:hanging="373"/>
        <w:spacing w:after="0"/>
        <w:tabs>
          <w:tab w:leader="none" w:pos="7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Your family members who reside with you; and</w:t>
      </w:r>
    </w:p>
    <w:p>
      <w:pPr>
        <w:spacing w:after="0" w:line="8" w:lineRule="exact"/>
        <w:rPr>
          <w:rFonts w:ascii="Times New Roman" w:cs="Times New Roman" w:eastAsia="Times New Roman" w:hAnsi="Times New Roman"/>
          <w:sz w:val="18"/>
          <w:szCs w:val="18"/>
          <w:color w:val="auto"/>
        </w:rPr>
      </w:pPr>
    </w:p>
    <w:p>
      <w:pPr>
        <w:jc w:val="both"/>
        <w:ind w:left="720" w:right="920" w:hanging="353"/>
        <w:spacing w:after="0" w:line="242" w:lineRule="auto"/>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Any family members who do not live in your household but whose transactions in Company Securities are directed by you or are subject to your influence or control (such as parents or children who consult with you before they Trade in Company Securities).</w:t>
      </w:r>
    </w:p>
    <w:p>
      <w:pPr>
        <w:spacing w:after="0" w:line="179" w:lineRule="exact"/>
        <w:rPr>
          <w:sz w:val="20"/>
          <w:szCs w:val="20"/>
          <w:color w:val="auto"/>
        </w:rPr>
      </w:pPr>
    </w:p>
    <w:p>
      <w:pPr>
        <w:jc w:val="both"/>
        <w:ind w:right="920" w:firstLine="747"/>
        <w:spacing w:after="0"/>
        <w:rPr>
          <w:sz w:val="20"/>
          <w:szCs w:val="20"/>
          <w:color w:val="auto"/>
        </w:rPr>
      </w:pPr>
      <w:r>
        <w:rPr>
          <w:rFonts w:ascii="Arial" w:cs="Arial" w:eastAsia="Arial" w:hAnsi="Arial"/>
          <w:sz w:val="18"/>
          <w:szCs w:val="18"/>
          <w:color w:val="auto"/>
        </w:rPr>
        <w:t>You are responsible for the transactions of these other persons and, therefore, you should make them aware of these procedures and their need to confer with you before they engage in any transaction subject to this Supplement. As used in this Supplement, "you" means anyone subject to the policies and procedures described in this Supplement. Violations of this type always are examined with 20-20 hindsight, usually by people who do not know you or CECO. As a consequence, even the appearance of impropriety can result in negative consequences to both you and CECO. These additional Trading restrictions represent an effort to guard against even the appearance of impropriety. Therefore, in addition to the prohibitions on Insider and speculative Trading which apply to all CECO personnel, by virtue of your position, the following ADDITIONAL trading restrictions apply:</w:t>
      </w:r>
    </w:p>
    <w:p>
      <w:pPr>
        <w:spacing w:after="0" w:line="167" w:lineRule="exact"/>
        <w:rPr>
          <w:sz w:val="20"/>
          <w:szCs w:val="20"/>
          <w:color w:val="auto"/>
        </w:rPr>
      </w:pPr>
    </w:p>
    <w:p>
      <w:pPr>
        <w:jc w:val="both"/>
        <w:ind w:left="720" w:right="920" w:hanging="353"/>
        <w:spacing w:after="0" w:line="244"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may Trade Company Securities only for a period beginning on the later of (i) one full trading day or (ii) 24 hours following CECO’s widespread public release of quarterly or year-end earnings, and ending on the date on which financial information for the ensuing fiscal quarter becomes internally available, typically the last day of the last month of a fiscal quarter end (e.g., December 31, 2023 in the case of fiscal 2023). This restriction on Trading does not apply to transactions made under an Approved Rule 10b5-1 Trading Plan.</w:t>
      </w:r>
    </w:p>
    <w:p>
      <w:pPr>
        <w:spacing w:after="0" w:line="162" w:lineRule="exact"/>
        <w:rPr>
          <w:rFonts w:ascii="Arial" w:cs="Arial" w:eastAsia="Arial" w:hAnsi="Arial"/>
          <w:sz w:val="18"/>
          <w:szCs w:val="18"/>
          <w:color w:val="auto"/>
        </w:rPr>
      </w:pPr>
    </w:p>
    <w:p>
      <w:pPr>
        <w:jc w:val="both"/>
        <w:ind w:left="720" w:right="920" w:hanging="353"/>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you desire to Trade Company Securities, then you must request the pre-clearance of such Trade by submitting a written request to the Office of the General Counsel</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who may permit such Trading after consideration of all relevant facts and circumstances concerning the request, including a demonstration that you are not in possession of Material Nonpublic Information and that such Trading is not likely to result in negative publicity to CECO or to raise investor concerns. The General Counsel and /or his or her designees in the Office of General Counsel may consult with the Chief Executive Officer, the Chief Financial Officer and/ or members of the Board of Directors, including the Chair of the Board, to make a determination about whether an individual requesting to Trade is in possession of Material Nonpublic Information.</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579120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9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0" w:lineRule="exact"/>
        <w:rPr>
          <w:sz w:val="20"/>
          <w:szCs w:val="20"/>
          <w:color w:val="auto"/>
        </w:rPr>
      </w:pPr>
    </w:p>
    <w:p>
      <w:pPr>
        <w:jc w:val="both"/>
        <w:ind w:left="360" w:right="920" w:hanging="353"/>
        <w:spacing w:after="0" w:line="23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must also comply with the reporting obligations on Trading in Company Securities and limitations on "short-swing" transactions set forth in the federal securities laws. The practical effect of these provisions is that if you both purchase and sell Company Securities within a six-month period, then you must disgorge all profits from the sale to CECO, whether or not you had knowledge of any Material Nonpublic Information. Under these provisions, and so long as certain other criteria are met, the receipt of equity awards under CECO’s option plans and the exercise of any option received, or the vesting of any restricted stock or restricted stock units, is not subject to these restrictions; however, the sale of any such shares received upon vesting or exercise of an option is subject to this 6-month rule. Additionally, you may never make a short sale of CECO’s stock.</w:t>
      </w:r>
    </w:p>
    <w:p>
      <w:pPr>
        <w:spacing w:after="0" w:line="182" w:lineRule="exact"/>
        <w:rPr>
          <w:rFonts w:ascii="Arial" w:cs="Arial" w:eastAsia="Arial" w:hAnsi="Arial"/>
          <w:sz w:val="18"/>
          <w:szCs w:val="18"/>
          <w:color w:val="auto"/>
        </w:rPr>
      </w:pPr>
    </w:p>
    <w:p>
      <w:pPr>
        <w:jc w:val="both"/>
        <w:ind w:left="360" w:right="920" w:hanging="353"/>
        <w:spacing w:after="0" w:line="25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restrictions also are in addition to the legal requirements that may otherwise apply to your Trading of Company Securities, such as the application of Securities Act Rule 144 and the prohibition on purchases while CECO is distributing securities of the same class.</w:t>
      </w:r>
    </w:p>
    <w:p>
      <w:pPr>
        <w:spacing w:after="0" w:line="23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579120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119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761365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765"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4"/>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800" w:type="dxa"/>
            <w:vAlign w:val="bottom"/>
            <w:tcBorders>
              <w:bottom w:val="single" w:sz="8" w:color="auto"/>
            </w:tcBorders>
          </w:tcPr>
          <w:p>
            <w:pPr>
              <w:jc w:val="center"/>
              <w:ind w:left="1470"/>
              <w:spacing w:after="0"/>
              <w:rPr>
                <w:sz w:val="20"/>
                <w:szCs w:val="20"/>
                <w:color w:val="auto"/>
              </w:rPr>
            </w:pPr>
            <w:r>
              <w:rPr>
                <w:rFonts w:ascii="Times New Roman" w:cs="Times New Roman" w:eastAsia="Times New Roman" w:hAnsi="Times New Roman"/>
                <w:sz w:val="14"/>
                <w:szCs w:val="14"/>
                <w:b w:val="1"/>
                <w:bCs w:val="1"/>
                <w:color w:val="auto"/>
              </w:rPr>
              <w:t>State/County</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Aarding Thermal Acoustics B.V.</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Aarding Thermal Acoustics USA Inc.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Arkanum Management Limited</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Emtrol Buell India Private Limited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(Shanghai) Co., Ltd.</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Environmental Arabia Limited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Asia Pacific Pte. Ltd.</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Environmental Corp.</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IP Inc.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Environmental Mexico S. de R. L. de C. V.</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Middle East DMCC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Environmental Netherlands B.V.</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Services S de RL de CV</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Group Global Holdings LLC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Group, Inc.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Industrial Solutions, Inc.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Mexico Holdings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Peerless (China) Environmental Co. Ltd.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Peerless (China) Environmental Co., Ltd. - Shanghai Branch</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Peerless China Holdings LLC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Compass Water Solutions, Inc.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DS21 Co., Ltd.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Republic of Korea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Effox-Flextor-Mader Inc.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Emtrol LLC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Emtrol LLC - UK Branch</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Emtrol Ltd.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6"/>
              </w:rPr>
              <w:t>Canada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EnviroCare International,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Integrated Solutions Limited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FKI,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Flextor, Inc.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6"/>
              </w:rPr>
              <w:t>Canada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Rubber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H.M. White, Inc.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Kemco Systems Co.,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Malvar Engineering Limited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Mefiag B.V.</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Met-Pro (Hong Kong) Company Limited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Met-Pro Technologies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Midflow Services, LLC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MP China Company Limited</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Peerless Europe Ltd.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Peerless Europe, Ltd - Dubai Branch</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Peerless Mfg. Co.</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Pinnacle Process Solutions,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Prochem, ULC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6"/>
              </w:rPr>
              <w:t>Canada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Profire Combustion, Inc.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6"/>
              </w:rPr>
              <w:t>Canada</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Profire Energy, Inc.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Profire Holdings,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Kirk &amp; Blum Manufacturing Company</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Transcend Solutions, LLC</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Verantis (Singapore) Pte. Ltd.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Verantis Corporation</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Verantis Environmental Solutions (India) Private Limited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Verantis Environmental Solutions Group (Shanghai) Co. Ltd.</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Verantis Holdings, Inc.</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Wakefield Acoustics Limited</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Air Ducts (UK) Limited</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WK Asia-Pacific Environmental PTE. LTD.</w:t>
            </w:r>
          </w:p>
        </w:tc>
        <w:tc>
          <w:tcPr>
            <w:tcW w:w="3800" w:type="dxa"/>
            <w:vAlign w:val="bottom"/>
            <w:shd w:val="clear" w:color="auto" w:fill="CFF0FC"/>
          </w:tcPr>
          <w:p>
            <w:pPr>
              <w:jc w:val="center"/>
              <w:ind w:left="14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WK Wärmetechnische Anlagen Kessel- &amp; Apparatebau Verwaltungs GmbH</w:t>
            </w:r>
          </w:p>
        </w:tc>
        <w:tc>
          <w:tcPr>
            <w:tcW w:w="38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Germany</w:t>
            </w:r>
          </w:p>
        </w:tc>
      </w:tr>
      <w:tr>
        <w:trPr>
          <w:trHeight w:val="745"/>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WK-AP-China Environmental Co., Ltd.</w:t>
            </w:r>
          </w:p>
        </w:tc>
        <w:tc>
          <w:tcPr>
            <w:tcW w:w="4980" w:type="dxa"/>
            <w:vAlign w:val="bottom"/>
            <w:shd w:val="clear" w:color="auto" w:fill="CFF0FC"/>
          </w:tcPr>
          <w:p>
            <w:pPr>
              <w:jc w:val="center"/>
              <w:ind w:left="265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WK-Systems India Private Limited</w:t>
            </w:r>
          </w:p>
        </w:tc>
        <w:tc>
          <w:tcPr>
            <w:tcW w:w="498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WK-Systems, Inc.</w:t>
            </w:r>
          </w:p>
        </w:tc>
        <w:tc>
          <w:tcPr>
            <w:tcW w:w="4980" w:type="dxa"/>
            <w:vAlign w:val="bottom"/>
            <w:shd w:val="clear" w:color="auto" w:fill="CFF0FC"/>
          </w:tcPr>
          <w:p>
            <w:pPr>
              <w:jc w:val="center"/>
              <w:ind w:left="26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763"/>
        </w:trPr>
        <w:tc>
          <w:tcPr>
            <w:tcW w:w="62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333-264623) and Form S-8 (Nos. 333-239224, 333-239707, and 333-256466) of CECO Environmental Corp. (the Company) of our reports dated February 25, 2025, relating to the consolidated financial statements, and the effectiveness of the Company’s internal control over financial reporting, which appear in this Annual Report on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2024,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2024,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2024, as filed with the Securities and Exchange Commission on the date hereof (the “Report”), I, Todd Gleason, Chief Executive Officer of the Company, certify, pursuant to 18 U.S.C. Section 1350, as adopted pursuant to Section 906 of the Sarbanes Oxley Act of 2002, that:</w:t>
      </w:r>
    </w:p>
    <w:p>
      <w:pPr>
        <w:spacing w:after="0" w:line="68"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2024, as filed with the Securities and Exchange Commission on the date hereof (the “Report”), I, Peter Johansson, Chief Financial and Strategy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2"/>
    </w:lvl>
  </w:abstractNum>
  <w:abstractNum w:abstractNumId="21">
    <w:nsid w:val="153EA438"/>
    <w:multiLevelType w:val="hybridMultilevel"/>
    <w:lvl w:ilvl="0">
      <w:lvlJc w:val="left"/>
      <w:lvlText w:val="(%1)"/>
      <w:numFmt w:val="decimal"/>
      <w:start w:val="2"/>
    </w:lvl>
  </w:abstractNum>
  <w:abstractNum w:abstractNumId="22">
    <w:nsid w:val="3855585C"/>
    <w:multiLevelType w:val="hybridMultilevel"/>
    <w:lvl w:ilvl="0">
      <w:lvlJc w:val="left"/>
      <w:lvlText w:val="%1."/>
      <w:numFmt w:val="decimal"/>
      <w:start w:val="9"/>
    </w:lvl>
  </w:abstractNum>
  <w:abstractNum w:abstractNumId="23">
    <w:nsid w:val="70A64E2A"/>
    <w:multiLevelType w:val="hybridMultilevel"/>
    <w:lvl w:ilvl="0">
      <w:lvlJc w:val="left"/>
      <w:lvlText w:val="%1."/>
      <w:numFmt w:val="decimal"/>
      <w:start w:val="10"/>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2"/>
    </w:lvl>
  </w:abstractNum>
  <w:abstractNum w:abstractNumId="28">
    <w:nsid w:val="2CD89A32"/>
    <w:multiLevelType w:val="hybridMultilevel"/>
    <w:lvl w:ilvl="0">
      <w:lvlJc w:val="left"/>
      <w:lvlText w:val="%1."/>
      <w:numFmt w:val="decimal"/>
      <w:start w:val="13"/>
    </w:lvl>
  </w:abstractNum>
  <w:abstractNum w:abstractNumId="29">
    <w:nsid w:val="57E4CCAF"/>
    <w:multiLevelType w:val="hybridMultilevel"/>
    <w:lvl w:ilvl="0">
      <w:lvlJc w:val="left"/>
      <w:lvlText w:val="%1."/>
      <w:numFmt w:val="decimal"/>
      <w:start w:val="14"/>
    </w:lvl>
  </w:abstractNum>
  <w:abstractNum w:abstractNumId="30">
    <w:nsid w:val="7A6D8D3C"/>
    <w:multiLevelType w:val="hybridMultilevel"/>
    <w:lvl w:ilvl="0">
      <w:lvlJc w:val="left"/>
      <w:lvlText w:val="%1."/>
      <w:numFmt w:val="decimal"/>
      <w:start w:val="15"/>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4"/>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4"/>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4"/>
    </w:lvl>
  </w:abstractNum>
  <w:abstractNum w:abstractNumId="37">
    <w:nsid w:val="684A481A"/>
    <w:multiLevelType w:val="hybridMultilevel"/>
    <w:lvl w:ilvl="0">
      <w:lvlJc w:val="left"/>
      <w:lvlText w:val="%1."/>
      <w:numFmt w:val="decimal"/>
      <w:start w:val="16"/>
    </w:lvl>
  </w:abstractNum>
  <w:abstractNum w:abstractNumId="38">
    <w:nsid w:val="579478FE"/>
    <w:multiLevelType w:val="hybridMultilevel"/>
    <w:lvl w:ilvl="0">
      <w:lvlJc w:val="left"/>
      <w:lvlText w:val="%1."/>
      <w:numFmt w:val="upperLetter"/>
      <w:start w:val="9"/>
    </w:lvl>
  </w:abstractNum>
  <w:abstractNum w:abstractNumId="39">
    <w:nsid w:val="749ABB43"/>
    <w:multiLevelType w:val="hybridMultilevel"/>
    <w:lvl w:ilvl="0">
      <w:lvlJc w:val="left"/>
      <w:lvlText w:val="%1."/>
      <w:numFmt w:val="upperLetter"/>
      <w:start w:val="35"/>
    </w:lvl>
  </w:abstractNum>
  <w:abstractNum w:abstractNumId="40">
    <w:nsid w:val="3DC240FB"/>
    <w:multiLevelType w:val="hybridMultilevel"/>
    <w:lvl w:ilvl="0">
      <w:lvlJc w:val="left"/>
      <w:lvlText w:val="%1."/>
      <w:numFmt w:val="upperLetter"/>
      <w:start w:val="1"/>
    </w:lvl>
    <w:lvl w:ilvl="1">
      <w:lvlJc w:val="left"/>
      <w:lvlText w:val="%2."/>
      <w:numFmt w:val="decimal"/>
      <w:start w:val="1"/>
    </w:lvl>
  </w:abstractNum>
  <w:abstractNum w:abstractNumId="41">
    <w:nsid w:val="1BA026FA"/>
    <w:multiLevelType w:val="hybridMultilevel"/>
    <w:lvl w:ilvl="0">
      <w:lvlJc w:val="left"/>
      <w:lvlText w:val="%1."/>
      <w:numFmt w:val="upperLetter"/>
      <w:start w:val="3"/>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upperLetter"/>
      <w:start w:val="4"/>
    </w:lvl>
  </w:abstractNum>
  <w:abstractNum w:abstractNumId="44">
    <w:nsid w:val="12E685FB"/>
    <w:multiLevelType w:val="hybridMultilevel"/>
    <w:lvl w:ilvl="0">
      <w:lvlJc w:val="left"/>
      <w:lvlText w:val="%1."/>
      <w:numFmt w:val="upperLetter"/>
      <w:start w:val="5"/>
    </w:lvl>
  </w:abstractNum>
  <w:abstractNum w:abstractNumId="45">
    <w:nsid w:val="70C6A529"/>
    <w:multiLevelType w:val="hybridMultilevel"/>
    <w:lvl w:ilvl="0">
      <w:lvlJc w:val="left"/>
      <w:lvlText w:val="%1."/>
      <w:numFmt w:val="upperLetter"/>
      <w:start w:val="6"/>
    </w:lvl>
  </w:abstractNum>
  <w:abstractNum w:abstractNumId="46">
    <w:nsid w:val="520EEDD1"/>
    <w:multiLevelType w:val="hybridMultilevel"/>
    <w:lvl w:ilvl="0">
      <w:lvlJc w:val="left"/>
      <w:lvlText w:val="%1."/>
      <w:numFmt w:val="upperLetter"/>
      <w:start w:val="7"/>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1"/>
    </w:lvl>
    <w:lvl w:ilvl="1">
      <w:lvlJc w:val="left"/>
      <w:lvlText w:val="%2."/>
      <w:numFmt w:val="lowerRoman"/>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upperLetter"/>
      <w:start w:val="8"/>
    </w:lvl>
  </w:abstractNum>
  <w:abstractNum w:abstractNumId="51">
    <w:nsid w:val="275AC794"/>
    <w:multiLevelType w:val="hybridMultilevel"/>
    <w:lvl w:ilvl="0">
      <w:lvlJc w:val="left"/>
      <w:lvlText w:val="%1."/>
      <w:numFmt w:val="upperLetter"/>
      <w:start w:val="9"/>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3"/>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png"/><Relationship Id="rId389"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418" Type="http://schemas.openxmlformats.org/officeDocument/2006/relationships/image" Target="media/image378.png"/><Relationship Id="rId419" Type="http://schemas.openxmlformats.org/officeDocument/2006/relationships/image" Target="media/image379.png"/><Relationship Id="rId420" Type="http://schemas.openxmlformats.org/officeDocument/2006/relationships/image" Target="media/image380.png"/><Relationship Id="rId421" Type="http://schemas.openxmlformats.org/officeDocument/2006/relationships/image" Target="media/image381.png"/><Relationship Id="rId422" Type="http://schemas.openxmlformats.org/officeDocument/2006/relationships/image" Target="media/image382.png"/><Relationship Id="rId423" Type="http://schemas.openxmlformats.org/officeDocument/2006/relationships/image" Target="media/image383.png"/><Relationship Id="rId424" Type="http://schemas.openxmlformats.org/officeDocument/2006/relationships/image" Target="media/image384.png"/><Relationship Id="rId425" Type="http://schemas.openxmlformats.org/officeDocument/2006/relationships/image" Target="media/image385.png"/><Relationship Id="rId426" Type="http://schemas.openxmlformats.org/officeDocument/2006/relationships/image" Target="media/image386.png"/><Relationship Id="rId427"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0"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5" Type="http://schemas.openxmlformats.org/officeDocument/2006/relationships/image" Target="media/image395.png"/><Relationship Id="rId436" Type="http://schemas.openxmlformats.org/officeDocument/2006/relationships/image" Target="media/image396.png"/><Relationship Id="rId437" Type="http://schemas.openxmlformats.org/officeDocument/2006/relationships/image" Target="media/image397.png"/><Relationship Id="rId438" Type="http://schemas.openxmlformats.org/officeDocument/2006/relationships/image" Target="media/image398.png"/><Relationship Id="rId439" Type="http://schemas.openxmlformats.org/officeDocument/2006/relationships/image" Target="media/image399.png"/><Relationship Id="rId440" Type="http://schemas.openxmlformats.org/officeDocument/2006/relationships/image" Target="media/image400.png"/><Relationship Id="rId441" Type="http://schemas.openxmlformats.org/officeDocument/2006/relationships/image" Target="media/image401.png"/><Relationship Id="rId442"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5" Type="http://schemas.openxmlformats.org/officeDocument/2006/relationships/image" Target="media/image405.png"/><Relationship Id="rId446" Type="http://schemas.openxmlformats.org/officeDocument/2006/relationships/image" Target="media/image406.png"/><Relationship Id="rId447" Type="http://schemas.openxmlformats.org/officeDocument/2006/relationships/image" Target="media/image407.png"/><Relationship Id="rId448" Type="http://schemas.openxmlformats.org/officeDocument/2006/relationships/image" Target="media/image408.png"/><Relationship Id="rId449" Type="http://schemas.openxmlformats.org/officeDocument/2006/relationships/image" Target="media/image409.png"/><Relationship Id="rId450" Type="http://schemas.openxmlformats.org/officeDocument/2006/relationships/image" Target="media/image410.png"/><Relationship Id="rId451" Type="http://schemas.openxmlformats.org/officeDocument/2006/relationships/image" Target="media/image411.png"/><Relationship Id="rId452" Type="http://schemas.openxmlformats.org/officeDocument/2006/relationships/image" Target="media/image412.png"/><Relationship Id="rId453" Type="http://schemas.openxmlformats.org/officeDocument/2006/relationships/image" Target="media/image413.png"/><Relationship Id="rId454" Type="http://schemas.openxmlformats.org/officeDocument/2006/relationships/image" Target="media/image414.png"/><Relationship Id="rId455" Type="http://schemas.openxmlformats.org/officeDocument/2006/relationships/image" Target="media/image415.png"/><Relationship Id="rId456" Type="http://schemas.openxmlformats.org/officeDocument/2006/relationships/image" Target="media/image416.png"/><Relationship Id="rId457" Type="http://schemas.openxmlformats.org/officeDocument/2006/relationships/image" Target="media/image417.png"/><Relationship Id="rId458" Type="http://schemas.openxmlformats.org/officeDocument/2006/relationships/image" Target="media/image418.png"/><Relationship Id="rId459" Type="http://schemas.openxmlformats.org/officeDocument/2006/relationships/image" Target="media/image419.png"/><Relationship Id="rId460" Type="http://schemas.openxmlformats.org/officeDocument/2006/relationships/image" Target="media/image420.png"/><Relationship Id="rId461"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jpe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116" Type="http://schemas.openxmlformats.org/officeDocument/2006/relationships/hyperlink" Target="https://www.sec.gov/Archives/edgar/data/0000003197/000095013102001241/dex3i.txt" TargetMode="External"/><Relationship Id="rId117" Type="http://schemas.openxmlformats.org/officeDocument/2006/relationships/hyperlink" Target="https://www.sec.gov/ix?doc=/Archives/edgar/data/0000003197/000095017024063379/ceco-20240520.htm" TargetMode="External"/><Relationship Id="rId118" Type="http://schemas.openxmlformats.org/officeDocument/2006/relationships/hyperlink" Target="https://www.sec.gov/Archives/edgar/data/3197/000119312517368365/d477604dex31.htm" TargetMode="External"/><Relationship Id="rId119" Type="http://schemas.openxmlformats.org/officeDocument/2006/relationships/hyperlink" Target="https://www.sec.gov/Archives/edgar/data/3197/000156459020008551/cece-ex41_99.htm" TargetMode="External"/><Relationship Id="rId120" Type="http://schemas.openxmlformats.org/officeDocument/2006/relationships/hyperlink" Target="https://www.sec.gov/Archives/edgar/data/3197/000119312516590632/d130161dex101.htm" TargetMode="External"/><Relationship Id="rId121" Type="http://schemas.openxmlformats.org/officeDocument/2006/relationships/hyperlink" Target="https://www.sec.gov/Archives/edgar/data/3197/000119312520187900/d948376dex43.htm" TargetMode="External"/><Relationship Id="rId122" Type="http://schemas.openxmlformats.org/officeDocument/2006/relationships/hyperlink" Target="https://www.sec.gov/Archives/edgar/data/3197/000119312520187900/d948376dex44.htm" TargetMode="External"/><Relationship Id="rId123" Type="http://schemas.openxmlformats.org/officeDocument/2006/relationships/hyperlink" Target="https://www.sec.gov/Archives/edgar/data/3197/000119312520187900/d948376dex45.htm" TargetMode="External"/><Relationship Id="rId124" Type="http://schemas.openxmlformats.org/officeDocument/2006/relationships/hyperlink" Target="https://www.sec.gov/Archives/edgar/data/3197/000119312515311954/d73522dex106.htm" TargetMode="External"/><Relationship Id="rId125" Type="http://schemas.openxmlformats.org/officeDocument/2006/relationships/hyperlink" Target="https://www.sec.gov/Archives/edgar/data/3197/000119312511067373/dex1012.htm" TargetMode="External"/><Relationship Id="rId126" Type="http://schemas.openxmlformats.org/officeDocument/2006/relationships/hyperlink" Target="https://www.sec.gov/Archives/edgar/data/3197/000119312511067373/dex1013.htm" TargetMode="External"/><Relationship Id="rId127" Type="http://schemas.openxmlformats.org/officeDocument/2006/relationships/hyperlink" Target="https://www.sec.gov/Archives/edgar/data/3197/000119312517171790/d394916dex43.htm" TargetMode="External"/><Relationship Id="rId128" Type="http://schemas.openxmlformats.org/officeDocument/2006/relationships/hyperlink" Target="https://www.sec.gov/Archives/edgar/data/3197/000156459017016752/cece-ex102_87.htm" TargetMode="External"/><Relationship Id="rId131" Type="http://schemas.openxmlformats.org/officeDocument/2006/relationships/hyperlink" Target="https://www.sec.gov/Archives/edgar/data/3197/000156459017016752/cece-ex103_86.htm" TargetMode="External"/><Relationship Id="rId132" Type="http://schemas.openxmlformats.org/officeDocument/2006/relationships/hyperlink" Target="https://www.sec.gov/Archives/edgar/data/3197/000156459017016752/cece-ex104_88.htm" TargetMode="External"/><Relationship Id="rId133" Type="http://schemas.openxmlformats.org/officeDocument/2006/relationships/hyperlink" Target="https://www.sec.gov/Archives/edgar/data/3197/000156459017016752/cece-ex105_89.htm" TargetMode="External"/><Relationship Id="rId134" Type="http://schemas.openxmlformats.org/officeDocument/2006/relationships/hyperlink" Target="https://www.sec.gov/Archives/edgar/data/3197/000156459020029431/cece-ex101_16.htm" TargetMode="External"/><Relationship Id="rId135" Type="http://schemas.openxmlformats.org/officeDocument/2006/relationships/hyperlink" Target="https://www.sec.gov/Archives/edgar/data/3197/000156459021030239/cece-ex101_6.htm" TargetMode="External"/><Relationship Id="rId136" Type="http://schemas.openxmlformats.org/officeDocument/2006/relationships/hyperlink" Target="https://www.sec.gov/Archives/edgar/data/3197/000095017022003502/cece-ex10_19.htm" TargetMode="External"/><Relationship Id="rId137" Type="http://schemas.openxmlformats.org/officeDocument/2006/relationships/hyperlink" Target="https://www.sec.gov/Archives/edgar/data/3197/000095017022003502/cece-ex10_20.htm" TargetMode="External"/><Relationship Id="rId138" Type="http://schemas.openxmlformats.org/officeDocument/2006/relationships/hyperlink" Target="https://www.sec.gov/Archives/edgar/data/3197/000095017021003303/cece-ex10_1.htm" TargetMode="External"/><Relationship Id="rId139" Type="http://schemas.openxmlformats.org/officeDocument/2006/relationships/hyperlink" Target="https://www.sec.gov/ix?doc=/Archives/edgar/data/0000003197/000110465924107918/tm2425665d1_8k.htm" TargetMode="External"/><Relationship Id="rId140" Type="http://schemas.openxmlformats.org/officeDocument/2006/relationships/hyperlink" Target="https://www.sec.gov/Archives/edgar/data/3197/000095017023006169/ceco-ex10_26.htm" TargetMode="External"/><Relationship Id="rId141" Type="http://schemas.openxmlformats.org/officeDocument/2006/relationships/hyperlink" Target="https://www.sec.gov/Archives/edgar/data/3197/000095017023006169/ceco-ex10_27.htm" TargetMode="External"/><Relationship Id="rId142" Type="http://schemas.openxmlformats.org/officeDocument/2006/relationships/hyperlink" Target="https://www.sec.gov/Archives/edgar/data/3197/000095017023052069/ceco-ex10_1.htm" TargetMode="External"/><Relationship Id="rId143" Type="http://schemas.openxmlformats.org/officeDocument/2006/relationships/hyperlink" Target="https://www.sec.gov/Archives/edgar/data/3197/000095017023052069/ceco-ex10_2.htm" TargetMode="External"/><Relationship Id="rId144" Type="http://schemas.openxmlformats.org/officeDocument/2006/relationships/hyperlink" Target="https://www.sec.gov/Archives/edgar/data/3197/000095017023032456/ceco-ex10_1.htm" TargetMode="External"/><Relationship Id="rId145" Type="http://schemas.openxmlformats.org/officeDocument/2006/relationships/hyperlink" Target="https://www.sec.gov/Archives/edgar/data/3197/000095017023032456/ceco-ex10_2.htm" TargetMode="External"/><Relationship Id="rId146" Type="http://schemas.openxmlformats.org/officeDocument/2006/relationships/hyperlink" Target="https://www.sec.gov/Archives/edgar/data/3197/000095017023032456/ceco-ex10_3.htm" TargetMode="External"/><Relationship Id="rId147" Type="http://schemas.openxmlformats.org/officeDocument/2006/relationships/hyperlink" Target="https://www.sec.gov/Archives/edgar/data/3197/000095017024025511/ceco-ex10_32.htm" TargetMode="External"/><Relationship Id="rId150" Type="http://schemas.openxmlformats.org/officeDocument/2006/relationships/hyperlink" Target="https://www.sec.gov/Archives/edgar/data/3197/000095017024025511/ceco-ex10_33.htm" TargetMode="External"/><Relationship Id="rId151" Type="http://schemas.openxmlformats.org/officeDocument/2006/relationships/hyperlink" Target="https://www.sec.gov/Archives/edgar/data/3197/000095017024025511/ceco-ex10_34.htm" TargetMode="External"/><Relationship Id="rId152" Type="http://schemas.openxmlformats.org/officeDocument/2006/relationships/hyperlink" Target="https://www.sec.gov/ix?doc=/Archives/edgar/data/3197/000095017024025511/ceco-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2025-02-25T15:05:47Z</dcterms:created>
  <dcterms:modified xsi:type="dcterms:W3CDTF">2025-02-25T15:05:47Z</dcterms:modified>
</cp:coreProperties>
</file>