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East Tower, Suite 800E</w:t>
      </w:r>
    </w:p>
    <w:p>
      <w:pPr>
        <w:spacing w:after="0" w:line="19"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Addison</w:t>
      </w:r>
      <w:r>
        <w:rPr>
          <w:rFonts w:ascii="Times New Roman" w:cs="Times New Roman" w:eastAsia="Times New Roman" w:hAnsi="Times New Roman"/>
          <w:sz w:val="16"/>
          <w:szCs w:val="16"/>
          <w:b w:val="1"/>
          <w:bCs w:val="1"/>
          <w:color w:val="auto"/>
        </w:rPr>
        <w:t>, 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38"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3"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April 28, 2026, CECO Environmental Corp. (the “Company”) issued a press release announcing its financial results for the first quarter ended March 31, 2026.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CECO Environmental Reports First Quarter 2026 Results</w:t>
            </w:r>
          </w:p>
        </w:tc>
        <w:tc>
          <w:tcPr>
            <w:tcW w:w="20" w:type="dxa"/>
            <w:vAlign w:val="bottom"/>
            <w:tcBorders>
              <w:bottom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4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0553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FIRST QUARTER 2026 RESULTS </w:t>
      </w:r>
      <w:r>
        <w:rPr>
          <w:rFonts w:ascii="Times New Roman" w:cs="Times New Roman" w:eastAsia="Times New Roman" w:hAnsi="Times New Roman"/>
          <w:sz w:val="18"/>
          <w:szCs w:val="18"/>
          <w:i w:val="1"/>
          <w:iCs w:val="1"/>
          <w:color w:val="auto"/>
        </w:rPr>
        <w:t>Strong First Quarter Results Highlighted by Orders up 97 Percent and Backlog Eclipsing $1B Largest Natural Gas Power Order in Company History Booked in April 2026 Company Raises Full Year 2026 Guidance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ADDISON, TX (April 28, 2026) -- CECO Environmental Corp. (Nasdaq: CECO) ("CECO")</w:t>
      </w:r>
      <w:r>
        <w:rPr>
          <w:rFonts w:ascii="Times New Roman" w:cs="Times New Roman" w:eastAsia="Times New Roman" w:hAnsi="Times New Roman"/>
          <w:sz w:val="18"/>
          <w:szCs w:val="18"/>
          <w:color w:val="auto"/>
        </w:rPr>
        <w:t>, a leading environmentally focused,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industrial company whose solutions protect people, the environment, and industrial equipment, today reported its financial results for the first quarter of 2026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well as an update for the proposed merger transaction with Thermon Group Holdings, Inc. ("Thermon").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$449.5 million, up 97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$1,035.1 million, up 72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$205.9 million, up 17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$63.9 million, up 3 percent; Gross margin of 31.0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$(0.4) million, down 101 percent; non-GAAP net income of $13.9 million, up 297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$(0.01); non-GAAP EPS (diluted) of $0.36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$20.4 million, up 46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$(15.7) million, down 4 percent</w:t>
      </w:r>
    </w:p>
    <w:p>
      <w:pPr>
        <w:spacing w:after="0" w:line="19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Todd Gleason, CECO's Chief Executive Officer commented, “I am pleased to highlight the tremendous topline growth and steady EBITDA margin expansion we continue to deliver at CECO. This is the first time our quarter-end backlog has eclipsed $1 billion, which reflects our incredible 2.2 book-to-bill ratio during the first quarter. We continue to secure strategic, large-scale projects to enable natural gas power generation expansion in support of a tremendous global investment in electrical power demand for data centers, artificial intelligence computing, industrial reshoring and electrification. This strong momentum continued into April 2026 as we have already booked approximately over $450 million in new orders including the largest ever order in the Natural Gas Power market, setting our second quarter bookings on a course to materially exceed the record we just set in the first quarter.”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quarter operating income was $1.9 million, down $60.0 million or 97 percent when compared to $61.9 million in the first quarter 2025. On an adjusted basis, non-GAAP operating income was $17.9 million, up $9.3 million or 108 percent when compared to $8.6 million in the first quarter of 2025. Net loss was $(0.4) million in the quarter, down $36.4 million or 101 percent when compared to net income of $36.0 million in the first quarter of 2025. Non-GAAP net income was $13.9 million, up $10.4 million or 297 percent when compared to $3.5 million in the first quarter of 2025. Adjusted EBITDA of $20.4 million, reflecting a margin of 9.9 percent, was up $6.4 million or 46 percent compared to $14.0 million in the first quarter of 2025. Free cash flow in the quarter was $(15.7) million, down $0.6 million or 4 percent compared to $(15.1) million in the first quarter of 2025.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adjusted EBITDA margin expansion of almost 200 basis points reflects our improving volume conversion and the early, positive results of early implementation of our 80/20 programs – which are designed to improve efficiencies and provide operating benefits from commercial and operational simplification. While gross margins did experience contraction in Q1, this was anticipated given last year’s sale of the higher margin but non-strategic global pump business combined with the timing of lower margin jobs booked in early 2025. As we progress throughout 2026 our backlog profile reflects higher margin projects, thus we expect higher gross margins in Q2 and throughout the remainder of the year. Currently, we see no material impact from the Iran War or higher inflation, but we are monitoring the situation and are strategically prepared with additional price and cost actions, if appropriate,” added Gleason.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Full Year Guidance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raises its full year outlook for 2026 to reflect revenue between $940 million and $1 billion, up approximately 25 percent at the midpoint of the range when compared to 2025 and increases full year Adjusted EBITDA between $120 and $140 million, up approximately 45 percent at the midpoint of the range. This compares to the previous guidance range of revenue between $925 and $975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million, and adjusted EBITDA between $115 and $135 million. The Company reiterates its full year free cash flow of at least 50% of Adjusted EBITDA.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full year outlook excludes the impact of the transaction with Thermon.</w:t>
      </w:r>
    </w:p>
    <w:p>
      <w:pPr>
        <w:spacing w:after="0" w:line="3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another strong start to the year with our record backlog and accelerating orders pace, we are raising our full year 2026 outlook. We now expect organic revenues to grow 25 percent, and adjusted EBITDA to grow almost 45 percent. Separately, the acquisition of Thermon remains very much on track for a second quarter close. Just a few weeks ago, Thermon issued a press release highlighting exciting orders with their liquid load bank solution, which is a new product for data center markets. The combination of CECO and Thermon will yield a double-digit growth company with attractive margins and operating cash flows. We remain confident the combination will also unlock at least $40 million in cost synergies and meaningful commercial opportunities. I look forward to sharing more updates and a combined company financial outlook soon,” concluded Gleason.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Thermon Transaction Update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CECO and Thermon continue to progress toward completion of the previously announced merger. The registration statement on Form S-4 has been declared effective by the SEC, and CECO and Thermon have mailed the definitive joint proxy statement/prospectus to their respective stockholders. Stockholder votes are expected to take place on May 27, 2026, as described in the joint proxy statement/prospectus. The transaction is expected to close in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first quarter 2026 financial results. Please visit the Investor Relations portion of the website (https://investors.cecoenviro.com) to listen to the call via webcast. The conference call may also be accessed by visiting https://edge.media-server.com/mmc/p/o4vmw7mt.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https://edge.media-server.com/mmc/p/o4vmw7mt.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Marcio Pinto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Corporate Integration and Investor Relations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merger transaction (the “Proposed Transaction”) involving Thermon and CECO, among other things. The issuance of shares of CECO common stock in connection with the Proposed Transaction is being submitted to the stockholders of CECO for their consideration, and the Proposed Transaction is being submitted to the stockholders of Thermon for their consideration. In connection therewith, CECO filed with the SEC a registration statement on Form S-4 (the “Registration Statement”) that included a joint proxy statement/prospectus (the “Joint Proxy Statement/Prospectus”), and the Registration Statement has been declared effective by the SEC. CECO and Thermon have mailed the definitive Joint Proxy Statement/Prospectus to their respective stockholders. Each of CECO and Thermon may also file other relevant documents with the SEC regarding the Proposed Transaction. This communication is not a substitute for the Joint Proxy Statement/Prospectus or any other document that CECO or Thermon, as applicable, has filed or may file with the SEC in connection with the Proposed Transaction. BEFORE MAKING ANY VOTING OR INVESTMENT DECISION, INVESTORS AND SECURITY HOLDERS OF CECO AND THERMON ARE URGED TO READ THE JOINT PROXY STATEMENT/PROSPECTUS AND ANY OTHER RELEVANT DOCUMENTS THAT HAVE BEEN OR MAY BE FILED WITH THE SEC, AS WELL AS ANY AMENDMENTS OR SUPPLEMENTS TO THESE DOCUMENTS, CAREFULLY AND IN THEIR ENTIRETY BECAUSE THEY CONTAIN IMPORTANT INFORMATION ABOUT CECO, THERMON, THE PROPOSED TRANSACTION AND RELATED MATTERS. Investors and security holders may obtain free copies of the definitive Joint Proxy Statement/Prospectus, as well as other filings containing important information about CECO, Thermon and the Proposed Transaction, through the website maintained by the SEC at https://www.sec.gov. Copies of the documents filed with the SEC by CECO are available free of charge on CECO’s website at https://investors.cecoenviro.com. Copies of the documents filed with the SEC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Thermon are available free of charge on Thermon’s website at https://ir.thermon.com. The information included on, or accessible through, CECO’s or Thermon’s website is not incorporated by reference into this communication.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CECO, Thermon and certain of their respective directors and executive officers may be deemed to be participants in the solicitation of proxies in respect of the Proposed Transaction.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CECO, </w:t>
      </w:r>
      <w:r>
        <w:rPr>
          <w:rFonts w:ascii="Times New Roman" w:cs="Times New Roman" w:eastAsia="Times New Roman" w:hAnsi="Times New Roman"/>
          <w:sz w:val="18"/>
          <w:szCs w:val="18"/>
          <w:u w:val="single" w:color="auto"/>
          <w:color w:val="467886"/>
        </w:rPr>
        <w:t>including</w:t>
      </w:r>
      <w:r>
        <w:rPr>
          <w:rFonts w:ascii="Times New Roman" w:cs="Times New Roman" w:eastAsia="Times New Roman" w:hAnsi="Times New Roman"/>
          <w:sz w:val="18"/>
          <w:szCs w:val="18"/>
          <w:color w:val="auto"/>
        </w:rPr>
        <w:t xml:space="preserve"> a description of their direct or indirect interests, by security holdings or otherwise, is set forth in (i) the definitive Joint Proxy Statement/Prospectus filed by CECO (and which is available at </w:t>
      </w:r>
      <w:r>
        <w:rPr>
          <w:rFonts w:ascii="Times New Roman" w:cs="Times New Roman" w:eastAsia="Times New Roman" w:hAnsi="Times New Roman"/>
          <w:sz w:val="18"/>
          <w:szCs w:val="18"/>
          <w:u w:val="single" w:color="auto"/>
          <w:color w:val="0000FF"/>
        </w:rPr>
        <w:t>https://www.sec.gov/Archives/edgar/data/3197/000110465926047714/tm2611145-7_424b3.htm</w:t>
      </w:r>
      <w:r>
        <w:rPr>
          <w:rFonts w:ascii="Times New Roman" w:cs="Times New Roman" w:eastAsia="Times New Roman" w:hAnsi="Times New Roman"/>
          <w:sz w:val="18"/>
          <w:szCs w:val="18"/>
          <w:color w:val="000000"/>
        </w:rPr>
        <w:t>) and (ii) to the extent holdings of CECO’s securities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directors or executive officers of CECO have changed since the amounts set forth in the definitive Joint Proxy Statement/Prospectus, such changes have been or will be reflected on Initial Statement of Beneficial Ownership of Securities on Form 3, Statement of Changes in Beneficial Ownership on Form 4, or Annual Statement of Changes in Beneficial Ownership on Form 5 filed with the SEC, which are available at </w:t>
      </w:r>
      <w:r>
        <w:rPr>
          <w:rFonts w:ascii="Times New Roman" w:cs="Times New Roman" w:eastAsia="Times New Roman" w:hAnsi="Times New Roman"/>
          <w:sz w:val="18"/>
          <w:szCs w:val="18"/>
          <w:u w:val="single" w:color="auto"/>
          <w:color w:val="467886"/>
        </w:rPr>
        <w:t>https://www.sec.gov/cgi-bin/own-disp?</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467886"/>
        </w:rPr>
        <w:t>action=getissuer&amp;CIK=0000003197</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the definitive Joint Proxy Statement/Prospectus filed by Thermon (and which is available at </w:t>
      </w:r>
      <w:r>
        <w:rPr>
          <w:rFonts w:ascii="Times New Roman" w:cs="Times New Roman" w:eastAsia="Times New Roman" w:hAnsi="Times New Roman"/>
          <w:sz w:val="18"/>
          <w:szCs w:val="18"/>
          <w:u w:val="single" w:color="auto"/>
          <w:color w:val="0000FF"/>
        </w:rPr>
        <w:t>https://www.sec.gov/Archives/edgar/data/1489096/000110465926047723/tm2612301-1_defm14a.htm</w:t>
      </w:r>
      <w:r>
        <w:rPr>
          <w:rFonts w:ascii="Times New Roman" w:cs="Times New Roman" w:eastAsia="Times New Roman" w:hAnsi="Times New Roman"/>
          <w:sz w:val="18"/>
          <w:szCs w:val="18"/>
          <w:color w:val="000000"/>
        </w:rPr>
        <w:t>) and (iii) to the extent holdings of Thermon’s securities by the directors or executive officers of Thermon have changed since the amounts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set forth in the definitive Joint Proxy Statement/Prospectus, such changes have been or will be reflected on Initial Statement of Beneficial Ownership of Securities on Form 3, Statement of Changes in Beneficial Ownership on Form 4, or Annual Statement of Changes in Beneficial Ownership on Form 5 filed with the SEC, which are available at </w:t>
      </w:r>
      <w:r>
        <w:rPr>
          <w:rFonts w:ascii="Times New Roman" w:cs="Times New Roman" w:eastAsia="Times New Roman" w:hAnsi="Times New Roman"/>
          <w:sz w:val="18"/>
          <w:szCs w:val="18"/>
          <w:u w:val="single" w:color="auto"/>
          <w:color w:val="467886"/>
        </w:rPr>
        <w:t>https://www.sec.gov/cgi-bin/own-disp?action=getissuer&amp;CIK=0001489096</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Investors should read the Joint Proxy Statement/Prospectus carefully before making any voting or investment decisions. You may obtain free copies of these documents from CECO and Thermon using the sources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w:t>
      </w:r>
      <w:r>
        <w:rPr>
          <w:rFonts w:ascii="Times New Roman" w:cs="Times New Roman" w:eastAsia="Times New Roman" w:hAnsi="Times New Roman"/>
          <w:sz w:val="18"/>
          <w:szCs w:val="18"/>
          <w:u w:val="single" w:color="auto"/>
          <w:color w:val="467886"/>
        </w:rPr>
        <w:t>https://www.sec.gov</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or Thermon believe to be reasonable but that may not prove to be accurate. Such forward-looking statements are based on assumptions and analyses made by CECO and Thermon in light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$5,306 and $9,866</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172,909</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410,182</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288,163</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96,966</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1,027,375</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893,769</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117,848</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123,726</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305,830</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210,559</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10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710,175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 shares authorized, none issued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35,840,781 and</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35,644,537 shares issued and outstanding at March 31, 2026 and December 31, 2025,</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20"/>
                <w:szCs w:val="20"/>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264,595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269,453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w:t>
            </w:r>
          </w:p>
        </w:tc>
        <w:tc>
          <w:tcPr>
            <w:tcW w:w="1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(8,901)</w:t>
            </w:r>
          </w:p>
        </w:tc>
      </w:tr>
      <w:tr>
        <w:trPr>
          <w:trHeight w:val="210"/>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5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312,199</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317,528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8"/>
                <w:szCs w:val="18"/>
                <w:color w:val="auto"/>
              </w:rPr>
            </w:pPr>
          </w:p>
        </w:tc>
      </w:tr>
      <w:tr>
        <w:trPr>
          <w:trHeight w:val="209"/>
        </w:trPr>
        <w:tc>
          <w:tcPr>
            <w:tcW w:w="68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317,200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1,027,375</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893,769</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3"/>
        </w:trPr>
        <w:tc>
          <w:tcPr>
            <w:tcW w:w="6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-5708650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-4602480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-3470910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-2630805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-959485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8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205,919</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(64,502)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1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CECO Environmental Corp.</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14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35,690,813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35,028,301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35,690,813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36,689,320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1"/>
        </w:trPr>
        <w:tc>
          <w:tcPr>
            <w:tcW w:w="59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-2228215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-2228215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-1945005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-1945005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-1662430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-1662430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-1070610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-1053465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-1070610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-1053465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w:t>
            </w: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36,442</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loss (gain)</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(1,142)</w:t>
            </w: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40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(64,502)</w:t>
            </w: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(Recovery) allowance for credit loss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Inventory obsolescence expense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(103,137)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16,215</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(12,270)</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(2,416)</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(17,016)</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(17,652)</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(971)</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19,649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(3,633)</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60,667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5,933</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(3,524)</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(11,696)</w:t>
            </w: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(2,589)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(3,385)</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105,860</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(97,646)</w:t>
            </w: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(9,205)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100" w:type="dxa"/>
            <w:vAlign w:val="bottom"/>
            <w:shd w:val="clear" w:color="auto" w:fill="CFF0FC"/>
          </w:tcPr>
          <w:p>
            <w:pPr>
              <w:spacing w:after="0"/>
              <w:rPr>
                <w:sz w:val="17"/>
                <w:szCs w:val="17"/>
                <w:color w:val="auto"/>
              </w:rPr>
            </w:pPr>
          </w:p>
        </w:tc>
      </w:tr>
      <w:tr>
        <w:trPr>
          <w:trHeight w:val="196"/>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148,100</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(27,600)</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(420)</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0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(234)</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0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189"/>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plan and exercise of stock options</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(5,166)</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(2,688)</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w:t>
            </w:r>
          </w:p>
        </w:tc>
      </w:tr>
      <w:tr>
        <w:trPr>
          <w:trHeight w:val="196"/>
        </w:trPr>
        <w:tc>
          <w:tcPr>
            <w:tcW w:w="73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34,640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108,475</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00" w:type="dxa"/>
            <w:vAlign w:val="bottom"/>
          </w:tcPr>
          <w:p>
            <w:pPr>
              <w:spacing w:after="0"/>
              <w:rPr>
                <w:sz w:val="17"/>
                <w:szCs w:val="17"/>
                <w:color w:val="auto"/>
              </w:rPr>
            </w:pPr>
          </w:p>
        </w:tc>
      </w:tr>
      <w:tr>
        <w:trPr>
          <w:trHeight w:val="23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45,507</w:t>
            </w: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146,676</w:t>
            </w:r>
          </w:p>
        </w:tc>
        <w:tc>
          <w:tcPr>
            <w:tcW w:w="100" w:type="dxa"/>
            <w:vAlign w:val="bottom"/>
            <w:shd w:val="clear" w:color="auto" w:fill="CFF0FC"/>
          </w:tcPr>
          <w:p>
            <w:pPr>
              <w:spacing w:after="0"/>
              <w:rPr>
                <w:sz w:val="20"/>
                <w:szCs w:val="20"/>
                <w:color w:val="auto"/>
              </w:rPr>
            </w:pPr>
          </w:p>
        </w:tc>
      </w:tr>
      <w:tr>
        <w:trPr>
          <w:trHeight w:val="183"/>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43"/>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60" w:type="dxa"/>
            <w:vAlign w:val="bottom"/>
          </w:tcPr>
          <w:p>
            <w:pPr>
              <w:spacing w:after="0"/>
              <w:rPr>
                <w:sz w:val="15"/>
                <w:szCs w:val="15"/>
                <w:color w:val="auto"/>
              </w:rPr>
            </w:pP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Pr>
          <w:p>
            <w:pPr>
              <w:spacing w:after="0"/>
              <w:rPr>
                <w:sz w:val="15"/>
                <w:szCs w:val="15"/>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1976120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-3230880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-2433955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-1002030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-462280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-445135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-161925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1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as reported in accordance with GAAP</w:t>
            </w:r>
          </w:p>
        </w:tc>
        <w:tc>
          <w:tcPr>
            <w:tcW w:w="172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9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expenses</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operating expense</w:t>
            </w: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1120" w:type="dxa"/>
            <w:vAlign w:val="bottom"/>
            <w:tcBorders>
              <w:top w:val="single" w:sz="8" w:color="CFF0FC"/>
            </w:tcBorders>
          </w:tcPr>
          <w:p>
            <w:pPr>
              <w:spacing w:after="0"/>
              <w:rPr>
                <w:sz w:val="17"/>
                <w:szCs w:val="17"/>
                <w:color w:val="auto"/>
              </w:rPr>
            </w:pPr>
          </w:p>
        </w:tc>
        <w:tc>
          <w:tcPr>
            <w:tcW w:w="60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28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Income tax benefit</w:t>
            </w: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172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94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72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9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0.39</w:t>
            </w:r>
          </w:p>
        </w:tc>
        <w:tc>
          <w:tcPr>
            <w:tcW w:w="280" w:type="dxa"/>
            <w:vAlign w:val="bottom"/>
          </w:tcPr>
          <w:p>
            <w:pPr>
              <w:spacing w:after="0"/>
              <w:rPr>
                <w:sz w:val="17"/>
                <w:szCs w:val="17"/>
                <w:color w:val="auto"/>
              </w:rPr>
            </w:pPr>
          </w:p>
        </w:tc>
        <w:tc>
          <w:tcPr>
            <w:tcW w:w="94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72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0.36</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9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9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72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(13.1)</w:t>
            </w:r>
          </w:p>
        </w:tc>
        <w:tc>
          <w:tcPr>
            <w:tcW w:w="9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172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(15.7)</w:t>
            </w:r>
          </w:p>
        </w:tc>
        <w:tc>
          <w:tcPr>
            <w:tcW w:w="9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979"/>
        </w:trPr>
        <w:tc>
          <w:tcPr>
            <w:tcW w:w="4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-3642360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CECO is providing certain non-GAAP historical financial measures as presented above as we believe that these figures are useful to investors and management in evaluating the Company's ongoing financial performance, and we believe that they provide greater transparency to investors as supplemental information to its GAAP results. A "non-GAAP financial measure" is a numerical measure of a company's historical financial performance that excludes amounts that are included in the most directly comparable measure calculated and presented in accordance with GAAP.</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presented in the financial data included in this press release, have been adjusted to exclude the effects of acquisition and integration expenses; divestiture gains and expenses; amortization expenses for acquisition-related intangible assets; earn-out expenses (income); restructuring expenses; executive transition expenses; asbestos and other legal matter expenses; foreign currency remeasurement; and the associated tax benefit or cost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acquisition and integration expenses; divestiture gains and expenses; amortization expenses for acquisition-related intangible assets; earn-out expenses (income); restructuring expenses; executive transition expenses; asbestos and other legal matter expenses; foreign currency remeasurement; and the associated tax benefit or cost of these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2025 and may be included in subsequently filed Quarterly Reports on Form 10-Q, and include, but are not limited to: risks related to the Proposed Transaction with Thermon described herein above;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customer-driven project delays relating to supply chain challenges or other customer considerations, including those related to the conflict in the Middle East;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including with respect to tax policy; our ability to repurchase shares of our common stock and the amounts and timing of repurchases, if any;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unpredictability and severity of catastrophic events, including cybersecurity threats, acts of terrorism or outbreak of war or hostilities or public health crises, as well as management’s response to any of the aforementioned factors; and our ability to remediate our material weaknesses, or any other material weakness that we may identify in the future, that could result in material misstatements in our financial statements. 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2026-04-28T06:30:13Z</dcterms:created>
  <dcterms:modified xsi:type="dcterms:W3CDTF">2026-04-28T06:30:13Z</dcterms:modified>
</cp:coreProperties>
</file>