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QUARTERLY REPORT UNDER SECTION 13 OR 15(d) OF THE SECURITIES EXCHANGE ACT OF 1934</w:t>
      </w:r>
    </w:p>
    <w:p>
      <w:pPr>
        <w:spacing w:after="0" w:line="1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4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6" w:lineRule="exact"/>
        <w:rPr>
          <w:sz w:val="24"/>
          <w:szCs w:val="24"/>
          <w:color w:val="auto"/>
        </w:rPr>
      </w:pPr>
    </w:p>
    <w:p>
      <w:pPr>
        <w:sectPr>
          <w:pgSz w:w="11900" w:h="16838" w:orient="portrait"/>
          <w:cols w:equalWidth="0" w:num="2">
            <w:col w:w="7600" w:space="720"/>
            <w:col w:w="2860"/>
          </w:cols>
          <w:pgMar w:left="240" w:top="230" w:right="479" w:bottom="1440" w:gutter="0" w:footer="0" w:header="0"/>
          <w:type w:val="continuous"/>
        </w:sect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2">
            <w:col w:w="7500" w:space="720"/>
            <w:col w:w="296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3120 Forrer Street, Cincinnati, Ohio 45209</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513-458-2600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170815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latest practical date.</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Class: Common, par value $.01 per share outstanding at May 5, 2004 - 9,984,974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QUARTERLY REPORT UNDER SECTION 13 OR 15(d)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INDEX</w:t>
            </w:r>
          </w:p>
        </w:tc>
        <w:tc>
          <w:tcPr>
            <w:tcW w:w="1100" w:type="dxa"/>
            <w:vAlign w:val="bottom"/>
          </w:tcPr>
          <w:p>
            <w:pPr>
              <w:spacing w:after="0"/>
              <w:rPr>
                <w:sz w:val="17"/>
                <w:szCs w:val="17"/>
                <w:color w:val="auto"/>
              </w:rPr>
            </w:pPr>
          </w:p>
        </w:tc>
      </w:tr>
      <w:tr>
        <w:trPr>
          <w:trHeight w:val="383"/>
        </w:trPr>
        <w:tc>
          <w:tcPr>
            <w:tcW w:w="5440" w:type="dxa"/>
            <w:vAlign w:val="bottom"/>
            <w:gridSpan w:val="8"/>
          </w:tcPr>
          <w:p>
            <w:pPr>
              <w:spacing w:after="0"/>
              <w:rPr>
                <w:sz w:val="20"/>
                <w:szCs w:val="20"/>
                <w:color w:val="auto"/>
              </w:rPr>
            </w:pPr>
            <w:r>
              <w:rPr>
                <w:rFonts w:ascii="Arial" w:cs="Arial" w:eastAsia="Arial" w:hAnsi="Arial"/>
                <w:sz w:val="18"/>
                <w:szCs w:val="18"/>
                <w:color w:val="auto"/>
              </w:rPr>
              <w:t>Part I - Financial Information:</w:t>
            </w:r>
          </w:p>
        </w:tc>
        <w:tc>
          <w:tcPr>
            <w:tcW w:w="540" w:type="dxa"/>
            <w:vAlign w:val="bottom"/>
            <w:tcBorders>
              <w:top w:val="single" w:sz="8" w:color="auto"/>
            </w:tcBorders>
            <w:gridSpan w:val="2"/>
          </w:tcPr>
          <w:p>
            <w:pPr>
              <w:spacing w:after="0"/>
              <w:rPr>
                <w:sz w:val="24"/>
                <w:szCs w:val="24"/>
                <w:color w:val="auto"/>
              </w:rPr>
            </w:pPr>
          </w:p>
        </w:tc>
        <w:tc>
          <w:tcPr>
            <w:tcW w:w="434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r>
      <w:tr>
        <w:trPr>
          <w:trHeight w:val="286"/>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Item 1.</w:t>
            </w:r>
          </w:p>
        </w:tc>
        <w:tc>
          <w:tcPr>
            <w:tcW w:w="60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2004 and December 31, 2003</w:t>
              </w:r>
            </w:hyperlink>
          </w:p>
        </w:tc>
        <w:tc>
          <w:tcPr>
            <w:tcW w:w="266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three-month periods ended March 31, 2004 and 2003</w:t>
              </w:r>
            </w:hyperlink>
          </w:p>
        </w:tc>
        <w:tc>
          <w:tcPr>
            <w:tcW w:w="94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three-month periods ended March 31, 2004 and 2003</w:t>
              </w:r>
            </w:hyperlink>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494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Item 2.</w:t>
            </w:r>
          </w:p>
        </w:tc>
        <w:tc>
          <w:tcPr>
            <w:tcW w:w="870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Item 3.</w:t>
            </w:r>
          </w:p>
        </w:tc>
        <w:tc>
          <w:tcPr>
            <w:tcW w:w="6040" w:type="dxa"/>
            <w:vAlign w:val="bottom"/>
            <w:tcBorders>
              <w:top w:val="single" w:sz="8" w:color="0000EE"/>
            </w:tcBorders>
            <w:gridSpan w:val="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 about Market Risk</w:t>
              </w:r>
            </w:hyperlink>
          </w:p>
        </w:tc>
        <w:tc>
          <w:tcPr>
            <w:tcW w:w="266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Controls and Procedures</w:t>
              </w:r>
            </w:hyperlink>
          </w:p>
        </w:tc>
        <w:tc>
          <w:tcPr>
            <w:tcW w:w="2400" w:type="dxa"/>
            <w:vAlign w:val="bottom"/>
            <w:tcBorders>
              <w:top w:val="single" w:sz="8" w:color="0000EE"/>
            </w:tcBorders>
            <w:gridSpan w:val="4"/>
          </w:tcPr>
          <w:p>
            <w:pPr>
              <w:spacing w:after="0"/>
              <w:rPr>
                <w:sz w:val="24"/>
                <w:szCs w:val="24"/>
                <w:color w:val="auto"/>
              </w:rPr>
            </w:pPr>
          </w:p>
        </w:tc>
        <w:tc>
          <w:tcPr>
            <w:tcW w:w="456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32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17">
              <w:r>
                <w:rPr>
                  <w:rFonts w:ascii="Arial" w:cs="Arial" w:eastAsia="Arial" w:hAnsi="Arial"/>
                  <w:sz w:val="18"/>
                  <w:szCs w:val="18"/>
                  <w:color w:val="0000EE"/>
                </w:rPr>
                <w:t>Other Information</w:t>
              </w:r>
            </w:hyperlink>
          </w:p>
        </w:tc>
        <w:tc>
          <w:tcPr>
            <w:tcW w:w="1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Item 6.</w:t>
            </w:r>
          </w:p>
        </w:tc>
        <w:tc>
          <w:tcPr>
            <w:tcW w:w="870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 and reports on Form 8-K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6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3"/>
        </w:trPr>
        <w:tc>
          <w:tcPr>
            <w:tcW w:w="1620" w:type="dxa"/>
            <w:vAlign w:val="bottom"/>
            <w:gridSpan w:val="3"/>
          </w:tcPr>
          <w:p>
            <w:pPr>
              <w:spacing w:after="0"/>
              <w:rPr>
                <w:sz w:val="20"/>
                <w:szCs w:val="20"/>
                <w:color w:val="auto"/>
              </w:rPr>
            </w:pPr>
            <w:r>
              <w:rPr>
                <w:rFonts w:ascii="Arial" w:cs="Arial" w:eastAsia="Arial" w:hAnsi="Arial"/>
                <w:sz w:val="18"/>
                <w:szCs w:val="18"/>
                <w:color w:val="auto"/>
              </w:rPr>
              <w:t>Certifications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55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2004</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ASSETS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7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10,299</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1,556</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19,295</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70" w:type="dxa"/>
            <w:vAlign w:val="bottom"/>
          </w:tcPr>
          <w:p>
            <w:pPr>
              <w:spacing w:after="0"/>
              <w:rPr>
                <w:sz w:val="24"/>
                <w:szCs w:val="24"/>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9,785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Intangibles – finite life, net</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796</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Intangibles – indefinite life</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7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798</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41,596</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Pr>
          <w:p>
            <w:pPr>
              <w:spacing w:after="0"/>
              <w:rPr>
                <w:sz w:val="9"/>
                <w:szCs w:val="9"/>
                <w:color w:val="auto"/>
              </w:rPr>
            </w:pPr>
          </w:p>
        </w:tc>
        <w:tc>
          <w:tcPr>
            <w:tcW w:w="55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LIABILITIES AND SHAREHOLDERS’ EQUITY</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7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10,463</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9,636</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21,314</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70" w:type="dxa"/>
            <w:vAlign w:val="bottom"/>
          </w:tcPr>
          <w:p>
            <w:pPr>
              <w:spacing w:after="0"/>
              <w:rPr>
                <w:sz w:val="24"/>
                <w:szCs w:val="24"/>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2,645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3,185</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(related party - $5,157 and $5,093, respectively)</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32,741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w w:val="99"/>
              </w:rPr>
              <w:t>Common stock, $0.01 par value; 100,000,000 shares authorized, 10,786,194 shares issued in 2004 and 2003</w:t>
            </w:r>
          </w:p>
        </w:tc>
        <w:tc>
          <w:tcPr>
            <w:tcW w:w="17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16,333</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Accumulated deficit</w:t>
            </w:r>
          </w:p>
        </w:tc>
        <w:tc>
          <w:tcPr>
            <w:tcW w:w="170" w:type="dxa"/>
            <w:vAlign w:val="bottom"/>
          </w:tcPr>
          <w:p>
            <w:pPr>
              <w:spacing w:after="0"/>
              <w:rPr>
                <w:sz w:val="18"/>
                <w:szCs w:val="18"/>
                <w:color w:val="auto"/>
              </w:rPr>
            </w:pPr>
          </w:p>
        </w:tc>
        <w:tc>
          <w:tcPr>
            <w:tcW w:w="1490" w:type="dxa"/>
            <w:vAlign w:val="bottom"/>
            <w:gridSpan w:val="2"/>
          </w:tcPr>
          <w:p>
            <w:pPr>
              <w:jc w:val="right"/>
              <w:ind w:right="880"/>
              <w:spacing w:after="0"/>
              <w:rPr>
                <w:sz w:val="20"/>
                <w:szCs w:val="20"/>
                <w:color w:val="auto"/>
              </w:rPr>
            </w:pPr>
            <w:r>
              <w:rPr>
                <w:rFonts w:ascii="Arial" w:cs="Arial" w:eastAsia="Arial" w:hAnsi="Arial"/>
                <w:sz w:val="18"/>
                <w:szCs w:val="18"/>
                <w:color w:val="auto"/>
              </w:rPr>
              <w:t>(4,884)</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7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10,659</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Less treasury stock, at cost, 801,220 shares in 2004 and 2003</w:t>
            </w:r>
          </w:p>
        </w:tc>
        <w:tc>
          <w:tcPr>
            <w:tcW w:w="170" w:type="dxa"/>
            <w:vAlign w:val="bottom"/>
          </w:tcPr>
          <w:p>
            <w:pPr>
              <w:spacing w:after="0"/>
              <w:rPr>
                <w:sz w:val="19"/>
                <w:szCs w:val="19"/>
                <w:color w:val="auto"/>
              </w:rPr>
            </w:pPr>
          </w:p>
        </w:tc>
        <w:tc>
          <w:tcPr>
            <w:tcW w:w="1490" w:type="dxa"/>
            <w:vAlign w:val="bottom"/>
            <w:gridSpan w:val="2"/>
          </w:tcPr>
          <w:p>
            <w:pPr>
              <w:jc w:val="right"/>
              <w:ind w:right="880"/>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41,596</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8660" w:type="dxa"/>
            <w:vAlign w:val="bottom"/>
          </w:tcPr>
          <w:p>
            <w:pPr>
              <w:ind w:left="3680"/>
              <w:spacing w:after="0"/>
              <w:rPr>
                <w:sz w:val="20"/>
                <w:szCs w:val="20"/>
                <w:color w:val="auto"/>
              </w:rPr>
            </w:pPr>
            <w:r>
              <w:rPr>
                <w:rFonts w:ascii="Arial" w:cs="Arial" w:eastAsia="Arial" w:hAnsi="Arial"/>
                <w:sz w:val="18"/>
                <w:szCs w:val="18"/>
                <w:color w:val="auto"/>
              </w:rPr>
              <w:t>The notes to condensed consolidated financial statements</w:t>
            </w:r>
          </w:p>
        </w:tc>
        <w:tc>
          <w:tcPr>
            <w:tcW w:w="17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160"/>
              <w:spacing w:after="0"/>
              <w:rPr>
                <w:sz w:val="20"/>
                <w:szCs w:val="20"/>
                <w:color w:val="auto"/>
              </w:rPr>
            </w:pPr>
            <w:r>
              <w:rPr>
                <w:rFonts w:ascii="Arial" w:cs="Arial" w:eastAsia="Arial" w:hAnsi="Arial"/>
                <w:sz w:val="18"/>
                <w:szCs w:val="18"/>
                <w:color w:val="auto"/>
              </w:rPr>
              <w:t>are an integral part of the above statements.</w:t>
            </w:r>
          </w:p>
        </w:tc>
        <w:tc>
          <w:tcPr>
            <w:tcW w:w="17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-4313555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-4313555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-4313555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-4313555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-4313555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-4313555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-463550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-463550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-463550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-463550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-463550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-463550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 except per share data</w:t>
      </w:r>
    </w:p>
    <w:p>
      <w:pPr>
        <w:spacing w:after="0" w:line="153"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60325</wp:posOffset>
            </wp:positionV>
            <wp:extent cx="1569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11,341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interest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color w:val="auto"/>
              </w:rPr>
              <w:t>Interest expense (including related party interest of $217 and $197, respectively)</w:t>
            </w:r>
          </w:p>
        </w:tc>
        <w:tc>
          <w:tcPr>
            <w:tcW w:w="100" w:type="dxa"/>
            <w:vAlign w:val="bottom"/>
          </w:tcPr>
          <w:p>
            <w:pPr>
              <w:spacing w:after="0"/>
              <w:rPr>
                <w:sz w:val="24"/>
                <w:szCs w:val="2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24"/>
                <w:szCs w:val="2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Basic and diluted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9,984,974</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9,589,736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-904240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-904240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-904240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-904240</wp:posOffset>
            </wp:positionV>
            <wp:extent cx="54419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-466725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-466725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-466725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-466725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-466725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-466725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integral part of the above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60325</wp:posOffset>
            </wp:positionV>
            <wp:extent cx="1397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7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2004</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90" w:type="dxa"/>
            <w:vAlign w:val="bottom"/>
            <w:gridSpan w:val="2"/>
          </w:tcPr>
          <w:p>
            <w:pPr>
              <w:jc w:val="right"/>
              <w:ind w:right="960"/>
              <w:spacing w:after="0"/>
              <w:rPr>
                <w:sz w:val="20"/>
                <w:szCs w:val="20"/>
                <w:color w:val="auto"/>
              </w:rPr>
            </w:pPr>
            <w:r>
              <w:rPr>
                <w:rFonts w:ascii="Arial" w:cs="Arial" w:eastAsia="Arial" w:hAnsi="Arial"/>
                <w:sz w:val="18"/>
                <w:szCs w:val="18"/>
                <w:color w:val="auto"/>
              </w:rPr>
              <w:t>(381)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419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1,099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342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1490" w:type="dxa"/>
            <w:vAlign w:val="bottom"/>
            <w:gridSpan w:val="2"/>
          </w:tcPr>
          <w:p>
            <w:pPr>
              <w:jc w:val="right"/>
              <w:ind w:right="960"/>
              <w:spacing w:after="0"/>
              <w:rPr>
                <w:sz w:val="20"/>
                <w:szCs w:val="20"/>
                <w:color w:val="auto"/>
              </w:rPr>
            </w:pPr>
            <w:r>
              <w:rPr>
                <w:rFonts w:ascii="Arial" w:cs="Arial" w:eastAsia="Arial" w:hAnsi="Arial"/>
                <w:sz w:val="18"/>
                <w:szCs w:val="18"/>
                <w:color w:val="auto"/>
                <w:w w:val="87"/>
              </w:rPr>
              <w:t>(1,673)</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230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Long-term debt borrowings</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506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136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SUPPLEMENTAL DISCLOSURES OF CASH FLOW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paid (refunded) during the period for:</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3300" w:type="dxa"/>
            <w:vAlign w:val="bottom"/>
          </w:tcPr>
          <w:p>
            <w:pPr>
              <w:ind w:left="440"/>
              <w:spacing w:after="0"/>
              <w:rPr>
                <w:sz w:val="20"/>
                <w:szCs w:val="20"/>
                <w:color w:val="auto"/>
              </w:rPr>
            </w:pPr>
            <w:r>
              <w:rPr>
                <w:rFonts w:ascii="Arial" w:cs="Arial" w:eastAsia="Arial" w:hAnsi="Arial"/>
                <w:sz w:val="18"/>
                <w:szCs w:val="18"/>
                <w:color w:val="auto"/>
              </w:rPr>
              <w:t>Interest</w:t>
            </w:r>
          </w:p>
        </w:tc>
        <w:tc>
          <w:tcPr>
            <w:tcW w:w="6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390</w:t>
            </w:r>
          </w:p>
        </w:tc>
        <w:tc>
          <w:tcPr>
            <w:tcW w:w="10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4"/>
                <w:szCs w:val="24"/>
                <w:color w:val="auto"/>
              </w:rPr>
            </w:pPr>
          </w:p>
        </w:tc>
      </w:tr>
      <w:tr>
        <w:trPr>
          <w:trHeight w:val="134"/>
        </w:trPr>
        <w:tc>
          <w:tcPr>
            <w:tcW w:w="3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30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6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132"/>
        </w:trPr>
        <w:tc>
          <w:tcPr>
            <w:tcW w:w="3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1"/>
        </w:trPr>
        <w:tc>
          <w:tcPr>
            <w:tcW w:w="3300" w:type="dxa"/>
            <w:vAlign w:val="bottom"/>
          </w:tcPr>
          <w:p>
            <w:pPr>
              <w:spacing w:after="0"/>
              <w:rPr>
                <w:sz w:val="24"/>
                <w:szCs w:val="24"/>
                <w:color w:val="auto"/>
              </w:rPr>
            </w:pPr>
          </w:p>
        </w:tc>
        <w:tc>
          <w:tcPr>
            <w:tcW w:w="6020" w:type="dxa"/>
            <w:vAlign w:val="bottom"/>
            <w:gridSpan w:val="2"/>
          </w:tcPr>
          <w:p>
            <w:pPr>
              <w:jc w:val="center"/>
              <w:ind w:right="1180"/>
              <w:spacing w:after="0"/>
              <w:rPr>
                <w:sz w:val="20"/>
                <w:szCs w:val="20"/>
                <w:color w:val="auto"/>
              </w:rPr>
            </w:pPr>
            <w:r>
              <w:rPr>
                <w:rFonts w:ascii="Arial" w:cs="Arial" w:eastAsia="Arial" w:hAnsi="Arial"/>
                <w:sz w:val="18"/>
                <w:szCs w:val="18"/>
                <w:color w:val="auto"/>
                <w:w w:val="86"/>
              </w:rPr>
              <w:t>The notes to condensed consolidated financial statements are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300" w:type="dxa"/>
            <w:vAlign w:val="bottom"/>
          </w:tcPr>
          <w:p>
            <w:pPr>
              <w:spacing w:after="0"/>
              <w:rPr>
                <w:sz w:val="19"/>
                <w:szCs w:val="19"/>
                <w:color w:val="auto"/>
              </w:rPr>
            </w:pPr>
          </w:p>
        </w:tc>
        <w:tc>
          <w:tcPr>
            <w:tcW w:w="6020" w:type="dxa"/>
            <w:vAlign w:val="bottom"/>
            <w:gridSpan w:val="2"/>
          </w:tcPr>
          <w:p>
            <w:pPr>
              <w:jc w:val="center"/>
              <w:ind w:right="1180"/>
              <w:spacing w:after="0"/>
              <w:rPr>
                <w:sz w:val="20"/>
                <w:szCs w:val="20"/>
                <w:color w:val="auto"/>
              </w:rPr>
            </w:pPr>
            <w:r>
              <w:rPr>
                <w:rFonts w:ascii="Arial" w:cs="Arial" w:eastAsia="Arial" w:hAnsi="Arial"/>
                <w:sz w:val="18"/>
                <w:szCs w:val="18"/>
                <w:color w:val="auto"/>
                <w:w w:val="86"/>
              </w:rPr>
              <w:t>an integral part of the above statements.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5"/>
        </w:trPr>
        <w:tc>
          <w:tcPr>
            <w:tcW w:w="3300" w:type="dxa"/>
            <w:vAlign w:val="bottom"/>
          </w:tcPr>
          <w:p>
            <w:pPr>
              <w:spacing w:after="0"/>
              <w:rPr>
                <w:sz w:val="24"/>
                <w:szCs w:val="24"/>
                <w:color w:val="auto"/>
              </w:rPr>
            </w:pPr>
          </w:p>
        </w:tc>
        <w:tc>
          <w:tcPr>
            <w:tcW w:w="5800" w:type="dxa"/>
            <w:vAlign w:val="bottom"/>
          </w:tcPr>
          <w:p>
            <w:pPr>
              <w:jc w:val="center"/>
              <w:ind w:right="872"/>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-995045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-995045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-995045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-995045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-995045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-995045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-694690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-694690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-694690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-694690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-694690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-694690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reporting for condensed consolidated financial statements.</w:t>
      </w:r>
    </w:p>
    <w:p>
      <w:pPr>
        <w:spacing w:after="0" w:line="76"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March 31, 2004 and December 31, 2003 and the results of operations for the three-month periods ended March 31, 2004 and 2003 and of cash flows for the three-month periods ended March 31, 2004 and 2003. The results of operations for the three-month period ended March 31, 2004 are not necessarily indicative of the results to be expected for the full year.</w:t>
      </w:r>
    </w:p>
    <w:p>
      <w:pPr>
        <w:spacing w:after="0" w:line="25"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These financial statements should be read in conjunction with the audited financial statements and notes thereto in the Company’s Annual Report on Form 10-K filed with the Securities and Exchange Commission.</w:t>
      </w:r>
    </w:p>
    <w:p>
      <w:pPr>
        <w:spacing w:after="0" w:line="37" w:lineRule="exact"/>
        <w:rPr>
          <w:rFonts w:ascii="Arial" w:cs="Arial" w:eastAsia="Arial" w:hAnsi="Arial"/>
          <w:sz w:val="18"/>
          <w:szCs w:val="18"/>
          <w:color w:val="auto"/>
        </w:rPr>
      </w:pPr>
    </w:p>
    <w:p>
      <w:pPr>
        <w:ind w:left="460" w:right="80"/>
        <w:spacing w:after="0" w:line="294" w:lineRule="auto"/>
        <w:rPr>
          <w:rFonts w:ascii="Arial" w:cs="Arial" w:eastAsia="Arial" w:hAnsi="Arial"/>
          <w:sz w:val="18"/>
          <w:szCs w:val="18"/>
          <w:color w:val="auto"/>
        </w:rPr>
      </w:pPr>
      <w:r>
        <w:rPr>
          <w:rFonts w:ascii="Arial" w:cs="Arial" w:eastAsia="Arial" w:hAnsi="Arial"/>
          <w:sz w:val="16"/>
          <w:szCs w:val="16"/>
          <w:color w:val="auto"/>
        </w:rPr>
        <w:t>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2004 or 2003 related to our stock option plans. We adopted the disclosure-only provisions of SFAS No. 123, “Accounting for Stock-Based Compensation” and related pronouncements.</w:t>
      </w:r>
    </w:p>
    <w:p>
      <w:pPr>
        <w:spacing w:after="0" w:line="21"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compares 2004 and 2003 as reported to the pro forma results, considering both options and warrants discussed in Note 11 in our 2003 Annual Report filed on Form 10-K, had we adopted the expense recognition provision of SFAS No. 123:</w:t>
      </w:r>
    </w:p>
    <w:p>
      <w:pPr>
        <w:spacing w:after="0" w:line="11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60325</wp:posOffset>
            </wp:positionV>
            <wp:extent cx="9861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(381)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Deduct: compensation cost based on fair value recognition, net of tax</w:t>
            </w:r>
          </w:p>
        </w:tc>
        <w:tc>
          <w:tcPr>
            <w:tcW w:w="2680" w:type="dxa"/>
            <w:vAlign w:val="bottom"/>
            <w:gridSpan w:val="4"/>
          </w:tcPr>
          <w:p>
            <w:pPr>
              <w:jc w:val="right"/>
              <w:ind w:right="280"/>
              <w:spacing w:after="0"/>
              <w:rPr>
                <w:sz w:val="20"/>
                <w:szCs w:val="20"/>
                <w:color w:val="auto"/>
              </w:rPr>
            </w:pPr>
            <w:r>
              <w:rPr>
                <w:rFonts w:ascii="Arial" w:cs="Arial" w:eastAsia="Arial" w:hAnsi="Arial"/>
                <w:sz w:val="18"/>
                <w:szCs w:val="18"/>
                <w:color w:val="auto"/>
              </w:rPr>
              <w:t>(24)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under SFAS No. 123</w:t>
            </w:r>
          </w:p>
        </w:tc>
        <w:tc>
          <w:tcPr>
            <w:tcW w:w="2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(405)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680" w:type="dxa"/>
            <w:vAlign w:val="bottom"/>
            <w:gridSpan w:val="4"/>
          </w:tcPr>
          <w:p>
            <w:pPr>
              <w:jc w:val="right"/>
              <w:ind w:right="280"/>
              <w:spacing w:after="0"/>
              <w:rPr>
                <w:sz w:val="20"/>
                <w:szCs w:val="20"/>
                <w:color w:val="auto"/>
              </w:rPr>
            </w:pPr>
            <w:r>
              <w:rPr>
                <w:rFonts w:ascii="Arial" w:cs="Arial" w:eastAsia="Arial" w:hAnsi="Arial"/>
                <w:sz w:val="18"/>
                <w:szCs w:val="18"/>
                <w:color w:val="auto"/>
              </w:rPr>
              <w:t>$ (0.04)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 (0.03)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under SFAS No. 123</w:t>
            </w:r>
          </w:p>
        </w:tc>
        <w:tc>
          <w:tcPr>
            <w:tcW w:w="2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(0.04)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-507365</wp:posOffset>
            </wp:positionV>
            <wp:extent cx="3302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-507365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-507365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-507365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Accounting Standards</w:t>
      </w:r>
    </w:p>
    <w:p>
      <w:pPr>
        <w:spacing w:after="0" w:line="76"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In December 2002, the FASB issued Statement No. 148, “Accounting for Stock-Based Compensation - Transition and Disclosure” which we adopted in 2003. The Statement provides alternative methods of transition for a voluntary change to the fair value method of accounting for stock options. At this time, we do not anticipate making any voluntary change.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w:t>
      </w:r>
    </w:p>
    <w:p>
      <w:pPr>
        <w:spacing w:after="0" w:line="21" w:lineRule="exact"/>
        <w:rPr>
          <w:sz w:val="20"/>
          <w:szCs w:val="20"/>
          <w:color w:val="auto"/>
        </w:rPr>
      </w:pPr>
    </w:p>
    <w:p>
      <w:pPr>
        <w:ind w:left="460" w:right="180"/>
        <w:spacing w:after="0" w:line="290"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w:t>
      </w:r>
    </w:p>
    <w:p>
      <w:pPr>
        <w:spacing w:after="0" w:line="24" w:lineRule="exact"/>
        <w:rPr>
          <w:sz w:val="20"/>
          <w:szCs w:val="20"/>
          <w:color w:val="auto"/>
        </w:rPr>
      </w:pPr>
    </w:p>
    <w:p>
      <w:pPr>
        <w:ind w:left="460" w:right="120"/>
        <w:spacing w:after="0" w:line="312" w:lineRule="auto"/>
        <w:rPr>
          <w:sz w:val="20"/>
          <w:szCs w:val="20"/>
          <w:color w:val="auto"/>
        </w:rPr>
      </w:pPr>
      <w:r>
        <w:rPr>
          <w:rFonts w:ascii="Arial" w:cs="Arial" w:eastAsia="Arial" w:hAnsi="Arial"/>
          <w:sz w:val="15"/>
          <w:szCs w:val="15"/>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related to recognizing a liability at inception of the guarantee for the fair value of the guarantor’s obligations does not apply to product warranties or to guarantees accounted for as derivatives. The initial recognition and initial measurement provisions apply on a prospective basis to guarantees issued or modified after December 31, 2002. The disclosure requirements of FIN 45 are effective for financial statements of interim or annual periods ending after December 15, 2002 and had no effect on our financial statement disclosures.</w:t>
      </w:r>
    </w:p>
    <w:p>
      <w:pPr>
        <w:spacing w:after="0" w:line="1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on January 1, 2004 did not affect our financial condition or results of operations, as we do not have any variable interest entities.</w:t>
      </w:r>
    </w:p>
    <w:p>
      <w:pPr>
        <w:spacing w:after="0" w:line="48"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In November 2002, the FASB’s Emerging Issues Task Force (“EITF”) reached a consensus on EITF Issue No. 00-21, Revenue Arrangements with Multiple Deliverables. EITF No. 00-21 provided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The adoption of this interpretation on January 1, 2004 did not affect our financial condition or results of operations, as we do not have any revenue arrangements with multiple deliverables.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132-R for our December 31, 2003 financial statements, as well as disclosure requirements for various elements of pension and postretirement benefit costs in interim period financial statements for quarters beginning with our first quarter ended March 31, 2004.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3.</w:t>
            </w: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0" w:type="dxa"/>
            <w:vAlign w:val="bottom"/>
          </w:tcPr>
          <w:p>
            <w:pPr>
              <w:spacing w:after="0"/>
              <w:rPr>
                <w:sz w:val="24"/>
                <w:szCs w:val="24"/>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Inventories consist of the following:</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60" w:type="dxa"/>
            <w:vAlign w:val="bottom"/>
            <w:gridSpan w:val="3"/>
          </w:tcPr>
          <w:p>
            <w:pPr>
              <w:ind w:left="2280"/>
              <w:spacing w:after="0"/>
              <w:rPr>
                <w:sz w:val="20"/>
                <w:szCs w:val="20"/>
                <w:color w:val="auto"/>
              </w:rPr>
            </w:pPr>
            <w:r>
              <w:rPr>
                <w:rFonts w:ascii="Arial" w:cs="Arial" w:eastAsia="Arial" w:hAnsi="Arial"/>
                <w:sz w:val="14"/>
                <w:szCs w:val="14"/>
                <w:b w:val="1"/>
                <w:bCs w:val="1"/>
                <w:color w:val="auto"/>
                <w:w w:val="86"/>
              </w:rPr>
              <w:t>March 31,</w:t>
            </w: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2004</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86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subassemblies</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Finished goods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1,556</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50165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7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76" w:lineRule="exact"/>
        <w:rPr>
          <w:rFonts w:ascii="Arial" w:cs="Arial" w:eastAsia="Arial" w:hAnsi="Arial"/>
          <w:sz w:val="18"/>
          <w:szCs w:val="18"/>
          <w:color w:val="auto"/>
        </w:rPr>
      </w:pPr>
    </w:p>
    <w:p>
      <w:pPr>
        <w:ind w:left="460" w:right="60"/>
        <w:spacing w:after="0" w:line="255" w:lineRule="auto"/>
        <w:rPr>
          <w:rFonts w:ascii="Arial" w:cs="Arial" w:eastAsia="Arial" w:hAnsi="Arial"/>
          <w:sz w:val="18"/>
          <w:szCs w:val="18"/>
          <w:color w:val="auto"/>
        </w:rPr>
      </w:pPr>
      <w:r>
        <w:rPr>
          <w:rFonts w:ascii="Arial" w:cs="Arial" w:eastAsia="Arial" w:hAnsi="Arial"/>
          <w:sz w:val="18"/>
          <w:szCs w:val="18"/>
          <w:color w:val="auto"/>
        </w:rPr>
        <w:t>For the three months ended March 31, 2004 and 2003, both basic weighted average common shares outstanding and diluted average common shares outstanding were 9,984,974 and 9,589,736, respectively. We consider outstanding options and warrants in computing diluted net loss per share only when they are dilutive. Options and warrants to purchase 3,453,700 and 3,451,700 shares for the three months ended March 31, 2004 and 2003, respectively, were not included in the computation of diluted earnings per share due to their having an anti-dilutive effect. There were no adjustments to net loss for the basic or diluted earnings per share computations.</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w:t>
      </w:r>
    </w:p>
    <w:p>
      <w:pPr>
        <w:spacing w:after="0" w:line="76"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Total bank and related debt as of March 31, 2004 was $10,463,000 and $9,957,000 at December 31, 2003. Unused credit availability under our $8 million revolving line of credit at March 31, 2004 was $2,667,000. Availability is limited as determined by a borrowing base formula contained in the credit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70" w:lineRule="exact"/>
        <w:rPr>
          <w:sz w:val="20"/>
          <w:szCs w:val="20"/>
          <w:color w:val="auto"/>
        </w:rPr>
      </w:pPr>
    </w:p>
    <w:p>
      <w:pPr>
        <w:jc w:val="both"/>
        <w:ind w:left="460" w:right="240"/>
        <w:spacing w:after="0" w:line="298" w:lineRule="auto"/>
        <w:rPr>
          <w:sz w:val="20"/>
          <w:szCs w:val="20"/>
          <w:color w:val="auto"/>
        </w:rPr>
      </w:pPr>
      <w:r>
        <w:rPr>
          <w:rFonts w:ascii="Arial" w:cs="Arial" w:eastAsia="Arial" w:hAnsi="Arial"/>
          <w:sz w:val="16"/>
          <w:szCs w:val="16"/>
          <w:color w:val="auto"/>
        </w:rPr>
        <w:t>The bank term loan and revolving line of credit are reported as current portion of debt in the balance sheet at March 31, 2004 since the loans mature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w:t>
      </w:r>
    </w:p>
    <w:p>
      <w:pPr>
        <w:spacing w:after="0" w:line="18"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We are currently evaluating, in light of the current market conditions and company performance, our options and seeking alternative financing. Our refinancing strategy for the existing revolving credit agreement and term loan is to obtain new financings that will extend the maturities and increase our cash flow by lowering the scheduled principal amortization on term debt for our machinery, equipment and real estate, and reducing interest costs. In addition to pursuing opportunities where we have been historically successful, we are evaluating new markets and exploring opportunities internationally. In addition, the Company has been identifying and implementing various cost containment and reduction initiatives. We are currently evaluating additional operating cost cutting opportunities throughout the company for implementation in the second quarter of 2004 by better utilization of our manufacturing capacity, utilizing lower labor costs and making more efficient use of our central services and design/drafting staff. The Company expects to be able to achieve these initiatives without disrupting services to current customers. Management believes that the successful achievement of the refinancing and cost reduction initiatives should provide the Company with sufficient resources to meet its near term cash requirements.</w:t>
      </w:r>
    </w:p>
    <w:p>
      <w:pPr>
        <w:spacing w:after="0" w:line="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 November 2003, we accepted an offer to sell our Cincinnati property with a contemplated closing date of May 1, 2004 subject to various contingencies. The agreement was terminated due to the purchaser failing to close in accordance with the terms of the agreement. However, we are continuing discussions with a potential purchaser for the sale of the property.</w:t>
      </w:r>
    </w:p>
    <w:p>
      <w:pPr>
        <w:spacing w:after="0" w:line="12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76"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37"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We also sponsor a post-retirement health care plan for office employees retiring before January 1, 1990. The plan allows retirees who have attained the age of 65 to elect the type of coverage desired.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14"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60325</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Service cost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Health care plan: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cost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-466725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-466725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-466725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-466725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-466725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3556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did not make any contributions to our defined benefit plans in the first quarter of 2004. We anticipate contributing $854 to fund the pension plan and $86 for the retiree health care plan during the remainder of fiscal of 2004.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Critical Accounting Policies are discussed in Item 7. Management’s Discussion and Analysis of Financial Condition and Results of Operations to our Annual Report on Form 10-K for the year ended December 31,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Company’s condensed consolidated statements of operations for the three-month period ended March 31, 2004 reflect the operations of the Company consolidated with the operations of its subsidiaries.</w:t>
      </w:r>
    </w:p>
    <w:p>
      <w:pPr>
        <w:spacing w:after="0" w:line="11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60325</wp:posOffset>
            </wp:positionV>
            <wp:extent cx="1457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millions)</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2004</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6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66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Consolidated net sales for the first quarter were $14,146,000, a decrease of $1,055,000, compared to the same quarter in 2003. Lower construction revenues partially offset by increased sales from our component parts and duct products lines accounted for most of the fluctuation in sales. Lower backlog was the driving factor for the reduction in our construction revenues. Sales of our component parts and duct product lines, which are sold to contractors and end-users throughout North America, experienced increased sales volume during the quarter.</w:t>
      </w:r>
    </w:p>
    <w:p>
      <w:pPr>
        <w:spacing w:after="0" w:line="13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total, orders booked in 2004 increased by $650,000 to $15,000,000 compared to $14,350,000 during the first quarter of 2003. Bookings increased by 29.3% in the first quarter of 2004 compared to the first quarter of 2003, excluding a large contract booked in January 2003 for $2,800,000.</w:t>
      </w:r>
    </w:p>
    <w:p>
      <w:pPr>
        <w:spacing w:after="0" w:line="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First quarter 2004 gross profit was $2,805,000 (19.8%) compared to gross profit of $3,069,000 (20.2%) during the same period in 2003. We maintained a relatively consistent gross margin during 2004 compared with the first quarter 2003 gross margin in a difficult economic environment on lower sales resulting from increased construction margins and favorable mix, along with reduced overhead spending.</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and administrative expenses increased slightly by $33,000 or 1.3% to $2,575,000 during the first quarter of 2004 from $2,542,000 in the same period of 2003. Cost reduction initiatives in 2003 were offset by increased healthcare and compensation costs in the first quarter of 2004. Further cost reductions are being evaluated for implementation in the second quarter of 2004 in light of the current level of revenue.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increased by $16,000 to $419,000 during the three months ended March 31, 2004 as compared to the same period of 2003.</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loss was ($189,000) in the first quarter of 2004 compared to operating income of $124,000 during the same quarter of 2003. The impact on operating income from lower sales along with slight increases in selling and administrative expenses and depreciation and amortization only partially offset by reduced factory overhead spending were the primary factors for the decrease in operating income.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decreased by $89,000 to $504,000 from $593,000 during the first quarter of 2004. The decrease was due to lower debt during the quarter that was partially offset by higher interest rates.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Federal and state income tax benefit was $312,000 during the first quarter of 2004 and $220,000 during the first quarter of 2003. The federal and state income tax benefit in the first quarter of 2004 was 45%, which reflects the estimated effective tax rate for 2004. Our statutory income tax rate is affected by certain permanent differences including non-deductible interest expense.</w:t>
      </w:r>
    </w:p>
    <w:p>
      <w:pPr>
        <w:spacing w:after="0" w:line="127" w:lineRule="exact"/>
        <w:rPr>
          <w:sz w:val="20"/>
          <w:szCs w:val="20"/>
          <w:color w:val="auto"/>
        </w:rPr>
      </w:pPr>
    </w:p>
    <w:p>
      <w:pPr>
        <w:ind w:right="2220"/>
        <w:spacing w:after="0" w:line="375" w:lineRule="auto"/>
        <w:rPr>
          <w:sz w:val="20"/>
          <w:szCs w:val="20"/>
          <w:color w:val="auto"/>
        </w:rPr>
      </w:pPr>
      <w:r>
        <w:rPr>
          <w:rFonts w:ascii="Arial" w:cs="Arial" w:eastAsia="Arial" w:hAnsi="Arial"/>
          <w:sz w:val="18"/>
          <w:szCs w:val="18"/>
          <w:color w:val="auto"/>
        </w:rPr>
        <w:t>Net loss for the quarter ended March 31, 2004 was ($381,000) compared with a net loss of ($249,000) for the same period in 2003. Backlog</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backlog consists of orders we have received for products and services we expect to ship and deliver within the next 12 months. Our backlog, as of March 31, 2004 was $8.1 million compared to $7.3 million as of December 31, 2003.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its products, decrease in average selling prices over the life of the product as competition increases and our dependence to some degree on efforts of intermediaries to sell a portion of our product.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Liquidity and Capital Resources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principal sources of liquidity are cash flow from operations and available borrowings under its revolving credit facility. The Company’s principal uses of cash are operating costs, debt service, payment of interest on the Company’s outstanding senior debt, working capital and other general corporate requirements.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March 31, 2004 and December 31, 2003, cash and cash equivalents totaled $265,000 and $136,000, respectively. Generally, we do not carry significant cash and cash equivalent balances because excess amounts are used to pay down our revolving line of credit.</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Total bank and related debt as of March 31, 2004 was $10,463,000 and $9,957,000 at December 31, 2003. Unused credit availability under our $8 million revolving line of credit at March 31, 2004 was $2,667,000. Availability is limited as determined by a borrowing base formula contained in the credit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bank term loan and revolving line of credit are reported as current portion of debt in the balance sheet at March 31, 2004 since the loans mature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currently evaluating, in light of the current market conditions and company performance, our options and seeking alternative financing. Our refinancing strategy for the existing revolving credit agreement and term loan is to obtain new financings that will extend the maturities and increase our cash flow by lowering the scheduled principal amortization on term debt for our machinery, equipment and real estate, and reducing interest costs. In addition to pursuing opportunities where we have been historically successful, we are evaluating new markets and exploring opportunities internationally. In addition, the Company has been identifying and implementing various cost containment and reduction initiatives. We are currently evaluating additional operating cost cutting opportunities throughout the company for implementation in the second quarter of 2004 by better utilization of our manufacturing capacity, utilizing lower labor costs and making more efficient use of our central services and design/drafting staff. The Company expects to be able to achieve these initiatives without disrupting services to current customers. Management believes that the successful achievement of the refinancing and cost reduction initiatives should provide the Company with sufficient resources to meet its near term cash requirements.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Overview of Cash Flows and Liquidity</w:t>
      </w:r>
    </w:p>
    <w:p>
      <w:pPr>
        <w:spacing w:after="0" w:line="153"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60325</wp:posOffset>
            </wp:positionV>
            <wp:extent cx="1260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thousands)</w:t>
            </w:r>
          </w:p>
        </w:tc>
        <w:tc>
          <w:tcPr>
            <w:tcW w:w="2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8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980" w:type="dxa"/>
            <w:vAlign w:val="bottom"/>
            <w:gridSpan w:val="2"/>
            <w:vMerge w:val="continue"/>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cash flow (used)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(306)</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w:t>
            </w:r>
          </w:p>
        </w:tc>
        <w:tc>
          <w:tcPr>
            <w:tcW w:w="5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used in operating activities lessened in 2004 compared to 2003. Cash used in operating activities for the first three months of 2004 was the result of reductions to accounts payable and accrued expenses of $1,673,000, and increases to prepaid and other current assets of $256,000 and billings in excess of costs and estimated earnings on uncompleted contracts of $105,000. Cash was provided by reductions to accounts receivable of $1,099,000, and increases in costs and estimated earnings in excess of billings on uncompleted contracts of $342,000. Other changes in working capital items provided cash of $249,000. Our net investment in working capital (excluding cash and cash equivalents and current portion of debt) at March 31, 2004 and December 31, 2003 was $8,179,000 and $7,636,000,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cash used in investing activities related to the acquisition of capital expenditures for property and equipment was $71,000 for the first three months of 2004 compared with $36,000 for the same period in 2003. We are managing our capital expenditure spending in light of the current level of sales. Should sales increase in 2004, we would anticipate increased capital spending. Additionally, capital expenditures may be incurred depending on the ultimate disposition of our Cincinnati property. However, we are continuing discussions with a potential purchaser for the sale of the property.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provided cash of $506,000 during the first three months of 2004 compared with cash provided of $906,000 during the same period of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year and 2003 financing activities included net borrowings under the bank credit facility.</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November 2003, we accepted an offer to sell our Cincinnati property with a contemplated closing date of May 1, 2004 subject to various contingencies. The agreement was terminated due to the purchaser failing to close in accordance with the terms of the agreement. However, we are continuing discussions with a potential purchaser for the sale of the property.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Risk Management Activities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Management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use interest rate swap contracts to adjust the proportion of our total debt that is subject to variable interest rates. Our interest rate swap contract matured in 2002 and was not renewed.</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remaining amount of loans outstanding under the Credit Agreement bear interest at the floating rates as described in Note 9 to the consolidated statements contained in the Company’s 2003 Annual Report on Form 10-K filed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ITEM 4. CONTROLS AND PROCEDURES</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Within ninety days prior to the filing of this Report, the Company’s Chief Executive Officer and Chief Financial Officer evaluated the effectiveness of the design and operation of the Company’s disclosure controls and procedures, which are designed to ensure that the Company records, processes, summarizes and reports in a timely and effective manner the information required to be disclosed in the reports filed with or submitted to the Securities and Exchange Commission. Based upon this evaluation, they concluded that, as of the date of the evaluation, the Company’s disclosure controls are effective. Since the date of this evaluation, there have been no significant changes in the Company’s internal controls or in other factors that could significantly affect those controls.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3239"/>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PART II -OTHER INFORMATION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 AND REPORTS ON FORM 8-K</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920" w:right="3799"/>
        <w:spacing w:after="0" w:line="386" w:lineRule="auto"/>
        <w:rPr>
          <w:sz w:val="20"/>
          <w:szCs w:val="20"/>
          <w:color w:val="auto"/>
        </w:rPr>
      </w:pPr>
      <w:r>
        <w:rPr>
          <w:rFonts w:ascii="Arial" w:cs="Arial" w:eastAsia="Arial" w:hAnsi="Arial"/>
          <w:sz w:val="16"/>
          <w:szCs w:val="16"/>
          <w:color w:val="auto"/>
        </w:rPr>
        <w:t>Exhibit 31.1 Rule 13(a)/15d-14(a) Certification by Chief Executive Officer Exhibit 31.2 Rule 13(a)/15d-14(a) Certification by Chief Financial Officer Exhibit 32.1 Certification of Chief Executive Officer (18 U.S. Section 1350) Exhibit 32.2 Certification of Chief Financial Officer (18 U.S. Section 1350)</w:t>
      </w:r>
    </w:p>
    <w:p>
      <w:pPr>
        <w:spacing w:after="0" w:line="3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not file any Form 8-K during the first quarter of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CECO ENVIRONMENTAL CORP.</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Marshall J.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Marshall J. Morris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V.P. - Finance and Administration and Chief Financial Officer</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17, 2004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2004</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Marshall J. Morris, certify that:</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Marshall J.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Marshall J. Morris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2004</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CECO Environmental Corp. (the “Company”) on Form 10-Q for the period ending March 31, 2004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4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2004</w:t>
      </w:r>
    </w:p>
    <w:p>
      <w:pPr>
        <w:spacing w:after="0" w:line="15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period ending March 31, 2004 as filed with the Securities and Exchange Commission on the date hereof (the “Report”), I, Marshall J. Morris, V.P. – Finance and Administration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Marshall J.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Marshall J. Morris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2004</w:t>
      </w:r>
    </w:p>
    <w:p>
      <w:pPr>
        <w:spacing w:after="0" w:line="15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7"/>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2020-02-14T00:50:21Z</dcterms:created>
  <dcterms:modified xsi:type="dcterms:W3CDTF">2020-02-14T00:50:21Z</dcterms:modified>
</cp:coreProperties>
</file>