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11/08/2006</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CECO ENVIRONMENTAL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0-7099</w:t>
      </w:r>
    </w:p>
    <w:p>
      <w:pPr>
        <w:sectPr>
          <w:pgSz w:w="11900" w:h="16838" w:orient="portrait"/>
          <w:cols w:equalWidth="0" w:num="1">
            <w:col w:w="11420"/>
          </w:cols>
          <w:pgMar w:left="240" w:top="530" w:right="239" w:bottom="1440" w:gutter="0" w:footer="0" w:header="0"/>
        </w:sectPr>
      </w:pPr>
    </w:p>
    <w:p>
      <w:pPr>
        <w:spacing w:after="0" w:line="139" w:lineRule="exact"/>
        <w:rPr>
          <w:sz w:val="24"/>
          <w:szCs w:val="24"/>
          <w:color w:val="auto"/>
        </w:rPr>
      </w:pPr>
    </w:p>
    <w:p>
      <w:pPr>
        <w:ind w:left="3220"/>
        <w:spacing w:after="0"/>
        <w:rPr>
          <w:sz w:val="20"/>
          <w:szCs w:val="20"/>
          <w:color w:val="auto"/>
        </w:rPr>
      </w:pPr>
      <w:r>
        <w:rPr>
          <w:rFonts w:ascii="Arial" w:cs="Arial" w:eastAsia="Arial" w:hAnsi="Arial"/>
          <w:sz w:val="21"/>
          <w:szCs w:val="21"/>
          <w:b w:val="1"/>
          <w:bCs w:val="1"/>
          <w:color w:val="auto"/>
        </w:rPr>
        <w:t>DE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13-2566064</w:t>
      </w:r>
    </w:p>
    <w:p>
      <w:pPr>
        <w:spacing w:after="0" w:line="58" w:lineRule="exact"/>
        <w:rPr>
          <w:sz w:val="24"/>
          <w:szCs w:val="24"/>
          <w:color w:val="auto"/>
        </w:rPr>
      </w:pPr>
    </w:p>
    <w:p>
      <w:pPr>
        <w:sectPr>
          <w:pgSz w:w="11900" w:h="16838" w:orient="portrait"/>
          <w:cols w:equalWidth="0" w:num="2">
            <w:col w:w="8020" w:space="720"/>
            <w:col w:w="2680"/>
          </w:cols>
          <w:pgMar w:left="240" w:top="530" w:right="239" w:bottom="1440" w:gutter="0" w:footer="0" w:header="0"/>
          <w:type w:val="continuous"/>
        </w:sectPr>
      </w:pPr>
    </w:p>
    <w:p>
      <w:pPr>
        <w:spacing w:after="0" w:line="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8"/>
          <w:szCs w:val="18"/>
          <w:b w:val="1"/>
          <w:bCs w:val="1"/>
          <w:color w:val="auto"/>
        </w:rPr>
        <w:t>(IRS Employer</w:t>
      </w:r>
    </w:p>
    <w:p>
      <w:pPr>
        <w:jc w:val="center"/>
        <w:ind w:right="1480"/>
        <w:spacing w:after="0"/>
        <w:rPr>
          <w:sz w:val="20"/>
          <w:szCs w:val="20"/>
          <w:color w:val="auto"/>
        </w:rPr>
      </w:pPr>
      <w:r>
        <w:rPr>
          <w:rFonts w:ascii="Arial" w:cs="Arial" w:eastAsia="Arial" w:hAnsi="Arial"/>
          <w:sz w:val="16"/>
          <w:szCs w:val="16"/>
          <w:b w:val="1"/>
          <w:bCs w:val="1"/>
          <w:color w:val="auto"/>
        </w:rPr>
        <w:t>Identification No.)</w:t>
      </w:r>
    </w:p>
    <w:p>
      <w:pPr>
        <w:spacing w:after="0" w:line="154" w:lineRule="exact"/>
        <w:rPr>
          <w:sz w:val="24"/>
          <w:szCs w:val="24"/>
          <w:color w:val="auto"/>
        </w:rPr>
      </w:pPr>
    </w:p>
    <w:p>
      <w:pPr>
        <w:sectPr>
          <w:pgSz w:w="11900" w:h="16838" w:orient="portrait"/>
          <w:cols w:equalWidth="0" w:num="2">
            <w:col w:w="7840" w:space="720"/>
            <w:col w:w="2860"/>
          </w:cols>
          <w:pgMar w:left="240" w:top="530"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3120 Forrer Street, Cincinnati, OH 45209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ectPr>
          <w:pgSz w:w="11900" w:h="16838" w:orient="portrait"/>
          <w:cols w:equalWidth="0" w:num="1">
            <w:col w:w="11420"/>
          </w:cols>
          <w:pgMar w:left="240" w:top="530" w:right="2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(416) 593-6543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8" w:lineRule="exact"/>
        <w:rPr>
          <w:sz w:val="24"/>
          <w:szCs w:val="24"/>
          <w:color w:val="auto"/>
        </w:rPr>
      </w:pPr>
    </w:p>
    <w:p>
      <w:pPr>
        <w:ind w:right="500"/>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Written communications pursuant to Rule 425 under the Securities Act (17 CFR 230.425)</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Soliciting material pursuant to Rule 14a-12 under the Exchange Act (17 CFR 240.14a-12)</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14d-2(b) under the Exchange Act (17 CFR 240.14d-2(b))</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13e-4(c) under the Exchange Act (17 CFR 240.13e-4(c))</w:t>
            </w:r>
          </w:p>
        </w:tc>
      </w:tr>
      <w:tr>
        <w:trPr>
          <w:trHeight w:val="255"/>
        </w:trPr>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140" w:type="dxa"/>
            <w:vAlign w:val="bottom"/>
          </w:tcPr>
          <w:p>
            <w:pPr>
              <w:spacing w:after="0"/>
              <w:rPr>
                <w:sz w:val="22"/>
                <w:szCs w:val="22"/>
                <w:color w:val="auto"/>
              </w:rPr>
            </w:pPr>
          </w:p>
        </w:tc>
      </w:tr>
      <w:tr>
        <w:trPr>
          <w:trHeight w:val="61"/>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Information to be included in the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November 8, 2006, the registrant issued a press release announcing its financial results for the third quarter and nine months ended September 30, 2006.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to this current report.</w:t>
      </w:r>
    </w:p>
    <w:p>
      <w:pPr>
        <w:spacing w:after="0" w:line="21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in this Item 2.02, and Exhibit 99.1 attached hereto, is being furnished and shall not be deemed "filed" for the purposes of Section 18 of the Securities Exchange Act of 1934, as amended.</w:t>
      </w:r>
    </w:p>
    <w:p>
      <w:pPr>
        <w:spacing w:after="0" w:line="200" w:lineRule="exact"/>
        <w:rPr>
          <w:sz w:val="20"/>
          <w:szCs w:val="20"/>
          <w:color w:val="auto"/>
        </w:rPr>
      </w:pPr>
    </w:p>
    <w:p>
      <w:pPr>
        <w:spacing w:after="0" w:line="2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Press Release issued November 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November 08,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CFO and Vice President-Finance and Administration</w:t>
      </w:r>
    </w:p>
    <w:p>
      <w:pPr>
        <w:sectPr>
          <w:pgSz w:w="11900" w:h="16838" w:orient="portrait"/>
          <w:cols w:equalWidth="0" w:num="1">
            <w:col w:w="11400"/>
          </w:cols>
          <w:pgMar w:left="240" w:top="131" w:right="259" w:bottom="1440" w:gutter="0" w:footer="0" w:header="0"/>
        </w:sectPr>
      </w:pPr>
    </w:p>
    <w:bookmarkStart w:id="2" w:name="page3"/>
    <w:bookmarkEnd w:id="2"/>
    <w:p>
      <w:pPr>
        <w:jc w:val="right"/>
        <w:ind w:right="38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81280</wp:posOffset>
            </wp:positionV>
            <wp:extent cx="133350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3500" cy="21590"/>
                    </a:xfrm>
                    <a:prstGeom prst="rect">
                      <a:avLst/>
                    </a:prstGeom>
                    <a:noFill/>
                  </pic:spPr>
                </pic:pic>
              </a:graphicData>
            </a:graphic>
          </wp:anchor>
        </w:drawing>
      </w:r>
    </w:p>
    <w:p>
      <w:pPr>
        <w:spacing w:after="0" w:line="236" w:lineRule="exact"/>
        <w:rPr>
          <w:sz w:val="20"/>
          <w:szCs w:val="20"/>
          <w:color w:val="auto"/>
        </w:rPr>
      </w:pPr>
    </w:p>
    <w:p>
      <w:pPr>
        <w:spacing w:after="0"/>
        <w:tabs>
          <w:tab w:leader="none" w:pos="1160" w:val="left"/>
        </w:tabs>
        <w:rPr>
          <w:sz w:val="20"/>
          <w:szCs w:val="20"/>
          <w:color w:val="auto"/>
        </w:rPr>
      </w:pPr>
      <w:r>
        <w:rPr>
          <w:rFonts w:ascii="Arial" w:cs="Arial" w:eastAsia="Arial" w:hAnsi="Arial"/>
          <w:sz w:val="27"/>
          <w:szCs w:val="27"/>
          <w:color w:val="auto"/>
          <w:vertAlign w:val="superscript"/>
        </w:rPr>
        <w:t>EX-99.1</w:t>
      </w:r>
      <w:r>
        <w:rPr>
          <w:sz w:val="20"/>
          <w:szCs w:val="20"/>
          <w:color w:val="auto"/>
        </w:rPr>
        <w:tab/>
      </w:r>
      <w:r>
        <w:rPr>
          <w:rFonts w:ascii="Arial" w:cs="Arial" w:eastAsia="Arial" w:hAnsi="Arial"/>
          <w:sz w:val="14"/>
          <w:szCs w:val="14"/>
          <w:color w:val="auto"/>
        </w:rPr>
        <w:t>Press Release</w:t>
      </w:r>
    </w:p>
    <w:p>
      <w:pPr>
        <w:sectPr>
          <w:pgSz w:w="11900" w:h="16838" w:orient="portrait"/>
          <w:cols w:equalWidth="0" w:num="1">
            <w:col w:w="10219"/>
          </w:cols>
          <w:pgMar w:left="240" w:top="801" w:right="1440" w:bottom="1440" w:gutter="0" w:footer="0" w:header="0"/>
        </w:sectPr>
      </w:pPr>
    </w:p>
    <w:bookmarkStart w:id="3" w:name="page4"/>
    <w:bookmarkEnd w:id="3"/>
    <w:p>
      <w:pPr>
        <w:jc w:val="center"/>
        <w:spacing w:after="0" w:line="439" w:lineRule="auto"/>
        <w:rPr>
          <w:sz w:val="20"/>
          <w:szCs w:val="20"/>
          <w:color w:val="auto"/>
        </w:rPr>
      </w:pPr>
      <w:r>
        <w:rPr>
          <w:rFonts w:ascii="Arial" w:cs="Arial" w:eastAsia="Arial" w:hAnsi="Arial"/>
          <w:sz w:val="22"/>
          <w:szCs w:val="22"/>
          <w:b w:val="1"/>
          <w:bCs w:val="1"/>
          <w:color w:val="auto"/>
        </w:rPr>
        <w:t>NASDAQ:CECE NEWS RELEASE CECO ENVIRONMENTAL REPORTS RECORD QUARTERLY AND NINE MONTH REVENUE AND OPERATING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REVENUES INCREASED BY OVER 60% FOR BOTH PERIODS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INCOME INCREASED BY 32% FOR THE QUARTER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INCOME INCREASED BY 142% FOR THE NINE MONTH PERIOD</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NEW YORK, November 08, 2006 - CECO Environmental Corp. </w:t>
      </w:r>
      <w:r>
        <w:rPr>
          <w:rFonts w:ascii="Arial" w:cs="Arial" w:eastAsia="Arial" w:hAnsi="Arial"/>
          <w:sz w:val="22"/>
          <w:szCs w:val="22"/>
          <w:color w:val="auto"/>
        </w:rPr>
        <w:t>(NASDAQ:CECE), a leading provider of air pollution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and industrial ventilation systems, today announced record revenues and net income for the three and nine months ended September 30, 2006.</w:t>
      </w:r>
    </w:p>
    <w:p>
      <w:pPr>
        <w:spacing w:after="0" w:line="350" w:lineRule="exact"/>
        <w:rPr>
          <w:sz w:val="20"/>
          <w:szCs w:val="20"/>
          <w:color w:val="auto"/>
        </w:rPr>
      </w:pPr>
    </w:p>
    <w:tbl>
      <w:tblPr>
        <w:tblLayout w:type="fixed"/>
        <w:tblInd w:w="2500" w:type="dxa"/>
        <w:tblCellMar>
          <w:top w:w="0" w:type="dxa"/>
          <w:left w:w="0" w:type="dxa"/>
          <w:bottom w:w="0" w:type="dxa"/>
          <w:right w:w="0" w:type="dxa"/>
        </w:tblCellMar>
      </w:tblPr>
      <w:tr>
        <w:trPr>
          <w:trHeight w:val="178"/>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Financial highlights:</w:t>
            </w:r>
          </w:p>
        </w:tc>
        <w:tc>
          <w:tcPr>
            <w:tcW w:w="1900" w:type="dxa"/>
            <w:vAlign w:val="bottom"/>
            <w:gridSpan w:val="3"/>
          </w:tcPr>
          <w:p>
            <w:pPr>
              <w:jc w:val="right"/>
              <w:ind w:right="340"/>
              <w:spacing w:after="0"/>
              <w:rPr>
                <w:sz w:val="20"/>
                <w:szCs w:val="20"/>
                <w:color w:val="auto"/>
              </w:rPr>
            </w:pPr>
            <w:r>
              <w:rPr>
                <w:rFonts w:ascii="Arial" w:cs="Arial" w:eastAsia="Arial" w:hAnsi="Arial"/>
                <w:sz w:val="14"/>
                <w:szCs w:val="14"/>
                <w:color w:val="auto"/>
              </w:rPr>
              <w:t>$ in 000's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311"/>
        </w:trPr>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r>
      <w:tr>
        <w:trPr>
          <w:trHeight w:val="20"/>
        </w:trPr>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5"/>
        </w:trPr>
        <w:tc>
          <w:tcPr>
            <w:tcW w:w="2140" w:type="dxa"/>
            <w:vAlign w:val="bottom"/>
            <w:gridSpan w:val="2"/>
          </w:tcPr>
          <w:p>
            <w:pPr>
              <w:spacing w:after="0"/>
              <w:rPr>
                <w:sz w:val="20"/>
                <w:szCs w:val="20"/>
                <w:color w:val="auto"/>
              </w:rPr>
            </w:pPr>
            <w:r>
              <w:rPr>
                <w:rFonts w:ascii="Arial" w:cs="Arial" w:eastAsia="Arial" w:hAnsi="Arial"/>
                <w:sz w:val="14"/>
                <w:szCs w:val="14"/>
                <w:color w:val="auto"/>
                <w:w w:val="95"/>
              </w:rPr>
              <w:t>Three months ended September 30</w:t>
            </w:r>
          </w:p>
        </w:tc>
        <w:tc>
          <w:tcPr>
            <w:tcW w:w="1200" w:type="dxa"/>
            <w:vAlign w:val="bottom"/>
          </w:tcPr>
          <w:p>
            <w:pPr>
              <w:spacing w:after="0"/>
              <w:rPr>
                <w:sz w:val="24"/>
                <w:szCs w:val="2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w w:val="89"/>
              </w:rPr>
              <w:t>2006</w:t>
            </w:r>
          </w:p>
        </w:tc>
        <w:tc>
          <w:tcPr>
            <w:tcW w:w="880" w:type="dxa"/>
            <w:vAlign w:val="bottom"/>
            <w:gridSpan w:val="3"/>
          </w:tcPr>
          <w:p>
            <w:pPr>
              <w:jc w:val="right"/>
              <w:ind w:right="380"/>
              <w:spacing w:after="0"/>
              <w:rPr>
                <w:sz w:val="20"/>
                <w:szCs w:val="20"/>
                <w:color w:val="auto"/>
              </w:rPr>
            </w:pPr>
            <w:r>
              <w:rPr>
                <w:rFonts w:ascii="Arial" w:cs="Arial" w:eastAsia="Arial" w:hAnsi="Arial"/>
                <w:sz w:val="14"/>
                <w:szCs w:val="14"/>
                <w:color w:val="auto"/>
              </w:rPr>
              <w:t>2005</w:t>
            </w:r>
          </w:p>
        </w:tc>
        <w:tc>
          <w:tcPr>
            <w:tcW w:w="760" w:type="dxa"/>
            <w:vAlign w:val="bottom"/>
            <w:gridSpan w:val="3"/>
          </w:tcPr>
          <w:p>
            <w:pPr>
              <w:spacing w:after="0"/>
              <w:rPr>
                <w:sz w:val="20"/>
                <w:szCs w:val="20"/>
                <w:color w:val="auto"/>
              </w:rPr>
            </w:pPr>
            <w:r>
              <w:rPr>
                <w:rFonts w:ascii="Arial" w:cs="Arial" w:eastAsia="Arial" w:hAnsi="Arial"/>
                <w:sz w:val="14"/>
                <w:szCs w:val="14"/>
                <w:color w:val="auto"/>
              </w:rPr>
              <w:t>change</w:t>
            </w:r>
          </w:p>
        </w:tc>
        <w:tc>
          <w:tcPr>
            <w:tcW w:w="740" w:type="dxa"/>
            <w:vAlign w:val="bottom"/>
            <w:gridSpan w:val="4"/>
          </w:tcPr>
          <w:p>
            <w:pPr>
              <w:ind w:left="80"/>
              <w:spacing w:after="0"/>
              <w:rPr>
                <w:sz w:val="20"/>
                <w:szCs w:val="20"/>
                <w:color w:val="auto"/>
              </w:rPr>
            </w:pPr>
            <w:r>
              <w:rPr>
                <w:rFonts w:ascii="Arial" w:cs="Arial" w:eastAsia="Arial" w:hAnsi="Arial"/>
                <w:sz w:val="14"/>
                <w:szCs w:val="14"/>
                <w:color w:val="auto"/>
              </w:rPr>
              <w:t>change</w:t>
            </w:r>
          </w:p>
        </w:tc>
      </w:tr>
      <w:tr>
        <w:trPr>
          <w:trHeight w:val="20"/>
        </w:trPr>
        <w:tc>
          <w:tcPr>
            <w:tcW w:w="2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4"/>
        </w:trPr>
        <w:tc>
          <w:tcPr>
            <w:tcW w:w="21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$ 37,734</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$ 23,442</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$14,292</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61.0%</w:t>
            </w:r>
          </w:p>
        </w:tc>
      </w:tr>
      <w:tr>
        <w:trPr>
          <w:trHeight w:val="338"/>
        </w:trPr>
        <w:tc>
          <w:tcPr>
            <w:tcW w:w="21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6,142</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4,524</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1,618</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35.8%</w:t>
            </w:r>
          </w:p>
        </w:tc>
      </w:tr>
      <w:tr>
        <w:trPr>
          <w:trHeight w:val="338"/>
        </w:trPr>
        <w:tc>
          <w:tcPr>
            <w:tcW w:w="2140" w:type="dxa"/>
            <w:vAlign w:val="bottom"/>
            <w:gridSpan w:val="2"/>
          </w:tcPr>
          <w:p>
            <w:pPr>
              <w:spacing w:after="0"/>
              <w:rPr>
                <w:sz w:val="20"/>
                <w:szCs w:val="20"/>
                <w:color w:val="auto"/>
              </w:rPr>
            </w:pPr>
            <w:r>
              <w:rPr>
                <w:rFonts w:ascii="Arial" w:cs="Arial" w:eastAsia="Arial" w:hAnsi="Arial"/>
                <w:sz w:val="14"/>
                <w:szCs w:val="14"/>
                <w:color w:val="auto"/>
              </w:rPr>
              <w:t>Operating income</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1,664</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1,257</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407</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32.4%</w:t>
            </w:r>
          </w:p>
        </w:tc>
      </w:tr>
      <w:tr>
        <w:trPr>
          <w:trHeight w:val="469"/>
        </w:trPr>
        <w:tc>
          <w:tcPr>
            <w:tcW w:w="2140" w:type="dxa"/>
            <w:vAlign w:val="bottom"/>
            <w:gridSpan w:val="2"/>
          </w:tcPr>
          <w:p>
            <w:pPr>
              <w:spacing w:after="0"/>
              <w:rPr>
                <w:sz w:val="20"/>
                <w:szCs w:val="20"/>
                <w:color w:val="auto"/>
              </w:rPr>
            </w:pPr>
            <w:r>
              <w:rPr>
                <w:rFonts w:ascii="Arial" w:cs="Arial" w:eastAsia="Arial" w:hAnsi="Arial"/>
                <w:sz w:val="14"/>
                <w:szCs w:val="14"/>
                <w:color w:val="auto"/>
              </w:rPr>
              <w:t>Other income (expense)</w:t>
            </w:r>
            <w:r>
              <w:rPr>
                <w:rFonts w:ascii="Arial" w:cs="Arial" w:eastAsia="Arial" w:hAnsi="Arial"/>
                <w:sz w:val="22"/>
                <w:szCs w:val="22"/>
                <w:color w:val="auto"/>
                <w:vertAlign w:val="superscript"/>
              </w:rPr>
              <w:t>1</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409</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(273)</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682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47"/>
        </w:trPr>
        <w:tc>
          <w:tcPr>
            <w:tcW w:w="2140" w:type="dxa"/>
            <w:vAlign w:val="bottom"/>
            <w:gridSpan w:val="2"/>
          </w:tcPr>
          <w:p>
            <w:pPr>
              <w:spacing w:after="0"/>
              <w:rPr>
                <w:sz w:val="20"/>
                <w:szCs w:val="20"/>
                <w:color w:val="auto"/>
              </w:rPr>
            </w:pPr>
            <w:r>
              <w:rPr>
                <w:rFonts w:ascii="Arial" w:cs="Arial" w:eastAsia="Arial" w:hAnsi="Arial"/>
                <w:sz w:val="14"/>
                <w:szCs w:val="14"/>
                <w:color w:val="auto"/>
              </w:rPr>
              <w:t>Income before income tax</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1,613</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390</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1,223</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314%</w:t>
            </w:r>
          </w:p>
        </w:tc>
      </w:tr>
      <w:tr>
        <w:trPr>
          <w:trHeight w:val="338"/>
        </w:trPr>
        <w:tc>
          <w:tcPr>
            <w:tcW w:w="214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546</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35</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511</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1460%</w:t>
            </w:r>
          </w:p>
        </w:tc>
      </w:tr>
      <w:tr>
        <w:trPr>
          <w:trHeight w:val="338"/>
        </w:trPr>
        <w:tc>
          <w:tcPr>
            <w:tcW w:w="21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$1,067</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$355</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$712</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201%</w:t>
            </w:r>
          </w:p>
        </w:tc>
      </w:tr>
      <w:tr>
        <w:trPr>
          <w:trHeight w:val="716"/>
        </w:trPr>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r>
      <w:tr>
        <w:trPr>
          <w:trHeight w:val="20"/>
        </w:trPr>
        <w:tc>
          <w:tcPr>
            <w:tcW w:w="21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345"/>
        </w:trPr>
        <w:tc>
          <w:tcPr>
            <w:tcW w:w="2060" w:type="dxa"/>
            <w:vAlign w:val="bottom"/>
          </w:tcPr>
          <w:p>
            <w:pPr>
              <w:spacing w:after="0"/>
              <w:rPr>
                <w:sz w:val="20"/>
                <w:szCs w:val="20"/>
                <w:color w:val="auto"/>
              </w:rPr>
            </w:pPr>
            <w:r>
              <w:rPr>
                <w:rFonts w:ascii="Arial" w:cs="Arial" w:eastAsia="Arial" w:hAnsi="Arial"/>
                <w:sz w:val="14"/>
                <w:szCs w:val="14"/>
                <w:color w:val="auto"/>
                <w:w w:val="95"/>
              </w:rPr>
              <w:t>Nine months ended September 30</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color w:val="auto"/>
                <w:w w:val="89"/>
              </w:rPr>
              <w:t>2006</w:t>
            </w:r>
          </w:p>
        </w:tc>
        <w:tc>
          <w:tcPr>
            <w:tcW w:w="880" w:type="dxa"/>
            <w:vAlign w:val="bottom"/>
            <w:gridSpan w:val="3"/>
          </w:tcPr>
          <w:p>
            <w:pPr>
              <w:jc w:val="right"/>
              <w:ind w:right="380"/>
              <w:spacing w:after="0"/>
              <w:rPr>
                <w:sz w:val="20"/>
                <w:szCs w:val="20"/>
                <w:color w:val="auto"/>
              </w:rPr>
            </w:pPr>
            <w:r>
              <w:rPr>
                <w:rFonts w:ascii="Arial" w:cs="Arial" w:eastAsia="Arial" w:hAnsi="Arial"/>
                <w:sz w:val="14"/>
                <w:szCs w:val="14"/>
                <w:color w:val="auto"/>
              </w:rPr>
              <w:t>2005</w:t>
            </w:r>
          </w:p>
        </w:tc>
        <w:tc>
          <w:tcPr>
            <w:tcW w:w="760" w:type="dxa"/>
            <w:vAlign w:val="bottom"/>
            <w:gridSpan w:val="3"/>
          </w:tcPr>
          <w:p>
            <w:pPr>
              <w:spacing w:after="0"/>
              <w:rPr>
                <w:sz w:val="20"/>
                <w:szCs w:val="20"/>
                <w:color w:val="auto"/>
              </w:rPr>
            </w:pPr>
            <w:r>
              <w:rPr>
                <w:rFonts w:ascii="Arial" w:cs="Arial" w:eastAsia="Arial" w:hAnsi="Arial"/>
                <w:sz w:val="14"/>
                <w:szCs w:val="14"/>
                <w:color w:val="auto"/>
              </w:rPr>
              <w:t>change</w:t>
            </w:r>
          </w:p>
        </w:tc>
        <w:tc>
          <w:tcPr>
            <w:tcW w:w="740" w:type="dxa"/>
            <w:vAlign w:val="bottom"/>
            <w:gridSpan w:val="4"/>
          </w:tcPr>
          <w:p>
            <w:pPr>
              <w:ind w:left="80"/>
              <w:spacing w:after="0"/>
              <w:rPr>
                <w:sz w:val="20"/>
                <w:szCs w:val="20"/>
                <w:color w:val="auto"/>
              </w:rPr>
            </w:pPr>
            <w:r>
              <w:rPr>
                <w:rFonts w:ascii="Arial" w:cs="Arial" w:eastAsia="Arial" w:hAnsi="Arial"/>
                <w:sz w:val="14"/>
                <w:szCs w:val="14"/>
                <w:color w:val="auto"/>
              </w:rPr>
              <w:t>change</w:t>
            </w:r>
          </w:p>
        </w:tc>
      </w:tr>
      <w:tr>
        <w:trPr>
          <w:trHeight w:val="20"/>
        </w:trPr>
        <w:tc>
          <w:tcPr>
            <w:tcW w:w="2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4"/>
        </w:trPr>
        <w:tc>
          <w:tcPr>
            <w:tcW w:w="2060" w:type="dxa"/>
            <w:vAlign w:val="bottom"/>
          </w:tcPr>
          <w:p>
            <w:pPr>
              <w:spacing w:after="0"/>
              <w:rPr>
                <w:sz w:val="20"/>
                <w:szCs w:val="20"/>
                <w:color w:val="auto"/>
              </w:rPr>
            </w:pPr>
            <w:r>
              <w:rPr>
                <w:rFonts w:ascii="Arial" w:cs="Arial" w:eastAsia="Arial" w:hAnsi="Arial"/>
                <w:sz w:val="14"/>
                <w:szCs w:val="14"/>
                <w:color w:val="auto"/>
              </w:rPr>
              <w:t>Net sales</w:t>
            </w:r>
          </w:p>
        </w:tc>
        <w:tc>
          <w:tcPr>
            <w:tcW w:w="80" w:type="dxa"/>
            <w:vAlign w:val="bottom"/>
          </w:tcPr>
          <w:p>
            <w:pPr>
              <w:spacing w:after="0"/>
              <w:rPr>
                <w:sz w:val="24"/>
                <w:szCs w:val="24"/>
                <w:color w:val="auto"/>
              </w:rPr>
            </w:pP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$ 93,861</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$ 58,512</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$35,349</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60.4%</w:t>
            </w:r>
          </w:p>
        </w:tc>
      </w:tr>
      <w:tr>
        <w:trPr>
          <w:trHeight w:val="338"/>
        </w:trPr>
        <w:tc>
          <w:tcPr>
            <w:tcW w:w="21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15,878</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10,965</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4,913</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44.8%</w:t>
            </w:r>
          </w:p>
        </w:tc>
      </w:tr>
      <w:tr>
        <w:trPr>
          <w:trHeight w:val="338"/>
        </w:trPr>
        <w:tc>
          <w:tcPr>
            <w:tcW w:w="2140" w:type="dxa"/>
            <w:vAlign w:val="bottom"/>
            <w:gridSpan w:val="2"/>
          </w:tcPr>
          <w:p>
            <w:pPr>
              <w:spacing w:after="0"/>
              <w:rPr>
                <w:sz w:val="20"/>
                <w:szCs w:val="20"/>
                <w:color w:val="auto"/>
              </w:rPr>
            </w:pPr>
            <w:r>
              <w:rPr>
                <w:rFonts w:ascii="Arial" w:cs="Arial" w:eastAsia="Arial" w:hAnsi="Arial"/>
                <w:sz w:val="14"/>
                <w:szCs w:val="14"/>
                <w:color w:val="auto"/>
              </w:rPr>
              <w:t>Operating income</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3,600</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1,489</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2,111</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141.8%</w:t>
            </w:r>
          </w:p>
        </w:tc>
      </w:tr>
      <w:tr>
        <w:trPr>
          <w:trHeight w:val="469"/>
        </w:trPr>
        <w:tc>
          <w:tcPr>
            <w:tcW w:w="2140" w:type="dxa"/>
            <w:vAlign w:val="bottom"/>
            <w:gridSpan w:val="2"/>
          </w:tcPr>
          <w:p>
            <w:pPr>
              <w:spacing w:after="0"/>
              <w:rPr>
                <w:sz w:val="20"/>
                <w:szCs w:val="20"/>
                <w:color w:val="auto"/>
              </w:rPr>
            </w:pPr>
            <w:r>
              <w:rPr>
                <w:rFonts w:ascii="Arial" w:cs="Arial" w:eastAsia="Arial" w:hAnsi="Arial"/>
                <w:sz w:val="14"/>
                <w:szCs w:val="14"/>
                <w:color w:val="auto"/>
              </w:rPr>
              <w:t>Other income (expense)</w:t>
            </w:r>
            <w:r>
              <w:rPr>
                <w:rFonts w:ascii="Arial" w:cs="Arial" w:eastAsia="Arial" w:hAnsi="Arial"/>
                <w:sz w:val="22"/>
                <w:szCs w:val="22"/>
                <w:color w:val="auto"/>
                <w:vertAlign w:val="superscript"/>
              </w:rPr>
              <w:t>1</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703</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(197)</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900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47"/>
        </w:trPr>
        <w:tc>
          <w:tcPr>
            <w:tcW w:w="2140" w:type="dxa"/>
            <w:vAlign w:val="bottom"/>
            <w:gridSpan w:val="2"/>
          </w:tcPr>
          <w:p>
            <w:pPr>
              <w:spacing w:after="0"/>
              <w:rPr>
                <w:sz w:val="20"/>
                <w:szCs w:val="20"/>
                <w:color w:val="auto"/>
              </w:rPr>
            </w:pPr>
            <w:r>
              <w:rPr>
                <w:rFonts w:ascii="Arial" w:cs="Arial" w:eastAsia="Arial" w:hAnsi="Arial"/>
                <w:sz w:val="14"/>
                <w:szCs w:val="14"/>
                <w:color w:val="auto"/>
              </w:rPr>
              <w:t>Income (loss) before income tax</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2,746</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(524)</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3,270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338"/>
        </w:trPr>
        <w:tc>
          <w:tcPr>
            <w:tcW w:w="2140" w:type="dxa"/>
            <w:vAlign w:val="bottom"/>
            <w:gridSpan w:val="2"/>
          </w:tcPr>
          <w:p>
            <w:pPr>
              <w:spacing w:after="0"/>
              <w:rPr>
                <w:sz w:val="20"/>
                <w:szCs w:val="20"/>
                <w:color w:val="auto"/>
              </w:rPr>
            </w:pPr>
            <w:r>
              <w:rPr>
                <w:rFonts w:ascii="Arial" w:cs="Arial" w:eastAsia="Arial" w:hAnsi="Arial"/>
                <w:sz w:val="14"/>
                <w:szCs w:val="14"/>
                <w:color w:val="auto"/>
              </w:rPr>
              <w:t>Income tax expense (benefit)</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853</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(482)</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1,335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338"/>
        </w:trPr>
        <w:tc>
          <w:tcPr>
            <w:tcW w:w="21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1900" w:type="dxa"/>
            <w:vAlign w:val="bottom"/>
            <w:gridSpan w:val="3"/>
          </w:tcPr>
          <w:p>
            <w:pPr>
              <w:jc w:val="right"/>
              <w:ind w:right="180"/>
              <w:spacing w:after="0"/>
              <w:rPr>
                <w:sz w:val="20"/>
                <w:szCs w:val="20"/>
                <w:color w:val="auto"/>
              </w:rPr>
            </w:pPr>
            <w:r>
              <w:rPr>
                <w:rFonts w:ascii="Arial" w:cs="Arial" w:eastAsia="Arial" w:hAnsi="Arial"/>
                <w:sz w:val="14"/>
                <w:szCs w:val="14"/>
                <w:color w:val="auto"/>
              </w:rPr>
              <w:t>$1,893</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$(42)</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$1,935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n/a</w:t>
            </w: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2"/>
          <w:szCs w:val="12"/>
          <w:color w:val="auto"/>
        </w:rPr>
        <w:t>Other income (expense) was $409,000 in the third quarter of 2006 compared to other expense of ($273,000) in the third quarter of 2005. $432,000 of third quarter 2006 income was the result of the</w:t>
      </w:r>
    </w:p>
    <w:p>
      <w:pPr>
        <w:spacing w:after="0" w:line="35" w:lineRule="exact"/>
        <w:rPr>
          <w:sz w:val="20"/>
          <w:szCs w:val="20"/>
          <w:color w:val="auto"/>
        </w:rPr>
      </w:pPr>
    </w:p>
    <w:p>
      <w:pPr>
        <w:ind w:left="540"/>
        <w:spacing w:after="0" w:line="299" w:lineRule="auto"/>
        <w:rPr>
          <w:sz w:val="20"/>
          <w:szCs w:val="20"/>
          <w:color w:val="auto"/>
        </w:rPr>
      </w:pPr>
      <w:r>
        <w:rPr>
          <w:rFonts w:ascii="Arial" w:cs="Arial" w:eastAsia="Arial" w:hAnsi="Arial"/>
          <w:sz w:val="12"/>
          <w:szCs w:val="12"/>
          <w:color w:val="auto"/>
        </w:rPr>
        <w:t>exercise of 100,600 warrants issued in December 2001 offset by other expenses of $23,000. Other income for the nine months ended September 30, 2006 was $703,000 compared to other expense of ($197,000) in 2005. $727,000 of nine month 2006 income was the result of the exercise of 348,567 warrants issued in December 2001 offset by $24,000 of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Our backlog as of September 30, 2006 was $50.1 million compared to $28.9 million as of December 31, 2005.</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President, Rick Blum stated "We continue to be pleased with our 2006 results. Although our margins as a percentage of sales are lower than prior periods, the change is due primarily to a changing product mix and the negative impact of one large underperforming project which reduced our overall margins by approximately one percentage point for both the quarter and the nine month period. Despite these factors, our gross profits have increased significantly."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Chairman and CEO, Phillip DeZwirek commented "Our order flow this year has remained consistently strong with bookings through October of over $126 million compared to $69.5 million through October of 2005. We anticipate that the fourth quarter will reflect this continuing upward trend in revenues and profits."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CECO ENVIRONMENTAL</w:t>
      </w:r>
    </w:p>
    <w:p>
      <w:pPr>
        <w:sectPr>
          <w:pgSz w:w="11900" w:h="16838" w:orient="portrait"/>
          <w:cols w:equalWidth="0" w:num="1">
            <w:col w:w="11420"/>
          </w:cols>
          <w:pgMar w:left="240" w:top="112" w:right="239" w:bottom="0" w:gutter="0" w:footer="0" w:header="0"/>
        </w:sectPr>
      </w:pPr>
    </w:p>
    <w:bookmarkStart w:id="4" w:name="page5"/>
    <w:bookmarkEnd w:id="4"/>
    <w:p>
      <w:pPr>
        <w:jc w:val="both"/>
        <w:spacing w:after="0" w:line="235" w:lineRule="auto"/>
        <w:rPr>
          <w:sz w:val="20"/>
          <w:szCs w:val="20"/>
          <w:color w:val="auto"/>
        </w:rPr>
      </w:pPr>
      <w:r>
        <w:rPr>
          <w:rFonts w:ascii="Arial" w:cs="Arial" w:eastAsia="Arial" w:hAnsi="Arial"/>
          <w:sz w:val="22"/>
          <w:szCs w:val="22"/>
          <w:color w:val="auto"/>
        </w:rPr>
        <w:t>CECO Environmental Corp. is North America's largest independent air pollution control company. Through its seven subsidiaries -- Busch, CECOaire, CECO Filters, CECO Abatement Systems, kbd/Technic, Kirk &amp; Blum and H. M. White, Inc. --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semiconductor, chemical, cement, metalworking, glass, foundry and virtually all-industrial process industries.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CECO Environmental please visit the company's website at http://www.cecoenviro.com/.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Phillip DeZwirek, CECO Environmental Corp.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Email: investors@cecoenviro.com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1-800-606-CECO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CECO Environmental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gridSpan w:val="7"/>
            <w:vMerge w:val="restart"/>
          </w:tcPr>
          <w:p>
            <w:pPr>
              <w:jc w:val="right"/>
              <w:ind w:right="68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2800" w:type="dxa"/>
            <w:vAlign w:val="bottom"/>
            <w:gridSpan w:val="3"/>
          </w:tcPr>
          <w:p>
            <w:pPr>
              <w:ind w:left="240"/>
              <w:spacing w:after="0"/>
              <w:rPr>
                <w:sz w:val="20"/>
                <w:szCs w:val="20"/>
                <w:color w:val="auto"/>
              </w:rPr>
            </w:pPr>
            <w:r>
              <w:rPr>
                <w:rFonts w:ascii="Arial" w:cs="Arial" w:eastAsia="Arial" w:hAnsi="Arial"/>
                <w:sz w:val="14"/>
                <w:szCs w:val="14"/>
                <w:color w:val="auto"/>
              </w:rPr>
              <w:t>Nine months ended</w:t>
            </w: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8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3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color w:val="auto"/>
                <w:w w:val="92"/>
              </w:rPr>
              <w:t>30-Sept-06</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30-Sept-05</w:t>
            </w:r>
          </w:p>
        </w:tc>
        <w:tc>
          <w:tcPr>
            <w:tcW w:w="200" w:type="dxa"/>
            <w:vAlign w:val="bottom"/>
          </w:tcPr>
          <w:p>
            <w:pPr>
              <w:spacing w:after="0"/>
              <w:rPr>
                <w:sz w:val="23"/>
                <w:szCs w:val="23"/>
                <w:color w:val="auto"/>
              </w:rPr>
            </w:pPr>
          </w:p>
        </w:tc>
        <w:tc>
          <w:tcPr>
            <w:tcW w:w="2800" w:type="dxa"/>
            <w:vAlign w:val="bottom"/>
            <w:gridSpan w:val="3"/>
          </w:tcPr>
          <w:p>
            <w:pPr>
              <w:spacing w:after="0"/>
              <w:rPr>
                <w:sz w:val="20"/>
                <w:szCs w:val="20"/>
                <w:color w:val="auto"/>
              </w:rPr>
            </w:pPr>
            <w:r>
              <w:rPr>
                <w:rFonts w:ascii="Arial" w:cs="Arial" w:eastAsia="Arial" w:hAnsi="Arial"/>
                <w:sz w:val="14"/>
                <w:szCs w:val="14"/>
                <w:color w:val="auto"/>
              </w:rPr>
              <w:t>30-Sept-06</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30-Sept-05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000" w:type="dxa"/>
            <w:vAlign w:val="bottom"/>
          </w:tcPr>
          <w:p>
            <w:pPr>
              <w:spacing w:after="0"/>
              <w:rPr>
                <w:sz w:val="20"/>
                <w:szCs w:val="20"/>
                <w:color w:val="auto"/>
              </w:rPr>
            </w:pPr>
            <w:r>
              <w:rPr>
                <w:rFonts w:ascii="Arial" w:cs="Arial" w:eastAsia="Arial" w:hAnsi="Arial"/>
                <w:sz w:val="14"/>
                <w:szCs w:val="14"/>
                <w:color w:val="auto"/>
              </w:rPr>
              <w:t>Net sales</w:t>
            </w:r>
          </w:p>
        </w:tc>
        <w:tc>
          <w:tcPr>
            <w:tcW w:w="7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$37,734</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$23,442</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$93,861</w:t>
            </w:r>
          </w:p>
        </w:tc>
        <w:tc>
          <w:tcPr>
            <w:tcW w:w="212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$58,512</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Cost of sales</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31,592</w:t>
            </w:r>
          </w:p>
        </w:tc>
        <w:tc>
          <w:tcPr>
            <w:tcW w:w="260" w:type="dxa"/>
            <w:vAlign w:val="bottom"/>
          </w:tcPr>
          <w:p>
            <w:pPr>
              <w:spacing w:after="0"/>
              <w:rPr>
                <w:sz w:val="22"/>
                <w:szCs w:val="22"/>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18,918</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77,983</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47,547</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Gross profit</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6,142</w:t>
            </w:r>
          </w:p>
        </w:tc>
        <w:tc>
          <w:tcPr>
            <w:tcW w:w="260" w:type="dxa"/>
            <w:vAlign w:val="bottom"/>
          </w:tcPr>
          <w:p>
            <w:pPr>
              <w:spacing w:after="0"/>
              <w:rPr>
                <w:sz w:val="22"/>
                <w:szCs w:val="22"/>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4,524</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15,878</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10,965</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Selling and administrative</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4,185</w:t>
            </w:r>
          </w:p>
        </w:tc>
        <w:tc>
          <w:tcPr>
            <w:tcW w:w="260" w:type="dxa"/>
            <w:vAlign w:val="bottom"/>
          </w:tcPr>
          <w:p>
            <w:pPr>
              <w:spacing w:after="0"/>
              <w:rPr>
                <w:sz w:val="22"/>
                <w:szCs w:val="22"/>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2,974</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11,400</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8,600</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640" w:type="dxa"/>
            <w:vAlign w:val="bottom"/>
            <w:gridSpan w:val="4"/>
          </w:tcPr>
          <w:p>
            <w:pPr>
              <w:jc w:val="right"/>
              <w:ind w:right="260"/>
              <w:spacing w:after="0"/>
              <w:rPr>
                <w:sz w:val="20"/>
                <w:szCs w:val="20"/>
                <w:color w:val="auto"/>
              </w:rPr>
            </w:pPr>
            <w:r>
              <w:rPr>
                <w:rFonts w:ascii="Arial" w:cs="Arial" w:eastAsia="Arial" w:hAnsi="Arial"/>
                <w:sz w:val="14"/>
                <w:szCs w:val="14"/>
                <w:color w:val="auto"/>
              </w:rPr>
              <w:t>293</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293</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878</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Operating income</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1,664</w:t>
            </w:r>
          </w:p>
        </w:tc>
        <w:tc>
          <w:tcPr>
            <w:tcW w:w="260" w:type="dxa"/>
            <w:vAlign w:val="bottom"/>
          </w:tcPr>
          <w:p>
            <w:pPr>
              <w:spacing w:after="0"/>
              <w:rPr>
                <w:sz w:val="22"/>
                <w:szCs w:val="22"/>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1,257</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3,600</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Other income (expense)</w:t>
            </w:r>
          </w:p>
        </w:tc>
        <w:tc>
          <w:tcPr>
            <w:tcW w:w="1640" w:type="dxa"/>
            <w:vAlign w:val="bottom"/>
            <w:gridSpan w:val="4"/>
          </w:tcPr>
          <w:p>
            <w:pPr>
              <w:jc w:val="right"/>
              <w:ind w:right="260"/>
              <w:spacing w:after="0"/>
              <w:rPr>
                <w:sz w:val="20"/>
                <w:szCs w:val="20"/>
                <w:color w:val="auto"/>
              </w:rPr>
            </w:pPr>
            <w:r>
              <w:rPr>
                <w:rFonts w:ascii="Arial" w:cs="Arial" w:eastAsia="Arial" w:hAnsi="Arial"/>
                <w:sz w:val="14"/>
                <w:szCs w:val="14"/>
                <w:color w:val="auto"/>
              </w:rPr>
              <w:t>409</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(273)</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703</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Interest expense</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(460)</w:t>
            </w:r>
          </w:p>
        </w:tc>
        <w:tc>
          <w:tcPr>
            <w:tcW w:w="260" w:type="dxa"/>
            <w:vAlign w:val="bottom"/>
          </w:tcPr>
          <w:p>
            <w:pPr>
              <w:spacing w:after="0"/>
              <w:rPr>
                <w:sz w:val="22"/>
                <w:szCs w:val="22"/>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(594)</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(1,557)</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(1,816)</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1,613</w:t>
            </w:r>
          </w:p>
        </w:tc>
        <w:tc>
          <w:tcPr>
            <w:tcW w:w="260" w:type="dxa"/>
            <w:vAlign w:val="bottom"/>
          </w:tcPr>
          <w:p>
            <w:pPr>
              <w:spacing w:after="0"/>
              <w:rPr>
                <w:sz w:val="22"/>
                <w:szCs w:val="22"/>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390</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2,746</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1640" w:type="dxa"/>
            <w:vAlign w:val="bottom"/>
            <w:gridSpan w:val="4"/>
          </w:tcPr>
          <w:p>
            <w:pPr>
              <w:jc w:val="right"/>
              <w:ind w:right="260"/>
              <w:spacing w:after="0"/>
              <w:rPr>
                <w:sz w:val="20"/>
                <w:szCs w:val="20"/>
                <w:color w:val="auto"/>
              </w:rPr>
            </w:pPr>
            <w:r>
              <w:rPr>
                <w:rFonts w:ascii="Arial" w:cs="Arial" w:eastAsia="Arial" w:hAnsi="Arial"/>
                <w:sz w:val="14"/>
                <w:szCs w:val="14"/>
                <w:color w:val="auto"/>
              </w:rPr>
              <w:t>546</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35</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853</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Net income (loss)</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$1,067</w:t>
            </w:r>
          </w:p>
        </w:tc>
        <w:tc>
          <w:tcPr>
            <w:tcW w:w="260" w:type="dxa"/>
            <w:vAlign w:val="bottom"/>
          </w:tcPr>
          <w:p>
            <w:pPr>
              <w:spacing w:after="0"/>
              <w:rPr>
                <w:sz w:val="22"/>
                <w:szCs w:val="22"/>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$355</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$1,893</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0"/>
                <w:szCs w:val="20"/>
                <w:color w:val="auto"/>
              </w:rPr>
            </w:pPr>
            <w:r>
              <w:rPr>
                <w:rFonts w:ascii="Arial" w:cs="Arial" w:eastAsia="Arial" w:hAnsi="Arial"/>
                <w:sz w:val="14"/>
                <w:szCs w:val="14"/>
                <w:color w:val="auto"/>
              </w:rPr>
              <w:t>Per share data:</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00" w:type="dxa"/>
            <w:vAlign w:val="bottom"/>
          </w:tcPr>
          <w:p>
            <w:pPr>
              <w:spacing w:after="0"/>
              <w:rPr>
                <w:sz w:val="20"/>
                <w:szCs w:val="20"/>
                <w:color w:val="auto"/>
              </w:rPr>
            </w:pPr>
            <w:r>
              <w:rPr>
                <w:rFonts w:ascii="Arial" w:cs="Arial" w:eastAsia="Arial" w:hAnsi="Arial"/>
                <w:sz w:val="14"/>
                <w:szCs w:val="14"/>
                <w:color w:val="auto"/>
              </w:rPr>
              <w:t>Basic net income (loss)</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$.09</w:t>
            </w:r>
          </w:p>
        </w:tc>
        <w:tc>
          <w:tcPr>
            <w:tcW w:w="260" w:type="dxa"/>
            <w:vAlign w:val="bottom"/>
          </w:tcPr>
          <w:p>
            <w:pPr>
              <w:spacing w:after="0"/>
              <w:rPr>
                <w:sz w:val="24"/>
                <w:szCs w:val="24"/>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$.04</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$.17</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 .00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tcPr>
          <w:p>
            <w:pPr>
              <w:spacing w:after="0"/>
              <w:rPr>
                <w:sz w:val="20"/>
                <w:szCs w:val="20"/>
                <w:color w:val="auto"/>
              </w:rPr>
            </w:pPr>
            <w:r>
              <w:rPr>
                <w:rFonts w:ascii="Arial" w:cs="Arial" w:eastAsia="Arial" w:hAnsi="Arial"/>
                <w:sz w:val="14"/>
                <w:szCs w:val="14"/>
                <w:color w:val="auto"/>
              </w:rPr>
              <w:t>Diluted net income (loss)</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20"/>
                <w:szCs w:val="20"/>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color w:val="auto"/>
              </w:rPr>
              <w:t>$.03</w:t>
            </w:r>
          </w:p>
        </w:tc>
        <w:tc>
          <w:tcPr>
            <w:tcW w:w="3000" w:type="dxa"/>
            <w:vAlign w:val="bottom"/>
            <w:gridSpan w:val="4"/>
          </w:tcPr>
          <w:p>
            <w:pPr>
              <w:jc w:val="right"/>
              <w:ind w:right="2120"/>
              <w:spacing w:after="0"/>
              <w:rPr>
                <w:sz w:val="20"/>
                <w:szCs w:val="20"/>
                <w:color w:val="auto"/>
              </w:rPr>
            </w:pPr>
            <w:r>
              <w:rPr>
                <w:rFonts w:ascii="Arial" w:cs="Arial" w:eastAsia="Arial" w:hAnsi="Arial"/>
                <w:sz w:val="14"/>
                <w:szCs w:val="14"/>
                <w:color w:val="auto"/>
              </w:rPr>
              <w:t>$.15</w:t>
            </w: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 .00</w:t>
            </w:r>
          </w:p>
        </w:tc>
        <w:tc>
          <w:tcPr>
            <w:tcW w:w="0" w:type="dxa"/>
            <w:vAlign w:val="bottom"/>
          </w:tcPr>
          <w:p>
            <w:pPr>
              <w:spacing w:after="0"/>
              <w:rPr>
                <w:sz w:val="1"/>
                <w:szCs w:val="1"/>
                <w:color w:val="auto"/>
              </w:rPr>
            </w:pPr>
          </w:p>
        </w:tc>
      </w:tr>
      <w:tr>
        <w:trPr>
          <w:trHeight w:val="398"/>
        </w:trPr>
        <w:tc>
          <w:tcPr>
            <w:tcW w:w="3000" w:type="dxa"/>
            <w:vAlign w:val="bottom"/>
          </w:tcPr>
          <w:p>
            <w:pPr>
              <w:spacing w:after="0"/>
              <w:rPr>
                <w:sz w:val="20"/>
                <w:szCs w:val="20"/>
                <w:color w:val="auto"/>
              </w:rPr>
            </w:pPr>
            <w:r>
              <w:rPr>
                <w:rFonts w:ascii="Arial" w:cs="Arial" w:eastAsia="Arial" w:hAnsi="Arial"/>
                <w:sz w:val="14"/>
                <w:szCs w:val="14"/>
                <w:color w:val="auto"/>
              </w:rPr>
              <w:t>Weighted average shares outstanding:</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0" w:type="dxa"/>
            <w:vAlign w:val="bottom"/>
          </w:tcPr>
          <w:p>
            <w:pPr>
              <w:spacing w:after="0"/>
              <w:rPr>
                <w:sz w:val="20"/>
                <w:szCs w:val="20"/>
                <w:color w:val="auto"/>
              </w:rPr>
            </w:pPr>
            <w:r>
              <w:rPr>
                <w:rFonts w:ascii="Arial" w:cs="Arial" w:eastAsia="Arial" w:hAnsi="Arial"/>
                <w:sz w:val="14"/>
                <w:szCs w:val="14"/>
                <w:color w:val="auto"/>
              </w:rPr>
              <w:t>Basic</w:t>
            </w:r>
          </w:p>
        </w:tc>
        <w:tc>
          <w:tcPr>
            <w:tcW w:w="1380" w:type="dxa"/>
            <w:vAlign w:val="bottom"/>
            <w:gridSpan w:val="3"/>
            <w:vMerge w:val="restart"/>
          </w:tcPr>
          <w:p>
            <w:pPr>
              <w:jc w:val="right"/>
              <w:spacing w:after="0"/>
              <w:rPr>
                <w:sz w:val="20"/>
                <w:szCs w:val="20"/>
                <w:color w:val="auto"/>
              </w:rPr>
            </w:pPr>
            <w:r>
              <w:rPr>
                <w:rFonts w:ascii="Arial" w:cs="Arial" w:eastAsia="Arial" w:hAnsi="Arial"/>
                <w:sz w:val="14"/>
                <w:szCs w:val="14"/>
                <w:color w:val="auto"/>
              </w:rPr>
              <w:t>11,412,369</w:t>
            </w:r>
          </w:p>
        </w:tc>
        <w:tc>
          <w:tcPr>
            <w:tcW w:w="260" w:type="dxa"/>
            <w:vAlign w:val="bottom"/>
          </w:tcPr>
          <w:p>
            <w:pPr>
              <w:spacing w:after="0"/>
              <w:rPr>
                <w:sz w:val="24"/>
                <w:szCs w:val="24"/>
                <w:color w:val="auto"/>
              </w:rPr>
            </w:pPr>
          </w:p>
        </w:tc>
        <w:tc>
          <w:tcPr>
            <w:tcW w:w="940" w:type="dxa"/>
            <w:vAlign w:val="bottom"/>
            <w:gridSpan w:val="3"/>
            <w:vMerge w:val="restart"/>
          </w:tcPr>
          <w:p>
            <w:pPr>
              <w:jc w:val="right"/>
              <w:spacing w:after="0"/>
              <w:rPr>
                <w:sz w:val="20"/>
                <w:szCs w:val="20"/>
                <w:color w:val="auto"/>
              </w:rPr>
            </w:pPr>
            <w:r>
              <w:rPr>
                <w:rFonts w:ascii="Arial" w:cs="Arial" w:eastAsia="Arial" w:hAnsi="Arial"/>
                <w:sz w:val="14"/>
                <w:szCs w:val="14"/>
                <w:color w:val="auto"/>
              </w:rPr>
              <w:t>9,993,260</w:t>
            </w:r>
          </w:p>
        </w:tc>
        <w:tc>
          <w:tcPr>
            <w:tcW w:w="220" w:type="dxa"/>
            <w:vAlign w:val="bottom"/>
          </w:tcPr>
          <w:p>
            <w:pPr>
              <w:spacing w:after="0"/>
              <w:rPr>
                <w:sz w:val="24"/>
                <w:szCs w:val="24"/>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color w:val="auto"/>
              </w:rPr>
              <w:t>11,185,464</w:t>
            </w:r>
          </w:p>
        </w:tc>
        <w:tc>
          <w:tcPr>
            <w:tcW w:w="2120" w:type="dxa"/>
            <w:vAlign w:val="bottom"/>
          </w:tcPr>
          <w:p>
            <w:pPr>
              <w:spacing w:after="0"/>
              <w:rPr>
                <w:sz w:val="24"/>
                <w:szCs w:val="24"/>
                <w:color w:val="auto"/>
              </w:rPr>
            </w:pPr>
          </w:p>
        </w:tc>
        <w:tc>
          <w:tcPr>
            <w:tcW w:w="2060" w:type="dxa"/>
            <w:vAlign w:val="bottom"/>
            <w:gridSpan w:val="3"/>
            <w:vMerge w:val="restart"/>
          </w:tcPr>
          <w:p>
            <w:pPr>
              <w:jc w:val="right"/>
              <w:spacing w:after="0"/>
              <w:rPr>
                <w:sz w:val="20"/>
                <w:szCs w:val="20"/>
                <w:color w:val="auto"/>
              </w:rPr>
            </w:pPr>
            <w:r>
              <w:rPr>
                <w:rFonts w:ascii="Arial" w:cs="Arial" w:eastAsia="Arial" w:hAnsi="Arial"/>
                <w:sz w:val="14"/>
                <w:szCs w:val="14"/>
                <w:color w:val="auto"/>
              </w:rPr>
              <w:t>9,993,260</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1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4"/>
                <w:szCs w:val="14"/>
                <w:color w:val="auto"/>
              </w:rPr>
              <w:t>Diluted</w:t>
            </w: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13,033,824</w:t>
            </w:r>
          </w:p>
        </w:tc>
        <w:tc>
          <w:tcPr>
            <w:tcW w:w="26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11,169,034</w:t>
            </w:r>
          </w:p>
        </w:tc>
        <w:tc>
          <w:tcPr>
            <w:tcW w:w="22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12,778,806</w:t>
            </w:r>
          </w:p>
        </w:tc>
        <w:tc>
          <w:tcPr>
            <w:tcW w:w="2120" w:type="dxa"/>
            <w:vAlign w:val="bottom"/>
          </w:tcPr>
          <w:p>
            <w:pPr>
              <w:spacing w:after="0"/>
              <w:rPr>
                <w:sz w:val="22"/>
                <w:szCs w:val="22"/>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9,993,260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w:t>
      </w:r>
    </w:p>
    <w:p>
      <w:pPr>
        <w:sectPr>
          <w:pgSz w:w="11900" w:h="16838" w:orient="portrait"/>
          <w:cols w:equalWidth="0" w:num="1">
            <w:col w:w="11420"/>
          </w:cols>
          <w:pgMar w:left="240" w:top="118" w:right="239" w:bottom="852"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w:t>
      </w:r>
    </w:p>
    <w:sectPr>
      <w:pgSz w:w="11900" w:h="16838" w:orient="portrait"/>
      <w:cols w:equalWidth="0" w:num="1">
        <w:col w:w="10219"/>
      </w:cols>
      <w:pgMar w:left="240" w:top="1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2020-02-13T15:34:20Z</dcterms:created>
  <dcterms:modified xsi:type="dcterms:W3CDTF">2020-02-13T15:34:20Z</dcterms:modified>
</cp:coreProperties>
</file>