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SCHEDULE 13G</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(Rule 13d-102)</w:t>
      </w:r>
    </w:p>
    <w:p>
      <w:pPr>
        <w:spacing w:after="0" w:line="20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Information Statement Pursuant to Rules 13d-1</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184"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CECO Environmental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Common Stock, $0.01 par value</w:t>
      </w:r>
    </w:p>
    <w:p>
      <w:pPr>
        <w:spacing w:after="0" w:line="54"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125141101</w:t>
      </w:r>
    </w:p>
    <w:p>
      <w:pPr>
        <w:spacing w:after="0" w:line="54"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August 21, 2019</w:t>
      </w:r>
    </w:p>
    <w:p>
      <w:pPr>
        <w:spacing w:after="0" w:line="4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Date of Event Which Requires Filing of the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63" w:lineRule="exact"/>
        <w:rPr>
          <w:sz w:val="24"/>
          <w:szCs w:val="24"/>
          <w:color w:val="auto"/>
        </w:rPr>
      </w:pPr>
    </w:p>
    <w:p>
      <w:pPr>
        <w:ind w:left="1140" w:hanging="637"/>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117"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Rule 13d-1(c)</w:t>
      </w:r>
    </w:p>
    <w:p>
      <w:pPr>
        <w:spacing w:after="0" w:line="117" w:lineRule="exact"/>
        <w:rPr>
          <w:rFonts w:ascii="Arial" w:cs="Arial" w:eastAsia="Arial" w:hAnsi="Arial"/>
          <w:sz w:val="18"/>
          <w:szCs w:val="18"/>
          <w:color w:val="auto"/>
        </w:rPr>
      </w:pPr>
    </w:p>
    <w:p>
      <w:pPr>
        <w:ind w:left="1140" w:hanging="637"/>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13d-1(d)</w:t>
      </w:r>
    </w:p>
    <w:p>
      <w:pPr>
        <w:spacing w:after="0" w:line="279"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154305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00"/>
          </w:cols>
          <w:pgMar w:left="240" w:top="436" w:right="359" w:bottom="1440" w:gutter="0" w:footer="0" w:header="0"/>
        </w:sectPr>
      </w:pPr>
    </w:p>
    <w:bookmarkStart w:id="1" w:name="page2"/>
    <w:bookmarkEnd w:id="1"/>
    <w:p>
      <w:pPr>
        <w:spacing w:after="0"/>
        <w:tabs>
          <w:tab w:leader="none" w:pos="5160" w:val="left"/>
        </w:tabs>
        <w:rPr>
          <w:sz w:val="20"/>
          <w:szCs w:val="20"/>
          <w:color w:val="auto"/>
        </w:rPr>
      </w:pPr>
      <w:r>
        <w:rPr>
          <w:rFonts w:ascii="Arial" w:cs="Arial" w:eastAsia="Arial" w:hAnsi="Arial"/>
          <w:sz w:val="18"/>
          <w:szCs w:val="18"/>
          <w:color w:val="auto"/>
        </w:rPr>
        <w:t>CUSIP No. 125141101</w:t>
      </w:r>
      <w:r>
        <w:rPr>
          <w:sz w:val="20"/>
          <w:szCs w:val="20"/>
          <w:color w:val="auto"/>
        </w:rPr>
        <w:tab/>
      </w:r>
      <w:r>
        <w:rPr>
          <w:rFonts w:ascii="Arial" w:cs="Arial" w:eastAsia="Arial" w:hAnsi="Arial"/>
          <w:sz w:val="15"/>
          <w:szCs w:val="15"/>
          <w:color w:val="auto"/>
        </w:rPr>
        <w:t>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48895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00" w:hanging="620"/>
        <w:spacing w:after="0"/>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3" w:lineRule="exact"/>
        <w:rPr>
          <w:rFonts w:ascii="Arial" w:cs="Arial" w:eastAsia="Arial" w:hAnsi="Arial"/>
          <w:sz w:val="18"/>
          <w:szCs w:val="18"/>
          <w:color w:val="auto"/>
        </w:rPr>
      </w:pPr>
    </w:p>
    <w:p>
      <w:pPr>
        <w:ind w:left="1000" w:right="6840"/>
        <w:spacing w:after="0" w:line="261" w:lineRule="auto"/>
        <w:rPr>
          <w:rFonts w:ascii="Arial" w:cs="Arial" w:eastAsia="Arial" w:hAnsi="Arial"/>
          <w:sz w:val="18"/>
          <w:szCs w:val="18"/>
          <w:color w:val="auto"/>
        </w:rPr>
      </w:pPr>
      <w:r>
        <w:rPr>
          <w:rFonts w:ascii="Arial" w:cs="Arial" w:eastAsia="Arial" w:hAnsi="Arial"/>
          <w:sz w:val="18"/>
          <w:szCs w:val="18"/>
          <w:color w:val="auto"/>
        </w:rPr>
        <w:t>S.S. or I.R.S. Identification No. of Above Person Trigran Investments, L.P.</w:t>
      </w:r>
    </w:p>
    <w:p>
      <w:pPr>
        <w:spacing w:after="0" w:line="399" w:lineRule="exact"/>
        <w:rPr>
          <w:rFonts w:ascii="Arial" w:cs="Arial" w:eastAsia="Arial" w:hAnsi="Arial"/>
          <w:sz w:val="18"/>
          <w:szCs w:val="18"/>
          <w:color w:val="auto"/>
        </w:rPr>
      </w:pPr>
    </w:p>
    <w:p>
      <w:pPr>
        <w:ind w:left="1000" w:hanging="620"/>
        <w:spacing w:after="0"/>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-361950</wp:posOffset>
            </wp:positionV>
            <wp:extent cx="66122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97" w:lineRule="exact"/>
        <w:rPr>
          <w:sz w:val="20"/>
          <w:szCs w:val="20"/>
          <w:color w:val="auto"/>
        </w:rPr>
      </w:pPr>
    </w:p>
    <w:p>
      <w:pPr>
        <w:ind w:left="1640" w:hanging="639"/>
        <w:spacing w:after="0"/>
        <w:tabs>
          <w:tab w:leader="none" w:pos="1640" w:val="left"/>
        </w:tabs>
        <w:numPr>
          <w:ilvl w:val="1"/>
          <w:numId w:val="3"/>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1640" w:hanging="639"/>
        <w:spacing w:after="0"/>
        <w:tabs>
          <w:tab w:leader="none" w:pos="1640" w:val="left"/>
        </w:tabs>
        <w:numPr>
          <w:ilvl w:val="1"/>
          <w:numId w:val="3"/>
        </w:numPr>
        <w:rPr>
          <w:rFonts w:ascii="Arial" w:cs="Arial" w:eastAsia="Arial" w:hAnsi="Arial"/>
          <w:sz w:val="18"/>
          <w:szCs w:val="18"/>
          <w:color w:val="auto"/>
        </w:rPr>
      </w:pPr>
      <w:r>
        <w:rPr>
          <w:rFonts w:ascii="Arial" w:cs="Arial" w:eastAsia="Arial" w:hAnsi="Arial"/>
          <w:sz w:val="18"/>
          <w:szCs w:val="18"/>
          <w:color w:val="auto"/>
        </w:rPr>
        <w:t>x</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hanging="620"/>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right="7740" w:hanging="620"/>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Citizenship or Place of Organization Illinois company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2180" w:right="7840" w:hanging="571"/>
        <w:spacing w:after="0" w:line="277" w:lineRule="auto"/>
        <w:tabs>
          <w:tab w:leader="none" w:pos="2180" w:val="left"/>
        </w:tabs>
        <w:numPr>
          <w:ilvl w:val="2"/>
          <w:numId w:val="4"/>
        </w:numPr>
        <w:rPr>
          <w:rFonts w:ascii="Arial" w:cs="Arial" w:eastAsia="Arial" w:hAnsi="Arial"/>
          <w:sz w:val="18"/>
          <w:szCs w:val="18"/>
          <w:color w:val="auto"/>
        </w:rPr>
      </w:pPr>
      <w:r>
        <w:rPr>
          <w:rFonts w:ascii="Arial" w:cs="Arial" w:eastAsia="Arial" w:hAnsi="Arial"/>
          <w:sz w:val="18"/>
          <w:szCs w:val="18"/>
          <w:color w:val="auto"/>
        </w:rPr>
        <w:t>Sole Voting Power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1347470</wp:posOffset>
            </wp:positionH>
            <wp:positionV relativeFrom="paragraph">
              <wp:posOffset>14605</wp:posOffset>
            </wp:positionV>
            <wp:extent cx="58661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866130"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-542290</wp:posOffset>
            </wp:positionV>
            <wp:extent cx="66122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-1090930</wp:posOffset>
            </wp:positionV>
            <wp:extent cx="66122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1004570</wp:posOffset>
            </wp:positionH>
            <wp:positionV relativeFrom="paragraph">
              <wp:posOffset>-1503045</wp:posOffset>
            </wp:positionV>
            <wp:extent cx="62090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09030" cy="8890"/>
                    </a:xfrm>
                    <a:prstGeom prst="rect">
                      <a:avLst/>
                    </a:prstGeom>
                    <a:noFill/>
                  </pic:spPr>
                </pic:pic>
              </a:graphicData>
            </a:graphic>
          </wp:anchor>
        </w:drawing>
        <w:drawing>
          <wp:anchor simplePos="0" relativeHeight="251657728" behindDoc="1" locked="0" layoutInCell="0" allowOverlap="1">
            <wp:simplePos x="0" y="0"/>
            <wp:positionH relativeFrom="column">
              <wp:posOffset>1004570</wp:posOffset>
            </wp:positionH>
            <wp:positionV relativeFrom="paragraph">
              <wp:posOffset>-1717040</wp:posOffset>
            </wp:positionV>
            <wp:extent cx="62090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09030" cy="8890"/>
                    </a:xfrm>
                    <a:prstGeom prst="rect">
                      <a:avLst/>
                    </a:prstGeom>
                    <a:noFill/>
                  </pic:spPr>
                </pic:pic>
              </a:graphicData>
            </a:graphic>
          </wp:anchor>
        </w:drawing>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Number of</w:t>
            </w:r>
          </w:p>
        </w:tc>
        <w:tc>
          <w:tcPr>
            <w:tcW w:w="880" w:type="dxa"/>
            <w:vAlign w:val="bottom"/>
            <w:vMerge w:val="restart"/>
          </w:tcPr>
          <w:p>
            <w:pPr>
              <w:jc w:val="right"/>
              <w:ind w:right="290"/>
              <w:spacing w:after="0"/>
              <w:rPr>
                <w:sz w:val="20"/>
                <w:szCs w:val="20"/>
                <w:color w:val="auto"/>
              </w:rPr>
            </w:pPr>
            <w:r>
              <w:rPr>
                <w:rFonts w:ascii="Arial" w:cs="Arial" w:eastAsia="Arial" w:hAnsi="Arial"/>
                <w:sz w:val="18"/>
                <w:szCs w:val="18"/>
                <w:color w:val="auto"/>
              </w:rPr>
              <w:t>6.</w:t>
            </w:r>
          </w:p>
        </w:tc>
        <w:tc>
          <w:tcPr>
            <w:tcW w:w="924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8"/>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880" w:type="dxa"/>
            <w:vAlign w:val="bottom"/>
            <w:vMerge w:val="continue"/>
          </w:tcPr>
          <w:p>
            <w:pPr>
              <w:spacing w:after="0"/>
              <w:rPr>
                <w:sz w:val="9"/>
                <w:szCs w:val="9"/>
                <w:color w:val="auto"/>
              </w:rPr>
            </w:pPr>
          </w:p>
        </w:tc>
        <w:tc>
          <w:tcPr>
            <w:tcW w:w="9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4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9240" w:type="dxa"/>
            <w:vAlign w:val="bottom"/>
            <w:vMerge w:val="restart"/>
          </w:tcPr>
          <w:p>
            <w:pPr>
              <w:ind w:left="60"/>
              <w:spacing w:after="0"/>
              <w:rPr>
                <w:sz w:val="20"/>
                <w:szCs w:val="20"/>
                <w:color w:val="auto"/>
              </w:rPr>
            </w:pPr>
            <w:r>
              <w:rPr>
                <w:rFonts w:ascii="Arial" w:cs="Arial" w:eastAsia="Arial" w:hAnsi="Arial"/>
                <w:sz w:val="18"/>
                <w:szCs w:val="18"/>
                <w:color w:val="auto"/>
              </w:rPr>
              <w:t>1,861,642 shares of common stock</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line="157" w:lineRule="exact"/>
              <w:rPr>
                <w:sz w:val="20"/>
                <w:szCs w:val="20"/>
                <w:color w:val="auto"/>
              </w:rPr>
            </w:pPr>
            <w:r>
              <w:rPr>
                <w:rFonts w:ascii="Arial" w:cs="Arial" w:eastAsia="Arial" w:hAnsi="Arial"/>
                <w:sz w:val="18"/>
                <w:szCs w:val="18"/>
                <w:color w:val="auto"/>
              </w:rPr>
              <w:t>Beneficially</w:t>
            </w:r>
          </w:p>
        </w:tc>
        <w:tc>
          <w:tcPr>
            <w:tcW w:w="880" w:type="dxa"/>
            <w:vAlign w:val="bottom"/>
          </w:tcPr>
          <w:p>
            <w:pPr>
              <w:spacing w:after="0"/>
              <w:rPr>
                <w:sz w:val="10"/>
                <w:szCs w:val="10"/>
                <w:color w:val="auto"/>
              </w:rPr>
            </w:pPr>
          </w:p>
        </w:tc>
        <w:tc>
          <w:tcPr>
            <w:tcW w:w="9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40" w:type="dxa"/>
            <w:vAlign w:val="bottom"/>
            <w:vMerge w:val="continue"/>
          </w:tcPr>
          <w:p>
            <w:pPr>
              <w:spacing w:after="0"/>
              <w:rPr>
                <w:sz w:val="4"/>
                <w:szCs w:val="4"/>
                <w:color w:val="auto"/>
              </w:rPr>
            </w:pPr>
          </w:p>
        </w:tc>
        <w:tc>
          <w:tcPr>
            <w:tcW w:w="880" w:type="dxa"/>
            <w:vAlign w:val="bottom"/>
          </w:tcPr>
          <w:p>
            <w:pPr>
              <w:spacing w:after="0"/>
              <w:rPr>
                <w:sz w:val="4"/>
                <w:szCs w:val="4"/>
                <w:color w:val="auto"/>
              </w:rPr>
            </w:pPr>
          </w:p>
        </w:tc>
        <w:tc>
          <w:tcPr>
            <w:tcW w:w="9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880" w:type="dxa"/>
            <w:vAlign w:val="bottom"/>
          </w:tcPr>
          <w:p>
            <w:pPr>
              <w:spacing w:after="0"/>
              <w:rPr>
                <w:sz w:val="20"/>
                <w:szCs w:val="20"/>
                <w:color w:val="auto"/>
              </w:rPr>
            </w:pPr>
          </w:p>
        </w:tc>
        <w:tc>
          <w:tcPr>
            <w:tcW w:w="9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880" w:type="dxa"/>
            <w:vAlign w:val="bottom"/>
            <w:vMerge w:val="restart"/>
          </w:tcPr>
          <w:p>
            <w:pPr>
              <w:jc w:val="right"/>
              <w:ind w:right="290"/>
              <w:spacing w:after="0"/>
              <w:rPr>
                <w:sz w:val="20"/>
                <w:szCs w:val="20"/>
                <w:color w:val="auto"/>
              </w:rPr>
            </w:pPr>
            <w:r>
              <w:rPr>
                <w:rFonts w:ascii="Arial" w:cs="Arial" w:eastAsia="Arial" w:hAnsi="Arial"/>
                <w:sz w:val="18"/>
                <w:szCs w:val="18"/>
                <w:color w:val="auto"/>
              </w:rPr>
              <w:t>7.</w:t>
            </w:r>
          </w:p>
        </w:tc>
        <w:tc>
          <w:tcPr>
            <w:tcW w:w="924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08"/>
        </w:trPr>
        <w:tc>
          <w:tcPr>
            <w:tcW w:w="124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880" w:type="dxa"/>
            <w:vAlign w:val="bottom"/>
            <w:vMerge w:val="continue"/>
          </w:tcPr>
          <w:p>
            <w:pPr>
              <w:spacing w:after="0"/>
              <w:rPr>
                <w:sz w:val="9"/>
                <w:szCs w:val="9"/>
                <w:color w:val="auto"/>
              </w:rPr>
            </w:pPr>
          </w:p>
        </w:tc>
        <w:tc>
          <w:tcPr>
            <w:tcW w:w="9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4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9240" w:type="dxa"/>
            <w:vAlign w:val="bottom"/>
            <w:vMerge w:val="restart"/>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line="157" w:lineRule="exact"/>
              <w:rPr>
                <w:sz w:val="20"/>
                <w:szCs w:val="20"/>
                <w:color w:val="auto"/>
              </w:rPr>
            </w:pPr>
            <w:r>
              <w:rPr>
                <w:rFonts w:ascii="Arial" w:cs="Arial" w:eastAsia="Arial" w:hAnsi="Arial"/>
                <w:sz w:val="18"/>
                <w:szCs w:val="18"/>
                <w:color w:val="auto"/>
              </w:rPr>
              <w:t>Person With</w:t>
            </w:r>
          </w:p>
        </w:tc>
        <w:tc>
          <w:tcPr>
            <w:tcW w:w="880" w:type="dxa"/>
            <w:vAlign w:val="bottom"/>
          </w:tcPr>
          <w:p>
            <w:pPr>
              <w:spacing w:after="0"/>
              <w:rPr>
                <w:sz w:val="10"/>
                <w:szCs w:val="10"/>
                <w:color w:val="auto"/>
              </w:rPr>
            </w:pPr>
          </w:p>
        </w:tc>
        <w:tc>
          <w:tcPr>
            <w:tcW w:w="9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40" w:type="dxa"/>
            <w:vAlign w:val="bottom"/>
            <w:vMerge w:val="continue"/>
          </w:tcPr>
          <w:p>
            <w:pPr>
              <w:spacing w:after="0"/>
              <w:rPr>
                <w:sz w:val="4"/>
                <w:szCs w:val="4"/>
                <w:color w:val="auto"/>
              </w:rPr>
            </w:pPr>
          </w:p>
        </w:tc>
        <w:tc>
          <w:tcPr>
            <w:tcW w:w="880" w:type="dxa"/>
            <w:vAlign w:val="bottom"/>
          </w:tcPr>
          <w:p>
            <w:pPr>
              <w:spacing w:after="0"/>
              <w:rPr>
                <w:sz w:val="4"/>
                <w:szCs w:val="4"/>
                <w:color w:val="auto"/>
              </w:rPr>
            </w:pPr>
          </w:p>
        </w:tc>
        <w:tc>
          <w:tcPr>
            <w:tcW w:w="9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2180" w:hanging="571"/>
        <w:spacing w:after="0"/>
        <w:tabs>
          <w:tab w:leader="none" w:pos="2180" w:val="left"/>
        </w:tabs>
        <w:numPr>
          <w:ilvl w:val="1"/>
          <w:numId w:val="5"/>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3" w:lineRule="exact"/>
        <w:rPr>
          <w:rFonts w:ascii="Arial" w:cs="Arial" w:eastAsia="Arial" w:hAnsi="Arial"/>
          <w:sz w:val="18"/>
          <w:szCs w:val="18"/>
          <w:color w:val="auto"/>
        </w:rPr>
      </w:pPr>
    </w:p>
    <w:p>
      <w:pPr>
        <w:ind w:left="2180"/>
        <w:spacing w:after="0"/>
        <w:rPr>
          <w:rFonts w:ascii="Arial" w:cs="Arial" w:eastAsia="Arial" w:hAnsi="Arial"/>
          <w:sz w:val="18"/>
          <w:szCs w:val="18"/>
          <w:color w:val="auto"/>
        </w:rPr>
      </w:pPr>
      <w:r>
        <w:rPr>
          <w:rFonts w:ascii="Arial" w:cs="Arial" w:eastAsia="Arial" w:hAnsi="Arial"/>
          <w:sz w:val="18"/>
          <w:szCs w:val="18"/>
          <w:color w:val="auto"/>
        </w:rPr>
        <w:t>1,861,642 shares of common stock</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000" w:right="5560" w:hanging="620"/>
        <w:spacing w:after="0" w:line="277"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1,861,642 shares of common stock</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hanging="620"/>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1000" w:right="460"/>
        <w:spacing w:after="0" w:line="261" w:lineRule="auto"/>
        <w:rPr>
          <w:rFonts w:ascii="Arial" w:cs="Arial" w:eastAsia="Arial" w:hAnsi="Arial"/>
          <w:sz w:val="18"/>
          <w:szCs w:val="18"/>
          <w:color w:val="auto"/>
        </w:rPr>
      </w:pPr>
      <w:r>
        <w:rPr>
          <w:rFonts w:ascii="Arial" w:cs="Arial" w:eastAsia="Arial" w:hAnsi="Arial"/>
          <w:sz w:val="18"/>
          <w:szCs w:val="18"/>
          <w:color w:val="auto"/>
        </w:rPr>
        <w:t>Approximately 5.3% (based on 35,204,911 shares of common stock issued and outstanding as of July 31, 2019 per CECO Environmental Corp. Form 10-Q filed August 6, 2019).</w:t>
      </w:r>
    </w:p>
    <w:p>
      <w:pPr>
        <w:spacing w:after="0" w:line="399" w:lineRule="exact"/>
        <w:rPr>
          <w:rFonts w:ascii="Arial" w:cs="Arial" w:eastAsia="Arial" w:hAnsi="Arial"/>
          <w:sz w:val="18"/>
          <w:szCs w:val="18"/>
          <w:color w:val="auto"/>
        </w:rPr>
      </w:pPr>
    </w:p>
    <w:p>
      <w:pPr>
        <w:ind w:left="1000" w:hanging="620"/>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6122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-1194435</wp:posOffset>
            </wp:positionV>
            <wp:extent cx="66122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-1605915</wp:posOffset>
            </wp:positionV>
            <wp:extent cx="66122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1347470</wp:posOffset>
            </wp:positionH>
            <wp:positionV relativeFrom="paragraph">
              <wp:posOffset>-2154555</wp:posOffset>
            </wp:positionV>
            <wp:extent cx="586613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866130" cy="8890"/>
                    </a:xfrm>
                    <a:prstGeom prst="rect">
                      <a:avLst/>
                    </a:prstGeom>
                    <a:noFill/>
                  </pic:spPr>
                </pic:pic>
              </a:graphicData>
            </a:graphic>
          </wp:anchor>
        </w:drawing>
      </w:r>
    </w:p>
    <w:p>
      <w:pPr>
        <w:spacing w:after="0" w:line="25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300" w:top="395" w:right="239" w:bottom="1440" w:gutter="0" w:footer="0" w:header="0"/>
        </w:sectPr>
      </w:pPr>
    </w:p>
    <w:bookmarkStart w:id="2" w:name="page3"/>
    <w:bookmarkEnd w:id="2"/>
    <w:p>
      <w:pPr>
        <w:spacing w:after="0"/>
        <w:tabs>
          <w:tab w:leader="none" w:pos="5140" w:val="left"/>
        </w:tabs>
        <w:rPr>
          <w:sz w:val="20"/>
          <w:szCs w:val="20"/>
          <w:color w:val="auto"/>
        </w:rPr>
      </w:pPr>
      <w:r>
        <w:rPr>
          <w:rFonts w:ascii="Arial" w:cs="Arial" w:eastAsia="Arial" w:hAnsi="Arial"/>
          <w:sz w:val="18"/>
          <w:szCs w:val="18"/>
          <w:color w:val="auto"/>
        </w:rPr>
        <w:t>CUSIP No. 125141101</w:t>
      </w:r>
      <w:r>
        <w:rPr>
          <w:sz w:val="20"/>
          <w:szCs w:val="20"/>
          <w:color w:val="auto"/>
        </w:rPr>
        <w:tab/>
      </w:r>
      <w:r>
        <w:rPr>
          <w:rFonts w:ascii="Arial" w:cs="Arial" w:eastAsia="Arial" w:hAnsi="Arial"/>
          <w:sz w:val="15"/>
          <w:szCs w:val="15"/>
          <w:color w:val="auto"/>
        </w:rPr>
        <w:t>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48895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60"/>
          </w:cols>
          <w:pgMar w:left="300" w:top="395" w:right="539" w:bottom="1440" w:gutter="0" w:footer="0" w:header="0"/>
        </w:sectPr>
      </w:pPr>
    </w:p>
    <w:p>
      <w:pPr>
        <w:spacing w:after="0" w:line="200" w:lineRule="exact"/>
        <w:rPr>
          <w:sz w:val="20"/>
          <w:szCs w:val="20"/>
          <w:color w:val="auto"/>
        </w:rPr>
      </w:pPr>
    </w:p>
    <w:p>
      <w:pPr>
        <w:spacing w:after="0" w:line="26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1(a)</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2(a)</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2(b)</w:t>
      </w:r>
    </w:p>
    <w:p>
      <w:pPr>
        <w:spacing w:after="0" w:line="34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2(c)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2(d)</w:t>
      </w:r>
    </w:p>
    <w:p>
      <w:pPr>
        <w:spacing w:after="0" w:line="347" w:lineRule="exact"/>
        <w:rPr>
          <w:sz w:val="20"/>
          <w:szCs w:val="20"/>
          <w:color w:val="auto"/>
        </w:rPr>
      </w:pPr>
    </w:p>
    <w:p>
      <w:pPr>
        <w:ind w:left="980"/>
        <w:spacing w:after="0"/>
        <w:rPr>
          <w:sz w:val="20"/>
          <w:szCs w:val="20"/>
          <w:color w:val="auto"/>
        </w:rPr>
      </w:pPr>
      <w:r>
        <w:rPr>
          <w:rFonts w:ascii="Arial" w:cs="Arial" w:eastAsia="Arial" w:hAnsi="Arial"/>
          <w:sz w:val="16"/>
          <w:szCs w:val="16"/>
          <w:color w:val="auto"/>
        </w:rPr>
        <w:t>2(e)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Name of Issuer: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CECO Environmental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40005</wp:posOffset>
            </wp:positionV>
            <wp:extent cx="614045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140450" cy="8890"/>
                    </a:xfrm>
                    <a:prstGeom prst="rect">
                      <a:avLst/>
                    </a:prstGeom>
                    <a:noFill/>
                  </pic:spPr>
                </pic:pic>
              </a:graphicData>
            </a:graphic>
          </wp:anchor>
        </w:drawing>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Address of Issuer’s Principal Executive Offices: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14651 North Dallas Parkway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Dallas, Texas 75254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40005</wp:posOffset>
            </wp:positionV>
            <wp:extent cx="614045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14045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Name of Person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186690</wp:posOffset>
            </wp:positionV>
            <wp:extent cx="614045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140450" cy="8890"/>
                    </a:xfrm>
                    <a:prstGeom prst="rect">
                      <a:avLst/>
                    </a:prstGeom>
                    <a:noFill/>
                  </pic:spPr>
                </pic:pic>
              </a:graphicData>
            </a:graphic>
          </wp:anchor>
        </w:drawing>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Address of Principal Business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186690</wp:posOffset>
            </wp:positionV>
            <wp:extent cx="614045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140450" cy="8890"/>
                    </a:xfrm>
                    <a:prstGeom prst="rect">
                      <a:avLst/>
                    </a:prstGeom>
                    <a:noFill/>
                  </pic:spPr>
                </pic:pic>
              </a:graphicData>
            </a:graphic>
          </wp:anchor>
        </w:drawing>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Citizenship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Trigran Investments,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630 Dundee Road, Suite 230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Northbrook, IL 60062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Illinois limited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40005</wp:posOffset>
            </wp:positionV>
            <wp:extent cx="614045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140450" cy="8890"/>
                    </a:xfrm>
                    <a:prstGeom prst="rect">
                      <a:avLst/>
                    </a:prstGeom>
                    <a:noFill/>
                  </pic:spPr>
                </pic:pic>
              </a:graphicData>
            </a:graphic>
          </wp:anchor>
        </w:drawing>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Title of Class of Securities: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Common Stock, $0.01 par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40005</wp:posOffset>
            </wp:positionV>
            <wp:extent cx="614045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140450" cy="8890"/>
                    </a:xfrm>
                    <a:prstGeom prst="rect">
                      <a:avLst/>
                    </a:prstGeom>
                    <a:noFill/>
                  </pic:spPr>
                </pic:pic>
              </a:graphicData>
            </a:graphic>
          </wp:anchor>
        </w:drawing>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CUSIP Number: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125141101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40005</wp:posOffset>
            </wp:positionV>
            <wp:extent cx="614045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14045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280" w:space="220"/>
            <w:col w:w="9560"/>
          </w:cols>
          <w:pgMar w:left="300" w:top="395" w:right="539" w:bottom="1440" w:gutter="0" w:footer="0" w:header="0"/>
          <w:type w:val="continuous"/>
        </w:sectPr>
      </w:pPr>
    </w:p>
    <w:p>
      <w:pPr>
        <w:spacing w:after="0" w:line="223" w:lineRule="exact"/>
        <w:rPr>
          <w:sz w:val="20"/>
          <w:szCs w:val="20"/>
          <w:color w:val="auto"/>
        </w:rPr>
      </w:pPr>
    </w:p>
    <w:p>
      <w:pPr>
        <w:ind w:left="120"/>
        <w:spacing w:after="0"/>
        <w:tabs>
          <w:tab w:leader="none" w:pos="10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Rules 13d-1(b), or 13d-2(b) or (c), check whether the person filing is a:</w:t>
      </w:r>
    </w:p>
    <w:p>
      <w:pPr>
        <w:spacing w:after="0" w:line="175" w:lineRule="exact"/>
        <w:rPr>
          <w:sz w:val="20"/>
          <w:szCs w:val="20"/>
          <w:color w:val="auto"/>
        </w:rPr>
      </w:pPr>
    </w:p>
    <w:p>
      <w:pPr>
        <w:ind w:left="1500" w:hanging="472"/>
        <w:spacing w:after="0"/>
        <w:tabs>
          <w:tab w:leader="none" w:pos="1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Exchange Act;</w:t>
      </w:r>
    </w:p>
    <w:p>
      <w:pPr>
        <w:spacing w:after="0" w:line="225" w:lineRule="exact"/>
        <w:rPr>
          <w:rFonts w:ascii="Arial" w:cs="Arial" w:eastAsia="Arial" w:hAnsi="Arial"/>
          <w:sz w:val="18"/>
          <w:szCs w:val="18"/>
          <w:color w:val="auto"/>
        </w:rPr>
      </w:pPr>
    </w:p>
    <w:p>
      <w:pPr>
        <w:ind w:left="1500" w:hanging="472"/>
        <w:spacing w:after="0"/>
        <w:tabs>
          <w:tab w:leader="none" w:pos="1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Exchange Act;</w:t>
      </w:r>
    </w:p>
    <w:p>
      <w:pPr>
        <w:spacing w:after="0" w:line="225" w:lineRule="exact"/>
        <w:rPr>
          <w:rFonts w:ascii="Arial" w:cs="Arial" w:eastAsia="Arial" w:hAnsi="Arial"/>
          <w:sz w:val="18"/>
          <w:szCs w:val="18"/>
          <w:color w:val="auto"/>
        </w:rPr>
      </w:pPr>
    </w:p>
    <w:p>
      <w:pPr>
        <w:ind w:left="1500" w:hanging="472"/>
        <w:spacing w:after="0"/>
        <w:tabs>
          <w:tab w:leader="none" w:pos="1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Exchange Act;</w:t>
      </w:r>
    </w:p>
    <w:p>
      <w:pPr>
        <w:spacing w:after="0" w:line="225" w:lineRule="exact"/>
        <w:rPr>
          <w:rFonts w:ascii="Arial" w:cs="Arial" w:eastAsia="Arial" w:hAnsi="Arial"/>
          <w:sz w:val="18"/>
          <w:szCs w:val="18"/>
          <w:color w:val="auto"/>
        </w:rPr>
      </w:pPr>
    </w:p>
    <w:p>
      <w:pPr>
        <w:ind w:left="1500" w:hanging="472"/>
        <w:spacing w:after="0"/>
        <w:tabs>
          <w:tab w:leader="none" w:pos="1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w:t>
      </w:r>
    </w:p>
    <w:p>
      <w:pPr>
        <w:spacing w:after="0" w:line="225" w:lineRule="exact"/>
        <w:rPr>
          <w:rFonts w:ascii="Arial" w:cs="Arial" w:eastAsia="Arial" w:hAnsi="Arial"/>
          <w:sz w:val="18"/>
          <w:szCs w:val="18"/>
          <w:color w:val="auto"/>
        </w:rPr>
      </w:pPr>
    </w:p>
    <w:p>
      <w:pPr>
        <w:ind w:left="1500" w:hanging="472"/>
        <w:spacing w:after="0"/>
        <w:tabs>
          <w:tab w:leader="none" w:pos="1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investment adviser in accordance with Rule 13d-1(b)(1)(ii)(E);</w:t>
      </w:r>
    </w:p>
    <w:p>
      <w:pPr>
        <w:spacing w:after="0" w:line="225" w:lineRule="exact"/>
        <w:rPr>
          <w:rFonts w:ascii="Arial" w:cs="Arial" w:eastAsia="Arial" w:hAnsi="Arial"/>
          <w:sz w:val="18"/>
          <w:szCs w:val="18"/>
          <w:color w:val="auto"/>
        </w:rPr>
      </w:pPr>
    </w:p>
    <w:p>
      <w:pPr>
        <w:ind w:left="1500" w:hanging="472"/>
        <w:spacing w:after="0"/>
        <w:tabs>
          <w:tab w:leader="none" w:pos="1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Rule 13d-1(b)(1)(ii)(F);</w:t>
      </w:r>
    </w:p>
    <w:p>
      <w:pPr>
        <w:spacing w:after="0" w:line="225" w:lineRule="exact"/>
        <w:rPr>
          <w:rFonts w:ascii="Arial" w:cs="Arial" w:eastAsia="Arial" w:hAnsi="Arial"/>
          <w:sz w:val="18"/>
          <w:szCs w:val="18"/>
          <w:color w:val="auto"/>
        </w:rPr>
      </w:pPr>
    </w:p>
    <w:p>
      <w:pPr>
        <w:ind w:left="1500" w:hanging="472"/>
        <w:spacing w:after="0"/>
        <w:tabs>
          <w:tab w:leader="none" w:pos="1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parent holding company or control person in accordance with Rule 13d-1(b)(1)(ii)(G);</w:t>
      </w:r>
    </w:p>
    <w:p>
      <w:pPr>
        <w:spacing w:after="0" w:line="225" w:lineRule="exact"/>
        <w:rPr>
          <w:rFonts w:ascii="Arial" w:cs="Arial" w:eastAsia="Arial" w:hAnsi="Arial"/>
          <w:sz w:val="18"/>
          <w:szCs w:val="18"/>
          <w:color w:val="auto"/>
        </w:rPr>
      </w:pPr>
    </w:p>
    <w:p>
      <w:pPr>
        <w:ind w:left="1500" w:hanging="472"/>
        <w:spacing w:after="0"/>
        <w:tabs>
          <w:tab w:leader="none" w:pos="1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savings association as defined in Section 3(b) of the Federal Deposit Insurance Act;</w:t>
      </w:r>
    </w:p>
    <w:p>
      <w:pPr>
        <w:spacing w:after="0" w:line="225" w:lineRule="exact"/>
        <w:rPr>
          <w:rFonts w:ascii="Arial" w:cs="Arial" w:eastAsia="Arial" w:hAnsi="Arial"/>
          <w:sz w:val="18"/>
          <w:szCs w:val="18"/>
          <w:color w:val="auto"/>
        </w:rPr>
      </w:pPr>
    </w:p>
    <w:p>
      <w:pPr>
        <w:ind w:left="2020" w:right="540" w:hanging="992"/>
        <w:spacing w:after="0" w:line="277" w:lineRule="auto"/>
        <w:tabs>
          <w:tab w:leader="none" w:pos="1507" w:val="left"/>
        </w:tabs>
        <w:numPr>
          <w:ilvl w:val="0"/>
          <w:numId w:val="7"/>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w:t>
      </w:r>
    </w:p>
    <w:p>
      <w:pPr>
        <w:spacing w:after="0" w:line="170" w:lineRule="exact"/>
        <w:rPr>
          <w:rFonts w:ascii="Arial" w:cs="Arial" w:eastAsia="Arial" w:hAnsi="Arial"/>
          <w:sz w:val="18"/>
          <w:szCs w:val="18"/>
          <w:color w:val="auto"/>
        </w:rPr>
      </w:pPr>
    </w:p>
    <w:p>
      <w:pPr>
        <w:ind w:left="1500" w:hanging="472"/>
        <w:spacing w:after="0"/>
        <w:tabs>
          <w:tab w:leader="none" w:pos="1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non-U.S. institution in accordance with Rule 13d–1(b)(1)(ii)(J);</w:t>
      </w:r>
    </w:p>
    <w:p>
      <w:pPr>
        <w:spacing w:after="0" w:line="225" w:lineRule="exact"/>
        <w:rPr>
          <w:sz w:val="20"/>
          <w:szCs w:val="20"/>
          <w:color w:val="auto"/>
        </w:rPr>
      </w:pPr>
    </w:p>
    <w:tbl>
      <w:tblPr>
        <w:tblLayout w:type="fixed"/>
        <w:tblInd w:w="1020" w:type="dxa"/>
        <w:tblCellMar>
          <w:top w:w="0" w:type="dxa"/>
          <w:left w:w="0" w:type="dxa"/>
          <w:bottom w:w="0" w:type="dxa"/>
          <w:right w:w="0" w:type="dxa"/>
        </w:tblCellMar>
      </w:tblPr>
      <w:tr>
        <w:trPr>
          <w:trHeight w:val="216"/>
        </w:trPr>
        <w:tc>
          <w:tcPr>
            <w:tcW w:w="780" w:type="dxa"/>
            <w:vAlign w:val="bottom"/>
            <w:vMerge w:val="restart"/>
          </w:tcPr>
          <w:p>
            <w:pPr>
              <w:spacing w:after="0"/>
              <w:rPr>
                <w:sz w:val="20"/>
                <w:szCs w:val="20"/>
                <w:color w:val="auto"/>
              </w:rPr>
            </w:pPr>
            <w:r>
              <w:rPr>
                <w:rFonts w:ascii="Arial" w:cs="Arial" w:eastAsia="Arial" w:hAnsi="Arial"/>
                <w:sz w:val="18"/>
                <w:szCs w:val="18"/>
                <w:color w:val="auto"/>
              </w:rPr>
              <w:t>(k)   o</w:t>
            </w:r>
          </w:p>
        </w:tc>
        <w:tc>
          <w:tcPr>
            <w:tcW w:w="9260" w:type="dxa"/>
            <w:vAlign w:val="bottom"/>
          </w:tcPr>
          <w:p>
            <w:pPr>
              <w:ind w:left="220"/>
              <w:spacing w:after="0"/>
              <w:rPr>
                <w:sz w:val="20"/>
                <w:szCs w:val="20"/>
                <w:color w:val="auto"/>
              </w:rPr>
            </w:pPr>
            <w:r>
              <w:rPr>
                <w:rFonts w:ascii="Arial" w:cs="Arial" w:eastAsia="Arial" w:hAnsi="Arial"/>
                <w:sz w:val="18"/>
                <w:szCs w:val="18"/>
                <w:color w:val="auto"/>
                <w:w w:val="93"/>
              </w:rPr>
              <w:t>Group, in accordance with Rule 13d–1(b)(1)(ii)(K). If filing as a non-U.S. institution in accordance with Rule 13d–1(b)(1)(ii)</w:t>
            </w:r>
          </w:p>
        </w:tc>
        <w:tc>
          <w:tcPr>
            <w:tcW w:w="0" w:type="dxa"/>
            <w:vAlign w:val="bottom"/>
          </w:tcPr>
          <w:p>
            <w:pPr>
              <w:spacing w:after="0"/>
              <w:rPr>
                <w:sz w:val="1"/>
                <w:szCs w:val="1"/>
                <w:color w:val="auto"/>
              </w:rPr>
            </w:pPr>
          </w:p>
        </w:tc>
      </w:tr>
      <w:tr>
        <w:trPr>
          <w:trHeight w:val="122"/>
        </w:trPr>
        <w:tc>
          <w:tcPr>
            <w:tcW w:w="780" w:type="dxa"/>
            <w:vAlign w:val="bottom"/>
            <w:vMerge w:val="continue"/>
          </w:tcPr>
          <w:p>
            <w:pPr>
              <w:spacing w:after="0"/>
              <w:rPr>
                <w:sz w:val="10"/>
                <w:szCs w:val="10"/>
                <w:color w:val="auto"/>
              </w:rPr>
            </w:pPr>
          </w:p>
        </w:tc>
        <w:tc>
          <w:tcPr>
            <w:tcW w:w="9260" w:type="dxa"/>
            <w:vAlign w:val="bottom"/>
            <w:vMerge w:val="restart"/>
          </w:tcPr>
          <w:p>
            <w:pPr>
              <w:ind w:left="220"/>
              <w:spacing w:after="0"/>
              <w:rPr>
                <w:sz w:val="20"/>
                <w:szCs w:val="20"/>
                <w:color w:val="auto"/>
              </w:rPr>
            </w:pPr>
            <w:r>
              <w:rPr>
                <w:rFonts w:ascii="Arial" w:cs="Arial" w:eastAsia="Arial" w:hAnsi="Arial"/>
                <w:sz w:val="18"/>
                <w:szCs w:val="18"/>
                <w:color w:val="auto"/>
              </w:rPr>
              <w:t>(J), please specify the type of institution:____________________________</w:t>
            </w:r>
          </w:p>
        </w:tc>
        <w:tc>
          <w:tcPr>
            <w:tcW w:w="0" w:type="dxa"/>
            <w:vAlign w:val="bottom"/>
          </w:tcPr>
          <w:p>
            <w:pPr>
              <w:spacing w:after="0"/>
              <w:rPr>
                <w:sz w:val="1"/>
                <w:szCs w:val="1"/>
                <w:color w:val="auto"/>
              </w:rPr>
            </w:pPr>
          </w:p>
        </w:tc>
      </w:tr>
      <w:tr>
        <w:trPr>
          <w:trHeight w:val="108"/>
        </w:trPr>
        <w:tc>
          <w:tcPr>
            <w:tcW w:w="780" w:type="dxa"/>
            <w:vAlign w:val="bottom"/>
          </w:tcPr>
          <w:p>
            <w:pPr>
              <w:spacing w:after="0"/>
              <w:rPr>
                <w:sz w:val="9"/>
                <w:szCs w:val="9"/>
                <w:color w:val="auto"/>
              </w:rPr>
            </w:pPr>
          </w:p>
        </w:tc>
        <w:tc>
          <w:tcPr>
            <w:tcW w:w="9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If this statement is filed pursuant to Rule 13d-1(c), check this box. x</w:t>
      </w:r>
    </w:p>
    <w:p>
      <w:pPr>
        <w:spacing w:after="0" w:line="252"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060"/>
          </w:cols>
          <w:pgMar w:left="300" w:top="395" w:right="539" w:bottom="1440" w:gutter="0" w:footer="0" w:header="0"/>
          <w:type w:val="continuous"/>
        </w:sectPr>
      </w:pPr>
    </w:p>
    <w:bookmarkStart w:id="3" w:name="page4"/>
    <w:bookmarkEnd w:id="3"/>
    <w:p>
      <w:pPr>
        <w:spacing w:after="0"/>
        <w:tabs>
          <w:tab w:leader="none" w:pos="5140" w:val="left"/>
        </w:tabs>
        <w:rPr>
          <w:sz w:val="20"/>
          <w:szCs w:val="20"/>
          <w:color w:val="auto"/>
        </w:rPr>
      </w:pPr>
      <w:r>
        <w:rPr>
          <w:rFonts w:ascii="Arial" w:cs="Arial" w:eastAsia="Arial" w:hAnsi="Arial"/>
          <w:sz w:val="18"/>
          <w:szCs w:val="18"/>
          <w:color w:val="auto"/>
        </w:rPr>
        <w:t>CUSIP No. 125141101</w:t>
      </w:r>
      <w:r>
        <w:rPr>
          <w:sz w:val="20"/>
          <w:szCs w:val="20"/>
          <w:color w:val="auto"/>
        </w:rPr>
        <w:tab/>
      </w:r>
      <w:r>
        <w:rPr>
          <w:rFonts w:ascii="Arial" w:cs="Arial" w:eastAsia="Arial" w:hAnsi="Arial"/>
          <w:sz w:val="15"/>
          <w:szCs w:val="15"/>
          <w:color w:val="auto"/>
        </w:rPr>
        <w:t>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48895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500"/>
          </w:cols>
          <w:pgMar w:left="300" w:top="395" w:right="1099" w:bottom="1440" w:gutter="0" w:footer="0" w:header="0"/>
        </w:sectPr>
      </w:pPr>
    </w:p>
    <w:p>
      <w:pPr>
        <w:spacing w:after="0" w:line="343" w:lineRule="exact"/>
        <w:rPr>
          <w:sz w:val="20"/>
          <w:szCs w:val="20"/>
          <w:color w:val="auto"/>
        </w:rPr>
      </w:pPr>
    </w:p>
    <w:p>
      <w:pPr>
        <w:ind w:left="60"/>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75" w:lineRule="exact"/>
        <w:rPr>
          <w:sz w:val="20"/>
          <w:szCs w:val="20"/>
          <w:color w:val="auto"/>
        </w:rPr>
      </w:pPr>
    </w:p>
    <w:p>
      <w:pPr>
        <w:ind w:left="1600" w:hanging="374"/>
        <w:spacing w:after="0"/>
        <w:tabs>
          <w:tab w:leader="none" w:pos="1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63" w:lineRule="exact"/>
        <w:rPr>
          <w:rFonts w:ascii="Arial" w:cs="Arial" w:eastAsia="Arial" w:hAnsi="Arial"/>
          <w:sz w:val="18"/>
          <w:szCs w:val="18"/>
          <w:color w:val="auto"/>
        </w:rPr>
      </w:pPr>
    </w:p>
    <w:p>
      <w:pPr>
        <w:ind w:left="1600"/>
        <w:spacing w:after="0"/>
        <w:rPr>
          <w:rFonts w:ascii="Arial" w:cs="Arial" w:eastAsia="Arial" w:hAnsi="Arial"/>
          <w:sz w:val="18"/>
          <w:szCs w:val="18"/>
          <w:color w:val="auto"/>
        </w:rPr>
      </w:pPr>
      <w:r>
        <w:rPr>
          <w:rFonts w:ascii="Arial" w:cs="Arial" w:eastAsia="Arial" w:hAnsi="Arial"/>
          <w:sz w:val="18"/>
          <w:szCs w:val="18"/>
          <w:color w:val="auto"/>
        </w:rPr>
        <w:t>Incorporated by reference to Item 9 of the cover page pertaining to each reporting person.</w:t>
      </w:r>
    </w:p>
    <w:p>
      <w:pPr>
        <w:spacing w:after="0" w:line="238" w:lineRule="exact"/>
        <w:rPr>
          <w:rFonts w:ascii="Arial" w:cs="Arial" w:eastAsia="Arial" w:hAnsi="Arial"/>
          <w:sz w:val="18"/>
          <w:szCs w:val="18"/>
          <w:color w:val="auto"/>
        </w:rPr>
      </w:pPr>
    </w:p>
    <w:p>
      <w:pPr>
        <w:ind w:left="1600" w:hanging="379"/>
        <w:spacing w:after="0"/>
        <w:tabs>
          <w:tab w:leader="none" w:pos="1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63" w:lineRule="exact"/>
        <w:rPr>
          <w:rFonts w:ascii="Arial" w:cs="Arial" w:eastAsia="Arial" w:hAnsi="Arial"/>
          <w:sz w:val="18"/>
          <w:szCs w:val="18"/>
          <w:color w:val="auto"/>
        </w:rPr>
      </w:pPr>
    </w:p>
    <w:p>
      <w:pPr>
        <w:ind w:left="1600"/>
        <w:spacing w:after="0"/>
        <w:rPr>
          <w:rFonts w:ascii="Arial" w:cs="Arial" w:eastAsia="Arial" w:hAnsi="Arial"/>
          <w:sz w:val="18"/>
          <w:szCs w:val="18"/>
          <w:color w:val="auto"/>
        </w:rPr>
      </w:pPr>
      <w:r>
        <w:rPr>
          <w:rFonts w:ascii="Arial" w:cs="Arial" w:eastAsia="Arial" w:hAnsi="Arial"/>
          <w:sz w:val="18"/>
          <w:szCs w:val="18"/>
          <w:color w:val="auto"/>
        </w:rPr>
        <w:t>Incorporated by reference to Item 11 of the cover page pertaining to each reporting person.</w:t>
      </w:r>
    </w:p>
    <w:p>
      <w:pPr>
        <w:spacing w:after="0" w:line="238" w:lineRule="exact"/>
        <w:rPr>
          <w:rFonts w:ascii="Arial" w:cs="Arial" w:eastAsia="Arial" w:hAnsi="Arial"/>
          <w:sz w:val="18"/>
          <w:szCs w:val="18"/>
          <w:color w:val="auto"/>
        </w:rPr>
      </w:pPr>
    </w:p>
    <w:p>
      <w:pPr>
        <w:ind w:left="1600" w:hanging="374"/>
        <w:spacing w:after="0"/>
        <w:tabs>
          <w:tab w:leader="none" w:pos="1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987425</wp:posOffset>
            </wp:positionH>
            <wp:positionV relativeFrom="paragraph">
              <wp:posOffset>255270</wp:posOffset>
            </wp:positionV>
            <wp:extent cx="611441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114415" cy="8890"/>
                    </a:xfrm>
                    <a:prstGeom prst="rect">
                      <a:avLst/>
                    </a:prstGeom>
                    <a:noFill/>
                  </pic:spPr>
                </pic:pic>
              </a:graphicData>
            </a:graphic>
          </wp:anchor>
        </w:drawing>
        <w:drawing>
          <wp:anchor simplePos="0" relativeHeight="251657728" behindDoc="1" locked="0" layoutInCell="0" allowOverlap="1">
            <wp:simplePos x="0" y="0"/>
            <wp:positionH relativeFrom="column">
              <wp:posOffset>987425</wp:posOffset>
            </wp:positionH>
            <wp:positionV relativeFrom="paragraph">
              <wp:posOffset>-198755</wp:posOffset>
            </wp:positionV>
            <wp:extent cx="611441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114415" cy="8890"/>
                    </a:xfrm>
                    <a:prstGeom prst="rect">
                      <a:avLst/>
                    </a:prstGeom>
                    <a:noFill/>
                  </pic:spPr>
                </pic:pic>
              </a:graphicData>
            </a:graphic>
          </wp:anchor>
        </w:drawing>
        <w:drawing>
          <wp:anchor simplePos="0" relativeHeight="251657728" behindDoc="1" locked="0" layoutInCell="0" allowOverlap="1">
            <wp:simplePos x="0" y="0"/>
            <wp:positionH relativeFrom="column">
              <wp:posOffset>987425</wp:posOffset>
            </wp:positionH>
            <wp:positionV relativeFrom="paragraph">
              <wp:posOffset>-653415</wp:posOffset>
            </wp:positionV>
            <wp:extent cx="611441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114415"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2220" w:hanging="446"/>
        <w:spacing w:after="0"/>
        <w:tabs>
          <w:tab w:leader="none" w:pos="2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63" w:lineRule="exact"/>
        <w:rPr>
          <w:rFonts w:ascii="Arial" w:cs="Arial" w:eastAsia="Arial" w:hAnsi="Arial"/>
          <w:sz w:val="18"/>
          <w:szCs w:val="18"/>
          <w:color w:val="auto"/>
        </w:rPr>
      </w:pPr>
    </w:p>
    <w:p>
      <w:pPr>
        <w:ind w:left="2220"/>
        <w:spacing w:after="0"/>
        <w:rPr>
          <w:rFonts w:ascii="Arial" w:cs="Arial" w:eastAsia="Arial" w:hAnsi="Arial"/>
          <w:sz w:val="18"/>
          <w:szCs w:val="18"/>
          <w:color w:val="auto"/>
        </w:rPr>
      </w:pPr>
      <w:r>
        <w:rPr>
          <w:rFonts w:ascii="Arial" w:cs="Arial" w:eastAsia="Arial" w:hAnsi="Arial"/>
          <w:sz w:val="18"/>
          <w:szCs w:val="18"/>
          <w:color w:val="auto"/>
        </w:rPr>
        <w:t>Incorporated by reference to Item 5 of the cover page pertaining to each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83185</wp:posOffset>
            </wp:positionV>
            <wp:extent cx="572833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28335" cy="8890"/>
                    </a:xfrm>
                    <a:prstGeom prst="rect">
                      <a:avLst/>
                    </a:prstGeom>
                    <a:noFill/>
                  </pic:spPr>
                </pic:pic>
              </a:graphicData>
            </a:graphic>
          </wp:anchor>
        </w:drawing>
      </w:r>
    </w:p>
    <w:p>
      <w:pPr>
        <w:spacing w:after="0" w:line="219" w:lineRule="exact"/>
        <w:rPr>
          <w:sz w:val="20"/>
          <w:szCs w:val="20"/>
          <w:color w:val="auto"/>
        </w:rPr>
      </w:pPr>
    </w:p>
    <w:p>
      <w:pPr>
        <w:ind w:left="2220" w:hanging="471"/>
        <w:spacing w:after="0"/>
        <w:tabs>
          <w:tab w:leader="none" w:pos="22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63" w:lineRule="exact"/>
        <w:rPr>
          <w:rFonts w:ascii="Arial" w:cs="Arial" w:eastAsia="Arial" w:hAnsi="Arial"/>
          <w:sz w:val="18"/>
          <w:szCs w:val="18"/>
          <w:color w:val="auto"/>
        </w:rPr>
      </w:pPr>
    </w:p>
    <w:p>
      <w:pPr>
        <w:ind w:left="2220"/>
        <w:spacing w:after="0"/>
        <w:rPr>
          <w:rFonts w:ascii="Arial" w:cs="Arial" w:eastAsia="Arial" w:hAnsi="Arial"/>
          <w:sz w:val="18"/>
          <w:szCs w:val="18"/>
          <w:color w:val="auto"/>
        </w:rPr>
      </w:pPr>
      <w:r>
        <w:rPr>
          <w:rFonts w:ascii="Arial" w:cs="Arial" w:eastAsia="Arial" w:hAnsi="Arial"/>
          <w:sz w:val="18"/>
          <w:szCs w:val="18"/>
          <w:color w:val="auto"/>
        </w:rPr>
        <w:t>Incorporated by reference to Item 6 of the cover page pertaining to each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83185</wp:posOffset>
            </wp:positionV>
            <wp:extent cx="572833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28335" cy="8890"/>
                    </a:xfrm>
                    <a:prstGeom prst="rect">
                      <a:avLst/>
                    </a:prstGeom>
                    <a:noFill/>
                  </pic:spPr>
                </pic:pic>
              </a:graphicData>
            </a:graphic>
          </wp:anchor>
        </w:drawing>
      </w:r>
    </w:p>
    <w:p>
      <w:pPr>
        <w:spacing w:after="0" w:line="219" w:lineRule="exact"/>
        <w:rPr>
          <w:sz w:val="20"/>
          <w:szCs w:val="20"/>
          <w:color w:val="auto"/>
        </w:rPr>
      </w:pPr>
    </w:p>
    <w:p>
      <w:pPr>
        <w:ind w:left="2220" w:hanging="496"/>
        <w:spacing w:after="0"/>
        <w:tabs>
          <w:tab w:leader="none" w:pos="2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63" w:lineRule="exact"/>
        <w:rPr>
          <w:rFonts w:ascii="Arial" w:cs="Arial" w:eastAsia="Arial" w:hAnsi="Arial"/>
          <w:sz w:val="18"/>
          <w:szCs w:val="18"/>
          <w:color w:val="auto"/>
        </w:rPr>
      </w:pPr>
    </w:p>
    <w:p>
      <w:pPr>
        <w:ind w:left="2220"/>
        <w:spacing w:after="0"/>
        <w:rPr>
          <w:rFonts w:ascii="Arial" w:cs="Arial" w:eastAsia="Arial" w:hAnsi="Arial"/>
          <w:sz w:val="18"/>
          <w:szCs w:val="18"/>
          <w:color w:val="auto"/>
        </w:rPr>
      </w:pPr>
      <w:r>
        <w:rPr>
          <w:rFonts w:ascii="Arial" w:cs="Arial" w:eastAsia="Arial" w:hAnsi="Arial"/>
          <w:sz w:val="18"/>
          <w:szCs w:val="18"/>
          <w:color w:val="auto"/>
        </w:rPr>
        <w:t>Incorporated by reference to Item 7 of the cover page pertaining to each reporting person.</w:t>
      </w:r>
    </w:p>
    <w:p>
      <w:pPr>
        <w:spacing w:after="0" w:line="238" w:lineRule="exact"/>
        <w:rPr>
          <w:rFonts w:ascii="Arial" w:cs="Arial" w:eastAsia="Arial" w:hAnsi="Arial"/>
          <w:sz w:val="18"/>
          <w:szCs w:val="18"/>
          <w:color w:val="auto"/>
        </w:rPr>
      </w:pPr>
    </w:p>
    <w:p>
      <w:pPr>
        <w:ind w:left="2220" w:hanging="491"/>
        <w:spacing w:after="0"/>
        <w:tabs>
          <w:tab w:leader="none" w:pos="2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63" w:lineRule="exact"/>
        <w:rPr>
          <w:rFonts w:ascii="Arial" w:cs="Arial" w:eastAsia="Arial" w:hAnsi="Arial"/>
          <w:sz w:val="18"/>
          <w:szCs w:val="18"/>
          <w:color w:val="auto"/>
        </w:rPr>
      </w:pPr>
    </w:p>
    <w:p>
      <w:pPr>
        <w:ind w:left="2220"/>
        <w:spacing w:after="0"/>
        <w:rPr>
          <w:rFonts w:ascii="Arial" w:cs="Arial" w:eastAsia="Arial" w:hAnsi="Arial"/>
          <w:sz w:val="18"/>
          <w:szCs w:val="18"/>
          <w:color w:val="auto"/>
        </w:rPr>
      </w:pPr>
      <w:r>
        <w:rPr>
          <w:rFonts w:ascii="Arial" w:cs="Arial" w:eastAsia="Arial" w:hAnsi="Arial"/>
          <w:sz w:val="18"/>
          <w:szCs w:val="18"/>
          <w:color w:val="auto"/>
        </w:rPr>
        <w:t>Incorporated by reference to Item 8 of the cover page pertaining to each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83185</wp:posOffset>
            </wp:positionV>
            <wp:extent cx="572833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28335" cy="8890"/>
                    </a:xfrm>
                    <a:prstGeom prst="rect">
                      <a:avLst/>
                    </a:prstGeom>
                    <a:noFill/>
                  </pic:spPr>
                </pic:pic>
              </a:graphicData>
            </a:graphic>
          </wp:anchor>
        </w:drawing>
        <w:drawing>
          <wp:anchor simplePos="0" relativeHeight="251657728" behindDoc="1" locked="0" layoutInCell="0" allowOverlap="1">
            <wp:simplePos x="0" y="0"/>
            <wp:positionH relativeFrom="column">
              <wp:posOffset>1373505</wp:posOffset>
            </wp:positionH>
            <wp:positionV relativeFrom="paragraph">
              <wp:posOffset>-370205</wp:posOffset>
            </wp:positionV>
            <wp:extent cx="572833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28335"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60"/>
        <w:spacing w:after="0"/>
        <w:tabs>
          <w:tab w:leader="none" w:pos="11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Ownership of Five Percent or Less of a Class:</w:t>
      </w:r>
    </w:p>
    <w:p>
      <w:pPr>
        <w:spacing w:after="0" w:line="121"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ind w:left="60"/>
        <w:spacing w:after="0"/>
        <w:tabs>
          <w:tab w:leader="none" w:pos="11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ind w:left="1160" w:hanging="1093"/>
        <w:spacing w:after="0" w:line="282" w:lineRule="auto"/>
        <w:tabs>
          <w:tab w:leader="none" w:pos="11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w:t>
      </w:r>
    </w:p>
    <w:p>
      <w:pPr>
        <w:spacing w:after="0" w:line="58"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ind w:left="60"/>
        <w:spacing w:after="0"/>
        <w:tabs>
          <w:tab w:leader="none" w:pos="11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ind w:left="60"/>
        <w:spacing w:after="0"/>
        <w:tabs>
          <w:tab w:leader="none" w:pos="11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Not Applicable.</w:t>
      </w:r>
    </w:p>
    <w:p>
      <w:pPr>
        <w:spacing w:after="0" w:line="279"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500"/>
          </w:cols>
          <w:pgMar w:left="300" w:top="395" w:right="109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3720" w:type="dxa"/>
            <w:vAlign w:val="bottom"/>
            <w:gridSpan w:val="2"/>
          </w:tcPr>
          <w:p>
            <w:pPr>
              <w:ind w:left="60"/>
              <w:spacing w:after="0"/>
              <w:rPr>
                <w:sz w:val="20"/>
                <w:szCs w:val="20"/>
                <w:color w:val="auto"/>
              </w:rPr>
            </w:pPr>
            <w:r>
              <w:rPr>
                <w:rFonts w:ascii="Arial" w:cs="Arial" w:eastAsia="Arial" w:hAnsi="Arial"/>
                <w:sz w:val="18"/>
                <w:szCs w:val="18"/>
                <w:color w:val="auto"/>
              </w:rPr>
              <w:t>CUSIP No. 125141101</w:t>
            </w:r>
          </w:p>
        </w:tc>
        <w:tc>
          <w:tcPr>
            <w:tcW w:w="7700" w:type="dxa"/>
            <w:vAlign w:val="bottom"/>
          </w:tcPr>
          <w:p>
            <w:pPr>
              <w:ind w:left="1500"/>
              <w:spacing w:after="0"/>
              <w:rPr>
                <w:sz w:val="20"/>
                <w:szCs w:val="20"/>
                <w:color w:val="auto"/>
              </w:rPr>
            </w:pPr>
            <w:r>
              <w:rPr>
                <w:rFonts w:ascii="Arial" w:cs="Arial" w:eastAsia="Arial" w:hAnsi="Arial"/>
                <w:sz w:val="18"/>
                <w:szCs w:val="18"/>
                <w:color w:val="auto"/>
              </w:rPr>
              <w:t>Schedule 13G</w:t>
            </w:r>
          </w:p>
        </w:tc>
      </w:tr>
      <w:tr>
        <w:trPr>
          <w:trHeight w:val="54"/>
        </w:trPr>
        <w:tc>
          <w:tcPr>
            <w:tcW w:w="920" w:type="dxa"/>
            <w:vAlign w:val="bottom"/>
            <w:tcBorders>
              <w:bottom w:val="single" w:sz="8" w:color="auto"/>
            </w:tcBorders>
          </w:tcPr>
          <w:p>
            <w:pPr>
              <w:spacing w:after="0"/>
              <w:rPr>
                <w:sz w:val="4"/>
                <w:szCs w:val="4"/>
                <w:color w:val="auto"/>
              </w:rPr>
            </w:pPr>
          </w:p>
        </w:tc>
        <w:tc>
          <w:tcPr>
            <w:tcW w:w="2800" w:type="dxa"/>
            <w:vAlign w:val="bottom"/>
            <w:tcBorders>
              <w:bottom w:val="single" w:sz="8" w:color="auto"/>
            </w:tcBorders>
          </w:tcPr>
          <w:p>
            <w:pPr>
              <w:spacing w:after="0"/>
              <w:rPr>
                <w:sz w:val="4"/>
                <w:szCs w:val="4"/>
                <w:color w:val="auto"/>
              </w:rPr>
            </w:pPr>
          </w:p>
        </w:tc>
        <w:tc>
          <w:tcPr>
            <w:tcW w:w="7700" w:type="dxa"/>
            <w:vAlign w:val="bottom"/>
            <w:tcBorders>
              <w:bottom w:val="single" w:sz="8" w:color="auto"/>
            </w:tcBorders>
          </w:tcPr>
          <w:p>
            <w:pPr>
              <w:spacing w:after="0"/>
              <w:rPr>
                <w:sz w:val="4"/>
                <w:szCs w:val="4"/>
                <w:color w:val="auto"/>
              </w:rPr>
            </w:pPr>
          </w:p>
        </w:tc>
      </w:tr>
      <w:tr>
        <w:trPr>
          <w:trHeight w:val="480"/>
        </w:trPr>
        <w:tc>
          <w:tcPr>
            <w:tcW w:w="920" w:type="dxa"/>
            <w:vAlign w:val="bottom"/>
          </w:tcPr>
          <w:p>
            <w:pPr>
              <w:ind w:left="60"/>
              <w:spacing w:after="0"/>
              <w:rPr>
                <w:sz w:val="20"/>
                <w:szCs w:val="20"/>
                <w:color w:val="auto"/>
              </w:rPr>
            </w:pPr>
            <w:r>
              <w:rPr>
                <w:rFonts w:ascii="Arial" w:cs="Arial" w:eastAsia="Arial" w:hAnsi="Arial"/>
                <w:sz w:val="18"/>
                <w:szCs w:val="18"/>
                <w:b w:val="1"/>
                <w:bCs w:val="1"/>
                <w:color w:val="auto"/>
              </w:rPr>
              <w:t>Item 10</w:t>
            </w:r>
          </w:p>
        </w:tc>
        <w:tc>
          <w:tcPr>
            <w:tcW w:w="2800" w:type="dxa"/>
            <w:vAlign w:val="bottom"/>
          </w:tcPr>
          <w:p>
            <w:pPr>
              <w:ind w:left="260"/>
              <w:spacing w:after="0"/>
              <w:rPr>
                <w:sz w:val="20"/>
                <w:szCs w:val="20"/>
                <w:color w:val="auto"/>
              </w:rPr>
            </w:pPr>
            <w:r>
              <w:rPr>
                <w:rFonts w:ascii="Arial" w:cs="Arial" w:eastAsia="Arial" w:hAnsi="Arial"/>
                <w:sz w:val="18"/>
                <w:szCs w:val="18"/>
                <w:b w:val="1"/>
                <w:bCs w:val="1"/>
                <w:color w:val="auto"/>
              </w:rPr>
              <w:t>Certification:</w:t>
            </w:r>
          </w:p>
        </w:tc>
        <w:tc>
          <w:tcPr>
            <w:tcW w:w="7700" w:type="dxa"/>
            <w:vAlign w:val="bottom"/>
          </w:tcPr>
          <w:p>
            <w:pPr>
              <w:spacing w:after="0"/>
              <w:rPr>
                <w:sz w:val="24"/>
                <w:szCs w:val="24"/>
                <w:color w:val="auto"/>
              </w:rPr>
            </w:pPr>
          </w:p>
        </w:tc>
      </w:tr>
    </w:tbl>
    <w:p>
      <w:pPr>
        <w:spacing w:after="0" w:line="94" w:lineRule="exact"/>
        <w:rPr>
          <w:sz w:val="20"/>
          <w:szCs w:val="20"/>
          <w:color w:val="auto"/>
        </w:rPr>
      </w:pPr>
    </w:p>
    <w:p>
      <w:pPr>
        <w:jc w:val="both"/>
        <w:ind w:left="60" w:right="200" w:firstLine="648"/>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35"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After reasonable inquiry and to the best of its knowledge and belief, the undersigned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this 27th day of August,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TRIGRAN INVESTMENTS, L.P.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10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Lawrence A. Oberman</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10640" w:type="dxa"/>
            <w:vAlign w:val="bottom"/>
          </w:tcPr>
          <w:p>
            <w:pPr>
              <w:spacing w:after="0" w:line="195" w:lineRule="exact"/>
              <w:rPr>
                <w:sz w:val="20"/>
                <w:szCs w:val="20"/>
                <w:color w:val="auto"/>
              </w:rPr>
            </w:pPr>
            <w:r>
              <w:rPr>
                <w:rFonts w:ascii="Arial" w:cs="Arial" w:eastAsia="Arial" w:hAnsi="Arial"/>
                <w:sz w:val="18"/>
                <w:szCs w:val="18"/>
                <w:color w:val="auto"/>
              </w:rPr>
              <w:t>Lawrence A. Oberman</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10640" w:type="dxa"/>
            <w:vAlign w:val="bottom"/>
          </w:tcPr>
          <w:p>
            <w:pPr>
              <w:spacing w:after="0"/>
              <w:rPr>
                <w:sz w:val="20"/>
                <w:szCs w:val="20"/>
                <w:color w:val="auto"/>
              </w:rPr>
            </w:pPr>
            <w:r>
              <w:rPr>
                <w:rFonts w:ascii="Arial" w:cs="Arial" w:eastAsia="Arial" w:hAnsi="Arial"/>
                <w:sz w:val="18"/>
                <w:szCs w:val="18"/>
                <w:color w:val="auto"/>
              </w:rPr>
              <w:t>Executive Vice President and Director of</w:t>
            </w:r>
          </w:p>
        </w:tc>
      </w:tr>
      <w:tr>
        <w:trPr>
          <w:trHeight w:val="216"/>
        </w:trPr>
        <w:tc>
          <w:tcPr>
            <w:tcW w:w="780" w:type="dxa"/>
            <w:vAlign w:val="bottom"/>
          </w:tcPr>
          <w:p>
            <w:pPr>
              <w:spacing w:after="0"/>
              <w:rPr>
                <w:sz w:val="18"/>
                <w:szCs w:val="18"/>
                <w:color w:val="auto"/>
              </w:rPr>
            </w:pPr>
          </w:p>
        </w:tc>
        <w:tc>
          <w:tcPr>
            <w:tcW w:w="10640" w:type="dxa"/>
            <w:vAlign w:val="bottom"/>
          </w:tcPr>
          <w:p>
            <w:pPr>
              <w:spacing w:after="0"/>
              <w:rPr>
                <w:sz w:val="20"/>
                <w:szCs w:val="20"/>
                <w:color w:val="auto"/>
              </w:rPr>
            </w:pPr>
            <w:r>
              <w:rPr>
                <w:rFonts w:ascii="Arial" w:cs="Arial" w:eastAsia="Arial" w:hAnsi="Arial"/>
                <w:sz w:val="18"/>
                <w:szCs w:val="18"/>
                <w:color w:val="auto"/>
              </w:rPr>
              <w:t>Trigran Investments, Inc., the General Partner</w:t>
            </w:r>
          </w:p>
        </w:tc>
      </w:tr>
      <w:tr>
        <w:trPr>
          <w:trHeight w:val="230"/>
        </w:trPr>
        <w:tc>
          <w:tcPr>
            <w:tcW w:w="780" w:type="dxa"/>
            <w:vAlign w:val="bottom"/>
          </w:tcPr>
          <w:p>
            <w:pPr>
              <w:spacing w:after="0"/>
              <w:rPr>
                <w:sz w:val="20"/>
                <w:szCs w:val="20"/>
                <w:color w:val="auto"/>
              </w:rPr>
            </w:pPr>
          </w:p>
        </w:tc>
        <w:tc>
          <w:tcPr>
            <w:tcW w:w="10640" w:type="dxa"/>
            <w:vAlign w:val="bottom"/>
          </w:tcPr>
          <w:p>
            <w:pPr>
              <w:spacing w:after="0"/>
              <w:rPr>
                <w:sz w:val="20"/>
                <w:szCs w:val="20"/>
                <w:color w:val="auto"/>
              </w:rPr>
            </w:pPr>
            <w:r>
              <w:rPr>
                <w:rFonts w:ascii="Arial" w:cs="Arial" w:eastAsia="Arial" w:hAnsi="Arial"/>
                <w:sz w:val="18"/>
                <w:szCs w:val="18"/>
                <w:color w:val="auto"/>
              </w:rPr>
              <w:t>of Trigran Investments, L.P.</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39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o"/>
      <w:numFmt w:val="bullet"/>
      <w:start w:val="1"/>
    </w:lvl>
  </w:abstractNum>
  <w:abstractNum w:abstractNumId="1">
    <w:nsid w:val="2EB141F2"/>
    <w:multiLevelType w:val="hybridMultilevel"/>
    <w:lvl w:ilvl="0">
      <w:lvlJc w:val="left"/>
      <w:lvlText w:val="%1."/>
      <w:numFmt w:val="decimal"/>
      <w:start w:val="1"/>
    </w:lvl>
  </w:abstractNum>
  <w:abstractNum w:abstractNumId="2">
    <w:nsid w:val="41B71EFB"/>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3">
    <w:nsid w:val="79E2A9E3"/>
    <w:multiLevelType w:val="hybridMultilevel"/>
    <w:lvl w:ilvl="0">
      <w:lvlJc w:val="left"/>
      <w:lvlText w:val="%1."/>
      <w:numFmt w:val="decimal"/>
      <w:start w:val="3"/>
    </w:lvl>
    <w:lvl w:ilvl="1">
      <w:lvlJc w:val="left"/>
      <w:lvlText w:val="%2"/>
      <w:numFmt w:val="lowerLetter"/>
      <w:start w:val="1"/>
    </w:lvl>
    <w:lvl w:ilvl="2">
      <w:lvlJc w:val="left"/>
      <w:lvlText w:val="%3."/>
      <w:numFmt w:val="decimal"/>
      <w:start w:val="5"/>
    </w:lvl>
  </w:abstractNum>
  <w:abstractNum w:abstractNumId="4">
    <w:nsid w:val="7545E146"/>
    <w:multiLevelType w:val="hybridMultilevel"/>
    <w:lvl w:ilvl="0">
      <w:lvlJc w:val="left"/>
      <w:lvlText w:val="%1"/>
      <w:numFmt w:val="decimal"/>
      <w:start w:val="1"/>
    </w:lvl>
    <w:lvl w:ilvl="1">
      <w:lvlJc w:val="left"/>
      <w:lvlText w:val="%2."/>
      <w:numFmt w:val="decimal"/>
      <w:start w:val="8"/>
    </w:lvl>
  </w:abstractNum>
  <w:abstractNum w:abstractNumId="5">
    <w:nsid w:val="515F007C"/>
    <w:multiLevelType w:val="hybridMultilevel"/>
    <w:lvl w:ilvl="0">
      <w:lvlJc w:val="left"/>
      <w:lvlText w:val="%1."/>
      <w:numFmt w:val="decimal"/>
      <w:start w:val="9"/>
    </w:lvl>
    <w:lvl w:ilvl="1">
      <w:lvlJc w:val="left"/>
      <w:lvlText w:val="%2"/>
      <w:numFmt w:val="decimal"/>
      <w:start w:val="1"/>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lowerRoman"/>
      <w:start w:val="1"/>
    </w:lvl>
  </w:abstractNum>
  <w:abstractNum w:abstractNumId="9">
    <w:nsid w:val="216231B"/>
    <w:multiLevelType w:val="hybridMultilevel"/>
    <w:lvl w:ilvl="0">
      <w:lvlJc w:val="left"/>
      <w:lvlText w:val="(%1)"/>
      <w:numFmt w:val="lowerRoman"/>
      <w:start w:val="2"/>
    </w:lvl>
  </w:abstractNum>
  <w:abstractNum w:abstractNumId="10">
    <w:nsid w:val="1F16E9E8"/>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2019-11-29T20:58:23Z</dcterms:created>
  <dcterms:modified xsi:type="dcterms:W3CDTF">2019-11-29T20:58:23Z</dcterms:modified>
</cp:coreProperties>
</file>