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360"/>
        <w:spacing w:after="0"/>
        <w:rPr>
          <w:sz w:val="20"/>
          <w:szCs w:val="20"/>
          <w:color w:val="auto"/>
        </w:rPr>
      </w:pPr>
      <w:r>
        <w:rPr>
          <w:rFonts w:ascii="Arial" w:cs="Arial" w:eastAsia="Arial" w:hAnsi="Arial"/>
          <w:sz w:val="24"/>
          <w:szCs w:val="24"/>
          <w:color w:val="273D86"/>
        </w:rPr>
        <w:drawing>
          <wp:anchor simplePos="0" relativeHeight="251657728" behindDoc="1" locked="0" layoutInCell="0" allowOverlap="1">
            <wp:simplePos x="0" y="0"/>
            <wp:positionH relativeFrom="page">
              <wp:posOffset>114300</wp:posOffset>
            </wp:positionH>
            <wp:positionV relativeFrom="page">
              <wp:posOffset>114300</wp:posOffset>
            </wp:positionV>
            <wp:extent cx="432181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21810" cy="9829800"/>
                    </a:xfrm>
                    <a:prstGeom prst="rect">
                      <a:avLst/>
                    </a:prstGeom>
                    <a:noFill/>
                  </pic:spPr>
                </pic:pic>
              </a:graphicData>
            </a:graphic>
          </wp:anchor>
        </w:drawing>
        <w:t>2022 ANNUAL REPORT</w:t>
      </w:r>
    </w:p>
    <w:p>
      <w:pPr>
        <w:spacing w:after="0" w:line="2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right"/>
        <w:ind w:left="6200"/>
        <w:spacing w:after="0" w:line="266" w:lineRule="auto"/>
        <w:rPr>
          <w:sz w:val="20"/>
          <w:szCs w:val="20"/>
          <w:color w:val="auto"/>
        </w:rPr>
      </w:pPr>
      <w:r>
        <w:rPr>
          <w:rFonts w:ascii="Arial" w:cs="Arial" w:eastAsia="Arial" w:hAnsi="Arial"/>
          <w:sz w:val="52"/>
          <w:szCs w:val="52"/>
          <w:color w:val="273D86"/>
        </w:rPr>
        <w:t>Maximizing Growth Through Transformation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5017135</wp:posOffset>
            </wp:positionH>
            <wp:positionV relativeFrom="paragraph">
              <wp:posOffset>3395980</wp:posOffset>
            </wp:positionV>
            <wp:extent cx="1317625"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7625" cy="505460"/>
                    </a:xfrm>
                    <a:prstGeom prst="rect">
                      <a:avLst/>
                    </a:prstGeom>
                    <a:noFill/>
                  </pic:spPr>
                </pic:pic>
              </a:graphicData>
            </a:graphic>
          </wp:anchor>
        </w:drawing>
      </w:r>
    </w:p>
    <w:p>
      <w:pPr>
        <w:sectPr>
          <w:pgSz w:w="12240" w:h="15840" w:orient="portrait"/>
          <w:cols w:equalWidth="0" w:num="1">
            <w:col w:w="10020"/>
          </w:cols>
          <w:pgMar w:left="1440" w:top="683" w:right="780" w:bottom="1440" w:gutter="0" w:footer="0" w:header="0"/>
        </w:sectPr>
      </w:pPr>
    </w:p>
    <w:bookmarkStart w:id="1" w:name="page2"/>
    <w:bookmarkEnd w:id="1"/>
    <w:p>
      <w:pPr>
        <w:ind w:left="600"/>
        <w:spacing w:after="0"/>
        <w:rPr>
          <w:sz w:val="20"/>
          <w:szCs w:val="20"/>
          <w:color w:val="auto"/>
        </w:rPr>
      </w:pPr>
      <w:r>
        <w:rPr>
          <w:rFonts w:ascii="Arial" w:cs="Arial" w:eastAsia="Arial" w:hAnsi="Arial"/>
          <w:sz w:val="38"/>
          <w:szCs w:val="38"/>
          <w:b w:val="1"/>
          <w:bCs w:val="1"/>
          <w:color w:val="273D86"/>
        </w:rPr>
        <w:t>Our Mission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365760" cy="370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5760" cy="370840"/>
                    </a:xfrm>
                    <a:prstGeom prst="rect">
                      <a:avLst/>
                    </a:prstGeom>
                    <a:noFill/>
                  </pic:spPr>
                </pic:pic>
              </a:graphicData>
            </a:graphic>
          </wp:anchor>
        </w:drawing>
      </w:r>
    </w:p>
    <w:p>
      <w:pPr>
        <w:spacing w:after="0" w:line="160" w:lineRule="exact"/>
        <w:rPr>
          <w:sz w:val="20"/>
          <w:szCs w:val="20"/>
          <w:color w:val="auto"/>
        </w:rPr>
      </w:pPr>
    </w:p>
    <w:p>
      <w:pPr>
        <w:ind w:left="600" w:right="1600"/>
        <w:spacing w:after="0" w:line="308" w:lineRule="auto"/>
        <w:rPr>
          <w:sz w:val="20"/>
          <w:szCs w:val="20"/>
          <w:color w:val="auto"/>
        </w:rPr>
      </w:pPr>
      <w:r>
        <w:rPr>
          <w:rFonts w:ascii="Arial" w:cs="Arial" w:eastAsia="Arial" w:hAnsi="Arial"/>
          <w:sz w:val="25"/>
          <w:szCs w:val="25"/>
          <w:b w:val="1"/>
          <w:bCs w:val="1"/>
          <w:color w:val="273D86"/>
        </w:rPr>
        <w:t>Passionate About What We Do And Why We Do It ...</w:t>
      </w:r>
    </w:p>
    <w:p>
      <w:pPr>
        <w:spacing w:after="0" w:line="200" w:lineRule="exact"/>
        <w:rPr>
          <w:sz w:val="20"/>
          <w:szCs w:val="20"/>
          <w:color w:val="auto"/>
        </w:rPr>
      </w:pPr>
    </w:p>
    <w:p>
      <w:pPr>
        <w:spacing w:after="0" w:line="230"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273D86"/>
        </w:rPr>
        <w:t>We Protect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-177800</wp:posOffset>
            </wp:positionV>
            <wp:extent cx="611505" cy="62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505" cy="627380"/>
                    </a:xfrm>
                    <a:prstGeom prst="rect">
                      <a:avLst/>
                    </a:prstGeom>
                    <a:noFill/>
                  </pic:spPr>
                </pic:pic>
              </a:graphicData>
            </a:graphic>
          </wp:anchor>
        </w:drawing>
      </w:r>
    </w:p>
    <w:p>
      <w:pPr>
        <w:spacing w:after="0" w:line="60" w:lineRule="exact"/>
        <w:rPr>
          <w:sz w:val="20"/>
          <w:szCs w:val="20"/>
          <w:color w:val="auto"/>
        </w:rPr>
      </w:pPr>
    </w:p>
    <w:p>
      <w:pPr>
        <w:ind w:left="1240" w:right="900" w:firstLine="1"/>
        <w:spacing w:after="0" w:line="282" w:lineRule="auto"/>
        <w:rPr>
          <w:sz w:val="20"/>
          <w:szCs w:val="20"/>
          <w:color w:val="auto"/>
        </w:rPr>
      </w:pPr>
      <w:r>
        <w:rPr>
          <w:rFonts w:ascii="Arial" w:cs="Arial" w:eastAsia="Arial" w:hAnsi="Arial"/>
          <w:sz w:val="18"/>
          <w:szCs w:val="18"/>
          <w:color w:val="262626"/>
        </w:rPr>
        <w:t>Solving customer challenges to ensure their employees work in a safe and productive work environment</w:t>
      </w:r>
    </w:p>
    <w:p>
      <w:pPr>
        <w:spacing w:after="0" w:line="209"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273D86"/>
        </w:rPr>
        <w:t>We 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-144145</wp:posOffset>
            </wp:positionV>
            <wp:extent cx="608330" cy="581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330" cy="581025"/>
                    </a:xfrm>
                    <a:prstGeom prst="rect">
                      <a:avLst/>
                    </a:prstGeom>
                    <a:noFill/>
                  </pic:spPr>
                </pic:pic>
              </a:graphicData>
            </a:graphic>
          </wp:anchor>
        </w:drawing>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273D86"/>
        </w:rPr>
        <w:t>The Environment</w:t>
      </w:r>
    </w:p>
    <w:p>
      <w:pPr>
        <w:spacing w:after="0" w:line="91" w:lineRule="exact"/>
        <w:rPr>
          <w:sz w:val="20"/>
          <w:szCs w:val="20"/>
          <w:color w:val="auto"/>
        </w:rPr>
      </w:pPr>
    </w:p>
    <w:p>
      <w:pPr>
        <w:ind w:left="1240" w:right="900" w:hanging="1"/>
        <w:spacing w:after="0" w:line="320" w:lineRule="auto"/>
        <w:rPr>
          <w:sz w:val="20"/>
          <w:szCs w:val="20"/>
          <w:color w:val="auto"/>
        </w:rPr>
      </w:pPr>
      <w:r>
        <w:rPr>
          <w:rFonts w:ascii="Arial" w:cs="Arial" w:eastAsia="Arial" w:hAnsi="Arial"/>
          <w:sz w:val="18"/>
          <w:szCs w:val="18"/>
          <w:color w:val="262626"/>
        </w:rPr>
        <w:t>We minimize our environmental impact and help our global customers do the same</w:t>
      </w:r>
    </w:p>
    <w:p>
      <w:pPr>
        <w:spacing w:after="0" w:line="309"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273D86"/>
        </w:rPr>
        <w:t>We Protect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-176530</wp:posOffset>
            </wp:positionV>
            <wp:extent cx="544195" cy="581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195" cy="58102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27"/>
          <w:szCs w:val="27"/>
          <w:b w:val="1"/>
          <w:bCs w:val="1"/>
          <w:color w:val="273D86"/>
        </w:rPr>
        <w:t>Equipment and</w:t>
      </w:r>
    </w:p>
    <w:p>
      <w:pPr>
        <w:ind w:left="1240"/>
        <w:spacing w:after="0"/>
        <w:rPr>
          <w:sz w:val="20"/>
          <w:szCs w:val="20"/>
          <w:color w:val="auto"/>
        </w:rPr>
      </w:pPr>
      <w:r>
        <w:rPr>
          <w:rFonts w:ascii="Arial" w:cs="Arial" w:eastAsia="Arial" w:hAnsi="Arial"/>
          <w:sz w:val="27"/>
          <w:szCs w:val="27"/>
          <w:b w:val="1"/>
          <w:bCs w:val="1"/>
          <w:color w:val="273D86"/>
        </w:rPr>
        <w:t>Improve Process</w:t>
      </w:r>
    </w:p>
    <w:p>
      <w:pPr>
        <w:spacing w:after="0" w:line="91" w:lineRule="exact"/>
        <w:rPr>
          <w:sz w:val="20"/>
          <w:szCs w:val="20"/>
          <w:color w:val="auto"/>
        </w:rPr>
      </w:pPr>
    </w:p>
    <w:p>
      <w:pPr>
        <w:ind w:left="1240"/>
        <w:spacing w:after="0"/>
        <w:rPr>
          <w:sz w:val="20"/>
          <w:szCs w:val="20"/>
          <w:color w:val="auto"/>
        </w:rPr>
      </w:pPr>
      <w:r>
        <w:rPr>
          <w:rFonts w:ascii="Arial" w:cs="Arial" w:eastAsia="Arial" w:hAnsi="Arial"/>
          <w:sz w:val="18"/>
          <w:szCs w:val="18"/>
          <w:color w:val="262626"/>
        </w:rPr>
        <w:t>We help maximize our customer’s</w:t>
      </w:r>
    </w:p>
    <w:p>
      <w:pPr>
        <w:spacing w:after="0" w:line="17" w:lineRule="exact"/>
        <w:rPr>
          <w:sz w:val="20"/>
          <w:szCs w:val="20"/>
          <w:color w:val="auto"/>
        </w:rPr>
      </w:pPr>
    </w:p>
    <w:p>
      <w:pPr>
        <w:ind w:left="1240"/>
        <w:spacing w:after="0"/>
        <w:rPr>
          <w:sz w:val="20"/>
          <w:szCs w:val="20"/>
          <w:color w:val="auto"/>
        </w:rPr>
      </w:pPr>
      <w:r>
        <w:rPr>
          <w:rFonts w:ascii="Arial" w:cs="Arial" w:eastAsia="Arial" w:hAnsi="Arial"/>
          <w:sz w:val="18"/>
          <w:szCs w:val="18"/>
          <w:color w:val="262626"/>
        </w:rPr>
        <w:t>investment in their operating systems</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8"/>
          <w:szCs w:val="18"/>
          <w:color w:val="262626"/>
        </w:rPr>
        <w:t>and optimize their output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42"/>
          <w:szCs w:val="42"/>
          <w:b w:val="1"/>
          <w:bCs w:val="1"/>
          <w:color w:val="98B82F"/>
        </w:rPr>
        <w:t>Win</w:t>
      </w: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42"/>
          <w:szCs w:val="42"/>
          <w:b w:val="1"/>
          <w:bCs w:val="1"/>
          <w:color w:val="DD5D0C"/>
        </w:rPr>
        <w:t>Win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42"/>
          <w:szCs w:val="42"/>
          <w:b w:val="1"/>
          <w:bCs w:val="1"/>
          <w:color w:val="DD5D0C"/>
        </w:rPr>
        <w:t>Right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spacing w:after="0" w:line="421" w:lineRule="auto"/>
        <w:rPr>
          <w:sz w:val="20"/>
          <w:szCs w:val="20"/>
          <w:color w:val="auto"/>
        </w:rPr>
      </w:pPr>
      <w:r>
        <w:rPr>
          <w:rFonts w:ascii="Arial" w:cs="Arial" w:eastAsia="Arial" w:hAnsi="Arial"/>
          <w:sz w:val="18"/>
          <w:szCs w:val="18"/>
          <w:b w:val="1"/>
          <w:bCs w:val="1"/>
          <w:color w:val="FFFFFF"/>
        </w:rPr>
        <w:t>Customer First Accountability Relentless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-1686560</wp:posOffset>
            </wp:positionV>
            <wp:extent cx="3075940" cy="3526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75940" cy="35261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Respect</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Integrity</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Teamwork</w:t>
      </w:r>
    </w:p>
    <w:p>
      <w:pPr>
        <w:spacing w:after="0" w:line="1499" w:lineRule="exact"/>
        <w:rPr>
          <w:sz w:val="20"/>
          <w:szCs w:val="20"/>
          <w:color w:val="auto"/>
        </w:rPr>
      </w:pPr>
    </w:p>
    <w:p>
      <w:pPr>
        <w:sectPr>
          <w:pgSz w:w="12240" w:h="15840" w:orient="portrait"/>
          <w:cols w:equalWidth="0" w:num="3">
            <w:col w:w="5620" w:space="720"/>
            <w:col w:w="1140" w:space="260"/>
            <w:col w:w="2220"/>
          </w:cols>
          <w:pgMar w:left="840" w:top="820" w:right="1440"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sz w:val="1"/>
          <w:szCs w:val="1"/>
          <w:color w:val="auto"/>
        </w:rPr>
        <w:drawing>
          <wp:inline distT="0" distB="0" distL="0" distR="0">
            <wp:extent cx="365760" cy="3708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5760" cy="370840"/>
                    </a:xfrm>
                    <a:prstGeom prst="rect">
                      <a:avLst/>
                    </a:prstGeom>
                    <a:noFill/>
                    <a:ln>
                      <a:noFill/>
                    </a:ln>
                  </pic:spPr>
                </pic:pic>
              </a:graphicData>
            </a:graphic>
          </wp:inline>
        </w:drawing>
      </w:r>
      <w:r>
        <w:rPr>
          <w:rFonts w:ascii="Arial" w:cs="Arial" w:eastAsia="Arial" w:hAnsi="Arial"/>
          <w:sz w:val="38"/>
          <w:szCs w:val="38"/>
          <w:b w:val="1"/>
          <w:bCs w:val="1"/>
          <w:color w:val="273D86"/>
        </w:rPr>
        <w:t>Global Footprint … Serving Global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1375410</wp:posOffset>
            </wp:positionV>
            <wp:extent cx="120650" cy="177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650" cy="17716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875665</wp:posOffset>
            </wp:positionV>
            <wp:extent cx="3932555" cy="826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32555" cy="826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20"/>
        <w:spacing w:after="0"/>
        <w:rPr>
          <w:sz w:val="20"/>
          <w:szCs w:val="20"/>
          <w:color w:val="auto"/>
        </w:rPr>
      </w:pPr>
      <w:r>
        <w:rPr>
          <w:sz w:val="1"/>
          <w:szCs w:val="1"/>
          <w:color w:val="auto"/>
        </w:rPr>
        <w:drawing>
          <wp:inline distT="0" distB="0" distL="0" distR="0">
            <wp:extent cx="108585" cy="165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585" cy="165100"/>
                    </a:xfrm>
                    <a:prstGeom prst="rect">
                      <a:avLst/>
                    </a:prstGeom>
                    <a:noFill/>
                    <a:ln>
                      <a:noFill/>
                    </a:ln>
                  </pic:spPr>
                </pic:pic>
              </a:graphicData>
            </a:graphic>
          </wp:inline>
        </w:drawing>
      </w:r>
      <w:r>
        <w:rPr>
          <w:rFonts w:ascii="Arial" w:cs="Arial" w:eastAsia="Arial" w:hAnsi="Arial"/>
          <w:sz w:val="15"/>
          <w:szCs w:val="15"/>
          <w:color w:val="98B82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-162560</wp:posOffset>
            </wp:positionV>
            <wp:extent cx="108585" cy="165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585" cy="165100"/>
                    </a:xfrm>
                    <a:prstGeom prst="rect">
                      <a:avLst/>
                    </a:prstGeom>
                    <a:noFill/>
                  </pic:spPr>
                </pic:pic>
              </a:graphicData>
            </a:graphic>
          </wp:anchor>
        </w:drawing>
        <w:drawing>
          <wp:anchor simplePos="0" relativeHeight="251657728" behindDoc="1" locked="0" layoutInCell="0" allowOverlap="1">
            <wp:simplePos x="0" y="0"/>
            <wp:positionH relativeFrom="column">
              <wp:posOffset>4088765</wp:posOffset>
            </wp:positionH>
            <wp:positionV relativeFrom="paragraph">
              <wp:posOffset>-9525</wp:posOffset>
            </wp:positionV>
            <wp:extent cx="108585" cy="165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585" cy="16510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299720</wp:posOffset>
            </wp:positionV>
            <wp:extent cx="108585" cy="165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58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80"/>
        <w:spacing w:after="0"/>
        <w:rPr>
          <w:sz w:val="20"/>
          <w:szCs w:val="20"/>
          <w:color w:val="auto"/>
        </w:rPr>
      </w:pPr>
      <w:r>
        <w:rPr>
          <w:rFonts w:ascii="Arial" w:cs="Arial" w:eastAsia="Arial" w:hAnsi="Arial"/>
          <w:sz w:val="21"/>
          <w:szCs w:val="21"/>
          <w:color w:val="98B82F"/>
        </w:rPr>
        <w:t xml:space="preserve">+ </w:t>
      </w:r>
      <w:r>
        <w:rPr>
          <w:rFonts w:ascii="Arial" w:cs="Arial" w:eastAsia="Arial" w:hAnsi="Arial"/>
          <w:sz w:val="14"/>
          <w:szCs w:val="14"/>
          <w:b w:val="1"/>
          <w:bCs w:val="1"/>
          <w:color w:val="262626"/>
        </w:rPr>
        <w:t>Global Headquarters: Dallas, Texas  ~1,000 Employees worldwide</w:t>
      </w:r>
    </w:p>
    <w:p>
      <w:pPr>
        <w:spacing w:after="0" w:line="57" w:lineRule="exact"/>
        <w:rPr>
          <w:sz w:val="20"/>
          <w:szCs w:val="20"/>
          <w:color w:val="auto"/>
        </w:rPr>
      </w:pPr>
    </w:p>
    <w:p>
      <w:pPr>
        <w:ind w:left="3180"/>
        <w:spacing w:after="0"/>
        <w:tabs>
          <w:tab w:leader="none" w:pos="6120" w:val="left"/>
        </w:tabs>
        <w:rPr>
          <w:sz w:val="20"/>
          <w:szCs w:val="20"/>
          <w:color w:val="auto"/>
        </w:rPr>
      </w:pPr>
      <w:r>
        <w:rPr>
          <w:sz w:val="1"/>
          <w:szCs w:val="1"/>
          <w:color w:val="auto"/>
        </w:rPr>
        <w:drawing>
          <wp:inline distT="0" distB="0" distL="0" distR="0">
            <wp:extent cx="108585" cy="1651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585" cy="165100"/>
                    </a:xfrm>
                    <a:prstGeom prst="rect">
                      <a:avLst/>
                    </a:prstGeom>
                    <a:noFill/>
                    <a:ln>
                      <a:noFill/>
                    </a:ln>
                  </pic:spPr>
                </pic:pic>
              </a:graphicData>
            </a:graphic>
          </wp:inline>
        </w:drawing>
      </w:r>
      <w:r>
        <w:rPr>
          <w:rFonts w:ascii="Arial" w:cs="Arial" w:eastAsia="Arial" w:hAnsi="Arial"/>
          <w:sz w:val="15"/>
          <w:szCs w:val="15"/>
          <w:b w:val="1"/>
          <w:bCs w:val="1"/>
          <w:color w:val="262626"/>
        </w:rPr>
        <w:t xml:space="preserve"> Sales and Engineering</w:t>
      </w:r>
      <w:r>
        <w:rPr>
          <w:sz w:val="20"/>
          <w:szCs w:val="20"/>
          <w:color w:val="auto"/>
        </w:rPr>
        <w:tab/>
      </w:r>
      <w:r>
        <w:rPr>
          <w:rFonts w:ascii="Arial" w:cs="Arial" w:eastAsia="Arial" w:hAnsi="Arial"/>
          <w:sz w:val="15"/>
          <w:szCs w:val="15"/>
          <w:b w:val="1"/>
          <w:bCs w:val="1"/>
          <w:color w:val="262626"/>
        </w:rPr>
        <w:t>~60% are Engineers/Solution experts</w:t>
      </w:r>
    </w:p>
    <w:p>
      <w:pPr>
        <w:ind w:left="3140"/>
        <w:spacing w:after="0"/>
        <w:tabs>
          <w:tab w:leader="none" w:pos="6120" w:val="left"/>
        </w:tabs>
        <w:rPr>
          <w:sz w:val="20"/>
          <w:szCs w:val="20"/>
          <w:color w:val="auto"/>
        </w:rPr>
      </w:pPr>
      <w:r>
        <w:rPr>
          <w:sz w:val="1"/>
          <w:szCs w:val="1"/>
          <w:color w:val="auto"/>
        </w:rPr>
        <w:drawing>
          <wp:inline distT="0" distB="0" distL="0" distR="0">
            <wp:extent cx="161925" cy="2000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925" cy="200025"/>
                    </a:xfrm>
                    <a:prstGeom prst="rect">
                      <a:avLst/>
                    </a:prstGeom>
                    <a:noFill/>
                    <a:ln>
                      <a:noFill/>
                    </a:ln>
                  </pic:spPr>
                </pic:pic>
              </a:graphicData>
            </a:graphic>
          </wp:inline>
        </w:drawing>
      </w:r>
      <w:r>
        <w:rPr>
          <w:rFonts w:ascii="Arial" w:cs="Arial" w:eastAsia="Arial" w:hAnsi="Arial"/>
          <w:sz w:val="15"/>
          <w:szCs w:val="15"/>
          <w:b w:val="1"/>
          <w:bCs w:val="1"/>
          <w:color w:val="262626"/>
        </w:rPr>
        <w:t xml:space="preserve"> Manufacturing and Assembly</w:t>
      </w:r>
      <w:r>
        <w:rPr>
          <w:sz w:val="20"/>
          <w:szCs w:val="20"/>
          <w:color w:val="auto"/>
        </w:rPr>
        <w:tab/>
      </w:r>
      <w:r>
        <w:rPr>
          <w:rFonts w:ascii="Arial" w:cs="Arial" w:eastAsia="Arial" w:hAnsi="Arial"/>
          <w:sz w:val="15"/>
          <w:szCs w:val="15"/>
          <w:b w:val="1"/>
          <w:bCs w:val="1"/>
          <w:color w:val="262626"/>
        </w:rPr>
        <w:t>~35% International Sales</w:t>
      </w:r>
    </w:p>
    <w:p>
      <w:pPr>
        <w:sectPr>
          <w:pgSz w:w="12240" w:h="15840" w:orient="portrait"/>
          <w:cols w:equalWidth="0" w:num="1">
            <w:col w:w="9960"/>
          </w:cols>
          <w:pgMar w:left="840" w:top="820" w:right="1440" w:bottom="646" w:gutter="0" w:footer="0" w:header="0"/>
          <w:type w:val="continuous"/>
        </w:sectPr>
      </w:pPr>
    </w:p>
    <w:bookmarkStart w:id="2" w:name="page3"/>
    <w:bookmarkEnd w:id="2"/>
    <w:p>
      <w:pPr>
        <w:ind w:left="900"/>
        <w:spacing w:after="0"/>
        <w:rPr>
          <w:sz w:val="20"/>
          <w:szCs w:val="20"/>
          <w:color w:val="auto"/>
        </w:rPr>
      </w:pPr>
      <w:r>
        <w:rPr>
          <w:sz w:val="1"/>
          <w:szCs w:val="1"/>
          <w:color w:val="auto"/>
        </w:rPr>
        <mc:AlternateContent>
          <mc:Choice Requires="wps">
            <w:drawing>
              <wp:anchor simplePos="0" relativeHeight="251657728" behindDoc="1" locked="0" layoutInCell="0" allowOverlap="1">
                <wp:simplePos x="0" y="0"/>
                <wp:positionH relativeFrom="page">
                  <wp:posOffset>697865</wp:posOffset>
                </wp:positionH>
                <wp:positionV relativeFrom="page">
                  <wp:posOffset>609600</wp:posOffset>
                </wp:positionV>
                <wp:extent cx="6629400" cy="203327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9400" cy="2033270"/>
                        </a:xfrm>
                        <a:prstGeom prst="rect">
                          <a:avLst/>
                        </a:prstGeom>
                        <a:solidFill>
                          <a:srgbClr val="273D86"/>
                        </a:solidFill>
                      </wps:spPr>
                      <wps:bodyPr/>
                    </wps:wsp>
                  </a:graphicData>
                </a:graphic>
              </wp:anchor>
            </w:drawing>
          </mc:Choice>
          <mc:Fallback>
            <w:pict>
              <v:rect id="Shape 17" o:spid="_x0000_s1042" style="position:absolute;margin-left:54.95pt;margin-top:48pt;width:522pt;height:160.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273D86" stroked="f">
                <w10:wrap anchorx="page" anchory="page"/>
              </v:rect>
            </w:pict>
          </mc:Fallback>
        </mc:AlternateContent>
        <w:drawing>
          <wp:inline distT="0" distB="0" distL="0" distR="0">
            <wp:extent cx="353060" cy="3581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extLst>
                    </a:blip>
                    <a:srcRect/>
                    <a:stretch>
                      <a:fillRect/>
                    </a:stretch>
                  </pic:blipFill>
                  <pic:spPr bwMode="auto">
                    <a:xfrm>
                      <a:off x="0" y="0"/>
                      <a:ext cx="353060" cy="358140"/>
                    </a:xfrm>
                    <a:prstGeom prst="rect">
                      <a:avLst/>
                    </a:prstGeom>
                    <a:noFill/>
                    <a:ln>
                      <a:noFill/>
                    </a:ln>
                  </pic:spPr>
                </pic:pic>
              </a:graphicData>
            </a:graphic>
          </wp:inline>
        </w:drawing>
      </w:r>
      <w:r>
        <w:rPr>
          <w:rFonts w:ascii="Arial" w:cs="Arial" w:eastAsia="Arial" w:hAnsi="Arial"/>
          <w:sz w:val="40"/>
          <w:szCs w:val="40"/>
          <w:b w:val="1"/>
          <w:bCs w:val="1"/>
          <w:color w:val="FFFFFF"/>
        </w:rPr>
        <w:t>Advancing Our Strategy</w:t>
      </w:r>
    </w:p>
    <w:p>
      <w:pPr>
        <w:spacing w:after="0" w:line="271"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FFFFFF"/>
        </w:rPr>
        <w:t>CECO has a focused strategy to drive sustainable growth and deliver shareholder value:</w:t>
      </w:r>
    </w:p>
    <w:p>
      <w:pPr>
        <w:spacing w:after="0" w:line="170" w:lineRule="exact"/>
        <w:rPr>
          <w:sz w:val="20"/>
          <w:szCs w:val="20"/>
          <w:color w:val="auto"/>
        </w:rPr>
      </w:pPr>
    </w:p>
    <w:p>
      <w:pPr>
        <w:ind w:left="940"/>
        <w:spacing w:after="0" w:line="194" w:lineRule="exact"/>
        <w:rPr>
          <w:sz w:val="20"/>
          <w:szCs w:val="20"/>
          <w:color w:val="auto"/>
        </w:rPr>
      </w:pPr>
      <w:r>
        <w:rPr>
          <w:rFonts w:ascii="PMingLiU" w:cs="PMingLiU" w:eastAsia="PMingLiU" w:hAnsi="PMingLiU"/>
          <w:sz w:val="16"/>
          <w:szCs w:val="16"/>
          <w:color w:val="FFFFFF"/>
        </w:rPr>
        <w:t xml:space="preserve"> </w:t>
      </w:r>
      <w:r>
        <w:rPr>
          <w:rFonts w:ascii="Arial" w:cs="Arial" w:eastAsia="Arial" w:hAnsi="Arial"/>
          <w:sz w:val="16"/>
          <w:szCs w:val="16"/>
          <w:color w:val="FFFFFF"/>
        </w:rPr>
        <w:t xml:space="preserve"> Increasing leadership positions in </w:t>
      </w:r>
      <w:r>
        <w:rPr>
          <w:rFonts w:ascii="Arial" w:cs="Arial" w:eastAsia="Arial" w:hAnsi="Arial"/>
          <w:sz w:val="16"/>
          <w:szCs w:val="16"/>
          <w:i w:val="1"/>
          <w:iCs w:val="1"/>
          <w:color w:val="FFFFFF"/>
        </w:rPr>
        <w:t>Industrial Air, Industrial Water</w:t>
      </w:r>
      <w:r>
        <w:rPr>
          <w:rFonts w:ascii="Arial" w:cs="Arial" w:eastAsia="Arial" w:hAnsi="Arial"/>
          <w:sz w:val="16"/>
          <w:szCs w:val="16"/>
          <w:color w:val="FFFFFF"/>
        </w:rPr>
        <w:t xml:space="preserve"> and </w:t>
      </w:r>
      <w:r>
        <w:rPr>
          <w:rFonts w:ascii="Arial" w:cs="Arial" w:eastAsia="Arial" w:hAnsi="Arial"/>
          <w:sz w:val="16"/>
          <w:szCs w:val="16"/>
          <w:i w:val="1"/>
          <w:iCs w:val="1"/>
          <w:color w:val="FFFFFF"/>
        </w:rPr>
        <w:t>Energy Transition</w:t>
      </w:r>
      <w:r>
        <w:rPr>
          <w:rFonts w:ascii="Arial" w:cs="Arial" w:eastAsia="Arial" w:hAnsi="Arial"/>
          <w:sz w:val="16"/>
          <w:szCs w:val="16"/>
          <w:color w:val="FFFFFF"/>
        </w:rPr>
        <w:t xml:space="preserve"> as outlined below.</w:t>
      </w:r>
    </w:p>
    <w:p>
      <w:pPr>
        <w:spacing w:after="0" w:line="88" w:lineRule="exact"/>
        <w:rPr>
          <w:sz w:val="20"/>
          <w:szCs w:val="20"/>
          <w:color w:val="auto"/>
        </w:rPr>
      </w:pPr>
    </w:p>
    <w:p>
      <w:pPr>
        <w:ind w:left="1120" w:right="1040" w:hanging="179"/>
        <w:spacing w:after="0" w:line="220" w:lineRule="exact"/>
        <w:rPr>
          <w:sz w:val="20"/>
          <w:szCs w:val="20"/>
          <w:color w:val="auto"/>
        </w:rPr>
      </w:pPr>
      <w:r>
        <w:rPr>
          <w:rFonts w:ascii="PMingLiU" w:cs="PMingLiU" w:eastAsia="PMingLiU" w:hAnsi="PMingLiU"/>
          <w:sz w:val="16"/>
          <w:szCs w:val="16"/>
          <w:color w:val="FFFFFF"/>
        </w:rPr>
        <w:t xml:space="preserve"> </w:t>
      </w:r>
      <w:r>
        <w:rPr>
          <w:rFonts w:ascii="Arial" w:cs="Arial" w:eastAsia="Arial" w:hAnsi="Arial"/>
          <w:sz w:val="16"/>
          <w:szCs w:val="16"/>
          <w:color w:val="FFFFFF"/>
        </w:rPr>
        <w:t xml:space="preserve"> Invest in organic and inorganic growth opportunities to drive a </w:t>
      </w:r>
      <w:r>
        <w:rPr>
          <w:rFonts w:ascii="Arial" w:cs="Arial" w:eastAsia="Arial" w:hAnsi="Arial"/>
          <w:sz w:val="16"/>
          <w:szCs w:val="16"/>
          <w:i w:val="1"/>
          <w:iCs w:val="1"/>
          <w:color w:val="FFFFFF"/>
        </w:rPr>
        <w:t>more balanced revenue mix</w:t>
      </w:r>
      <w:r>
        <w:rPr>
          <w:rFonts w:ascii="Arial" w:cs="Arial" w:eastAsia="Arial" w:hAnsi="Arial"/>
          <w:sz w:val="16"/>
          <w:szCs w:val="16"/>
          <w:color w:val="FFFFFF"/>
        </w:rPr>
        <w:t xml:space="preserve"> of both longer-cycle and shorter-cycle businesses</w:t>
      </w:r>
    </w:p>
    <w:p>
      <w:pPr>
        <w:spacing w:after="0" w:line="35" w:lineRule="exact"/>
        <w:rPr>
          <w:sz w:val="20"/>
          <w:szCs w:val="20"/>
          <w:color w:val="auto"/>
        </w:rPr>
      </w:pPr>
    </w:p>
    <w:p>
      <w:pPr>
        <w:ind w:left="940"/>
        <w:spacing w:after="0" w:line="194" w:lineRule="exact"/>
        <w:rPr>
          <w:sz w:val="20"/>
          <w:szCs w:val="20"/>
          <w:color w:val="auto"/>
        </w:rPr>
      </w:pPr>
      <w:r>
        <w:rPr>
          <w:rFonts w:ascii="PMingLiU" w:cs="PMingLiU" w:eastAsia="PMingLiU" w:hAnsi="PMingLiU"/>
          <w:sz w:val="16"/>
          <w:szCs w:val="16"/>
          <w:color w:val="FFFFFF"/>
        </w:rPr>
        <w:t xml:space="preserve"> </w:t>
      </w:r>
      <w:r>
        <w:rPr>
          <w:rFonts w:ascii="Arial" w:cs="Arial" w:eastAsia="Arial" w:hAnsi="Arial"/>
          <w:sz w:val="16"/>
          <w:szCs w:val="16"/>
          <w:color w:val="FFFFFF"/>
        </w:rPr>
        <w:t xml:space="preserve"> 4HPU[HPU</w:t>
      </w:r>
      <w:r>
        <w:rPr>
          <w:rFonts w:ascii="PMingLiU" w:cs="PMingLiU" w:eastAsia="PMingLiU" w:hAnsi="PMingLiU"/>
          <w:sz w:val="16"/>
          <w:szCs w:val="16"/>
          <w:color w:val="FFFFFF"/>
        </w:rPr>
        <w:t/>
      </w:r>
      <w:r>
        <w:rPr>
          <w:rFonts w:ascii="Arial" w:cs="Arial" w:eastAsia="Arial" w:hAnsi="Arial"/>
          <w:sz w:val="16"/>
          <w:szCs w:val="16"/>
          <w:color w:val="FFFFFF"/>
        </w:rPr>
        <w:t>IHSHUJL</w:t>
      </w:r>
      <w:r>
        <w:rPr>
          <w:rFonts w:ascii="PMingLiU" w:cs="PMingLiU" w:eastAsia="PMingLiU" w:hAnsi="PMingLiU"/>
          <w:sz w:val="16"/>
          <w:szCs w:val="16"/>
          <w:color w:val="FFFFFF"/>
        </w:rPr>
        <w:t/>
      </w:r>
      <w:r>
        <w:rPr>
          <w:rFonts w:ascii="Arial" w:cs="Arial" w:eastAsia="Arial" w:hAnsi="Arial"/>
          <w:sz w:val="16"/>
          <w:szCs w:val="16"/>
          <w:color w:val="FFFFFF"/>
        </w:rPr>
        <w:t>ZOLL[</w:t>
      </w:r>
      <w:r>
        <w:rPr>
          <w:rFonts w:ascii="PMingLiU" w:cs="PMingLiU" w:eastAsia="PMingLiU" w:hAnsi="PMingLiU"/>
          <w:sz w:val="16"/>
          <w:szCs w:val="16"/>
          <w:color w:val="FFFFFF"/>
        </w:rPr>
        <w:t/>
      </w:r>
      <w:r>
        <w:rPr>
          <w:rFonts w:ascii="Arial" w:cs="Arial" w:eastAsia="Arial" w:hAnsi="Arial"/>
          <w:sz w:val="16"/>
          <w:szCs w:val="16"/>
          <w:color w:val="FFFFFF"/>
        </w:rPr>
        <w:t>OLHS[O</w:t>
      </w:r>
      <w:r>
        <w:rPr>
          <w:rFonts w:ascii="PMingLiU" w:cs="PMingLiU" w:eastAsia="PMingLiU" w:hAnsi="PMingLiU"/>
          <w:sz w:val="16"/>
          <w:szCs w:val="16"/>
          <w:color w:val="FFFFFF"/>
        </w:rPr>
        <w:t/>
      </w:r>
      <w:r>
        <w:rPr>
          <w:rFonts w:ascii="Arial" w:cs="Arial" w:eastAsia="Arial" w:hAnsi="Arial"/>
          <w:sz w:val="16"/>
          <w:szCs w:val="16"/>
          <w:color w:val="FFFFFF"/>
        </w:rPr>
        <w:t>MVY</w:t>
      </w:r>
      <w:r>
        <w:rPr>
          <w:rFonts w:ascii="PMingLiU" w:cs="PMingLiU" w:eastAsia="PMingLiU" w:hAnsi="PMingLiU"/>
          <w:sz w:val="16"/>
          <w:szCs w:val="16"/>
          <w:color w:val="FFFFFF"/>
        </w:rPr>
        <w:t/>
      </w:r>
      <w:r>
        <w:rPr>
          <w:rFonts w:ascii="Arial" w:cs="Arial" w:eastAsia="Arial" w:hAnsi="Arial"/>
          <w:sz w:val="16"/>
          <w:szCs w:val="16"/>
          <w:color w:val="FFFFFF"/>
        </w:rPr>
        <w:t>TH_PT\T</w:t>
      </w:r>
      <w:r>
        <w:rPr>
          <w:rFonts w:ascii="PMingLiU" w:cs="PMingLiU" w:eastAsia="PMingLiU" w:hAnsi="PMingLiU"/>
          <w:sz w:val="16"/>
          <w:szCs w:val="16"/>
          <w:color w:val="FFFFFF"/>
        </w:rPr>
        <w:t/>
      </w:r>
      <w:r>
        <w:rPr>
          <w:rFonts w:ascii="Arial" w:cs="Arial" w:eastAsia="Arial" w:hAnsi="Arial"/>
          <w:sz w:val="16"/>
          <w:szCs w:val="16"/>
          <w:color w:val="FFFFFF"/>
        </w:rPr>
        <w:t>Å</w:t>
      </w:r>
      <w:r>
        <w:rPr>
          <w:rFonts w:ascii="PMingLiU" w:cs="PMingLiU" w:eastAsia="PMingLiU" w:hAnsi="PMingLiU"/>
          <w:sz w:val="16"/>
          <w:szCs w:val="16"/>
          <w:color w:val="FFFFFF"/>
        </w:rPr>
        <w:t/>
      </w:r>
      <w:r>
        <w:rPr>
          <w:rFonts w:ascii="Arial" w:cs="Arial" w:eastAsia="Arial" w:hAnsi="Arial"/>
          <w:sz w:val="16"/>
          <w:szCs w:val="16"/>
          <w:color w:val="FFFFFF"/>
        </w:rPr>
        <w:t>L_PIPSP[`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312"/>
        </w:trPr>
        <w:tc>
          <w:tcPr>
            <w:tcW w:w="2460" w:type="dxa"/>
            <w:vAlign w:val="bottom"/>
            <w:vMerge w:val="restart"/>
          </w:tcPr>
          <w:p>
            <w:pPr>
              <w:jc w:val="center"/>
              <w:ind w:right="9"/>
              <w:spacing w:after="0"/>
              <w:rPr>
                <w:sz w:val="20"/>
                <w:szCs w:val="20"/>
                <w:color w:val="auto"/>
              </w:rPr>
            </w:pPr>
            <w:r>
              <w:rPr>
                <w:rFonts w:ascii="Arial" w:cs="Arial" w:eastAsia="Arial" w:hAnsi="Arial"/>
                <w:sz w:val="26"/>
                <w:szCs w:val="26"/>
                <w:b w:val="1"/>
                <w:bCs w:val="1"/>
                <w:color w:val="273D86"/>
              </w:rPr>
              <w:t>Our Portfolio</w:t>
            </w:r>
          </w:p>
        </w:tc>
        <w:tc>
          <w:tcPr>
            <w:tcW w:w="3060" w:type="dxa"/>
            <w:vAlign w:val="bottom"/>
            <w:gridSpan w:val="2"/>
            <w:vMerge w:val="restart"/>
          </w:tcPr>
          <w:p>
            <w:pPr>
              <w:ind w:left="500"/>
              <w:spacing w:after="0"/>
              <w:rPr>
                <w:sz w:val="20"/>
                <w:szCs w:val="20"/>
                <w:color w:val="auto"/>
              </w:rPr>
            </w:pPr>
            <w:r>
              <w:rPr>
                <w:rFonts w:ascii="Arial" w:cs="Arial" w:eastAsia="Arial" w:hAnsi="Arial"/>
                <w:sz w:val="26"/>
                <w:szCs w:val="26"/>
                <w:b w:val="1"/>
                <w:bCs w:val="1"/>
                <w:color w:val="273D86"/>
              </w:rPr>
              <w:t>Select Brands</w:t>
            </w:r>
          </w:p>
        </w:tc>
        <w:tc>
          <w:tcPr>
            <w:tcW w:w="4860" w:type="dxa"/>
            <w:vAlign w:val="bottom"/>
            <w:gridSpan w:val="5"/>
          </w:tcPr>
          <w:p>
            <w:pPr>
              <w:ind w:left="1080"/>
              <w:spacing w:after="0"/>
              <w:rPr>
                <w:sz w:val="20"/>
                <w:szCs w:val="20"/>
                <w:color w:val="auto"/>
              </w:rPr>
            </w:pPr>
            <w:r>
              <w:rPr>
                <w:rFonts w:ascii="Arial" w:cs="Arial" w:eastAsia="Arial" w:hAnsi="Arial"/>
                <w:sz w:val="26"/>
                <w:szCs w:val="26"/>
                <w:b w:val="1"/>
                <w:bCs w:val="1"/>
                <w:color w:val="273D86"/>
              </w:rPr>
              <w:t>Typical Applications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460" w:type="dxa"/>
            <w:vAlign w:val="bottom"/>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26"/>
                <w:szCs w:val="26"/>
                <w:b w:val="1"/>
                <w:bCs w:val="1"/>
                <w:color w:val="273D86"/>
                <w:w w:val="99"/>
              </w:rPr>
              <w:t>&amp; End Markets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460" w:type="dxa"/>
            <w:vAlign w:val="bottom"/>
            <w:tcBorders>
              <w:bottom w:val="single" w:sz="8" w:color="98B82F"/>
            </w:tcBorders>
          </w:tcPr>
          <w:p>
            <w:pPr>
              <w:spacing w:after="0"/>
              <w:rPr>
                <w:sz w:val="5"/>
                <w:szCs w:val="5"/>
                <w:color w:val="auto"/>
              </w:rPr>
            </w:pPr>
          </w:p>
        </w:tc>
        <w:tc>
          <w:tcPr>
            <w:tcW w:w="2760" w:type="dxa"/>
            <w:vAlign w:val="bottom"/>
            <w:tcBorders>
              <w:bottom w:val="single" w:sz="8" w:color="98B82F"/>
            </w:tcBorders>
          </w:tcPr>
          <w:p>
            <w:pPr>
              <w:spacing w:after="0"/>
              <w:rPr>
                <w:sz w:val="5"/>
                <w:szCs w:val="5"/>
                <w:color w:val="auto"/>
              </w:rPr>
            </w:pPr>
          </w:p>
        </w:tc>
        <w:tc>
          <w:tcPr>
            <w:tcW w:w="1700" w:type="dxa"/>
            <w:vAlign w:val="bottom"/>
            <w:tcBorders>
              <w:bottom w:val="single" w:sz="8" w:color="98B82F"/>
            </w:tcBorders>
            <w:gridSpan w:val="2"/>
          </w:tcPr>
          <w:p>
            <w:pPr>
              <w:spacing w:after="0"/>
              <w:rPr>
                <w:sz w:val="5"/>
                <w:szCs w:val="5"/>
                <w:color w:val="auto"/>
              </w:rPr>
            </w:pPr>
          </w:p>
        </w:tc>
        <w:tc>
          <w:tcPr>
            <w:tcW w:w="1840" w:type="dxa"/>
            <w:vAlign w:val="bottom"/>
            <w:tcBorders>
              <w:bottom w:val="single" w:sz="8" w:color="98B82F"/>
            </w:tcBorders>
            <w:gridSpan w:val="2"/>
          </w:tcPr>
          <w:p>
            <w:pPr>
              <w:spacing w:after="0"/>
              <w:rPr>
                <w:sz w:val="5"/>
                <w:szCs w:val="5"/>
                <w:color w:val="auto"/>
              </w:rPr>
            </w:pPr>
          </w:p>
        </w:tc>
        <w:tc>
          <w:tcPr>
            <w:tcW w:w="140" w:type="dxa"/>
            <w:vAlign w:val="bottom"/>
            <w:tcBorders>
              <w:bottom w:val="single" w:sz="8" w:color="98B82F"/>
            </w:tcBorders>
          </w:tcPr>
          <w:p>
            <w:pPr>
              <w:spacing w:after="0"/>
              <w:rPr>
                <w:sz w:val="5"/>
                <w:szCs w:val="5"/>
                <w:color w:val="auto"/>
              </w:rPr>
            </w:pPr>
          </w:p>
        </w:tc>
        <w:tc>
          <w:tcPr>
            <w:tcW w:w="1480" w:type="dxa"/>
            <w:vAlign w:val="bottom"/>
            <w:tcBorders>
              <w:bottom w:val="single" w:sz="8" w:color="98B82F"/>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46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62626"/>
              </w:rPr>
              <w:t>Thermal Oxidation</w:t>
            </w: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62626"/>
              </w:rPr>
              <w:t>Mist Removal</w:t>
            </w:r>
          </w:p>
        </w:tc>
        <w:tc>
          <w:tcPr>
            <w:tcW w:w="140" w:type="dxa"/>
            <w:vAlign w:val="bottom"/>
            <w:vMerge w:val="restart"/>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vMerge w:val="restart"/>
          </w:tcPr>
          <w:p>
            <w:pPr>
              <w:ind w:left="60"/>
              <w:spacing w:after="0"/>
              <w:rPr>
                <w:sz w:val="20"/>
                <w:szCs w:val="20"/>
                <w:color w:val="auto"/>
              </w:rPr>
            </w:pPr>
            <w:r>
              <w:rPr>
                <w:rFonts w:ascii="Arial" w:cs="Arial" w:eastAsia="Arial" w:hAnsi="Arial"/>
                <w:sz w:val="14"/>
                <w:szCs w:val="14"/>
                <w:color w:val="262626"/>
              </w:rPr>
              <w:t>Cement &amp; Building</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460" w:type="dxa"/>
            <w:vAlign w:val="bottom"/>
            <w:tcBorders>
              <w:right w:val="single" w:sz="8" w:color="98B82F"/>
            </w:tcBorders>
          </w:tcPr>
          <w:p>
            <w:pPr>
              <w:spacing w:after="0"/>
              <w:rPr>
                <w:sz w:val="22"/>
                <w:szCs w:val="22"/>
                <w:color w:val="auto"/>
              </w:rPr>
            </w:pPr>
          </w:p>
        </w:tc>
        <w:tc>
          <w:tcPr>
            <w:tcW w:w="2760" w:type="dxa"/>
            <w:vAlign w:val="bottom"/>
            <w:tcBorders>
              <w:right w:val="single" w:sz="8" w:color="98B82F"/>
            </w:tcBorders>
          </w:tcPr>
          <w:p>
            <w:pPr>
              <w:spacing w:after="0"/>
              <w:rPr>
                <w:sz w:val="22"/>
                <w:szCs w:val="22"/>
                <w:color w:val="auto"/>
              </w:rPr>
            </w:pPr>
          </w:p>
        </w:tc>
        <w:tc>
          <w:tcPr>
            <w:tcW w:w="1700" w:type="dxa"/>
            <w:vAlign w:val="bottom"/>
            <w:gridSpan w:val="2"/>
            <w:vMerge w:val="continue"/>
          </w:tcPr>
          <w:p>
            <w:pPr>
              <w:spacing w:after="0"/>
              <w:rPr>
                <w:sz w:val="22"/>
                <w:szCs w:val="22"/>
                <w:color w:val="auto"/>
              </w:rPr>
            </w:pPr>
          </w:p>
        </w:tc>
        <w:tc>
          <w:tcPr>
            <w:tcW w:w="184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EV Battery (EV)</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Alum/Steel rolling</w:t>
            </w:r>
          </w:p>
        </w:tc>
        <w:tc>
          <w:tcPr>
            <w:tcW w:w="140" w:type="dxa"/>
            <w:vAlign w:val="bottom"/>
            <w:vMerge w:val="restart"/>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Materials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restart"/>
          </w:tcPr>
          <w:p>
            <w:pPr>
              <w:jc w:val="center"/>
              <w:ind w:right="29"/>
              <w:spacing w:after="0"/>
              <w:rPr>
                <w:sz w:val="20"/>
                <w:szCs w:val="20"/>
                <w:color w:val="auto"/>
              </w:rPr>
            </w:pPr>
            <w:r>
              <w:rPr>
                <w:rFonts w:ascii="Arial" w:cs="Arial" w:eastAsia="Arial" w:hAnsi="Arial"/>
                <w:sz w:val="26"/>
                <w:szCs w:val="26"/>
                <w:b w:val="1"/>
                <w:bCs w:val="1"/>
                <w:color w:val="273D86"/>
                <w:w w:val="99"/>
              </w:rPr>
              <w:t>Industrial Air</w:t>
            </w:r>
          </w:p>
        </w:tc>
        <w:tc>
          <w:tcPr>
            <w:tcW w:w="2760" w:type="dxa"/>
            <w:vAlign w:val="bottom"/>
            <w:tcBorders>
              <w:right w:val="single" w:sz="8" w:color="98B82F"/>
            </w:tcBorders>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Automotive</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Chemical processing</w:t>
            </w:r>
          </w:p>
        </w:tc>
        <w:tc>
          <w:tcPr>
            <w:tcW w:w="140" w:type="dxa"/>
            <w:vAlign w:val="bottom"/>
            <w:vMerge w:val="continue"/>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262626"/>
              </w:rPr>
              <w:t>Food Processing/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460" w:type="dxa"/>
            <w:vAlign w:val="bottom"/>
            <w:tcBorders>
              <w:right w:val="single" w:sz="8" w:color="98B82F"/>
            </w:tcBorders>
            <w:vMerge w:val="continue"/>
          </w:tcPr>
          <w:p>
            <w:pPr>
              <w:spacing w:after="0"/>
              <w:rPr>
                <w:sz w:val="20"/>
                <w:szCs w:val="20"/>
                <w:color w:val="auto"/>
              </w:rPr>
            </w:pPr>
          </w:p>
        </w:tc>
        <w:tc>
          <w:tcPr>
            <w:tcW w:w="2760" w:type="dxa"/>
            <w:vAlign w:val="bottom"/>
            <w:tcBorders>
              <w:right w:val="single" w:sz="8" w:color="98B82F"/>
            </w:tcBorders>
          </w:tcPr>
          <w:p>
            <w:pPr>
              <w:spacing w:after="0"/>
              <w:rPr>
                <w:sz w:val="20"/>
                <w:szCs w:val="20"/>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Beverage Can</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262626"/>
              </w:rPr>
              <w:t>Dust &amp; Particle</w:t>
            </w:r>
          </w:p>
        </w:tc>
        <w:tc>
          <w:tcPr>
            <w:tcW w:w="140" w:type="dxa"/>
            <w:vAlign w:val="bottom"/>
            <w:vMerge w:val="restart"/>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Milling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60" w:type="dxa"/>
            <w:vAlign w:val="bottom"/>
            <w:tcBorders>
              <w:right w:val="single" w:sz="8" w:color="98B82F"/>
            </w:tcBorders>
          </w:tcPr>
          <w:p>
            <w:pPr>
              <w:jc w:val="center"/>
              <w:ind w:right="49"/>
              <w:spacing w:after="0" w:line="68" w:lineRule="exact"/>
              <w:rPr>
                <w:sz w:val="20"/>
                <w:szCs w:val="20"/>
                <w:color w:val="auto"/>
              </w:rPr>
            </w:pPr>
            <w:r>
              <w:rPr>
                <w:rFonts w:ascii="Arial" w:cs="Arial" w:eastAsia="Arial" w:hAnsi="Arial"/>
                <w:sz w:val="7"/>
                <w:szCs w:val="7"/>
                <w:color w:val="262626"/>
              </w:rPr>
              <w:t>~ 45% of Portfolio</w:t>
            </w:r>
          </w:p>
        </w:tc>
        <w:tc>
          <w:tcPr>
            <w:tcW w:w="2760" w:type="dxa"/>
            <w:vAlign w:val="bottom"/>
            <w:tcBorders>
              <w:right w:val="single" w:sz="8" w:color="98B82F"/>
            </w:tcBorders>
          </w:tcPr>
          <w:p>
            <w:pPr>
              <w:spacing w:after="0"/>
              <w:rPr>
                <w:sz w:val="5"/>
                <w:szCs w:val="5"/>
                <w:color w:val="auto"/>
              </w:rPr>
            </w:pPr>
          </w:p>
        </w:tc>
        <w:tc>
          <w:tcPr>
            <w:tcW w:w="300" w:type="dxa"/>
            <w:vAlign w:val="bottom"/>
          </w:tcPr>
          <w:p>
            <w:pPr>
              <w:ind w:left="160"/>
              <w:spacing w:after="0" w:line="68" w:lineRule="exact"/>
              <w:rPr>
                <w:sz w:val="20"/>
                <w:szCs w:val="20"/>
                <w:color w:val="auto"/>
              </w:rPr>
            </w:pPr>
            <w:r>
              <w:rPr>
                <w:rFonts w:ascii="PMingLiU" w:cs="PMingLiU" w:eastAsia="PMingLiU" w:hAnsi="PMingLiU"/>
                <w:sz w:val="7"/>
                <w:szCs w:val="7"/>
                <w:color w:val="262626"/>
              </w:rPr>
              <w:t xml:space="preserve"> </w:t>
            </w:r>
          </w:p>
        </w:tc>
        <w:tc>
          <w:tcPr>
            <w:tcW w:w="1400" w:type="dxa"/>
            <w:vAlign w:val="bottom"/>
          </w:tcPr>
          <w:p>
            <w:pPr>
              <w:ind w:left="40"/>
              <w:spacing w:after="0" w:line="68" w:lineRule="exact"/>
              <w:rPr>
                <w:sz w:val="20"/>
                <w:szCs w:val="20"/>
                <w:color w:val="auto"/>
              </w:rPr>
            </w:pPr>
            <w:r>
              <w:rPr>
                <w:rFonts w:ascii="Arial" w:cs="Arial" w:eastAsia="Arial" w:hAnsi="Arial"/>
                <w:sz w:val="7"/>
                <w:szCs w:val="7"/>
                <w:color w:val="262626"/>
              </w:rPr>
              <w:t>Semiconductor</w:t>
            </w:r>
          </w:p>
        </w:tc>
        <w:tc>
          <w:tcPr>
            <w:tcW w:w="300" w:type="dxa"/>
            <w:vAlign w:val="bottom"/>
          </w:tcPr>
          <w:p>
            <w:pPr>
              <w:ind w:left="160"/>
              <w:spacing w:after="0" w:line="68" w:lineRule="exact"/>
              <w:rPr>
                <w:sz w:val="20"/>
                <w:szCs w:val="20"/>
                <w:color w:val="auto"/>
              </w:rPr>
            </w:pPr>
            <w:r>
              <w:rPr>
                <w:rFonts w:ascii="PMingLiU" w:cs="PMingLiU" w:eastAsia="PMingLiU" w:hAnsi="PMingLiU"/>
                <w:sz w:val="7"/>
                <w:szCs w:val="7"/>
                <w:color w:val="262626"/>
              </w:rPr>
              <w:t xml:space="preserve"> </w:t>
            </w:r>
          </w:p>
        </w:tc>
        <w:tc>
          <w:tcPr>
            <w:tcW w:w="1540" w:type="dxa"/>
            <w:vAlign w:val="bottom"/>
          </w:tcPr>
          <w:p>
            <w:pPr>
              <w:ind w:left="40"/>
              <w:spacing w:after="0" w:line="68" w:lineRule="exact"/>
              <w:rPr>
                <w:sz w:val="20"/>
                <w:szCs w:val="20"/>
                <w:color w:val="auto"/>
              </w:rPr>
            </w:pPr>
            <w:r>
              <w:rPr>
                <w:rFonts w:ascii="Arial" w:cs="Arial" w:eastAsia="Arial" w:hAnsi="Arial"/>
                <w:sz w:val="7"/>
                <w:szCs w:val="7"/>
                <w:color w:val="262626"/>
              </w:rPr>
              <w:t>Wood working</w:t>
            </w:r>
          </w:p>
        </w:tc>
        <w:tc>
          <w:tcPr>
            <w:tcW w:w="140" w:type="dxa"/>
            <w:vAlign w:val="bottom"/>
            <w:vMerge w:val="continue"/>
          </w:tcPr>
          <w:p>
            <w:pPr>
              <w:spacing w:after="0"/>
              <w:rPr>
                <w:sz w:val="5"/>
                <w:szCs w:val="5"/>
                <w:color w:val="auto"/>
              </w:rPr>
            </w:pPr>
          </w:p>
        </w:tc>
        <w:tc>
          <w:tcPr>
            <w:tcW w:w="1480" w:type="dxa"/>
            <w:vAlign w:val="bottom"/>
          </w:tcPr>
          <w:p>
            <w:pPr>
              <w:ind w:left="60"/>
              <w:spacing w:after="0" w:line="68" w:lineRule="exact"/>
              <w:rPr>
                <w:sz w:val="20"/>
                <w:szCs w:val="20"/>
                <w:color w:val="auto"/>
              </w:rPr>
            </w:pPr>
            <w:r>
              <w:rPr>
                <w:rFonts w:ascii="Arial" w:cs="Arial" w:eastAsia="Arial" w:hAnsi="Arial"/>
                <w:sz w:val="7"/>
                <w:szCs w:val="7"/>
                <w:color w:val="262626"/>
              </w:rPr>
              <w:t>Blower/Fan intake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262626"/>
              </w:rPr>
              <w:t>Wet/Dry Scrubbers</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262626"/>
              </w:rPr>
              <w:t>Collection</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262626"/>
              </w:rPr>
              <w:t>Silencers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460" w:type="dxa"/>
            <w:vAlign w:val="bottom"/>
            <w:tcBorders>
              <w:right w:val="single" w:sz="8" w:color="98B82F"/>
            </w:tcBorders>
          </w:tcPr>
          <w:p>
            <w:pPr>
              <w:spacing w:after="0"/>
              <w:rPr>
                <w:sz w:val="24"/>
                <w:szCs w:val="24"/>
                <w:color w:val="auto"/>
              </w:rPr>
            </w:pPr>
          </w:p>
        </w:tc>
        <w:tc>
          <w:tcPr>
            <w:tcW w:w="2760" w:type="dxa"/>
            <w:vAlign w:val="bottom"/>
            <w:tcBorders>
              <w:right w:val="single" w:sz="8" w:color="98B82F"/>
            </w:tcBorders>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Machining/Grinding</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Rotating equipment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60" w:type="dxa"/>
            <w:vAlign w:val="bottom"/>
            <w:tcBorders>
              <w:right w:val="single" w:sz="8" w:color="98B82F"/>
            </w:tcBorders>
          </w:tcPr>
          <w:p>
            <w:pPr>
              <w:spacing w:after="0"/>
              <w:rPr>
                <w:sz w:val="18"/>
                <w:szCs w:val="18"/>
                <w:color w:val="auto"/>
              </w:rPr>
            </w:pPr>
          </w:p>
        </w:tc>
        <w:tc>
          <w:tcPr>
            <w:tcW w:w="2760" w:type="dxa"/>
            <w:vAlign w:val="bottom"/>
            <w:tcBorders>
              <w:right w:val="single" w:sz="8" w:color="98B82F"/>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262626"/>
              </w:rPr>
              <w:t>exhaust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460" w:type="dxa"/>
            <w:vAlign w:val="bottom"/>
            <w:tcBorders>
              <w:bottom w:val="single" w:sz="8" w:color="98B82F"/>
              <w:right w:val="single" w:sz="8" w:color="98B82F"/>
            </w:tcBorders>
          </w:tcPr>
          <w:p>
            <w:pPr>
              <w:spacing w:after="0"/>
              <w:rPr>
                <w:sz w:val="11"/>
                <w:szCs w:val="11"/>
                <w:color w:val="auto"/>
              </w:rPr>
            </w:pPr>
          </w:p>
        </w:tc>
        <w:tc>
          <w:tcPr>
            <w:tcW w:w="2760" w:type="dxa"/>
            <w:vAlign w:val="bottom"/>
            <w:tcBorders>
              <w:bottom w:val="single" w:sz="8" w:color="98B82F"/>
              <w:right w:val="single" w:sz="8" w:color="98B82F"/>
            </w:tcBorders>
          </w:tcPr>
          <w:p>
            <w:pPr>
              <w:spacing w:after="0"/>
              <w:rPr>
                <w:sz w:val="11"/>
                <w:szCs w:val="11"/>
                <w:color w:val="auto"/>
              </w:rPr>
            </w:pPr>
          </w:p>
        </w:tc>
        <w:tc>
          <w:tcPr>
            <w:tcW w:w="1700" w:type="dxa"/>
            <w:vAlign w:val="bottom"/>
            <w:tcBorders>
              <w:bottom w:val="single" w:sz="8" w:color="98B82F"/>
            </w:tcBorders>
            <w:gridSpan w:val="2"/>
          </w:tcPr>
          <w:p>
            <w:pPr>
              <w:spacing w:after="0"/>
              <w:rPr>
                <w:sz w:val="11"/>
                <w:szCs w:val="11"/>
                <w:color w:val="auto"/>
              </w:rPr>
            </w:pPr>
          </w:p>
        </w:tc>
        <w:tc>
          <w:tcPr>
            <w:tcW w:w="1840" w:type="dxa"/>
            <w:vAlign w:val="bottom"/>
            <w:tcBorders>
              <w:bottom w:val="single" w:sz="8" w:color="98B82F"/>
            </w:tcBorders>
            <w:gridSpan w:val="2"/>
          </w:tcPr>
          <w:p>
            <w:pPr>
              <w:spacing w:after="0"/>
              <w:rPr>
                <w:sz w:val="11"/>
                <w:szCs w:val="11"/>
                <w:color w:val="auto"/>
              </w:rPr>
            </w:pPr>
          </w:p>
        </w:tc>
        <w:tc>
          <w:tcPr>
            <w:tcW w:w="1620" w:type="dxa"/>
            <w:vAlign w:val="bottom"/>
            <w:tcBorders>
              <w:bottom w:val="single" w:sz="8" w:color="98B82F"/>
            </w:tcBorders>
            <w:gridSpan w:val="2"/>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460" w:type="dxa"/>
            <w:vAlign w:val="bottom"/>
            <w:tcBorders>
              <w:right w:val="single" w:sz="8" w:color="98B82F"/>
            </w:tcBorders>
          </w:tcPr>
          <w:p>
            <w:pPr>
              <w:spacing w:after="0"/>
              <w:rPr>
                <w:sz w:val="24"/>
                <w:szCs w:val="24"/>
                <w:color w:val="auto"/>
              </w:rPr>
            </w:pPr>
          </w:p>
        </w:tc>
        <w:tc>
          <w:tcPr>
            <w:tcW w:w="2760" w:type="dxa"/>
            <w:vAlign w:val="bottom"/>
            <w:tcBorders>
              <w:right w:val="single" w:sz="8" w:color="98B82F"/>
            </w:tcBorders>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262626"/>
              </w:rPr>
              <w:t>Produced Water</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262626"/>
              </w:rPr>
              <w:t>Wastewater Treatment</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262626"/>
              </w:rPr>
              <w:t>Condensate Polishing</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262626"/>
              </w:rPr>
              <w:t>Treatment</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Industrial Processes</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Cooling Water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restart"/>
          </w:tcPr>
          <w:p>
            <w:pPr>
              <w:jc w:val="center"/>
              <w:ind w:right="49"/>
              <w:spacing w:after="0"/>
              <w:rPr>
                <w:sz w:val="20"/>
                <w:szCs w:val="20"/>
                <w:color w:val="auto"/>
              </w:rPr>
            </w:pPr>
            <w:r>
              <w:rPr>
                <w:rFonts w:ascii="Arial" w:cs="Arial" w:eastAsia="Arial" w:hAnsi="Arial"/>
                <w:sz w:val="26"/>
                <w:szCs w:val="26"/>
                <w:b w:val="1"/>
                <w:bCs w:val="1"/>
                <w:color w:val="273D86"/>
              </w:rPr>
              <w:t>Industrial Water</w:t>
            </w:r>
          </w:p>
        </w:tc>
        <w:tc>
          <w:tcPr>
            <w:tcW w:w="2760" w:type="dxa"/>
            <w:vAlign w:val="bottom"/>
            <w:tcBorders>
              <w:right w:val="single" w:sz="8" w:color="98B82F"/>
            </w:tcBorders>
          </w:tcPr>
          <w:p>
            <w:pPr>
              <w:spacing w:after="0"/>
              <w:rPr>
                <w:sz w:val="14"/>
                <w:szCs w:val="14"/>
                <w:color w:val="auto"/>
              </w:rPr>
            </w:pPr>
          </w:p>
        </w:tc>
        <w:tc>
          <w:tcPr>
            <w:tcW w:w="1700" w:type="dxa"/>
            <w:vAlign w:val="bottom"/>
            <w:gridSpan w:val="2"/>
          </w:tcPr>
          <w:p>
            <w:pPr>
              <w:ind w:left="160"/>
              <w:spacing w:after="0" w:line="168" w:lineRule="exact"/>
              <w:rPr>
                <w:sz w:val="20"/>
                <w:szCs w:val="20"/>
                <w:color w:val="auto"/>
              </w:rPr>
            </w:pPr>
            <w:r>
              <w:rPr>
                <w:rFonts w:ascii="PMingLiU" w:cs="PMingLiU" w:eastAsia="PMingLiU" w:hAnsi="PMingLiU"/>
                <w:sz w:val="14"/>
                <w:szCs w:val="14"/>
                <w:color w:val="262626"/>
              </w:rPr>
              <w:t xml:space="preserve"> </w:t>
            </w:r>
            <w:r>
              <w:rPr>
                <w:rFonts w:ascii="Arial" w:cs="Arial" w:eastAsia="Arial" w:hAnsi="Arial"/>
                <w:sz w:val="14"/>
                <w:szCs w:val="14"/>
                <w:color w:val="262626"/>
              </w:rPr>
              <w:t xml:space="preserve"> Oil &amp; Gas Production</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Food &amp; Beverage</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Steam Processing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98B82F"/>
            </w:tcBorders>
            <w:vMerge w:val="continue"/>
          </w:tcPr>
          <w:p>
            <w:pPr>
              <w:spacing w:after="0"/>
              <w:rPr>
                <w:sz w:val="12"/>
                <w:szCs w:val="12"/>
                <w:color w:val="auto"/>
              </w:rPr>
            </w:pPr>
          </w:p>
        </w:tc>
        <w:tc>
          <w:tcPr>
            <w:tcW w:w="2760" w:type="dxa"/>
            <w:vAlign w:val="bottom"/>
            <w:tcBorders>
              <w:right w:val="single" w:sz="8" w:color="98B82F"/>
            </w:tcBorders>
          </w:tcPr>
          <w:p>
            <w:pPr>
              <w:spacing w:after="0"/>
              <w:rPr>
                <w:sz w:val="12"/>
                <w:szCs w:val="12"/>
                <w:color w:val="auto"/>
              </w:rPr>
            </w:pPr>
          </w:p>
        </w:tc>
        <w:tc>
          <w:tcPr>
            <w:tcW w:w="1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62626"/>
              </w:rPr>
              <w:t>Oily Water Separation</w:t>
            </w:r>
          </w:p>
        </w:tc>
        <w:tc>
          <w:tcPr>
            <w:tcW w:w="300" w:type="dxa"/>
            <w:vAlign w:val="bottom"/>
          </w:tcPr>
          <w:p>
            <w:pPr>
              <w:spacing w:after="0"/>
              <w:rPr>
                <w:sz w:val="12"/>
                <w:szCs w:val="12"/>
                <w:color w:val="auto"/>
              </w:rPr>
            </w:pPr>
          </w:p>
        </w:tc>
        <w:tc>
          <w:tcPr>
            <w:tcW w:w="1540" w:type="dxa"/>
            <w:vAlign w:val="bottom"/>
            <w:vMerge w:val="restart"/>
          </w:tcPr>
          <w:p>
            <w:pPr>
              <w:ind w:left="40"/>
              <w:spacing w:after="0"/>
              <w:rPr>
                <w:sz w:val="20"/>
                <w:szCs w:val="20"/>
                <w:color w:val="auto"/>
              </w:rPr>
            </w:pPr>
            <w:r>
              <w:rPr>
                <w:rFonts w:ascii="Arial" w:cs="Arial" w:eastAsia="Arial" w:hAnsi="Arial"/>
                <w:sz w:val="14"/>
                <w:szCs w:val="14"/>
                <w:color w:val="262626"/>
              </w:rPr>
              <w:t>Prod.</w:t>
            </w: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262626"/>
              </w:rPr>
              <w:t>Desalination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460" w:type="dxa"/>
            <w:vAlign w:val="bottom"/>
            <w:tcBorders>
              <w:right w:val="single" w:sz="8" w:color="98B82F"/>
            </w:tcBorders>
          </w:tcPr>
          <w:p>
            <w:pPr>
              <w:spacing w:after="0"/>
              <w:rPr>
                <w:sz w:val="5"/>
                <w:szCs w:val="5"/>
                <w:color w:val="auto"/>
              </w:rPr>
            </w:pPr>
          </w:p>
        </w:tc>
        <w:tc>
          <w:tcPr>
            <w:tcW w:w="2760" w:type="dxa"/>
            <w:vAlign w:val="bottom"/>
            <w:tcBorders>
              <w:right w:val="single" w:sz="8" w:color="98B82F"/>
            </w:tcBorders>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right w:val="single" w:sz="8" w:color="98B82F"/>
            </w:tcBorders>
          </w:tcPr>
          <w:p>
            <w:pPr>
              <w:spacing w:after="0"/>
              <w:rPr>
                <w:sz w:val="3"/>
                <w:szCs w:val="3"/>
                <w:color w:val="auto"/>
              </w:rPr>
            </w:pPr>
          </w:p>
        </w:tc>
        <w:tc>
          <w:tcPr>
            <w:tcW w:w="2760" w:type="dxa"/>
            <w:vAlign w:val="bottom"/>
            <w:tcBorders>
              <w:right w:val="single" w:sz="8" w:color="98B82F"/>
            </w:tcBorders>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restart"/>
          </w:tcPr>
          <w:p>
            <w:pPr>
              <w:jc w:val="center"/>
              <w:ind w:right="49"/>
              <w:spacing w:after="0"/>
              <w:rPr>
                <w:sz w:val="20"/>
                <w:szCs w:val="20"/>
                <w:color w:val="auto"/>
              </w:rPr>
            </w:pPr>
            <w:r>
              <w:rPr>
                <w:rFonts w:ascii="Arial" w:cs="Arial" w:eastAsia="Arial" w:hAnsi="Arial"/>
                <w:sz w:val="22"/>
                <w:szCs w:val="22"/>
                <w:color w:val="262626"/>
              </w:rPr>
              <w:t>~ 25% of Portfolio</w:t>
            </w:r>
          </w:p>
        </w:tc>
        <w:tc>
          <w:tcPr>
            <w:tcW w:w="2760" w:type="dxa"/>
            <w:vAlign w:val="bottom"/>
            <w:tcBorders>
              <w:right w:val="single" w:sz="8" w:color="98B82F"/>
            </w:tcBorders>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Hydrocarbon</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262626"/>
              </w:rPr>
              <w:t>Ultra-pure (DI/DM)</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Recirculation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continue"/>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300" w:type="dxa"/>
            <w:vAlign w:val="bottom"/>
            <w:vMerge w:val="restart"/>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Processing</w:t>
            </w:r>
          </w:p>
        </w:tc>
        <w:tc>
          <w:tcPr>
            <w:tcW w:w="1840" w:type="dxa"/>
            <w:vAlign w:val="bottom"/>
            <w:gridSpan w:val="2"/>
          </w:tcPr>
          <w:p>
            <w:pPr>
              <w:ind w:left="160"/>
              <w:spacing w:after="0"/>
              <w:rPr>
                <w:sz w:val="20"/>
                <w:szCs w:val="20"/>
                <w:color w:val="auto"/>
              </w:rPr>
            </w:pPr>
            <w:r>
              <w:rPr>
                <w:rFonts w:ascii="Arial" w:cs="Arial" w:eastAsia="Arial" w:hAnsi="Arial"/>
                <w:sz w:val="14"/>
                <w:szCs w:val="14"/>
                <w:b w:val="1"/>
                <w:bCs w:val="1"/>
                <w:color w:val="262626"/>
              </w:rPr>
              <w:t>Water Treat</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Potable Water Supply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300" w:type="dxa"/>
            <w:vAlign w:val="bottom"/>
            <w:vMerge w:val="continue"/>
          </w:tcPr>
          <w:p>
            <w:pPr>
              <w:spacing w:after="0"/>
              <w:rPr>
                <w:sz w:val="14"/>
                <w:szCs w:val="14"/>
                <w:color w:val="auto"/>
              </w:rPr>
            </w:pPr>
          </w:p>
        </w:tc>
        <w:tc>
          <w:tcPr>
            <w:tcW w:w="1700" w:type="dxa"/>
            <w:vAlign w:val="bottom"/>
            <w:gridSpan w:val="2"/>
          </w:tcPr>
          <w:p>
            <w:pPr>
              <w:ind w:left="40"/>
              <w:spacing w:after="0" w:line="168" w:lineRule="exact"/>
              <w:rPr>
                <w:sz w:val="20"/>
                <w:szCs w:val="20"/>
                <w:color w:val="auto"/>
              </w:rPr>
            </w:pPr>
            <w:r>
              <w:rPr>
                <w:rFonts w:ascii="Arial" w:cs="Arial" w:eastAsia="Arial" w:hAnsi="Arial"/>
                <w:sz w:val="14"/>
                <w:szCs w:val="14"/>
                <w:color w:val="262626"/>
              </w:rPr>
              <w:t xml:space="preserve">Bilge Water Discharge  </w:t>
            </w: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Semicon/Electronics</w:t>
            </w: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60" w:type="dxa"/>
            <w:vAlign w:val="bottom"/>
            <w:tcBorders>
              <w:right w:val="single" w:sz="8" w:color="98B82F"/>
            </w:tcBorders>
          </w:tcPr>
          <w:p>
            <w:pPr>
              <w:spacing w:after="0"/>
              <w:rPr>
                <w:sz w:val="18"/>
                <w:szCs w:val="18"/>
                <w:color w:val="auto"/>
              </w:rPr>
            </w:pPr>
          </w:p>
        </w:tc>
        <w:tc>
          <w:tcPr>
            <w:tcW w:w="2760" w:type="dxa"/>
            <w:vAlign w:val="bottom"/>
            <w:tcBorders>
              <w:right w:val="single" w:sz="8" w:color="98B82F"/>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Electrolysis</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460" w:type="dxa"/>
            <w:vAlign w:val="bottom"/>
            <w:tcBorders>
              <w:bottom w:val="single" w:sz="8" w:color="98B82F"/>
              <w:right w:val="single" w:sz="8" w:color="98B82F"/>
            </w:tcBorders>
          </w:tcPr>
          <w:p>
            <w:pPr>
              <w:spacing w:after="0"/>
              <w:rPr>
                <w:sz w:val="24"/>
                <w:szCs w:val="24"/>
                <w:color w:val="auto"/>
              </w:rPr>
            </w:pPr>
          </w:p>
        </w:tc>
        <w:tc>
          <w:tcPr>
            <w:tcW w:w="2760" w:type="dxa"/>
            <w:vAlign w:val="bottom"/>
            <w:tcBorders>
              <w:bottom w:val="single" w:sz="8" w:color="98B82F"/>
              <w:right w:val="single" w:sz="8" w:color="98B82F"/>
            </w:tcBorders>
          </w:tcPr>
          <w:p>
            <w:pPr>
              <w:spacing w:after="0"/>
              <w:rPr>
                <w:sz w:val="24"/>
                <w:szCs w:val="24"/>
                <w:color w:val="auto"/>
              </w:rPr>
            </w:pPr>
          </w:p>
        </w:tc>
        <w:tc>
          <w:tcPr>
            <w:tcW w:w="1700" w:type="dxa"/>
            <w:vAlign w:val="bottom"/>
            <w:tcBorders>
              <w:bottom w:val="single" w:sz="8" w:color="98B82F"/>
            </w:tcBorders>
            <w:gridSpan w:val="2"/>
          </w:tcPr>
          <w:p>
            <w:pPr>
              <w:spacing w:after="0"/>
              <w:rPr>
                <w:sz w:val="24"/>
                <w:szCs w:val="24"/>
                <w:color w:val="auto"/>
              </w:rPr>
            </w:pPr>
          </w:p>
        </w:tc>
        <w:tc>
          <w:tcPr>
            <w:tcW w:w="300" w:type="dxa"/>
            <w:vAlign w:val="bottom"/>
            <w:tcBorders>
              <w:bottom w:val="single" w:sz="8" w:color="98B82F"/>
            </w:tcBorders>
          </w:tcPr>
          <w:p>
            <w:pPr>
              <w:spacing w:after="0"/>
              <w:rPr>
                <w:sz w:val="24"/>
                <w:szCs w:val="24"/>
                <w:color w:val="auto"/>
              </w:rPr>
            </w:pPr>
          </w:p>
        </w:tc>
        <w:tc>
          <w:tcPr>
            <w:tcW w:w="1540" w:type="dxa"/>
            <w:vAlign w:val="bottom"/>
            <w:tcBorders>
              <w:bottom w:val="single" w:sz="8" w:color="98B82F"/>
            </w:tcBorders>
          </w:tcPr>
          <w:p>
            <w:pPr>
              <w:spacing w:after="0"/>
              <w:rPr>
                <w:sz w:val="24"/>
                <w:szCs w:val="24"/>
                <w:color w:val="auto"/>
              </w:rPr>
            </w:pPr>
          </w:p>
        </w:tc>
        <w:tc>
          <w:tcPr>
            <w:tcW w:w="1620" w:type="dxa"/>
            <w:vAlign w:val="bottom"/>
            <w:tcBorders>
              <w:bottom w:val="single" w:sz="8" w:color="98B82F"/>
            </w:tcBorders>
            <w:gridSpan w:val="2"/>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460" w:type="dxa"/>
            <w:vAlign w:val="bottom"/>
            <w:tcBorders>
              <w:right w:val="single" w:sz="8" w:color="98B82F"/>
            </w:tcBorders>
          </w:tcPr>
          <w:p>
            <w:pPr>
              <w:spacing w:after="0"/>
              <w:rPr>
                <w:sz w:val="24"/>
                <w:szCs w:val="24"/>
                <w:color w:val="auto"/>
              </w:rPr>
            </w:pPr>
          </w:p>
        </w:tc>
        <w:tc>
          <w:tcPr>
            <w:tcW w:w="2760" w:type="dxa"/>
            <w:vAlign w:val="bottom"/>
            <w:tcBorders>
              <w:right w:val="single" w:sz="8" w:color="98B82F"/>
            </w:tcBorders>
          </w:tcPr>
          <w:p>
            <w:pPr>
              <w:spacing w:after="0"/>
              <w:rPr>
                <w:sz w:val="24"/>
                <w:szCs w:val="2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262626"/>
              </w:rPr>
              <w:t>Emission Management</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Hydrocarbon</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262626"/>
              </w:rPr>
              <w:t>Carbon Capture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line="168" w:lineRule="exact"/>
              <w:rPr>
                <w:sz w:val="20"/>
                <w:szCs w:val="20"/>
                <w:color w:val="auto"/>
              </w:rPr>
            </w:pPr>
            <w:r>
              <w:rPr>
                <w:rFonts w:ascii="PMingLiU" w:cs="PMingLiU" w:eastAsia="PMingLiU" w:hAnsi="PMingLiU"/>
                <w:sz w:val="14"/>
                <w:szCs w:val="14"/>
                <w:color w:val="262626"/>
              </w:rPr>
              <w:t>.HZÄYLK7V^LY.LU</w:t>
            </w:r>
          </w:p>
        </w:tc>
        <w:tc>
          <w:tcPr>
            <w:tcW w:w="300" w:type="dxa"/>
            <w:vAlign w:val="bottom"/>
            <w:vMerge w:val="restart"/>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Processing</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Ethanol Processing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restart"/>
          </w:tcPr>
          <w:p>
            <w:pPr>
              <w:jc w:val="center"/>
              <w:ind w:right="49"/>
              <w:spacing w:after="0"/>
              <w:rPr>
                <w:sz w:val="20"/>
                <w:szCs w:val="20"/>
                <w:color w:val="auto"/>
              </w:rPr>
            </w:pPr>
            <w:r>
              <w:rPr>
                <w:rFonts w:ascii="Arial" w:cs="Arial" w:eastAsia="Arial" w:hAnsi="Arial"/>
                <w:sz w:val="26"/>
                <w:szCs w:val="26"/>
                <w:b w:val="1"/>
                <w:bCs w:val="1"/>
                <w:color w:val="273D86"/>
                <w:w w:val="96"/>
              </w:rPr>
              <w:t>Energy Transition</w:t>
            </w:r>
          </w:p>
        </w:tc>
        <w:tc>
          <w:tcPr>
            <w:tcW w:w="2760" w:type="dxa"/>
            <w:vAlign w:val="bottom"/>
            <w:tcBorders>
              <w:right w:val="single" w:sz="8" w:color="98B82F"/>
            </w:tcBorders>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262626"/>
              </w:rPr>
              <w:t>– Baseload, Backup</w:t>
            </w:r>
          </w:p>
        </w:tc>
        <w:tc>
          <w:tcPr>
            <w:tcW w:w="300" w:type="dxa"/>
            <w:vAlign w:val="bottom"/>
            <w:vMerge w:val="continue"/>
          </w:tcPr>
          <w:p>
            <w:pPr>
              <w:spacing w:after="0"/>
              <w:rPr>
                <w:sz w:val="14"/>
                <w:szCs w:val="14"/>
                <w:color w:val="auto"/>
              </w:rPr>
            </w:pPr>
          </w:p>
        </w:tc>
        <w:tc>
          <w:tcPr>
            <w:tcW w:w="1540" w:type="dxa"/>
            <w:vAlign w:val="bottom"/>
          </w:tcPr>
          <w:p>
            <w:pPr>
              <w:ind w:left="40"/>
              <w:spacing w:after="0"/>
              <w:rPr>
                <w:sz w:val="20"/>
                <w:szCs w:val="20"/>
                <w:color w:val="auto"/>
              </w:rPr>
            </w:pPr>
            <w:r>
              <w:rPr>
                <w:rFonts w:ascii="Arial" w:cs="Arial" w:eastAsia="Arial" w:hAnsi="Arial"/>
                <w:sz w:val="14"/>
                <w:szCs w:val="14"/>
                <w:color w:val="262626"/>
              </w:rPr>
              <w:t>Fuel Gas Upgrading</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rPr>
                <w:sz w:val="20"/>
                <w:szCs w:val="20"/>
                <w:color w:val="auto"/>
              </w:rPr>
            </w:pPr>
            <w:r>
              <w:rPr>
                <w:rFonts w:ascii="Arial" w:cs="Arial" w:eastAsia="Arial" w:hAnsi="Arial"/>
                <w:sz w:val="14"/>
                <w:szCs w:val="14"/>
                <w:color w:val="262626"/>
              </w:rPr>
              <w:t>Acid Gas Treatment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Borders>
              <w:right w:val="single" w:sz="8" w:color="98B82F"/>
            </w:tcBorders>
            <w:vMerge w:val="continue"/>
          </w:tcPr>
          <w:p>
            <w:pPr>
              <w:spacing w:after="0"/>
              <w:rPr>
                <w:sz w:val="12"/>
                <w:szCs w:val="12"/>
                <w:color w:val="auto"/>
              </w:rPr>
            </w:pPr>
          </w:p>
        </w:tc>
        <w:tc>
          <w:tcPr>
            <w:tcW w:w="2760" w:type="dxa"/>
            <w:vAlign w:val="bottom"/>
            <w:tcBorders>
              <w:right w:val="single" w:sz="8" w:color="98B82F"/>
            </w:tcBorders>
          </w:tcPr>
          <w:p>
            <w:pPr>
              <w:spacing w:after="0"/>
              <w:rPr>
                <w:sz w:val="12"/>
                <w:szCs w:val="12"/>
                <w:color w:val="auto"/>
              </w:rPr>
            </w:pPr>
          </w:p>
        </w:tc>
        <w:tc>
          <w:tcPr>
            <w:tcW w:w="300" w:type="dxa"/>
            <w:vAlign w:val="bottom"/>
            <w:vMerge w:val="restart"/>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vMerge w:val="restart"/>
          </w:tcPr>
          <w:p>
            <w:pPr>
              <w:ind w:left="40"/>
              <w:spacing w:after="0"/>
              <w:rPr>
                <w:sz w:val="20"/>
                <w:szCs w:val="20"/>
                <w:color w:val="auto"/>
              </w:rPr>
            </w:pPr>
            <w:r>
              <w:rPr>
                <w:rFonts w:ascii="Arial" w:cs="Arial" w:eastAsia="Arial" w:hAnsi="Arial"/>
                <w:sz w:val="14"/>
                <w:szCs w:val="14"/>
                <w:color w:val="262626"/>
              </w:rPr>
              <w:t>Flue Gas Scrubbers</w:t>
            </w: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262626"/>
              </w:rPr>
              <w:t>Cyclone Separation</w:t>
            </w: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262626"/>
              </w:rPr>
              <w:t>Thermal/Acoustic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460" w:type="dxa"/>
            <w:vAlign w:val="bottom"/>
            <w:tcBorders>
              <w:right w:val="single" w:sz="8" w:color="98B82F"/>
            </w:tcBorders>
          </w:tcPr>
          <w:p>
            <w:pPr>
              <w:spacing w:after="0"/>
              <w:rPr>
                <w:sz w:val="5"/>
                <w:szCs w:val="5"/>
                <w:color w:val="auto"/>
              </w:rPr>
            </w:pPr>
          </w:p>
        </w:tc>
        <w:tc>
          <w:tcPr>
            <w:tcW w:w="2760" w:type="dxa"/>
            <w:vAlign w:val="bottom"/>
            <w:tcBorders>
              <w:right w:val="single" w:sz="8" w:color="98B82F"/>
            </w:tcBorders>
          </w:tcPr>
          <w:p>
            <w:pPr>
              <w:spacing w:after="0"/>
              <w:rPr>
                <w:sz w:val="5"/>
                <w:szCs w:val="5"/>
                <w:color w:val="auto"/>
              </w:rPr>
            </w:pPr>
          </w:p>
        </w:tc>
        <w:tc>
          <w:tcPr>
            <w:tcW w:w="3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right w:val="single" w:sz="8" w:color="98B82F"/>
            </w:tcBorders>
          </w:tcPr>
          <w:p>
            <w:pPr>
              <w:spacing w:after="0"/>
              <w:rPr>
                <w:sz w:val="3"/>
                <w:szCs w:val="3"/>
                <w:color w:val="auto"/>
              </w:rPr>
            </w:pPr>
          </w:p>
        </w:tc>
        <w:tc>
          <w:tcPr>
            <w:tcW w:w="2760" w:type="dxa"/>
            <w:vAlign w:val="bottom"/>
            <w:tcBorders>
              <w:right w:val="single" w:sz="8" w:color="98B82F"/>
            </w:tcBorders>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vMerge w:val="restart"/>
          </w:tcPr>
          <w:p>
            <w:pPr>
              <w:jc w:val="center"/>
              <w:ind w:right="49"/>
              <w:spacing w:after="0"/>
              <w:rPr>
                <w:sz w:val="20"/>
                <w:szCs w:val="20"/>
                <w:color w:val="auto"/>
              </w:rPr>
            </w:pPr>
            <w:r>
              <w:rPr>
                <w:rFonts w:ascii="Arial" w:cs="Arial" w:eastAsia="Arial" w:hAnsi="Arial"/>
                <w:sz w:val="22"/>
                <w:szCs w:val="22"/>
                <w:color w:val="262626"/>
              </w:rPr>
              <w:t>~ 30% of Portfolio</w:t>
            </w:r>
          </w:p>
        </w:tc>
        <w:tc>
          <w:tcPr>
            <w:tcW w:w="2760" w:type="dxa"/>
            <w:vAlign w:val="bottom"/>
            <w:tcBorders>
              <w:right w:val="single" w:sz="8" w:color="98B82F"/>
            </w:tcBorders>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262626"/>
              </w:rPr>
              <w:t>Gas-Liquid Separation</w:t>
            </w: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Hydrocarbon</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262626"/>
              </w:rPr>
              <w:t>Management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Borders>
              <w:right w:val="single" w:sz="8" w:color="98B82F"/>
            </w:tcBorders>
            <w:vMerge w:val="continue"/>
          </w:tcPr>
          <w:p>
            <w:pPr>
              <w:spacing w:after="0"/>
              <w:rPr>
                <w:sz w:val="16"/>
                <w:szCs w:val="16"/>
                <w:color w:val="auto"/>
              </w:rPr>
            </w:pPr>
          </w:p>
        </w:tc>
        <w:tc>
          <w:tcPr>
            <w:tcW w:w="2760" w:type="dxa"/>
            <w:vAlign w:val="bottom"/>
            <w:tcBorders>
              <w:right w:val="single" w:sz="8" w:color="98B82F"/>
            </w:tcBorders>
          </w:tcPr>
          <w:p>
            <w:pPr>
              <w:spacing w:after="0"/>
              <w:rPr>
                <w:sz w:val="16"/>
                <w:szCs w:val="16"/>
                <w:color w:val="auto"/>
              </w:rPr>
            </w:pPr>
          </w:p>
        </w:tc>
        <w:tc>
          <w:tcPr>
            <w:tcW w:w="300" w:type="dxa"/>
            <w:vAlign w:val="bottom"/>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rPr>
                <w:sz w:val="20"/>
                <w:szCs w:val="20"/>
                <w:color w:val="auto"/>
              </w:rPr>
            </w:pPr>
            <w:r>
              <w:rPr>
                <w:rFonts w:ascii="Arial" w:cs="Arial" w:eastAsia="Arial" w:hAnsi="Arial"/>
                <w:sz w:val="14"/>
                <w:szCs w:val="14"/>
                <w:color w:val="262626"/>
              </w:rPr>
              <w:t>Natural Gas/CO</w:t>
            </w:r>
            <w:r>
              <w:rPr>
                <w:rFonts w:ascii="Arial" w:cs="Arial" w:eastAsia="Arial" w:hAnsi="Arial"/>
                <w:sz w:val="16"/>
                <w:szCs w:val="16"/>
                <w:color w:val="262626"/>
                <w:vertAlign w:val="subscript"/>
              </w:rPr>
              <w:t>2</w:t>
            </w:r>
          </w:p>
        </w:tc>
        <w:tc>
          <w:tcPr>
            <w:tcW w:w="300" w:type="dxa"/>
            <w:vAlign w:val="bottom"/>
            <w:vMerge w:val="restart"/>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540" w:type="dxa"/>
            <w:vAlign w:val="bottom"/>
          </w:tcPr>
          <w:p>
            <w:pPr>
              <w:ind w:left="40"/>
              <w:spacing w:after="0"/>
              <w:rPr>
                <w:sz w:val="20"/>
                <w:szCs w:val="20"/>
                <w:color w:val="auto"/>
              </w:rPr>
            </w:pPr>
            <w:r>
              <w:rPr>
                <w:rFonts w:ascii="Arial" w:cs="Arial" w:eastAsia="Arial" w:hAnsi="Arial"/>
                <w:sz w:val="14"/>
                <w:szCs w:val="14"/>
                <w:color w:val="262626"/>
              </w:rPr>
              <w:t>Processing</w:t>
            </w:r>
          </w:p>
        </w:tc>
        <w:tc>
          <w:tcPr>
            <w:tcW w:w="140" w:type="dxa"/>
            <w:vAlign w:val="bottom"/>
          </w:tcPr>
          <w:p>
            <w:pPr>
              <w:ind w:left="20"/>
              <w:spacing w:after="0" w:line="168"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line="168" w:lineRule="exact"/>
              <w:rPr>
                <w:sz w:val="20"/>
                <w:szCs w:val="20"/>
                <w:color w:val="auto"/>
              </w:rPr>
            </w:pPr>
            <w:r>
              <w:rPr>
                <w:rFonts w:ascii="PMingLiU" w:cs="PMingLiU" w:eastAsia="PMingLiU" w:hAnsi="PMingLiU"/>
                <w:sz w:val="14"/>
                <w:szCs w:val="14"/>
                <w:color w:val="262626"/>
              </w:rPr>
              <w:t>.HZÄYLK7V^LY.LU</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Borders>
              <w:right w:val="single" w:sz="8" w:color="98B82F"/>
            </w:tcBorders>
          </w:tcPr>
          <w:p>
            <w:pPr>
              <w:spacing w:after="0"/>
              <w:rPr>
                <w:sz w:val="13"/>
                <w:szCs w:val="13"/>
                <w:color w:val="auto"/>
              </w:rPr>
            </w:pPr>
          </w:p>
        </w:tc>
        <w:tc>
          <w:tcPr>
            <w:tcW w:w="2760" w:type="dxa"/>
            <w:vAlign w:val="bottom"/>
            <w:tcBorders>
              <w:right w:val="single" w:sz="8" w:color="98B82F"/>
            </w:tcBorders>
          </w:tcPr>
          <w:p>
            <w:pPr>
              <w:spacing w:after="0"/>
              <w:rPr>
                <w:sz w:val="13"/>
                <w:szCs w:val="13"/>
                <w:color w:val="auto"/>
              </w:rPr>
            </w:pPr>
          </w:p>
        </w:tc>
        <w:tc>
          <w:tcPr>
            <w:tcW w:w="300" w:type="dxa"/>
            <w:vAlign w:val="bottom"/>
            <w:vMerge w:val="restart"/>
          </w:tcPr>
          <w:p>
            <w:pPr>
              <w:ind w:left="160"/>
              <w:spacing w:after="0" w:line="168" w:lineRule="exact"/>
              <w:rPr>
                <w:sz w:val="20"/>
                <w:szCs w:val="20"/>
                <w:color w:val="auto"/>
              </w:rPr>
            </w:pPr>
            <w:r>
              <w:rPr>
                <w:rFonts w:ascii="PMingLiU" w:cs="PMingLiU" w:eastAsia="PMingLiU" w:hAnsi="PMingLiU"/>
                <w:sz w:val="14"/>
                <w:szCs w:val="14"/>
                <w:color w:val="262626"/>
              </w:rPr>
              <w:t xml:space="preserve"> </w:t>
            </w:r>
          </w:p>
        </w:tc>
        <w:tc>
          <w:tcPr>
            <w:tcW w:w="1400" w:type="dxa"/>
            <w:vAlign w:val="bottom"/>
          </w:tcPr>
          <w:p>
            <w:pPr>
              <w:ind w:left="40"/>
              <w:spacing w:after="0" w:line="152" w:lineRule="exact"/>
              <w:rPr>
                <w:sz w:val="20"/>
                <w:szCs w:val="20"/>
                <w:color w:val="auto"/>
              </w:rPr>
            </w:pPr>
            <w:r>
              <w:rPr>
                <w:rFonts w:ascii="Arial" w:cs="Arial" w:eastAsia="Arial" w:hAnsi="Arial"/>
                <w:sz w:val="14"/>
                <w:szCs w:val="14"/>
                <w:color w:val="262626"/>
              </w:rPr>
              <w:t>Transport</w:t>
            </w:r>
          </w:p>
        </w:tc>
        <w:tc>
          <w:tcPr>
            <w:tcW w:w="300" w:type="dxa"/>
            <w:vAlign w:val="bottom"/>
            <w:vMerge w:val="continue"/>
          </w:tcPr>
          <w:p>
            <w:pPr>
              <w:spacing w:after="0"/>
              <w:rPr>
                <w:sz w:val="13"/>
                <w:szCs w:val="13"/>
                <w:color w:val="auto"/>
              </w:rPr>
            </w:pPr>
          </w:p>
        </w:tc>
        <w:tc>
          <w:tcPr>
            <w:tcW w:w="1540" w:type="dxa"/>
            <w:vAlign w:val="bottom"/>
          </w:tcPr>
          <w:p>
            <w:pPr>
              <w:ind w:left="40"/>
              <w:spacing w:after="0" w:line="152" w:lineRule="exact"/>
              <w:rPr>
                <w:sz w:val="20"/>
                <w:szCs w:val="20"/>
                <w:color w:val="auto"/>
              </w:rPr>
            </w:pPr>
            <w:r>
              <w:rPr>
                <w:rFonts w:ascii="Arial" w:cs="Arial" w:eastAsia="Arial" w:hAnsi="Arial"/>
                <w:sz w:val="14"/>
                <w:szCs w:val="14"/>
                <w:color w:val="262626"/>
              </w:rPr>
              <w:t>Polysilcon Production</w:t>
            </w:r>
          </w:p>
        </w:tc>
        <w:tc>
          <w:tcPr>
            <w:tcW w:w="140" w:type="dxa"/>
            <w:vAlign w:val="bottom"/>
          </w:tcPr>
          <w:p>
            <w:pPr>
              <w:ind w:left="20"/>
              <w:spacing w:after="0" w:line="152" w:lineRule="exact"/>
              <w:rPr>
                <w:sz w:val="20"/>
                <w:szCs w:val="20"/>
                <w:color w:val="auto"/>
              </w:rPr>
            </w:pPr>
            <w:r>
              <w:rPr>
                <w:rFonts w:ascii="PMingLiU" w:cs="PMingLiU" w:eastAsia="PMingLiU" w:hAnsi="PMingLiU"/>
                <w:sz w:val="14"/>
                <w:szCs w:val="14"/>
                <w:color w:val="262626"/>
              </w:rPr>
              <w:t xml:space="preserve"> </w:t>
            </w:r>
          </w:p>
        </w:tc>
        <w:tc>
          <w:tcPr>
            <w:tcW w:w="1480" w:type="dxa"/>
            <w:vAlign w:val="bottom"/>
          </w:tcPr>
          <w:p>
            <w:pPr>
              <w:ind w:left="60"/>
              <w:spacing w:after="0" w:line="152" w:lineRule="exact"/>
              <w:rPr>
                <w:sz w:val="20"/>
                <w:szCs w:val="20"/>
                <w:color w:val="auto"/>
              </w:rPr>
            </w:pPr>
            <w:r>
              <w:rPr>
                <w:rFonts w:ascii="Arial" w:cs="Arial" w:eastAsia="Arial" w:hAnsi="Arial"/>
                <w:sz w:val="14"/>
                <w:szCs w:val="14"/>
                <w:color w:val="262626"/>
              </w:rPr>
              <w:t>Compressor Station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460" w:type="dxa"/>
            <w:vAlign w:val="bottom"/>
            <w:tcBorders>
              <w:right w:val="single" w:sz="8" w:color="98B82F"/>
            </w:tcBorders>
          </w:tcPr>
          <w:p>
            <w:pPr>
              <w:spacing w:after="0"/>
              <w:rPr>
                <w:sz w:val="14"/>
                <w:szCs w:val="14"/>
                <w:color w:val="auto"/>
              </w:rPr>
            </w:pPr>
          </w:p>
        </w:tc>
        <w:tc>
          <w:tcPr>
            <w:tcW w:w="2760" w:type="dxa"/>
            <w:vAlign w:val="bottom"/>
            <w:tcBorders>
              <w:right w:val="single" w:sz="8" w:color="98B82F"/>
            </w:tcBorders>
          </w:tcPr>
          <w:p>
            <w:pPr>
              <w:spacing w:after="0"/>
              <w:rPr>
                <w:sz w:val="14"/>
                <w:szCs w:val="14"/>
                <w:color w:val="auto"/>
              </w:rPr>
            </w:pPr>
          </w:p>
        </w:tc>
        <w:tc>
          <w:tcPr>
            <w:tcW w:w="300" w:type="dxa"/>
            <w:vAlign w:val="bottom"/>
            <w:vMerge w:val="continue"/>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262626"/>
              </w:rPr>
              <w:t>Natural Gas</w:t>
            </w: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4"/>
                <w:szCs w:val="14"/>
                <w:color w:val="262626"/>
              </w:rPr>
              <w:t>Silencing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460" w:type="dxa"/>
            <w:vAlign w:val="bottom"/>
            <w:tcBorders>
              <w:right w:val="single" w:sz="8" w:color="98B82F"/>
            </w:tcBorders>
          </w:tcPr>
          <w:p>
            <w:pPr>
              <w:spacing w:after="0"/>
              <w:rPr>
                <w:sz w:val="20"/>
                <w:szCs w:val="20"/>
                <w:color w:val="auto"/>
              </w:rPr>
            </w:pPr>
          </w:p>
        </w:tc>
        <w:tc>
          <w:tcPr>
            <w:tcW w:w="2760" w:type="dxa"/>
            <w:vAlign w:val="bottom"/>
            <w:tcBorders>
              <w:right w:val="single" w:sz="8" w:color="98B82F"/>
            </w:tcBorders>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262626"/>
              </w:rPr>
              <w:t>Liquefaction</w:t>
            </w: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2460" w:type="dxa"/>
            <w:vAlign w:val="bottom"/>
            <w:tcBorders>
              <w:bottom w:val="single" w:sz="8" w:color="98B82F"/>
            </w:tcBorders>
          </w:tcPr>
          <w:p>
            <w:pPr>
              <w:spacing w:after="0"/>
              <w:rPr>
                <w:sz w:val="8"/>
                <w:szCs w:val="8"/>
                <w:color w:val="auto"/>
              </w:rPr>
            </w:pPr>
          </w:p>
        </w:tc>
        <w:tc>
          <w:tcPr>
            <w:tcW w:w="2760" w:type="dxa"/>
            <w:vAlign w:val="bottom"/>
            <w:tcBorders>
              <w:bottom w:val="single" w:sz="8" w:color="98B82F"/>
            </w:tcBorders>
          </w:tcPr>
          <w:p>
            <w:pPr>
              <w:spacing w:after="0"/>
              <w:rPr>
                <w:sz w:val="8"/>
                <w:szCs w:val="8"/>
                <w:color w:val="auto"/>
              </w:rPr>
            </w:pPr>
          </w:p>
        </w:tc>
        <w:tc>
          <w:tcPr>
            <w:tcW w:w="300" w:type="dxa"/>
            <w:vAlign w:val="bottom"/>
            <w:tcBorders>
              <w:bottom w:val="single" w:sz="8" w:color="98B82F"/>
            </w:tcBorders>
          </w:tcPr>
          <w:p>
            <w:pPr>
              <w:spacing w:after="0"/>
              <w:rPr>
                <w:sz w:val="8"/>
                <w:szCs w:val="8"/>
                <w:color w:val="auto"/>
              </w:rPr>
            </w:pPr>
          </w:p>
        </w:tc>
        <w:tc>
          <w:tcPr>
            <w:tcW w:w="1400" w:type="dxa"/>
            <w:vAlign w:val="bottom"/>
            <w:tcBorders>
              <w:bottom w:val="single" w:sz="8" w:color="98B82F"/>
            </w:tcBorders>
          </w:tcPr>
          <w:p>
            <w:pPr>
              <w:spacing w:after="0"/>
              <w:rPr>
                <w:sz w:val="8"/>
                <w:szCs w:val="8"/>
                <w:color w:val="auto"/>
              </w:rPr>
            </w:pPr>
          </w:p>
        </w:tc>
        <w:tc>
          <w:tcPr>
            <w:tcW w:w="300" w:type="dxa"/>
            <w:vAlign w:val="bottom"/>
            <w:tcBorders>
              <w:bottom w:val="single" w:sz="8" w:color="98B82F"/>
            </w:tcBorders>
          </w:tcPr>
          <w:p>
            <w:pPr>
              <w:spacing w:after="0"/>
              <w:rPr>
                <w:sz w:val="8"/>
                <w:szCs w:val="8"/>
                <w:color w:val="auto"/>
              </w:rPr>
            </w:pPr>
          </w:p>
        </w:tc>
        <w:tc>
          <w:tcPr>
            <w:tcW w:w="1540" w:type="dxa"/>
            <w:vAlign w:val="bottom"/>
            <w:tcBorders>
              <w:bottom w:val="single" w:sz="8" w:color="98B82F"/>
            </w:tcBorders>
          </w:tcPr>
          <w:p>
            <w:pPr>
              <w:spacing w:after="0"/>
              <w:rPr>
                <w:sz w:val="8"/>
                <w:szCs w:val="8"/>
                <w:color w:val="auto"/>
              </w:rPr>
            </w:pPr>
          </w:p>
        </w:tc>
        <w:tc>
          <w:tcPr>
            <w:tcW w:w="140" w:type="dxa"/>
            <w:vAlign w:val="bottom"/>
            <w:tcBorders>
              <w:bottom w:val="single" w:sz="8" w:color="98B82F"/>
            </w:tcBorders>
          </w:tcPr>
          <w:p>
            <w:pPr>
              <w:spacing w:after="0"/>
              <w:rPr>
                <w:sz w:val="8"/>
                <w:szCs w:val="8"/>
                <w:color w:val="auto"/>
              </w:rPr>
            </w:pPr>
          </w:p>
        </w:tc>
        <w:tc>
          <w:tcPr>
            <w:tcW w:w="1480" w:type="dxa"/>
            <w:vAlign w:val="bottom"/>
            <w:tcBorders>
              <w:bottom w:val="single" w:sz="8" w:color="98B82F"/>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4335145</wp:posOffset>
                </wp:positionH>
                <wp:positionV relativeFrom="paragraph">
                  <wp:posOffset>319405</wp:posOffset>
                </wp:positionV>
                <wp:extent cx="0" cy="215265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2650"/>
                        </a:xfrm>
                        <a:prstGeom prst="line">
                          <a:avLst/>
                        </a:prstGeom>
                        <a:solidFill>
                          <a:srgbClr val="FFFFFF"/>
                        </a:solidFill>
                        <a:ln w="12700">
                          <a:solidFill>
                            <a:srgbClr val="273D86"/>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35pt,25.15pt" to="341.35pt,194.65pt" o:allowincell="f" strokecolor="#273D86" strokeweight="1pt"/>
            </w:pict>
          </mc:Fallback>
        </mc:AlternateContent>
        <mc:AlternateContent>
          <mc:Choice Requires="wps">
            <w:drawing>
              <wp:anchor simplePos="0" relativeHeight="251657728" behindDoc="1" locked="0" layoutInCell="0" allowOverlap="1">
                <wp:simplePos x="0" y="0"/>
                <wp:positionH relativeFrom="column">
                  <wp:posOffset>2022475</wp:posOffset>
                </wp:positionH>
                <wp:positionV relativeFrom="paragraph">
                  <wp:posOffset>319405</wp:posOffset>
                </wp:positionV>
                <wp:extent cx="0" cy="21526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52650"/>
                        </a:xfrm>
                        <a:prstGeom prst="line">
                          <a:avLst/>
                        </a:prstGeom>
                        <a:solidFill>
                          <a:srgbClr val="FFFFFF"/>
                        </a:solidFill>
                        <a:ln w="12700">
                          <a:solidFill>
                            <a:srgbClr val="273D86"/>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25pt,25.15pt" to="159.25pt,194.65pt" o:allowincell="f" strokecolor="#273D86" strokeweight="1pt"/>
            </w:pict>
          </mc:Fallback>
        </mc:AlternateContent>
        <w:drawing>
          <wp:anchor simplePos="0" relativeHeight="251657728" behindDoc="1" locked="0" layoutInCell="0" allowOverlap="1">
            <wp:simplePos x="0" y="0"/>
            <wp:positionH relativeFrom="column">
              <wp:posOffset>1741170</wp:posOffset>
            </wp:positionH>
            <wp:positionV relativeFrom="paragraph">
              <wp:posOffset>-3338830</wp:posOffset>
            </wp:positionV>
            <wp:extent cx="1400810" cy="648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extLst>
                    </a:blip>
                    <a:srcRect/>
                    <a:stretch>
                      <a:fillRect/>
                    </a:stretch>
                  </pic:blipFill>
                  <pic:spPr bwMode="auto">
                    <a:xfrm>
                      <a:off x="0" y="0"/>
                      <a:ext cx="1400810" cy="64897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-2185035</wp:posOffset>
            </wp:positionV>
            <wp:extent cx="1487805" cy="663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extLst>
                    </a:blip>
                    <a:srcRect/>
                    <a:stretch>
                      <a:fillRect/>
                    </a:stretch>
                  </pic:blipFill>
                  <pic:spPr bwMode="auto">
                    <a:xfrm>
                      <a:off x="0" y="0"/>
                      <a:ext cx="1487805" cy="66357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-941070</wp:posOffset>
            </wp:positionV>
            <wp:extent cx="1409700" cy="649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extLst>
                    </a:blip>
                    <a:srcRect/>
                    <a:stretch>
                      <a:fillRect/>
                    </a:stretch>
                  </pic:blipFill>
                  <pic:spPr bwMode="auto">
                    <a:xfrm>
                      <a:off x="0" y="0"/>
                      <a:ext cx="1409700" cy="649605"/>
                    </a:xfrm>
                    <a:prstGeom prst="rect">
                      <a:avLst/>
                    </a:prstGeom>
                    <a:noFill/>
                  </pic:spPr>
                </pic:pic>
              </a:graphicData>
            </a:graphic>
          </wp:anchor>
        </w:drawing>
      </w:r>
    </w:p>
    <w:p>
      <w:pPr>
        <w:sectPr>
          <w:pgSz w:w="12240" w:h="15840" w:orient="portrait"/>
          <w:cols w:equalWidth="0" w:num="1">
            <w:col w:w="10480"/>
          </w:cols>
          <w:pgMar w:left="1040" w:top="1312" w:right="720" w:bottom="208"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sz w:val="1"/>
          <w:szCs w:val="1"/>
          <w:color w:val="auto"/>
        </w:rPr>
        <w:drawing>
          <wp:inline distT="0" distB="0" distL="0" distR="0">
            <wp:extent cx="299720" cy="3035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30"/>
          <w:szCs w:val="30"/>
          <w:b w:val="1"/>
          <w:bCs w:val="1"/>
          <w:color w:val="273D86"/>
        </w:rPr>
        <w:t>Industrial Air</w:t>
      </w:r>
    </w:p>
    <w:p>
      <w:pPr>
        <w:spacing w:after="0" w:line="266" w:lineRule="exact"/>
        <w:rPr>
          <w:sz w:val="20"/>
          <w:szCs w:val="20"/>
          <w:color w:val="auto"/>
        </w:rPr>
      </w:pPr>
    </w:p>
    <w:p>
      <w:pPr>
        <w:ind w:left="40" w:right="440"/>
        <w:spacing w:after="0" w:line="314" w:lineRule="auto"/>
        <w:rPr>
          <w:sz w:val="20"/>
          <w:szCs w:val="20"/>
          <w:color w:val="auto"/>
        </w:rPr>
      </w:pPr>
      <w:r>
        <w:rPr>
          <w:rFonts w:ascii="Arial" w:cs="Arial" w:eastAsia="Arial" w:hAnsi="Arial"/>
          <w:sz w:val="16"/>
          <w:szCs w:val="16"/>
          <w:color w:val="262626"/>
        </w:rPr>
        <w:t xml:space="preserve">CECO is </w:t>
      </w:r>
      <w:r>
        <w:rPr>
          <w:rFonts w:ascii="Arial" w:cs="Arial" w:eastAsia="Arial" w:hAnsi="Arial"/>
          <w:sz w:val="16"/>
          <w:szCs w:val="16"/>
          <w:i w:val="1"/>
          <w:iCs w:val="1"/>
          <w:color w:val="262626"/>
        </w:rPr>
        <w:t>ADVANCING</w:t>
      </w:r>
      <w:r>
        <w:rPr>
          <w:rFonts w:ascii="Arial" w:cs="Arial" w:eastAsia="Arial" w:hAnsi="Arial"/>
          <w:sz w:val="16"/>
          <w:szCs w:val="16"/>
          <w:color w:val="262626"/>
        </w:rPr>
        <w:t xml:space="preserve"> our already strong leadership position in Industrial Air with organic and inorganic actions focusing on:</w:t>
      </w:r>
    </w:p>
    <w:p>
      <w:pPr>
        <w:spacing w:after="0" w:line="69" w:lineRule="exact"/>
        <w:rPr>
          <w:sz w:val="20"/>
          <w:szCs w:val="20"/>
          <w:color w:val="auto"/>
        </w:rPr>
      </w:pPr>
    </w:p>
    <w:p>
      <w:pPr>
        <w:ind w:left="40" w:right="1060"/>
        <w:spacing w:after="0" w:line="265"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Geographic Expansion </w:t>
      </w: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New Industrial Markets</w:t>
      </w:r>
    </w:p>
    <w:p>
      <w:pPr>
        <w:spacing w:after="0" w:line="35" w:lineRule="exact"/>
        <w:rPr>
          <w:sz w:val="20"/>
          <w:szCs w:val="20"/>
          <w:color w:val="auto"/>
        </w:rPr>
      </w:pPr>
    </w:p>
    <w:p>
      <w:pPr>
        <w:ind w:left="220" w:right="1020" w:hanging="179"/>
        <w:spacing w:after="0" w:line="220"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More Replacement and Recurring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sz w:val="1"/>
          <w:szCs w:val="1"/>
          <w:color w:val="auto"/>
        </w:rPr>
        <w:drawing>
          <wp:inline distT="0" distB="0" distL="0" distR="0">
            <wp:extent cx="299720" cy="3035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30"/>
          <w:szCs w:val="30"/>
          <w:b w:val="1"/>
          <w:bCs w:val="1"/>
          <w:color w:val="273D86"/>
        </w:rPr>
        <w:t>Industrial Water</w:t>
      </w:r>
    </w:p>
    <w:p>
      <w:pPr>
        <w:spacing w:after="0" w:line="266" w:lineRule="exact"/>
        <w:rPr>
          <w:sz w:val="20"/>
          <w:szCs w:val="20"/>
          <w:color w:val="auto"/>
        </w:rPr>
      </w:pPr>
    </w:p>
    <w:p>
      <w:pPr>
        <w:ind w:left="40" w:right="240"/>
        <w:spacing w:after="0" w:line="307" w:lineRule="auto"/>
        <w:rPr>
          <w:sz w:val="20"/>
          <w:szCs w:val="20"/>
          <w:color w:val="auto"/>
        </w:rPr>
      </w:pPr>
      <w:r>
        <w:rPr>
          <w:rFonts w:ascii="Arial" w:cs="Arial" w:eastAsia="Arial" w:hAnsi="Arial"/>
          <w:sz w:val="16"/>
          <w:szCs w:val="16"/>
          <w:color w:val="262626"/>
        </w:rPr>
        <w:t xml:space="preserve">CECO is </w:t>
      </w:r>
      <w:r>
        <w:rPr>
          <w:rFonts w:ascii="Arial" w:cs="Arial" w:eastAsia="Arial" w:hAnsi="Arial"/>
          <w:sz w:val="16"/>
          <w:szCs w:val="16"/>
          <w:i w:val="1"/>
          <w:iCs w:val="1"/>
          <w:color w:val="262626"/>
        </w:rPr>
        <w:t>BUILDING</w:t>
      </w:r>
      <w:r>
        <w:rPr>
          <w:rFonts w:ascii="Arial" w:cs="Arial" w:eastAsia="Arial" w:hAnsi="Arial"/>
          <w:sz w:val="16"/>
          <w:szCs w:val="16"/>
          <w:color w:val="262626"/>
        </w:rPr>
        <w:t xml:space="preserve"> a strong leadership position across a focused set of industrial markets where we have a right to win and advance our brands:</w:t>
      </w:r>
    </w:p>
    <w:p>
      <w:pPr>
        <w:spacing w:after="0" w:line="75" w:lineRule="exact"/>
        <w:rPr>
          <w:sz w:val="20"/>
          <w:szCs w:val="20"/>
          <w:color w:val="auto"/>
        </w:rPr>
      </w:pPr>
    </w:p>
    <w:p>
      <w:pPr>
        <w:ind w:left="40"/>
        <w:spacing w:after="0" w:line="194"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Niche Industrial Markets</w:t>
      </w:r>
    </w:p>
    <w:p>
      <w:pPr>
        <w:spacing w:after="0" w:line="88" w:lineRule="exact"/>
        <w:rPr>
          <w:sz w:val="20"/>
          <w:szCs w:val="20"/>
          <w:color w:val="auto"/>
        </w:rPr>
      </w:pPr>
    </w:p>
    <w:p>
      <w:pPr>
        <w:ind w:left="40"/>
        <w:spacing w:after="0" w:line="194"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High Recurring Revenue</w:t>
      </w:r>
    </w:p>
    <w:p>
      <w:pPr>
        <w:spacing w:after="0" w:line="88" w:lineRule="exact"/>
        <w:rPr>
          <w:sz w:val="20"/>
          <w:szCs w:val="20"/>
          <w:color w:val="auto"/>
        </w:rPr>
      </w:pPr>
    </w:p>
    <w:p>
      <w:pPr>
        <w:ind w:left="220" w:right="220" w:hanging="179"/>
        <w:spacing w:after="0" w:line="234" w:lineRule="exact"/>
        <w:rPr>
          <w:sz w:val="20"/>
          <w:szCs w:val="20"/>
          <w:color w:val="auto"/>
        </w:rPr>
      </w:pPr>
      <w:r>
        <w:rPr>
          <w:rFonts w:ascii="PMingLiU" w:cs="PMingLiU" w:eastAsia="PMingLiU" w:hAnsi="PMingLiU"/>
          <w:sz w:val="15"/>
          <w:szCs w:val="15"/>
          <w:color w:val="262626"/>
        </w:rPr>
        <w:t xml:space="preserve"> </w:t>
      </w:r>
      <w:r>
        <w:rPr>
          <w:rFonts w:ascii="Arial" w:cs="Arial" w:eastAsia="Arial" w:hAnsi="Arial"/>
          <w:sz w:val="15"/>
          <w:szCs w:val="15"/>
          <w:color w:val="262626"/>
        </w:rPr>
        <w:t xml:space="preserve"> Expand in Key Markets where CECO has Existing Technical Skills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299720" cy="3035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29"/>
          <w:szCs w:val="29"/>
          <w:b w:val="1"/>
          <w:bCs w:val="1"/>
          <w:color w:val="273D86"/>
        </w:rPr>
        <w:t>Energy Transition</w:t>
      </w:r>
    </w:p>
    <w:p>
      <w:pPr>
        <w:spacing w:after="0" w:line="266" w:lineRule="exact"/>
        <w:rPr>
          <w:sz w:val="20"/>
          <w:szCs w:val="20"/>
          <w:color w:val="auto"/>
        </w:rPr>
      </w:pPr>
    </w:p>
    <w:p>
      <w:pPr>
        <w:ind w:left="20" w:right="660"/>
        <w:spacing w:after="0" w:line="307" w:lineRule="auto"/>
        <w:rPr>
          <w:sz w:val="20"/>
          <w:szCs w:val="20"/>
          <w:color w:val="auto"/>
        </w:rPr>
      </w:pPr>
      <w:r>
        <w:rPr>
          <w:rFonts w:ascii="Arial" w:cs="Arial" w:eastAsia="Arial" w:hAnsi="Arial"/>
          <w:sz w:val="16"/>
          <w:szCs w:val="16"/>
          <w:color w:val="262626"/>
        </w:rPr>
        <w:t xml:space="preserve">CECO is </w:t>
      </w:r>
      <w:r>
        <w:rPr>
          <w:rFonts w:ascii="Arial" w:cs="Arial" w:eastAsia="Arial" w:hAnsi="Arial"/>
          <w:sz w:val="16"/>
          <w:szCs w:val="16"/>
          <w:i w:val="1"/>
          <w:iCs w:val="1"/>
          <w:color w:val="262626"/>
        </w:rPr>
        <w:t>REPOSITIONING</w:t>
      </w:r>
      <w:r>
        <w:rPr>
          <w:rFonts w:ascii="Arial" w:cs="Arial" w:eastAsia="Arial" w:hAnsi="Arial"/>
          <w:sz w:val="16"/>
          <w:szCs w:val="16"/>
          <w:color w:val="262626"/>
        </w:rPr>
        <w:t xml:space="preserve"> our Energy portfolio to better support and capture growth associated with the transition and investments associated with:</w:t>
      </w:r>
    </w:p>
    <w:p>
      <w:pPr>
        <w:spacing w:after="0" w:line="75" w:lineRule="exact"/>
        <w:rPr>
          <w:sz w:val="20"/>
          <w:szCs w:val="20"/>
          <w:color w:val="auto"/>
        </w:rPr>
      </w:pPr>
    </w:p>
    <w:p>
      <w:pPr>
        <w:ind w:left="20"/>
        <w:spacing w:after="0" w:line="194"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More Renewable Gases</w:t>
      </w:r>
    </w:p>
    <w:p>
      <w:pPr>
        <w:spacing w:after="0" w:line="88" w:lineRule="exact"/>
        <w:rPr>
          <w:sz w:val="20"/>
          <w:szCs w:val="20"/>
          <w:color w:val="auto"/>
        </w:rPr>
      </w:pPr>
    </w:p>
    <w:p>
      <w:pPr>
        <w:ind w:left="200" w:right="1140" w:hanging="179"/>
        <w:spacing w:after="0" w:line="220"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Infrastructure to Transport and Sequester</w:t>
      </w:r>
    </w:p>
    <w:p>
      <w:pPr>
        <w:spacing w:after="0" w:line="35" w:lineRule="exact"/>
        <w:rPr>
          <w:sz w:val="20"/>
          <w:szCs w:val="20"/>
          <w:color w:val="auto"/>
        </w:rPr>
      </w:pPr>
    </w:p>
    <w:p>
      <w:pPr>
        <w:ind w:left="200" w:right="640" w:hanging="179"/>
        <w:spacing w:after="0" w:line="234" w:lineRule="exact"/>
        <w:rPr>
          <w:sz w:val="20"/>
          <w:szCs w:val="20"/>
          <w:color w:val="auto"/>
        </w:rPr>
      </w:pPr>
      <w:r>
        <w:rPr>
          <w:rFonts w:ascii="PMingLiU" w:cs="PMingLiU" w:eastAsia="PMingLiU" w:hAnsi="PMingLiU"/>
          <w:sz w:val="16"/>
          <w:szCs w:val="16"/>
          <w:color w:val="262626"/>
        </w:rPr>
        <w:t xml:space="preserve"> </w:t>
      </w:r>
      <w:r>
        <w:rPr>
          <w:rFonts w:ascii="Arial" w:cs="Arial" w:eastAsia="Arial" w:hAnsi="Arial"/>
          <w:sz w:val="16"/>
          <w:szCs w:val="16"/>
          <w:color w:val="262626"/>
        </w:rPr>
        <w:t xml:space="preserve"> Increased Capabilities to Sustain Existing Energy Sectors</w:t>
      </w:r>
    </w:p>
    <w:p>
      <w:pPr>
        <w:spacing w:after="0" w:line="200" w:lineRule="exact"/>
        <w:rPr>
          <w:sz w:val="20"/>
          <w:szCs w:val="20"/>
          <w:color w:val="auto"/>
        </w:rPr>
      </w:pPr>
    </w:p>
    <w:p>
      <w:pPr>
        <w:sectPr>
          <w:pgSz w:w="12240" w:h="15840" w:orient="portrait"/>
          <w:cols w:equalWidth="0" w:num="3">
            <w:col w:w="2920" w:space="720"/>
            <w:col w:w="2920" w:space="720"/>
            <w:col w:w="3200"/>
          </w:cols>
          <w:pgMar w:left="1040" w:top="1312" w:right="720" w:bottom="208" w:gutter="0" w:footer="0" w:header="0"/>
          <w:type w:val="continuous"/>
        </w:sectPr>
      </w:pPr>
    </w:p>
    <w:p>
      <w:pPr>
        <w:spacing w:after="0" w:line="35" w:lineRule="exact"/>
        <w:rPr>
          <w:sz w:val="20"/>
          <w:szCs w:val="20"/>
          <w:color w:val="auto"/>
        </w:rPr>
      </w:pPr>
    </w:p>
    <w:p>
      <w:pPr>
        <w:ind w:left="8620"/>
        <w:spacing w:after="0"/>
        <w:tabs>
          <w:tab w:leader="none" w:pos="1036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1</w:t>
      </w:r>
    </w:p>
    <w:p>
      <w:pPr>
        <w:sectPr>
          <w:pgSz w:w="12240" w:h="15840" w:orient="portrait"/>
          <w:cols w:equalWidth="0" w:num="1">
            <w:col w:w="10480"/>
          </w:cols>
          <w:pgMar w:left="1040" w:top="1312" w:right="720" w:bottom="208" w:gutter="0" w:footer="0" w:header="0"/>
          <w:type w:val="continuous"/>
        </w:sectPr>
      </w:pPr>
    </w:p>
    <w:bookmarkStart w:id="3" w:name="page4"/>
    <w:bookmarkEnd w:id="3"/>
    <w:p>
      <w:pPr>
        <w:spacing w:after="0"/>
        <w:rPr>
          <w:sz w:val="20"/>
          <w:szCs w:val="20"/>
          <w:color w:val="auto"/>
        </w:rPr>
      </w:pPr>
      <w:r>
        <w:rPr>
          <w:sz w:val="1"/>
          <w:szCs w:val="1"/>
          <w:color w:val="auto"/>
        </w:rPr>
        <w:drawing>
          <wp:inline distT="0" distB="0" distL="0" distR="0">
            <wp:extent cx="334010" cy="3384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a:extLst>
                        <a:ext uri="{28A0092B-C50C-407E-A947-70E740481C1C}"/>
                      </a:extLst>
                    </a:blip>
                    <a:srcRect/>
                    <a:stretch>
                      <a:fillRect/>
                    </a:stretch>
                  </pic:blipFill>
                  <pic:spPr bwMode="auto">
                    <a:xfrm>
                      <a:off x="0" y="0"/>
                      <a:ext cx="334010" cy="338455"/>
                    </a:xfrm>
                    <a:prstGeom prst="rect">
                      <a:avLst/>
                    </a:prstGeom>
                    <a:noFill/>
                    <a:ln>
                      <a:noFill/>
                    </a:ln>
                  </pic:spPr>
                </pic:pic>
              </a:graphicData>
            </a:graphic>
          </wp:inline>
        </w:drawing>
      </w:r>
      <w:r>
        <w:rPr>
          <w:rFonts w:ascii="Arial" w:cs="Arial" w:eastAsia="Arial" w:hAnsi="Arial"/>
          <w:sz w:val="40"/>
          <w:szCs w:val="40"/>
          <w:b w:val="1"/>
          <w:bCs w:val="1"/>
          <w:color w:val="273D86"/>
        </w:rPr>
        <w:t>Customer Highlights</w:t>
      </w:r>
    </w:p>
    <w:p>
      <w:pPr>
        <w:spacing w:after="0" w:line="200" w:lineRule="exact"/>
        <w:rPr>
          <w:sz w:val="20"/>
          <w:szCs w:val="20"/>
          <w:color w:val="auto"/>
        </w:rPr>
      </w:pPr>
    </w:p>
    <w:p>
      <w:pPr>
        <w:spacing w:after="0" w:line="341" w:lineRule="exact"/>
        <w:rPr>
          <w:sz w:val="20"/>
          <w:szCs w:val="20"/>
          <w:color w:val="auto"/>
        </w:rPr>
      </w:pPr>
    </w:p>
    <w:p>
      <w:pPr>
        <w:ind w:left="20" w:right="560"/>
        <w:spacing w:after="0" w:line="313" w:lineRule="auto"/>
        <w:rPr>
          <w:sz w:val="20"/>
          <w:szCs w:val="20"/>
          <w:color w:val="auto"/>
        </w:rPr>
      </w:pPr>
      <w:r>
        <w:rPr>
          <w:rFonts w:ascii="Arial" w:cs="Arial" w:eastAsia="Arial" w:hAnsi="Arial"/>
          <w:sz w:val="30"/>
          <w:szCs w:val="30"/>
          <w:b w:val="1"/>
          <w:bCs w:val="1"/>
          <w:color w:val="98B82F"/>
        </w:rPr>
        <w:t>Providing solutions for key emerging industries supports CECO’s mission to protect people, the environment and industrial equipment. These projects represent just a few areas of increased focus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192405</wp:posOffset>
            </wp:positionV>
            <wp:extent cx="6628130" cy="2191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extLst>
                    </a:blip>
                    <a:srcRect/>
                    <a:stretch>
                      <a:fillRect/>
                    </a:stretch>
                  </pic:blipFill>
                  <pic:spPr bwMode="auto">
                    <a:xfrm>
                      <a:off x="0" y="0"/>
                      <a:ext cx="6628130" cy="2191385"/>
                    </a:xfrm>
                    <a:prstGeom prst="rect">
                      <a:avLst/>
                    </a:prstGeom>
                    <a:noFill/>
                  </pic:spPr>
                </pic:pic>
              </a:graphicData>
            </a:graphic>
          </wp:anchor>
        </w:drawing>
      </w:r>
    </w:p>
    <w:p>
      <w:pPr>
        <w:sectPr>
          <w:pgSz w:w="12240" w:h="15840" w:orient="portrait"/>
          <w:cols w:equalWidth="0" w:num="1">
            <w:col w:w="10400"/>
          </w:cols>
          <w:pgMar w:left="880" w:top="834" w:right="960"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6"/>
          <w:szCs w:val="26"/>
          <w:b w:val="1"/>
          <w:bCs w:val="1"/>
          <w:color w:val="273D86"/>
        </w:rPr>
        <w:t>BEV CAN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Summary Title</w:t>
      </w:r>
    </w:p>
    <w:p>
      <w:pPr>
        <w:spacing w:after="0" w:line="17"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262626"/>
        </w:rPr>
        <w:t>Reducing Volatile Organic Compounds (VOCs) in beverage can production while harvesting the recovered energy for reuse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Product</w:t>
      </w:r>
    </w:p>
    <w:p>
      <w:pPr>
        <w:spacing w:after="0" w:line="3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262626"/>
        </w:rPr>
        <w:t>EIS Rotary Concentrator and Regenerative Thermal Oxidizer (RTO), Mist Elimination Filters, Full Capture Ductwork and Heat Recovery System</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Solution</w:t>
      </w:r>
    </w:p>
    <w:p>
      <w:pPr>
        <w:spacing w:after="0" w:line="31"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color w:val="262626"/>
        </w:rPr>
        <w:t>Complete VOC abatement system designed, installed and commissioned to meet environmental compliance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Value</w:t>
      </w:r>
    </w:p>
    <w:p>
      <w:pPr>
        <w:spacing w:after="0" w:line="31" w:lineRule="exact"/>
        <w:rPr>
          <w:sz w:val="20"/>
          <w:szCs w:val="20"/>
          <w:color w:val="auto"/>
        </w:rPr>
      </w:pPr>
    </w:p>
    <w:p>
      <w:pPr>
        <w:ind w:right="40"/>
        <w:spacing w:after="0" w:line="370" w:lineRule="auto"/>
        <w:rPr>
          <w:sz w:val="20"/>
          <w:szCs w:val="20"/>
          <w:color w:val="auto"/>
        </w:rPr>
      </w:pPr>
      <w:r>
        <w:rPr>
          <w:rFonts w:ascii="Arial" w:cs="Arial" w:eastAsia="Arial" w:hAnsi="Arial"/>
          <w:sz w:val="16"/>
          <w:szCs w:val="16"/>
          <w:color w:val="262626"/>
        </w:rPr>
        <w:t>Turnkey solution for the reduction of emissions and elimination of visible exhaust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Environmental Impact</w:t>
      </w:r>
    </w:p>
    <w:p>
      <w:pPr>
        <w:spacing w:after="0" w:line="31" w:lineRule="exact"/>
        <w:rPr>
          <w:sz w:val="20"/>
          <w:szCs w:val="20"/>
          <w:color w:val="auto"/>
        </w:rPr>
      </w:pPr>
    </w:p>
    <w:p>
      <w:pPr>
        <w:spacing w:after="0" w:line="370" w:lineRule="auto"/>
        <w:rPr>
          <w:sz w:val="20"/>
          <w:szCs w:val="20"/>
          <w:color w:val="auto"/>
        </w:rPr>
      </w:pPr>
      <w:r>
        <w:rPr>
          <w:rFonts w:ascii="Arial" w:cs="Arial" w:eastAsia="Arial" w:hAnsi="Arial"/>
          <w:sz w:val="16"/>
          <w:szCs w:val="16"/>
          <w:color w:val="262626"/>
        </w:rPr>
        <w:t>Over 1 MW of energy recovered for reuse in the manufacturing process hot water system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6"/>
          <w:szCs w:val="26"/>
          <w:b w:val="1"/>
          <w:bCs w:val="1"/>
          <w:color w:val="273D86"/>
        </w:rPr>
        <w:t>Carbon Capture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Summary Title</w:t>
      </w:r>
    </w:p>
    <w:p>
      <w:pPr>
        <w:spacing w:after="0" w:line="17" w:lineRule="exact"/>
        <w:rPr>
          <w:sz w:val="20"/>
          <w:szCs w:val="20"/>
          <w:color w:val="auto"/>
        </w:rPr>
      </w:pPr>
    </w:p>
    <w:p>
      <w:pPr>
        <w:ind w:right="440"/>
        <w:spacing w:after="0" w:line="370" w:lineRule="auto"/>
        <w:rPr>
          <w:sz w:val="20"/>
          <w:szCs w:val="20"/>
          <w:color w:val="auto"/>
        </w:rPr>
      </w:pPr>
      <w:r>
        <w:rPr>
          <w:rFonts w:ascii="Arial" w:cs="Arial" w:eastAsia="Arial" w:hAnsi="Arial"/>
          <w:sz w:val="16"/>
          <w:szCs w:val="16"/>
          <w:color w:val="262626"/>
        </w:rPr>
        <w:t>Carbon Capture and Storage from the ethanol production process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Product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262626"/>
        </w:rPr>
        <w:t>Peerless Vane-type Moisture Separators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Solution</w:t>
      </w:r>
    </w:p>
    <w:p>
      <w:pPr>
        <w:spacing w:after="0" w:line="3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262626"/>
        </w:rPr>
        <w:t>Installation of moisture separators at multiple ethanol facilities where CO</w:t>
      </w:r>
      <w:r>
        <w:rPr>
          <w:rFonts w:ascii="Arial" w:cs="Arial" w:eastAsia="Arial" w:hAnsi="Arial"/>
          <w:sz w:val="18"/>
          <w:szCs w:val="18"/>
          <w:color w:val="262626"/>
          <w:vertAlign w:val="subscript"/>
        </w:rPr>
        <w:t>2</w:t>
      </w:r>
      <w:r>
        <w:rPr>
          <w:rFonts w:ascii="Arial" w:cs="Arial" w:eastAsia="Arial" w:hAnsi="Arial"/>
          <w:sz w:val="16"/>
          <w:szCs w:val="16"/>
          <w:color w:val="262626"/>
        </w:rPr>
        <w:t xml:space="preserve"> is being captured from the corn fermentation process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Value</w:t>
      </w:r>
    </w:p>
    <w:p>
      <w:pPr>
        <w:spacing w:after="0" w:line="17" w:lineRule="exact"/>
        <w:rPr>
          <w:sz w:val="20"/>
          <w:szCs w:val="20"/>
          <w:color w:val="auto"/>
        </w:rPr>
      </w:pPr>
    </w:p>
    <w:p>
      <w:pPr>
        <w:spacing w:after="0" w:line="292" w:lineRule="auto"/>
        <w:rPr>
          <w:sz w:val="20"/>
          <w:szCs w:val="20"/>
          <w:color w:val="auto"/>
        </w:rPr>
      </w:pPr>
      <w:r>
        <w:rPr>
          <w:rFonts w:ascii="Arial" w:cs="Arial" w:eastAsia="Arial" w:hAnsi="Arial"/>
          <w:sz w:val="16"/>
          <w:szCs w:val="16"/>
          <w:color w:val="262626"/>
        </w:rPr>
        <w:t>Turnkey separation equipment for multiple facilities feeding into a CO</w:t>
      </w:r>
      <w:r>
        <w:rPr>
          <w:rFonts w:ascii="Arial" w:cs="Arial" w:eastAsia="Arial" w:hAnsi="Arial"/>
          <w:sz w:val="18"/>
          <w:szCs w:val="18"/>
          <w:color w:val="262626"/>
          <w:vertAlign w:val="subscript"/>
        </w:rPr>
        <w:t>2</w:t>
      </w:r>
      <w:r>
        <w:rPr>
          <w:rFonts w:ascii="Arial" w:cs="Arial" w:eastAsia="Arial" w:hAnsi="Arial"/>
          <w:sz w:val="16"/>
          <w:szCs w:val="16"/>
          <w:color w:val="262626"/>
        </w:rPr>
        <w:t xml:space="preserve"> pipeline network to deliver high-purity CO</w:t>
      </w:r>
      <w:r>
        <w:rPr>
          <w:rFonts w:ascii="Arial" w:cs="Arial" w:eastAsia="Arial" w:hAnsi="Arial"/>
          <w:sz w:val="18"/>
          <w:szCs w:val="18"/>
          <w:color w:val="262626"/>
          <w:vertAlign w:val="subscript"/>
        </w:rPr>
        <w:t>2</w:t>
      </w:r>
      <w:r>
        <w:rPr>
          <w:rFonts w:ascii="Arial" w:cs="Arial" w:eastAsia="Arial" w:hAnsi="Arial"/>
          <w:sz w:val="16"/>
          <w:szCs w:val="16"/>
          <w:color w:val="262626"/>
        </w:rPr>
        <w:t xml:space="preserve"> for the food and beverage industry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Environmental Impact</w:t>
      </w:r>
    </w:p>
    <w:p>
      <w:pPr>
        <w:spacing w:after="0" w:line="31" w:lineRule="exact"/>
        <w:rPr>
          <w:sz w:val="20"/>
          <w:szCs w:val="20"/>
          <w:color w:val="auto"/>
        </w:rPr>
      </w:pPr>
    </w:p>
    <w:p>
      <w:pPr>
        <w:ind w:right="60"/>
        <w:spacing w:after="0" w:line="322" w:lineRule="auto"/>
        <w:rPr>
          <w:sz w:val="20"/>
          <w:szCs w:val="20"/>
          <w:color w:val="auto"/>
        </w:rPr>
      </w:pPr>
      <w:r>
        <w:rPr>
          <w:rFonts w:ascii="Arial" w:cs="Arial" w:eastAsia="Arial" w:hAnsi="Arial"/>
          <w:sz w:val="16"/>
          <w:szCs w:val="16"/>
          <w:color w:val="262626"/>
        </w:rPr>
        <w:t>Reduced greenhouse gases emitted from the ethanol plants and re-purposed exhaust gases for a sell-able CO</w:t>
      </w:r>
      <w:r>
        <w:rPr>
          <w:rFonts w:ascii="Arial" w:cs="Arial" w:eastAsia="Arial" w:hAnsi="Arial"/>
          <w:sz w:val="18"/>
          <w:szCs w:val="18"/>
          <w:color w:val="262626"/>
          <w:vertAlign w:val="subscript"/>
        </w:rPr>
        <w:t>2</w:t>
      </w:r>
      <w:r>
        <w:rPr>
          <w:rFonts w:ascii="Arial" w:cs="Arial" w:eastAsia="Arial" w:hAnsi="Arial"/>
          <w:sz w:val="16"/>
          <w:szCs w:val="16"/>
          <w:color w:val="262626"/>
        </w:rPr>
        <w:t xml:space="preserve"> product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6"/>
          <w:szCs w:val="26"/>
          <w:b w:val="1"/>
          <w:bCs w:val="1"/>
          <w:color w:val="273D86"/>
        </w:rPr>
        <w:t>EV MFG</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Summary Title</w:t>
      </w:r>
    </w:p>
    <w:p>
      <w:pPr>
        <w:spacing w:after="0" w:line="42" w:lineRule="exact"/>
        <w:rPr>
          <w:sz w:val="20"/>
          <w:szCs w:val="20"/>
          <w:color w:val="auto"/>
        </w:rPr>
      </w:pPr>
    </w:p>
    <w:p>
      <w:pPr>
        <w:ind w:right="80"/>
        <w:spacing w:after="0" w:line="202" w:lineRule="exact"/>
        <w:rPr>
          <w:sz w:val="20"/>
          <w:szCs w:val="20"/>
          <w:color w:val="auto"/>
        </w:rPr>
      </w:pPr>
      <w:r>
        <w:rPr>
          <w:rFonts w:ascii="Arial" w:cs="Arial" w:eastAsia="Arial" w:hAnsi="Arial"/>
          <w:sz w:val="12"/>
          <w:szCs w:val="12"/>
          <w:color w:val="262626"/>
        </w:rPr>
        <w:t>*UHHQÀHOG</w:t>
      </w:r>
      <w:r>
        <w:rPr>
          <w:rFonts w:ascii="PMingLiU" w:cs="PMingLiU" w:eastAsia="PMingLiU" w:hAnsi="PMingLiU"/>
          <w:sz w:val="12"/>
          <w:szCs w:val="12"/>
          <w:color w:val="262626"/>
        </w:rPr>
        <w:t/>
      </w:r>
      <w:r>
        <w:rPr>
          <w:rFonts w:ascii="Arial" w:cs="Arial" w:eastAsia="Arial" w:hAnsi="Arial"/>
          <w:sz w:val="12"/>
          <w:szCs w:val="12"/>
          <w:color w:val="262626"/>
        </w:rPr>
        <w:t>2SSRUWXQLW\</w:t>
      </w:r>
      <w:r>
        <w:rPr>
          <w:rFonts w:ascii="PMingLiU" w:cs="PMingLiU" w:eastAsia="PMingLiU" w:hAnsi="PMingLiU"/>
          <w:sz w:val="12"/>
          <w:szCs w:val="12"/>
          <w:color w:val="262626"/>
        </w:rPr>
        <w:t/>
      </w:r>
      <w:r>
        <w:rPr>
          <w:rFonts w:ascii="Arial" w:cs="Arial" w:eastAsia="Arial" w:hAnsi="Arial"/>
          <w:sz w:val="12"/>
          <w:szCs w:val="12"/>
          <w:color w:val="262626"/>
        </w:rPr>
        <w:t>IRU</w:t>
      </w:r>
      <w:r>
        <w:rPr>
          <w:rFonts w:ascii="PMingLiU" w:cs="PMingLiU" w:eastAsia="PMingLiU" w:hAnsi="PMingLiU"/>
          <w:sz w:val="12"/>
          <w:szCs w:val="12"/>
          <w:color w:val="262626"/>
        </w:rPr>
        <w:t/>
      </w:r>
      <w:r>
        <w:rPr>
          <w:rFonts w:ascii="Arial" w:cs="Arial" w:eastAsia="Arial" w:hAnsi="Arial"/>
          <w:sz w:val="12"/>
          <w:szCs w:val="12"/>
          <w:color w:val="262626"/>
        </w:rPr>
        <w:t>(OHFWULF</w:t>
      </w:r>
      <w:r>
        <w:rPr>
          <w:rFonts w:ascii="PMingLiU" w:cs="PMingLiU" w:eastAsia="PMingLiU" w:hAnsi="PMingLiU"/>
          <w:sz w:val="12"/>
          <w:szCs w:val="12"/>
          <w:color w:val="262626"/>
        </w:rPr>
        <w:t/>
      </w:r>
      <w:r>
        <w:rPr>
          <w:rFonts w:ascii="Arial" w:cs="Arial" w:eastAsia="Arial" w:hAnsi="Arial"/>
          <w:sz w:val="12"/>
          <w:szCs w:val="12"/>
          <w:color w:val="262626"/>
        </w:rPr>
        <w:t>9HKLFOH</w:t>
      </w:r>
      <w:r>
        <w:rPr>
          <w:rFonts w:ascii="PMingLiU" w:cs="PMingLiU" w:eastAsia="PMingLiU" w:hAnsi="PMingLiU"/>
          <w:sz w:val="12"/>
          <w:szCs w:val="12"/>
          <w:color w:val="262626"/>
        </w:rPr>
        <w:t/>
      </w:r>
      <w:r>
        <w:rPr>
          <w:rFonts w:ascii="Arial" w:cs="Arial" w:eastAsia="Arial" w:hAnsi="Arial"/>
          <w:sz w:val="12"/>
          <w:szCs w:val="12"/>
          <w:color w:val="262626"/>
        </w:rPr>
        <w:t xml:space="preserve"> </w:t>
      </w:r>
      <w:r>
        <w:rPr>
          <w:rFonts w:ascii="PMingLiU" w:cs="PMingLiU" w:eastAsia="PMingLiU" w:hAnsi="PMingLiU"/>
          <w:sz w:val="12"/>
          <w:szCs w:val="12"/>
          <w:color w:val="262626"/>
        </w:rPr>
        <w:t/>
      </w:r>
      <w:r>
        <w:rPr>
          <w:rFonts w:ascii="Arial" w:cs="Arial" w:eastAsia="Arial" w:hAnsi="Arial"/>
          <w:sz w:val="12"/>
          <w:szCs w:val="12"/>
          <w:color w:val="262626"/>
        </w:rPr>
        <w:t>(9</w:t>
      </w:r>
      <w:r>
        <w:rPr>
          <w:rFonts w:ascii="PMingLiU" w:cs="PMingLiU" w:eastAsia="PMingLiU" w:hAnsi="PMingLiU"/>
          <w:sz w:val="12"/>
          <w:szCs w:val="12"/>
          <w:color w:val="262626"/>
        </w:rPr>
        <w:t/>
      </w:r>
      <w:r>
        <w:rPr>
          <w:rFonts w:ascii="Arial" w:cs="Arial" w:eastAsia="Arial" w:hAnsi="Arial"/>
          <w:sz w:val="12"/>
          <w:szCs w:val="12"/>
          <w:color w:val="262626"/>
        </w:rPr>
        <w:t>PDQXIDFWXULQJ</w:t>
      </w:r>
      <w:r>
        <w:rPr>
          <w:rFonts w:ascii="PMingLiU" w:cs="PMingLiU" w:eastAsia="PMingLiU" w:hAnsi="PMingLiU"/>
          <w:sz w:val="12"/>
          <w:szCs w:val="12"/>
          <w:color w:val="262626"/>
        </w:rPr>
        <w:t/>
      </w:r>
      <w:r>
        <w:rPr>
          <w:rFonts w:ascii="Arial" w:cs="Arial" w:eastAsia="Arial" w:hAnsi="Arial"/>
          <w:sz w:val="12"/>
          <w:szCs w:val="12"/>
          <w:color w:val="262626"/>
        </w:rPr>
        <w:t>SURFHVV</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Product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262626"/>
        </w:rPr>
        <w:t>Adwest Regenerative Thermal Oxidizer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262626"/>
        </w:rPr>
        <w:t>(RTO) and Rotary Concentrator, Internet of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Things (IoT) Smart System</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Solution</w:t>
      </w:r>
    </w:p>
    <w:p>
      <w:pPr>
        <w:spacing w:after="0" w:line="17" w:lineRule="exact"/>
        <w:rPr>
          <w:sz w:val="20"/>
          <w:szCs w:val="20"/>
          <w:color w:val="auto"/>
        </w:rPr>
      </w:pPr>
    </w:p>
    <w:p>
      <w:pPr>
        <w:ind w:right="360"/>
        <w:spacing w:after="0" w:line="226" w:lineRule="exact"/>
        <w:rPr>
          <w:sz w:val="20"/>
          <w:szCs w:val="20"/>
          <w:color w:val="auto"/>
        </w:rPr>
      </w:pPr>
      <w:r>
        <w:rPr>
          <w:rFonts w:ascii="Arial" w:cs="Arial" w:eastAsia="Arial" w:hAnsi="Arial"/>
          <w:sz w:val="14"/>
          <w:szCs w:val="14"/>
          <w:color w:val="262626"/>
        </w:rPr>
        <w:t>Complete VOC abatement system designed, installed and commissioned to meet environmental compliance YLX\PYLTLU[Z</w:t>
      </w:r>
      <w:r>
        <w:rPr>
          <w:rFonts w:ascii="PMingLiU" w:cs="PMingLiU" w:eastAsia="PMingLiU" w:hAnsi="PMingLiU"/>
          <w:sz w:val="14"/>
          <w:szCs w:val="14"/>
          <w:color w:val="262626"/>
        </w:rPr>
        <w:t/>
      </w:r>
      <w:r>
        <w:rPr>
          <w:rFonts w:ascii="Arial" w:cs="Arial" w:eastAsia="Arial" w:hAnsi="Arial"/>
          <w:sz w:val="14"/>
          <w:szCs w:val="14"/>
          <w:color w:val="262626"/>
        </w:rPr>
        <w:t>SV^</w:t>
      </w:r>
      <w:r>
        <w:rPr>
          <w:rFonts w:ascii="PMingLiU" w:cs="PMingLiU" w:eastAsia="PMingLiU" w:hAnsi="PMingLiU"/>
          <w:sz w:val="14"/>
          <w:szCs w:val="14"/>
          <w:color w:val="262626"/>
        </w:rPr>
        <w:t/>
      </w:r>
      <w:r>
        <w:rPr>
          <w:rFonts w:ascii="Arial" w:cs="Arial" w:eastAsia="Arial" w:hAnsi="Arial"/>
          <w:sz w:val="14"/>
          <w:szCs w:val="14"/>
          <w:color w:val="262626"/>
        </w:rPr>
        <w:t>WYVÄSL</w:t>
      </w:r>
      <w:r>
        <w:rPr>
          <w:rFonts w:ascii="PMingLiU" w:cs="PMingLiU" w:eastAsia="PMingLiU" w:hAnsi="PMingLiU"/>
          <w:sz w:val="14"/>
          <w:szCs w:val="14"/>
          <w:color w:val="262626"/>
        </w:rPr>
        <w:t/>
      </w:r>
      <w:r>
        <w:rPr>
          <w:rFonts w:ascii="Arial" w:cs="Arial" w:eastAsia="Arial" w:hAnsi="Arial"/>
          <w:sz w:val="14"/>
          <w:szCs w:val="14"/>
          <w:color w:val="262626"/>
        </w:rPr>
        <w:t>KLZPNU</w:t>
      </w:r>
      <w:r>
        <w:rPr>
          <w:rFonts w:ascii="PMingLiU" w:cs="PMingLiU" w:eastAsia="PMingLiU" w:hAnsi="PMingLiU"/>
          <w:sz w:val="14"/>
          <w:szCs w:val="14"/>
          <w:color w:val="262626"/>
        </w:rPr>
        <w:t/>
      </w:r>
      <w:r>
        <w:rPr>
          <w:rFonts w:ascii="Arial" w:cs="Arial" w:eastAsia="Arial" w:hAnsi="Arial"/>
          <w:sz w:val="14"/>
          <w:szCs w:val="14"/>
          <w:color w:val="262626"/>
        </w:rPr>
        <w:t>HUK</w:t>
      </w:r>
      <w:r>
        <w:rPr>
          <w:rFonts w:ascii="PMingLiU" w:cs="PMingLiU" w:eastAsia="PMingLiU" w:hAnsi="PMingLiU"/>
          <w:sz w:val="14"/>
          <w:szCs w:val="14"/>
          <w:color w:val="262626"/>
        </w:rPr>
        <w:t/>
      </w:r>
      <w:r>
        <w:rPr>
          <w:rFonts w:ascii="Arial" w:cs="Arial" w:eastAsia="Arial" w:hAnsi="Arial"/>
          <w:sz w:val="14"/>
          <w:szCs w:val="14"/>
          <w:color w:val="262626"/>
        </w:rPr>
        <w:t xml:space="preserve"> reduced energy usage and cost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Value</w:t>
      </w:r>
    </w:p>
    <w:p>
      <w:pPr>
        <w:spacing w:after="0" w:line="17" w:lineRule="exact"/>
        <w:rPr>
          <w:sz w:val="20"/>
          <w:szCs w:val="20"/>
          <w:color w:val="auto"/>
        </w:rPr>
      </w:pPr>
    </w:p>
    <w:p>
      <w:pPr>
        <w:spacing w:after="0" w:line="230" w:lineRule="exact"/>
        <w:rPr>
          <w:sz w:val="20"/>
          <w:szCs w:val="20"/>
          <w:color w:val="auto"/>
        </w:rPr>
      </w:pPr>
      <w:r>
        <w:rPr>
          <w:rFonts w:ascii="Arial" w:cs="Arial" w:eastAsia="Arial" w:hAnsi="Arial"/>
          <w:sz w:val="16"/>
          <w:szCs w:val="16"/>
          <w:color w:val="262626"/>
        </w:rPr>
        <w:t>;\YURL`</w:t>
      </w:r>
      <w:r>
        <w:rPr>
          <w:rFonts w:ascii="PMingLiU" w:cs="PMingLiU" w:eastAsia="PMingLiU" w:hAnsi="PMingLiU"/>
          <w:sz w:val="16"/>
          <w:szCs w:val="16"/>
          <w:color w:val="262626"/>
        </w:rPr>
        <w:t/>
      </w:r>
      <w:r>
        <w:rPr>
          <w:rFonts w:ascii="Arial" w:cs="Arial" w:eastAsia="Arial" w:hAnsi="Arial"/>
          <w:sz w:val="16"/>
          <w:szCs w:val="16"/>
          <w:color w:val="262626"/>
        </w:rPr>
        <w:t xml:space="preserve"> OPNO</w:t>
      </w:r>
      <w:r>
        <w:rPr>
          <w:rFonts w:ascii="PMingLiU" w:cs="PMingLiU" w:eastAsia="PMingLiU" w:hAnsi="PMingLiU"/>
          <w:sz w:val="16"/>
          <w:szCs w:val="16"/>
          <w:color w:val="262626"/>
        </w:rPr>
        <w:t/>
      </w:r>
      <w:r>
        <w:rPr>
          <w:rFonts w:ascii="Arial" w:cs="Arial" w:eastAsia="Arial" w:hAnsi="Arial"/>
          <w:sz w:val="16"/>
          <w:szCs w:val="16"/>
          <w:color w:val="262626"/>
        </w:rPr>
        <w:t xml:space="preserve"> LɉJPLUJ` </w:t>
      </w:r>
      <w:r>
        <w:rPr>
          <w:rFonts w:ascii="PMingLiU" w:cs="PMingLiU" w:eastAsia="PMingLiU" w:hAnsi="PMingLiU"/>
          <w:sz w:val="16"/>
          <w:szCs w:val="16"/>
          <w:color w:val="262626"/>
        </w:rPr>
        <w:t/>
      </w:r>
      <w:r>
        <w:rPr>
          <w:rFonts w:ascii="Arial" w:cs="Arial" w:eastAsia="Arial" w:hAnsi="Arial"/>
          <w:sz w:val="16"/>
          <w:szCs w:val="16"/>
          <w:color w:val="262626"/>
        </w:rPr>
        <w:t>ZVS\[PVU</w:t>
      </w:r>
      <w:r>
        <w:rPr>
          <w:rFonts w:ascii="PMingLiU" w:cs="PMingLiU" w:eastAsia="PMingLiU" w:hAnsi="PMingLiU"/>
          <w:sz w:val="16"/>
          <w:szCs w:val="16"/>
          <w:color w:val="262626"/>
        </w:rPr>
        <w:t/>
      </w:r>
      <w:r>
        <w:rPr>
          <w:rFonts w:ascii="Arial" w:cs="Arial" w:eastAsia="Arial" w:hAnsi="Arial"/>
          <w:sz w:val="16"/>
          <w:szCs w:val="16"/>
          <w:color w:val="262626"/>
        </w:rPr>
        <w:t xml:space="preserve"> ^P[O</w:t>
      </w:r>
      <w:r>
        <w:rPr>
          <w:rFonts w:ascii="PMingLiU" w:cs="PMingLiU" w:eastAsia="PMingLiU" w:hAnsi="PMingLiU"/>
          <w:sz w:val="16"/>
          <w:szCs w:val="16"/>
          <w:color w:val="262626"/>
        </w:rPr>
        <w:t/>
      </w:r>
      <w:r>
        <w:rPr>
          <w:rFonts w:ascii="Arial" w:cs="Arial" w:eastAsia="Arial" w:hAnsi="Arial"/>
          <w:sz w:val="16"/>
          <w:szCs w:val="16"/>
          <w:color w:val="262626"/>
        </w:rPr>
        <w:t xml:space="preserve"> multiple lines provided under an aggressive delivery schedule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Key Environmental Impact</w:t>
      </w:r>
    </w:p>
    <w:p>
      <w:pPr>
        <w:spacing w:after="0" w:line="31" w:lineRule="exact"/>
        <w:rPr>
          <w:sz w:val="20"/>
          <w:szCs w:val="20"/>
          <w:color w:val="auto"/>
        </w:rPr>
      </w:pPr>
    </w:p>
    <w:p>
      <w:pPr>
        <w:ind w:right="200"/>
        <w:spacing w:after="0" w:line="234" w:lineRule="exact"/>
        <w:rPr>
          <w:sz w:val="20"/>
          <w:szCs w:val="20"/>
          <w:color w:val="auto"/>
        </w:rPr>
      </w:pPr>
      <w:r>
        <w:rPr>
          <w:rFonts w:ascii="Arial" w:cs="Arial" w:eastAsia="Arial" w:hAnsi="Arial"/>
          <w:sz w:val="15"/>
          <w:szCs w:val="15"/>
          <w:color w:val="262626"/>
        </w:rPr>
        <w:t>Rapid cold and warm RTO start-up times HUK</w:t>
      </w:r>
      <w:r>
        <w:rPr>
          <w:rFonts w:ascii="PMingLiU" w:cs="PMingLiU" w:eastAsia="PMingLiU" w:hAnsi="PMingLiU"/>
          <w:sz w:val="15"/>
          <w:szCs w:val="15"/>
          <w:color w:val="262626"/>
        </w:rPr>
        <w:t/>
      </w:r>
      <w:r>
        <w:rPr>
          <w:rFonts w:ascii="Arial" w:cs="Arial" w:eastAsia="Arial" w:hAnsi="Arial"/>
          <w:sz w:val="15"/>
          <w:szCs w:val="15"/>
          <w:color w:val="262626"/>
        </w:rPr>
        <w:t>PUJYLHZLK</w:t>
      </w:r>
      <w:r>
        <w:rPr>
          <w:rFonts w:ascii="PMingLiU" w:cs="PMingLiU" w:eastAsia="PMingLiU" w:hAnsi="PMingLiU"/>
          <w:sz w:val="15"/>
          <w:szCs w:val="15"/>
          <w:color w:val="262626"/>
        </w:rPr>
        <w:t/>
      </w:r>
      <w:r>
        <w:rPr>
          <w:rFonts w:ascii="Arial" w:cs="Arial" w:eastAsia="Arial" w:hAnsi="Arial"/>
          <w:sz w:val="15"/>
          <w:szCs w:val="15"/>
          <w:color w:val="262626"/>
        </w:rPr>
        <w:t>UH[\YHS</w:t>
      </w:r>
      <w:r>
        <w:rPr>
          <w:rFonts w:ascii="PMingLiU" w:cs="PMingLiU" w:eastAsia="PMingLiU" w:hAnsi="PMingLiU"/>
          <w:sz w:val="15"/>
          <w:szCs w:val="15"/>
          <w:color w:val="262626"/>
        </w:rPr>
        <w:t/>
      </w:r>
      <w:r>
        <w:rPr>
          <w:rFonts w:ascii="Arial" w:cs="Arial" w:eastAsia="Arial" w:hAnsi="Arial"/>
          <w:sz w:val="15"/>
          <w:szCs w:val="15"/>
          <w:color w:val="262626"/>
        </w:rPr>
        <w:t>NHZ</w:t>
      </w:r>
      <w:r>
        <w:rPr>
          <w:rFonts w:ascii="PMingLiU" w:cs="PMingLiU" w:eastAsia="PMingLiU" w:hAnsi="PMingLiU"/>
          <w:sz w:val="15"/>
          <w:szCs w:val="15"/>
          <w:color w:val="262626"/>
        </w:rPr>
        <w:t/>
      </w:r>
      <w:r>
        <w:rPr>
          <w:rFonts w:ascii="Arial" w:cs="Arial" w:eastAsia="Arial" w:hAnsi="Arial"/>
          <w:sz w:val="15"/>
          <w:szCs w:val="15"/>
          <w:color w:val="262626"/>
        </w:rPr>
        <w:t>LɉJPLUJPLZ</w:t>
      </w:r>
    </w:p>
    <w:p>
      <w:pPr>
        <w:spacing w:after="0" w:line="342" w:lineRule="exact"/>
        <w:rPr>
          <w:sz w:val="20"/>
          <w:szCs w:val="20"/>
          <w:color w:val="auto"/>
        </w:rPr>
      </w:pPr>
    </w:p>
    <w:p>
      <w:pPr>
        <w:sectPr>
          <w:pgSz w:w="12240" w:h="15840" w:orient="portrait"/>
          <w:cols w:equalWidth="0" w:num="3">
            <w:col w:w="3200" w:space="440"/>
            <w:col w:w="3180" w:space="440"/>
            <w:col w:w="3140"/>
          </w:cols>
          <w:pgMar w:left="880" w:top="834" w:right="960" w:bottom="2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0" w:hanging="240"/>
        <w:spacing w:after="0"/>
        <w:tabs>
          <w:tab w:leader="none" w:pos="260" w:val="left"/>
        </w:tabs>
        <w:numPr>
          <w:ilvl w:val="0"/>
          <w:numId w:val="1"/>
        </w:numPr>
        <w:rPr>
          <w:rFonts w:ascii="Arial" w:cs="Arial" w:eastAsia="Arial" w:hAnsi="Arial"/>
          <w:sz w:val="16"/>
          <w:szCs w:val="16"/>
          <w:b w:val="1"/>
          <w:bCs w:val="1"/>
          <w:color w:val="262626"/>
        </w:rPr>
      </w:pPr>
      <w:r>
        <w:rPr>
          <w:rFonts w:ascii="Arial" w:cs="Arial" w:eastAsia="Arial" w:hAnsi="Arial"/>
          <w:sz w:val="16"/>
          <w:szCs w:val="16"/>
          <w:b w:val="1"/>
          <w:bCs w:val="1"/>
          <w:color w:val="262626"/>
        </w:rPr>
        <w:t>CECO Environmental</w:t>
      </w:r>
    </w:p>
    <w:p>
      <w:pPr>
        <w:sectPr>
          <w:pgSz w:w="12240" w:h="15840" w:orient="portrait"/>
          <w:cols w:equalWidth="0" w:num="1">
            <w:col w:w="10400"/>
          </w:cols>
          <w:pgMar w:left="880" w:top="834" w:right="960" w:bottom="217" w:gutter="0" w:footer="0" w:header="0"/>
          <w:type w:val="continuous"/>
        </w:sectPr>
      </w:pPr>
    </w:p>
    <w:bookmarkStart w:id="4" w:name="page5"/>
    <w:bookmarkEnd w:id="4"/>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338455" cy="3384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extLst>
                    </a:blip>
                    <a:srcRect/>
                    <a:stretch>
                      <a:fillRect/>
                    </a:stretch>
                  </pic:blipFill>
                  <pic:spPr bwMode="auto">
                    <a:xfrm>
                      <a:off x="0" y="0"/>
                      <a:ext cx="338455" cy="338455"/>
                    </a:xfrm>
                    <a:prstGeom prst="rect">
                      <a:avLst/>
                    </a:prstGeom>
                    <a:noFill/>
                    <a:ln>
                      <a:noFill/>
                    </a:ln>
                  </pic:spPr>
                </pic:pic>
              </a:graphicData>
            </a:graphic>
          </wp:inline>
        </w:drawing>
      </w:r>
      <w:r>
        <w:rPr>
          <w:rFonts w:ascii="Arial" w:cs="Arial" w:eastAsia="Arial" w:hAnsi="Arial"/>
          <w:sz w:val="39"/>
          <w:szCs w:val="39"/>
          <w:b w:val="1"/>
          <w:bCs w:val="1"/>
          <w:color w:val="FFFFFF"/>
        </w:rPr>
        <w:t xml:space="preserve"> Financial Highlights</w:t>
      </w:r>
    </w:p>
    <w:p>
      <w:pPr>
        <w:sectPr>
          <w:pgSz w:w="12240" w:h="15840" w:orient="portrait"/>
          <w:cols w:equalWidth="0" w:num="1">
            <w:col w:w="10120"/>
          </w:cols>
          <w:pgMar w:left="1220" w:top="1440" w:right="900"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24"/>
          <w:szCs w:val="24"/>
          <w:b w:val="1"/>
          <w:bCs w:val="1"/>
          <w:color w:val="FFFFFF"/>
        </w:rPr>
        <w:t>Bookings</w:t>
      </w:r>
    </w:p>
    <w:p>
      <w:pPr>
        <w:spacing w:after="0" w:line="296" w:lineRule="exact"/>
        <w:rPr>
          <w:sz w:val="20"/>
          <w:szCs w:val="20"/>
          <w:color w:val="auto"/>
        </w:rPr>
      </w:pPr>
    </w:p>
    <w:p>
      <w:pPr>
        <w:ind w:left="1860"/>
        <w:spacing w:after="0"/>
        <w:rPr>
          <w:sz w:val="20"/>
          <w:szCs w:val="20"/>
          <w:color w:val="auto"/>
        </w:rPr>
      </w:pPr>
      <w:r>
        <w:rPr>
          <w:rFonts w:ascii="Arial" w:cs="Arial" w:eastAsia="Arial" w:hAnsi="Arial"/>
          <w:sz w:val="13"/>
          <w:szCs w:val="13"/>
          <w:color w:val="FFFFFF"/>
        </w:rPr>
        <w:t>$527M</w:t>
      </w: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4"/>
          <w:szCs w:val="14"/>
          <w:color w:val="FFFFFF"/>
        </w:rPr>
        <w:t>$361M</w:t>
      </w:r>
    </w:p>
    <w:p>
      <w:pPr>
        <w:spacing w:after="0" w:line="134" w:lineRule="exact"/>
        <w:rPr>
          <w:sz w:val="20"/>
          <w:szCs w:val="20"/>
          <w:color w:val="auto"/>
        </w:rPr>
      </w:pPr>
    </w:p>
    <w:p>
      <w:pPr>
        <w:ind w:left="640"/>
        <w:spacing w:after="0"/>
        <w:rPr>
          <w:sz w:val="20"/>
          <w:szCs w:val="20"/>
          <w:color w:val="auto"/>
        </w:rPr>
      </w:pPr>
      <w:r>
        <w:rPr>
          <w:rFonts w:ascii="Arial" w:cs="Arial" w:eastAsia="Arial" w:hAnsi="Arial"/>
          <w:sz w:val="14"/>
          <w:szCs w:val="14"/>
          <w:color w:val="FFFFFF"/>
        </w:rPr>
        <w:t>$280M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1240" w:val="left"/>
          <w:tab w:leader="none" w:pos="1840" w:val="left"/>
        </w:tabs>
        <w:rPr>
          <w:sz w:val="20"/>
          <w:szCs w:val="20"/>
          <w:color w:val="auto"/>
        </w:rPr>
      </w:pPr>
      <w:r>
        <w:rPr>
          <w:rFonts w:ascii="Arial" w:cs="Arial" w:eastAsia="Arial" w:hAnsi="Arial"/>
          <w:sz w:val="18"/>
          <w:szCs w:val="18"/>
          <w:b w:val="1"/>
          <w:bCs w:val="1"/>
          <w:color w:val="FFFFFF"/>
        </w:rPr>
        <w:t>2020</w:t>
        <w:tab/>
        <w:t>2021</w:t>
      </w:r>
      <w:r>
        <w:rPr>
          <w:sz w:val="20"/>
          <w:szCs w:val="20"/>
          <w:color w:val="auto"/>
        </w:rPr>
        <w:tab/>
      </w:r>
      <w:r>
        <w:rPr>
          <w:rFonts w:ascii="Arial" w:cs="Arial" w:eastAsia="Arial" w:hAnsi="Arial"/>
          <w:sz w:val="17"/>
          <w:szCs w:val="17"/>
          <w:b w:val="1"/>
          <w:bCs w:val="1"/>
          <w:color w:val="FFFFFF"/>
        </w:rPr>
        <w:t>2022</w:t>
      </w:r>
    </w:p>
    <w:p>
      <w:pPr>
        <w:spacing w:after="0" w:line="362" w:lineRule="exact"/>
        <w:rPr>
          <w:sz w:val="20"/>
          <w:szCs w:val="20"/>
          <w:color w:val="auto"/>
        </w:rPr>
      </w:pPr>
    </w:p>
    <w:p>
      <w:pPr>
        <w:ind w:left="620"/>
        <w:spacing w:after="0"/>
        <w:rPr>
          <w:sz w:val="20"/>
          <w:szCs w:val="20"/>
          <w:color w:val="auto"/>
        </w:rPr>
      </w:pPr>
      <w:r>
        <w:rPr>
          <w:rFonts w:ascii="Arial" w:cs="Arial" w:eastAsia="Arial" w:hAnsi="Arial"/>
          <w:sz w:val="24"/>
          <w:szCs w:val="24"/>
          <w:b w:val="1"/>
          <w:bCs w:val="1"/>
          <w:color w:val="FFFFFF"/>
        </w:rPr>
        <w:t>Revenue</w:t>
      </w:r>
    </w:p>
    <w:p>
      <w:pPr>
        <w:spacing w:after="0" w:line="296" w:lineRule="exact"/>
        <w:rPr>
          <w:sz w:val="20"/>
          <w:szCs w:val="20"/>
          <w:color w:val="auto"/>
        </w:rPr>
      </w:pPr>
    </w:p>
    <w:p>
      <w:pPr>
        <w:jc w:val="right"/>
        <w:ind w:right="780"/>
        <w:spacing w:after="0"/>
        <w:rPr>
          <w:sz w:val="20"/>
          <w:szCs w:val="20"/>
          <w:color w:val="auto"/>
        </w:rPr>
      </w:pPr>
      <w:r>
        <w:rPr>
          <w:rFonts w:ascii="Arial" w:cs="Arial" w:eastAsia="Arial" w:hAnsi="Arial"/>
          <w:sz w:val="14"/>
          <w:szCs w:val="14"/>
          <w:color w:val="FFFFFF"/>
        </w:rPr>
        <w:t>$423M</w:t>
      </w:r>
    </w:p>
    <w:p>
      <w:pPr>
        <w:spacing w:after="0" w:line="311"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4"/>
          <w:szCs w:val="14"/>
          <w:color w:val="FFFFFF"/>
        </w:rPr>
        <w:t>$316M</w:t>
      </w:r>
      <w:r>
        <w:rPr>
          <w:sz w:val="20"/>
          <w:szCs w:val="20"/>
          <w:color w:val="auto"/>
        </w:rPr>
        <w:tab/>
      </w:r>
      <w:r>
        <w:rPr>
          <w:rFonts w:ascii="Arial" w:cs="Arial" w:eastAsia="Arial" w:hAnsi="Arial"/>
          <w:sz w:val="13"/>
          <w:szCs w:val="13"/>
          <w:color w:val="FFFFFF"/>
        </w:rPr>
        <w:t>$324M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1240" w:val="left"/>
          <w:tab w:leader="none" w:pos="1840" w:val="left"/>
        </w:tabs>
        <w:rPr>
          <w:sz w:val="20"/>
          <w:szCs w:val="20"/>
          <w:color w:val="auto"/>
        </w:rPr>
      </w:pPr>
      <w:r>
        <w:rPr>
          <w:rFonts w:ascii="Arial" w:cs="Arial" w:eastAsia="Arial" w:hAnsi="Arial"/>
          <w:sz w:val="18"/>
          <w:szCs w:val="18"/>
          <w:b w:val="1"/>
          <w:bCs w:val="1"/>
          <w:color w:val="FFFFFF"/>
        </w:rPr>
        <w:t>2020</w:t>
        <w:tab/>
        <w:t>2021</w:t>
      </w:r>
      <w:r>
        <w:rPr>
          <w:sz w:val="20"/>
          <w:szCs w:val="20"/>
          <w:color w:val="auto"/>
        </w:rPr>
        <w:tab/>
      </w:r>
      <w:r>
        <w:rPr>
          <w:rFonts w:ascii="Arial" w:cs="Arial" w:eastAsia="Arial" w:hAnsi="Arial"/>
          <w:sz w:val="17"/>
          <w:szCs w:val="17"/>
          <w:b w:val="1"/>
          <w:bCs w:val="1"/>
          <w:color w:val="FFFFFF"/>
        </w:rPr>
        <w:t>2022</w:t>
      </w:r>
    </w:p>
    <w:p>
      <w:pPr>
        <w:spacing w:after="0" w:line="356" w:lineRule="exact"/>
        <w:rPr>
          <w:sz w:val="20"/>
          <w:szCs w:val="20"/>
          <w:color w:val="auto"/>
        </w:rPr>
      </w:pPr>
    </w:p>
    <w:p>
      <w:pPr>
        <w:ind w:left="620"/>
        <w:spacing w:after="0"/>
        <w:rPr>
          <w:sz w:val="20"/>
          <w:szCs w:val="20"/>
          <w:color w:val="auto"/>
        </w:rPr>
      </w:pPr>
      <w:r>
        <w:rPr>
          <w:rFonts w:ascii="Arial" w:cs="Arial" w:eastAsia="Arial" w:hAnsi="Arial"/>
          <w:sz w:val="24"/>
          <w:szCs w:val="24"/>
          <w:b w:val="1"/>
          <w:bCs w:val="1"/>
          <w:color w:val="FFFFFF"/>
        </w:rPr>
        <w:t>EBITDA</w:t>
      </w:r>
    </w:p>
    <w:p>
      <w:pPr>
        <w:spacing w:after="0" w:line="295" w:lineRule="exact"/>
        <w:rPr>
          <w:sz w:val="20"/>
          <w:szCs w:val="20"/>
          <w:color w:val="auto"/>
        </w:rPr>
      </w:pPr>
    </w:p>
    <w:p>
      <w:pPr>
        <w:ind w:left="1880"/>
        <w:spacing w:after="0"/>
        <w:rPr>
          <w:sz w:val="20"/>
          <w:szCs w:val="20"/>
          <w:color w:val="auto"/>
        </w:rPr>
      </w:pPr>
      <w:r>
        <w:rPr>
          <w:rFonts w:ascii="Arial" w:cs="Arial" w:eastAsia="Arial" w:hAnsi="Arial"/>
          <w:sz w:val="14"/>
          <w:szCs w:val="14"/>
          <w:color w:val="FFFFFF"/>
        </w:rPr>
        <w:t>$42M</w:t>
      </w:r>
    </w:p>
    <w:p>
      <w:pPr>
        <w:spacing w:after="0" w:line="278" w:lineRule="exact"/>
        <w:rPr>
          <w:sz w:val="20"/>
          <w:szCs w:val="20"/>
          <w:color w:val="auto"/>
        </w:rPr>
      </w:pPr>
    </w:p>
    <w:p>
      <w:pPr>
        <w:ind w:left="700"/>
        <w:spacing w:after="0"/>
        <w:rPr>
          <w:sz w:val="20"/>
          <w:szCs w:val="20"/>
          <w:color w:val="auto"/>
        </w:rPr>
      </w:pPr>
      <w:r>
        <w:rPr>
          <w:rFonts w:ascii="Arial" w:cs="Arial" w:eastAsia="Arial" w:hAnsi="Arial"/>
          <w:sz w:val="14"/>
          <w:szCs w:val="14"/>
          <w:color w:val="FFFFFF"/>
        </w:rPr>
        <w:t>$33M</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4"/>
          <w:szCs w:val="14"/>
          <w:color w:val="FFFFFF"/>
        </w:rPr>
        <w:t>$25M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1240" w:val="left"/>
          <w:tab w:leader="none" w:pos="1840" w:val="left"/>
        </w:tabs>
        <w:rPr>
          <w:sz w:val="20"/>
          <w:szCs w:val="20"/>
          <w:color w:val="auto"/>
        </w:rPr>
      </w:pPr>
      <w:r>
        <w:rPr>
          <w:rFonts w:ascii="Arial" w:cs="Arial" w:eastAsia="Arial" w:hAnsi="Arial"/>
          <w:sz w:val="18"/>
          <w:szCs w:val="18"/>
          <w:b w:val="1"/>
          <w:bCs w:val="1"/>
          <w:color w:val="FFFFFF"/>
        </w:rPr>
        <w:t>2020</w:t>
        <w:tab/>
        <w:t>2021</w:t>
      </w:r>
      <w:r>
        <w:rPr>
          <w:sz w:val="20"/>
          <w:szCs w:val="20"/>
          <w:color w:val="auto"/>
        </w:rPr>
        <w:tab/>
      </w:r>
      <w:r>
        <w:rPr>
          <w:rFonts w:ascii="Arial" w:cs="Arial" w:eastAsia="Arial" w:hAnsi="Arial"/>
          <w:sz w:val="17"/>
          <w:szCs w:val="17"/>
          <w:b w:val="1"/>
          <w:bCs w:val="1"/>
          <w:color w:val="FFFFFF"/>
        </w:rPr>
        <w:t>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20"/>
        <w:spacing w:after="0"/>
        <w:rPr>
          <w:sz w:val="20"/>
          <w:szCs w:val="20"/>
          <w:color w:val="auto"/>
        </w:rPr>
      </w:pPr>
      <w:r>
        <w:rPr>
          <w:rFonts w:ascii="Arial" w:cs="Arial" w:eastAsia="Arial" w:hAnsi="Arial"/>
          <w:sz w:val="32"/>
          <w:szCs w:val="32"/>
          <w:b w:val="1"/>
          <w:bCs w:val="1"/>
          <w:color w:val="FFFFFF"/>
        </w:rPr>
        <w:t>Revenue</w:t>
      </w:r>
    </w:p>
    <w:p>
      <w:pPr>
        <w:spacing w:after="0" w:line="13" w:lineRule="exact"/>
        <w:rPr>
          <w:sz w:val="20"/>
          <w:szCs w:val="20"/>
          <w:color w:val="auto"/>
        </w:rPr>
      </w:pPr>
    </w:p>
    <w:p>
      <w:pPr>
        <w:ind w:left="1220"/>
        <w:spacing w:after="0"/>
        <w:rPr>
          <w:sz w:val="20"/>
          <w:szCs w:val="20"/>
          <w:color w:val="auto"/>
        </w:rPr>
      </w:pPr>
      <w:r>
        <w:rPr>
          <w:rFonts w:ascii="Arial" w:cs="Arial" w:eastAsia="Arial" w:hAnsi="Arial"/>
          <w:sz w:val="110"/>
          <w:szCs w:val="110"/>
          <w:b w:val="1"/>
          <w:bCs w:val="1"/>
          <w:color w:val="FFFFFF"/>
        </w:rPr>
        <w:t>$423M</w:t>
      </w:r>
    </w:p>
    <w:p>
      <w:pPr>
        <w:ind w:left="1680"/>
        <w:spacing w:after="0"/>
        <w:rPr>
          <w:sz w:val="20"/>
          <w:szCs w:val="20"/>
          <w:color w:val="auto"/>
        </w:rPr>
      </w:pPr>
      <w:r>
        <w:rPr>
          <w:sz w:val="1"/>
          <w:szCs w:val="1"/>
          <w:color w:val="auto"/>
        </w:rPr>
        <w:drawing>
          <wp:inline distT="0" distB="0" distL="0" distR="0">
            <wp:extent cx="33528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extLst>
                    </a:blip>
                    <a:srcRect/>
                    <a:stretch>
                      <a:fillRect/>
                    </a:stretch>
                  </pic:blipFill>
                  <pic:spPr bwMode="auto">
                    <a:xfrm>
                      <a:off x="0" y="0"/>
                      <a:ext cx="335280" cy="209550"/>
                    </a:xfrm>
                    <a:prstGeom prst="rect">
                      <a:avLst/>
                    </a:prstGeom>
                    <a:noFill/>
                    <a:ln>
                      <a:noFill/>
                    </a:ln>
                  </pic:spPr>
                </pic:pic>
              </a:graphicData>
            </a:graphic>
          </wp:inline>
        </w:drawing>
      </w:r>
      <w:r>
        <w:rPr>
          <w:rFonts w:ascii="Arial" w:cs="Arial" w:eastAsia="Arial" w:hAnsi="Arial"/>
          <w:sz w:val="32"/>
          <w:szCs w:val="32"/>
          <w:color w:val="FFFFFF"/>
        </w:rPr>
        <w:t xml:space="preserve"> 30%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518"/>
        </w:trPr>
        <w:tc>
          <w:tcPr>
            <w:tcW w:w="2720" w:type="dxa"/>
            <w:vAlign w:val="bottom"/>
          </w:tcPr>
          <w:p>
            <w:pPr>
              <w:spacing w:after="0"/>
              <w:rPr>
                <w:sz w:val="20"/>
                <w:szCs w:val="20"/>
                <w:color w:val="auto"/>
              </w:rPr>
            </w:pPr>
            <w:r>
              <w:rPr>
                <w:rFonts w:ascii="Arial" w:cs="Arial" w:eastAsia="Arial" w:hAnsi="Arial"/>
                <w:sz w:val="31"/>
                <w:szCs w:val="31"/>
                <w:b w:val="1"/>
                <w:bCs w:val="1"/>
                <w:color w:val="FFFFFF"/>
              </w:rPr>
              <w:t>Gross Margin</w:t>
            </w:r>
          </w:p>
        </w:tc>
        <w:tc>
          <w:tcPr>
            <w:tcW w:w="2120" w:type="dxa"/>
            <w:vAlign w:val="bottom"/>
          </w:tcPr>
          <w:p>
            <w:pPr>
              <w:ind w:left="680"/>
              <w:spacing w:after="0"/>
              <w:rPr>
                <w:sz w:val="20"/>
                <w:szCs w:val="20"/>
                <w:color w:val="auto"/>
              </w:rPr>
            </w:pPr>
            <w:r>
              <w:rPr>
                <w:rFonts w:ascii="Arial" w:cs="Arial" w:eastAsia="Arial" w:hAnsi="Arial"/>
                <w:sz w:val="31"/>
                <w:szCs w:val="31"/>
                <w:b w:val="1"/>
                <w:bCs w:val="1"/>
                <w:color w:val="FFFFFF"/>
              </w:rPr>
              <w:t>Bookings</w:t>
            </w:r>
          </w:p>
        </w:tc>
      </w:tr>
    </w:tbl>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674"/>
        </w:trPr>
        <w:tc>
          <w:tcPr>
            <w:tcW w:w="2320" w:type="dxa"/>
            <w:vAlign w:val="bottom"/>
          </w:tcPr>
          <w:p>
            <w:pPr>
              <w:spacing w:after="0"/>
              <w:rPr>
                <w:sz w:val="20"/>
                <w:szCs w:val="20"/>
                <w:color w:val="auto"/>
              </w:rPr>
            </w:pPr>
            <w:r>
              <w:rPr>
                <w:rFonts w:ascii="Arial" w:cs="Arial" w:eastAsia="Arial" w:hAnsi="Arial"/>
                <w:sz w:val="55"/>
                <w:szCs w:val="55"/>
                <w:b w:val="1"/>
                <w:bCs w:val="1"/>
                <w:color w:val="FFFFFF"/>
              </w:rPr>
              <w:t>$128M</w:t>
            </w:r>
          </w:p>
        </w:tc>
        <w:tc>
          <w:tcPr>
            <w:tcW w:w="2340" w:type="dxa"/>
            <w:vAlign w:val="bottom"/>
          </w:tcPr>
          <w:p>
            <w:pPr>
              <w:ind w:left="800"/>
              <w:spacing w:after="0"/>
              <w:rPr>
                <w:sz w:val="20"/>
                <w:szCs w:val="20"/>
                <w:color w:val="auto"/>
              </w:rPr>
            </w:pPr>
            <w:r>
              <w:rPr>
                <w:rFonts w:ascii="Arial" w:cs="Arial" w:eastAsia="Arial" w:hAnsi="Arial"/>
                <w:sz w:val="55"/>
                <w:szCs w:val="55"/>
                <w:b w:val="1"/>
                <w:bCs w:val="1"/>
                <w:color w:val="FFFFFF"/>
                <w:w w:val="90"/>
              </w:rPr>
              <w:t>$527M</w:t>
            </w:r>
          </w:p>
        </w:tc>
      </w:tr>
      <w:tr>
        <w:trPr>
          <w:trHeight w:val="286"/>
        </w:trPr>
        <w:tc>
          <w:tcPr>
            <w:tcW w:w="2320" w:type="dxa"/>
            <w:vAlign w:val="bottom"/>
          </w:tcPr>
          <w:p>
            <w:pPr>
              <w:ind w:left="340"/>
              <w:spacing w:after="0"/>
              <w:rPr>
                <w:sz w:val="20"/>
                <w:szCs w:val="20"/>
                <w:color w:val="auto"/>
              </w:rPr>
            </w:pPr>
            <w:r>
              <w:rPr>
                <w:rFonts w:ascii="Arial" w:cs="Arial" w:eastAsia="Arial" w:hAnsi="Arial"/>
                <w:sz w:val="24"/>
                <w:szCs w:val="24"/>
                <w:color w:val="FFFFFF"/>
              </w:rPr>
              <w:t>27% YOY</w:t>
            </w:r>
          </w:p>
        </w:tc>
        <w:tc>
          <w:tcPr>
            <w:tcW w:w="2340" w:type="dxa"/>
            <w:vAlign w:val="bottom"/>
          </w:tcPr>
          <w:p>
            <w:pPr>
              <w:ind w:left="1160"/>
              <w:spacing w:after="0"/>
              <w:rPr>
                <w:sz w:val="20"/>
                <w:szCs w:val="20"/>
                <w:color w:val="auto"/>
              </w:rPr>
            </w:pPr>
            <w:r>
              <w:rPr>
                <w:rFonts w:ascii="Arial" w:cs="Arial" w:eastAsia="Arial" w:hAnsi="Arial"/>
                <w:sz w:val="24"/>
                <w:szCs w:val="24"/>
                <w:color w:val="FFFFFF"/>
              </w:rPr>
              <w:t>46% YOY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2920" w:type="dxa"/>
            <w:vAlign w:val="bottom"/>
          </w:tcPr>
          <w:p>
            <w:pPr>
              <w:jc w:val="center"/>
              <w:ind w:right="437"/>
              <w:spacing w:after="0"/>
              <w:rPr>
                <w:sz w:val="20"/>
                <w:szCs w:val="20"/>
                <w:color w:val="auto"/>
              </w:rPr>
            </w:pPr>
            <w:r>
              <w:rPr>
                <w:rFonts w:ascii="Arial" w:cs="Arial" w:eastAsia="Arial" w:hAnsi="Arial"/>
                <w:sz w:val="31"/>
                <w:szCs w:val="31"/>
                <w:b w:val="1"/>
                <w:bCs w:val="1"/>
                <w:color w:val="FFFFFF"/>
              </w:rPr>
              <w:t>Free Cash Flow</w:t>
            </w:r>
          </w:p>
        </w:tc>
        <w:tc>
          <w:tcPr>
            <w:tcW w:w="1960" w:type="dxa"/>
            <w:vAlign w:val="bottom"/>
          </w:tcPr>
          <w:p>
            <w:pPr>
              <w:jc w:val="center"/>
              <w:ind w:left="317"/>
              <w:spacing w:after="0"/>
              <w:rPr>
                <w:sz w:val="20"/>
                <w:szCs w:val="20"/>
                <w:color w:val="auto"/>
              </w:rPr>
            </w:pPr>
            <w:r>
              <w:rPr>
                <w:rFonts w:ascii="Arial" w:cs="Arial" w:eastAsia="Arial" w:hAnsi="Arial"/>
                <w:sz w:val="31"/>
                <w:szCs w:val="31"/>
                <w:b w:val="1"/>
                <w:bCs w:val="1"/>
                <w:color w:val="FFFFFF"/>
                <w:w w:val="93"/>
              </w:rPr>
              <w:t>EPS</w:t>
            </w:r>
          </w:p>
        </w:tc>
      </w:tr>
      <w:tr>
        <w:trPr>
          <w:trHeight w:val="758"/>
        </w:trPr>
        <w:tc>
          <w:tcPr>
            <w:tcW w:w="2920" w:type="dxa"/>
            <w:vAlign w:val="bottom"/>
          </w:tcPr>
          <w:p>
            <w:pPr>
              <w:jc w:val="center"/>
              <w:ind w:right="437"/>
              <w:spacing w:after="0"/>
              <w:rPr>
                <w:sz w:val="20"/>
                <w:szCs w:val="20"/>
                <w:color w:val="auto"/>
              </w:rPr>
            </w:pPr>
            <w:r>
              <w:rPr>
                <w:rFonts w:ascii="Arial" w:cs="Arial" w:eastAsia="Arial" w:hAnsi="Arial"/>
                <w:sz w:val="55"/>
                <w:szCs w:val="55"/>
                <w:b w:val="1"/>
                <w:bCs w:val="1"/>
                <w:color w:val="FFFFFF"/>
                <w:w w:val="91"/>
              </w:rPr>
              <w:t>$27M</w:t>
            </w:r>
          </w:p>
        </w:tc>
        <w:tc>
          <w:tcPr>
            <w:tcW w:w="1960" w:type="dxa"/>
            <w:vAlign w:val="bottom"/>
          </w:tcPr>
          <w:p>
            <w:pPr>
              <w:jc w:val="right"/>
              <w:spacing w:after="0"/>
              <w:rPr>
                <w:sz w:val="20"/>
                <w:szCs w:val="20"/>
                <w:color w:val="auto"/>
              </w:rPr>
            </w:pPr>
            <w:r>
              <w:rPr>
                <w:rFonts w:ascii="Arial" w:cs="Arial" w:eastAsia="Arial" w:hAnsi="Arial"/>
                <w:sz w:val="55"/>
                <w:szCs w:val="55"/>
                <w:b w:val="1"/>
                <w:bCs w:val="1"/>
                <w:color w:val="FFFFFF"/>
              </w:rPr>
              <w:t>$0.50</w:t>
            </w:r>
          </w:p>
        </w:tc>
      </w:tr>
      <w:tr>
        <w:trPr>
          <w:trHeight w:val="284"/>
        </w:trPr>
        <w:tc>
          <w:tcPr>
            <w:tcW w:w="2920" w:type="dxa"/>
            <w:vAlign w:val="bottom"/>
          </w:tcPr>
          <w:p>
            <w:pPr>
              <w:ind w:left="660"/>
              <w:spacing w:after="0"/>
              <w:rPr>
                <w:sz w:val="20"/>
                <w:szCs w:val="20"/>
                <w:color w:val="auto"/>
              </w:rPr>
            </w:pPr>
            <w:r>
              <w:rPr>
                <w:rFonts w:ascii="Arial" w:cs="Arial" w:eastAsia="Arial" w:hAnsi="Arial"/>
                <w:sz w:val="24"/>
                <w:szCs w:val="24"/>
                <w:color w:val="FFFFFF"/>
              </w:rPr>
              <w:t>$16M YOY</w:t>
            </w:r>
          </w:p>
        </w:tc>
        <w:tc>
          <w:tcPr>
            <w:tcW w:w="1960" w:type="dxa"/>
            <w:vAlign w:val="bottom"/>
          </w:tcPr>
          <w:p>
            <w:pPr>
              <w:ind w:left="780"/>
              <w:spacing w:after="0"/>
              <w:rPr>
                <w:sz w:val="20"/>
                <w:szCs w:val="20"/>
                <w:color w:val="auto"/>
              </w:rPr>
            </w:pPr>
            <w:r>
              <w:rPr>
                <w:rFonts w:ascii="Arial" w:cs="Arial" w:eastAsia="Arial" w:hAnsi="Arial"/>
                <w:sz w:val="24"/>
                <w:szCs w:val="24"/>
                <w:color w:val="FFFFFF"/>
                <w:w w:val="98"/>
              </w:rPr>
              <w:t>$0.46 YOY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540" w:type="dxa"/>
        <w:tblCellMar>
          <w:top w:w="0" w:type="dxa"/>
          <w:left w:w="0" w:type="dxa"/>
          <w:bottom w:w="0" w:type="dxa"/>
          <w:right w:w="0" w:type="dxa"/>
        </w:tblCellMar>
      </w:tblPr>
      <w:tr>
        <w:trPr>
          <w:trHeight w:val="523"/>
        </w:trPr>
        <w:tc>
          <w:tcPr>
            <w:tcW w:w="1760" w:type="dxa"/>
            <w:vAlign w:val="bottom"/>
          </w:tcPr>
          <w:p>
            <w:pPr>
              <w:spacing w:after="0"/>
              <w:rPr>
                <w:sz w:val="20"/>
                <w:szCs w:val="20"/>
                <w:color w:val="auto"/>
              </w:rPr>
            </w:pPr>
            <w:r>
              <w:rPr>
                <w:rFonts w:ascii="Arial" w:cs="Arial" w:eastAsia="Arial" w:hAnsi="Arial"/>
                <w:sz w:val="31"/>
                <w:szCs w:val="31"/>
                <w:b w:val="1"/>
                <w:bCs w:val="1"/>
                <w:color w:val="FFFFFF"/>
              </w:rPr>
              <w:t>Backlog</w:t>
            </w:r>
          </w:p>
        </w:tc>
        <w:tc>
          <w:tcPr>
            <w:tcW w:w="3160" w:type="dxa"/>
            <w:vAlign w:val="bottom"/>
          </w:tcPr>
          <w:p>
            <w:pPr>
              <w:ind w:left="540"/>
              <w:spacing w:after="0"/>
              <w:rPr>
                <w:sz w:val="20"/>
                <w:szCs w:val="20"/>
                <w:color w:val="auto"/>
              </w:rPr>
            </w:pPr>
            <w:r>
              <w:rPr>
                <w:rFonts w:ascii="Arial" w:cs="Arial" w:eastAsia="Arial" w:hAnsi="Arial"/>
                <w:sz w:val="31"/>
                <w:szCs w:val="31"/>
                <w:b w:val="1"/>
                <w:bCs w:val="1"/>
                <w:color w:val="FFFFFF"/>
              </w:rPr>
              <w:t>Adjusted EBITDA</w:t>
            </w: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693"/>
        </w:trPr>
        <w:tc>
          <w:tcPr>
            <w:tcW w:w="2300" w:type="dxa"/>
            <w:vAlign w:val="bottom"/>
          </w:tcPr>
          <w:p>
            <w:pPr>
              <w:spacing w:after="0"/>
              <w:rPr>
                <w:sz w:val="20"/>
                <w:szCs w:val="20"/>
                <w:color w:val="auto"/>
              </w:rPr>
            </w:pPr>
            <w:r>
              <w:rPr>
                <w:rFonts w:ascii="Arial" w:cs="Arial" w:eastAsia="Arial" w:hAnsi="Arial"/>
                <w:sz w:val="55"/>
                <w:szCs w:val="55"/>
                <w:b w:val="1"/>
                <w:bCs w:val="1"/>
                <w:color w:val="FFFFFF"/>
              </w:rPr>
              <w:t>$312M</w:t>
            </w:r>
          </w:p>
        </w:tc>
        <w:tc>
          <w:tcPr>
            <w:tcW w:w="2100" w:type="dxa"/>
            <w:vAlign w:val="bottom"/>
          </w:tcPr>
          <w:p>
            <w:pPr>
              <w:ind w:left="780"/>
              <w:spacing w:after="0"/>
              <w:rPr>
                <w:sz w:val="20"/>
                <w:szCs w:val="20"/>
                <w:color w:val="auto"/>
              </w:rPr>
            </w:pPr>
            <w:r>
              <w:rPr>
                <w:rFonts w:ascii="Arial" w:cs="Arial" w:eastAsia="Arial" w:hAnsi="Arial"/>
                <w:sz w:val="55"/>
                <w:szCs w:val="55"/>
                <w:b w:val="1"/>
                <w:bCs w:val="1"/>
                <w:color w:val="FFFFFF"/>
                <w:w w:val="94"/>
              </w:rPr>
              <w:t>$42M</w:t>
            </w:r>
          </w:p>
        </w:tc>
      </w:tr>
      <w:tr>
        <w:trPr>
          <w:trHeight w:val="287"/>
        </w:trPr>
        <w:tc>
          <w:tcPr>
            <w:tcW w:w="2300" w:type="dxa"/>
            <w:vAlign w:val="bottom"/>
          </w:tcPr>
          <w:p>
            <w:pPr>
              <w:ind w:left="360"/>
              <w:spacing w:after="0"/>
              <w:rPr>
                <w:sz w:val="20"/>
                <w:szCs w:val="20"/>
                <w:color w:val="auto"/>
              </w:rPr>
            </w:pPr>
            <w:r>
              <w:rPr>
                <w:rFonts w:ascii="Arial" w:cs="Arial" w:eastAsia="Arial" w:hAnsi="Arial"/>
                <w:sz w:val="24"/>
                <w:szCs w:val="24"/>
                <w:color w:val="FFFFFF"/>
              </w:rPr>
              <w:t>46% YOY</w:t>
            </w:r>
          </w:p>
        </w:tc>
        <w:tc>
          <w:tcPr>
            <w:tcW w:w="2100" w:type="dxa"/>
            <w:vAlign w:val="bottom"/>
          </w:tcPr>
          <w:p>
            <w:pPr>
              <w:ind w:left="1000"/>
              <w:spacing w:after="0"/>
              <w:rPr>
                <w:sz w:val="20"/>
                <w:szCs w:val="20"/>
                <w:color w:val="auto"/>
              </w:rPr>
            </w:pPr>
            <w:r>
              <w:rPr>
                <w:rFonts w:ascii="Arial" w:cs="Arial" w:eastAsia="Arial" w:hAnsi="Arial"/>
                <w:sz w:val="24"/>
                <w:szCs w:val="24"/>
                <w:color w:val="FFFFFF"/>
              </w:rPr>
              <w:t>65% YOY</w:t>
            </w:r>
          </w:p>
        </w:tc>
      </w:tr>
    </w:tbl>
    <w:p>
      <w:pPr>
        <w:spacing w:after="0" w:line="473" w:lineRule="exact"/>
        <w:rPr>
          <w:sz w:val="20"/>
          <w:szCs w:val="20"/>
          <w:color w:val="auto"/>
        </w:rPr>
      </w:pPr>
    </w:p>
    <w:p>
      <w:pPr>
        <w:sectPr>
          <w:pgSz w:w="12240" w:h="15840" w:orient="portrait"/>
          <w:cols w:equalWidth="0" w:num="2">
            <w:col w:w="3060" w:space="720"/>
            <w:col w:w="6340"/>
          </w:cols>
          <w:pgMar w:left="1220" w:top="1440" w:right="900" w:bottom="2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60"/>
        <w:spacing w:after="0"/>
        <w:tabs>
          <w:tab w:leader="none" w:pos="1000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1</w:t>
      </w:r>
    </w:p>
    <w:p>
      <w:pPr>
        <w:sectPr>
          <w:pgSz w:w="12240" w:h="15840" w:orient="portrait"/>
          <w:cols w:equalWidth="0" w:num="1">
            <w:col w:w="10120"/>
          </w:cols>
          <w:pgMar w:left="1220" w:top="1440" w:right="900" w:bottom="208" w:gutter="0" w:footer="0" w:header="0"/>
          <w:type w:val="continuous"/>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109220</wp:posOffset>
            </wp:positionH>
            <wp:positionV relativeFrom="page">
              <wp:posOffset>109220</wp:posOffset>
            </wp:positionV>
            <wp:extent cx="7548880" cy="4799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6">
                      <a:extLst>
                        <a:ext uri="{28A0092B-C50C-407E-A947-70E740481C1C}"/>
                      </a:extLst>
                    </a:blip>
                    <a:srcRect/>
                    <a:stretch>
                      <a:fillRect/>
                    </a:stretch>
                  </pic:blipFill>
                  <pic:spPr bwMode="auto">
                    <a:xfrm>
                      <a:off x="0" y="0"/>
                      <a:ext cx="7548880" cy="479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sz w:val="1"/>
          <w:szCs w:val="1"/>
          <w:color w:val="auto"/>
        </w:rPr>
        <w:drawing>
          <wp:inline distT="0" distB="0" distL="0" distR="0">
            <wp:extent cx="328930" cy="3333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7">
                      <a:extLst>
                        <a:ext uri="{28A0092B-C50C-407E-A947-70E740481C1C}"/>
                      </a:extLst>
                    </a:blip>
                    <a:srcRect/>
                    <a:stretch>
                      <a:fillRect/>
                    </a:stretch>
                  </pic:blipFill>
                  <pic:spPr bwMode="auto">
                    <a:xfrm>
                      <a:off x="0" y="0"/>
                      <a:ext cx="328930" cy="333375"/>
                    </a:xfrm>
                    <a:prstGeom prst="rect">
                      <a:avLst/>
                    </a:prstGeom>
                    <a:noFill/>
                    <a:ln>
                      <a:noFill/>
                    </a:ln>
                  </pic:spPr>
                </pic:pic>
              </a:graphicData>
            </a:graphic>
          </wp:inline>
        </w:drawing>
      </w:r>
      <w:r>
        <w:rPr>
          <w:rFonts w:ascii="Arial" w:cs="Arial" w:eastAsia="Arial" w:hAnsi="Arial"/>
          <w:sz w:val="40"/>
          <w:szCs w:val="40"/>
          <w:b w:val="1"/>
          <w:bCs w:val="1"/>
          <w:color w:val="273D86"/>
        </w:rPr>
        <w:t xml:space="preserve"> Dear Shareholders</w:t>
      </w:r>
    </w:p>
    <w:p>
      <w:pPr>
        <w:spacing w:after="0" w:line="197" w:lineRule="exact"/>
        <w:rPr>
          <w:sz w:val="20"/>
          <w:szCs w:val="20"/>
          <w:color w:val="auto"/>
        </w:rPr>
      </w:pPr>
    </w:p>
    <w:p>
      <w:pPr>
        <w:ind w:left="40" w:right="680"/>
        <w:spacing w:after="0" w:line="427" w:lineRule="exact"/>
        <w:rPr>
          <w:sz w:val="20"/>
          <w:szCs w:val="20"/>
          <w:color w:val="auto"/>
        </w:rPr>
      </w:pPr>
      <w:r>
        <w:rPr>
          <w:rFonts w:ascii="Arial" w:cs="Arial" w:eastAsia="Arial" w:hAnsi="Arial"/>
          <w:sz w:val="25"/>
          <w:szCs w:val="25"/>
          <w:b w:val="1"/>
          <w:bCs w:val="1"/>
          <w:color w:val="273D86"/>
        </w:rPr>
        <w:t>,W</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LV</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DQ</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H[FLWLQJ</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WLPH</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DW</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&amp;(&amp;2</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(QYLURQPHQWDO</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DQG</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WKH</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\HDU</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ZDV</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Ɠ</w:t>
      </w:r>
      <w:r>
        <w:rPr>
          <w:rFonts w:ascii="PMingLiU" w:cs="PMingLiU" w:eastAsia="PMingLiU" w:hAnsi="PMingLiU"/>
          <w:sz w:val="25"/>
          <w:szCs w:val="25"/>
          <w:b w:val="1"/>
          <w:bCs w:val="1"/>
          <w:color w:val="273D86"/>
        </w:rPr>
        <w:t/>
      </w:r>
      <w:r>
        <w:rPr>
          <w:rFonts w:ascii="Arial" w:cs="Arial" w:eastAsia="Arial" w:hAnsi="Arial"/>
          <w:sz w:val="25"/>
          <w:szCs w:val="25"/>
          <w:b w:val="1"/>
          <w:bCs w:val="1"/>
          <w:color w:val="273D86"/>
        </w:rPr>
        <w:t>OOHG with tremendous progress.</w:t>
      </w:r>
    </w:p>
    <w:p>
      <w:pPr>
        <w:sectPr>
          <w:pgSz w:w="12240" w:h="15840" w:orient="portrait"/>
          <w:cols w:equalWidth="0" w:num="1">
            <w:col w:w="10400"/>
          </w:cols>
          <w:pgMar w:left="880" w:top="1440" w:right="960" w:bottom="217" w:gutter="0" w:footer="0" w:header="0"/>
        </w:sectPr>
      </w:pPr>
    </w:p>
    <w:p>
      <w:pPr>
        <w:spacing w:after="0" w:line="183" w:lineRule="exact"/>
        <w:rPr>
          <w:sz w:val="20"/>
          <w:szCs w:val="20"/>
          <w:color w:val="auto"/>
        </w:rPr>
      </w:pPr>
    </w:p>
    <w:p>
      <w:pPr>
        <w:ind w:left="20"/>
        <w:spacing w:after="0" w:line="290" w:lineRule="auto"/>
        <w:rPr>
          <w:sz w:val="20"/>
          <w:szCs w:val="20"/>
          <w:color w:val="auto"/>
        </w:rPr>
      </w:pPr>
      <w:r>
        <w:rPr>
          <w:rFonts w:ascii="Arial" w:cs="Arial" w:eastAsia="Arial" w:hAnsi="Arial"/>
          <w:sz w:val="16"/>
          <w:szCs w:val="16"/>
          <w:color w:val="262626"/>
        </w:rPr>
        <w:t>Everything starts with our passionate focus to serve our customers and help protect people, the environment, and their investment in industrial equipment. Our dedicated employees and global partners delivered this focus while navigating the challenges of the global supply chain markets and a multitude of other hurdles. Let me share with you</w:t>
      </w:r>
    </w:p>
    <w:p>
      <w:pPr>
        <w:spacing w:after="0" w:line="1" w:lineRule="exact"/>
        <w:rPr>
          <w:sz w:val="20"/>
          <w:szCs w:val="20"/>
          <w:color w:val="auto"/>
        </w:rPr>
      </w:pPr>
    </w:p>
    <w:p>
      <w:pPr>
        <w:ind w:left="20" w:right="160"/>
        <w:spacing w:after="0" w:line="222" w:lineRule="exact"/>
        <w:rPr>
          <w:sz w:val="20"/>
          <w:szCs w:val="20"/>
          <w:color w:val="auto"/>
        </w:rPr>
      </w:pPr>
      <w:r>
        <w:rPr>
          <w:rFonts w:ascii="Arial" w:cs="Arial" w:eastAsia="Arial" w:hAnsi="Arial"/>
          <w:sz w:val="15"/>
          <w:szCs w:val="15"/>
          <w:color w:val="262626"/>
        </w:rPr>
        <w:t>how we not only supported our customers I\[</w:t>
      </w:r>
      <w:r>
        <w:rPr>
          <w:rFonts w:ascii="PMingLiU" w:cs="PMingLiU" w:eastAsia="PMingLiU" w:hAnsi="PMingLiU"/>
          <w:sz w:val="15"/>
          <w:szCs w:val="15"/>
          <w:color w:val="262626"/>
        </w:rPr>
        <w:t/>
      </w:r>
      <w:r>
        <w:rPr>
          <w:rFonts w:ascii="Arial" w:cs="Arial" w:eastAsia="Arial" w:hAnsi="Arial"/>
          <w:sz w:val="15"/>
          <w:szCs w:val="15"/>
          <w:color w:val="262626"/>
        </w:rPr>
        <w:t>OH]L</w:t>
      </w:r>
      <w:r>
        <w:rPr>
          <w:rFonts w:ascii="PMingLiU" w:cs="PMingLiU" w:eastAsia="PMingLiU" w:hAnsi="PMingLiU"/>
          <w:sz w:val="15"/>
          <w:szCs w:val="15"/>
          <w:color w:val="262626"/>
        </w:rPr>
        <w:t/>
      </w:r>
      <w:r>
        <w:rPr>
          <w:rFonts w:ascii="Arial" w:cs="Arial" w:eastAsia="Arial" w:hAnsi="Arial"/>
          <w:sz w:val="15"/>
          <w:szCs w:val="15"/>
          <w:color w:val="262626"/>
        </w:rPr>
        <w:t xml:space="preserve"> [HRLU</w:t>
      </w:r>
      <w:r>
        <w:rPr>
          <w:rFonts w:ascii="PMingLiU" w:cs="PMingLiU" w:eastAsia="PMingLiU" w:hAnsi="PMingLiU"/>
          <w:sz w:val="15"/>
          <w:szCs w:val="15"/>
          <w:color w:val="262626"/>
        </w:rPr>
        <w:t/>
      </w:r>
      <w:r>
        <w:rPr>
          <w:rFonts w:ascii="Arial" w:cs="Arial" w:eastAsia="Arial" w:hAnsi="Arial"/>
          <w:sz w:val="15"/>
          <w:szCs w:val="15"/>
          <w:color w:val="262626"/>
        </w:rPr>
        <w:t>ZPNUPÄ</w:t>
      </w:r>
      <w:r>
        <w:rPr>
          <w:rFonts w:ascii="PMingLiU" w:cs="PMingLiU" w:eastAsia="PMingLiU" w:hAnsi="PMingLiU"/>
          <w:sz w:val="15"/>
          <w:szCs w:val="15"/>
          <w:color w:val="262626"/>
        </w:rPr>
        <w:t/>
      </w:r>
      <w:r>
        <w:rPr>
          <w:rFonts w:ascii="Arial" w:cs="Arial" w:eastAsia="Arial" w:hAnsi="Arial"/>
          <w:sz w:val="15"/>
          <w:szCs w:val="15"/>
          <w:color w:val="262626"/>
        </w:rPr>
        <w:t>JHU[</w:t>
      </w:r>
      <w:r>
        <w:rPr>
          <w:rFonts w:ascii="PMingLiU" w:cs="PMingLiU" w:eastAsia="PMingLiU" w:hAnsi="PMingLiU"/>
          <w:sz w:val="15"/>
          <w:szCs w:val="15"/>
          <w:color w:val="262626"/>
        </w:rPr>
        <w:t/>
      </w:r>
      <w:r>
        <w:rPr>
          <w:rFonts w:ascii="Arial" w:cs="Arial" w:eastAsia="Arial" w:hAnsi="Arial"/>
          <w:sz w:val="15"/>
          <w:szCs w:val="15"/>
          <w:color w:val="262626"/>
        </w:rPr>
        <w:t>Z[LWZ</w:t>
      </w:r>
      <w:r>
        <w:rPr>
          <w:rFonts w:ascii="PMingLiU" w:cs="PMingLiU" w:eastAsia="PMingLiU" w:hAnsi="PMingLiU"/>
          <w:sz w:val="15"/>
          <w:szCs w:val="15"/>
          <w:color w:val="262626"/>
        </w:rPr>
        <w:t/>
      </w:r>
      <w:r>
        <w:rPr>
          <w:rFonts w:ascii="Arial" w:cs="Arial" w:eastAsia="Arial" w:hAnsi="Arial"/>
          <w:sz w:val="15"/>
          <w:szCs w:val="15"/>
          <w:color w:val="262626"/>
        </w:rPr>
        <w:t>[V^HYK</w:t>
      </w:r>
      <w:r>
        <w:rPr>
          <w:rFonts w:ascii="PMingLiU" w:cs="PMingLiU" w:eastAsia="PMingLiU" w:hAnsi="PMingLiU"/>
          <w:sz w:val="15"/>
          <w:szCs w:val="15"/>
          <w:color w:val="262626"/>
        </w:rPr>
        <w:t/>
      </w:r>
      <w:r>
        <w:rPr>
          <w:rFonts w:ascii="Arial" w:cs="Arial" w:eastAsia="Arial" w:hAnsi="Arial"/>
          <w:sz w:val="15"/>
          <w:szCs w:val="15"/>
          <w:color w:val="262626"/>
        </w:rPr>
        <w:t>V\Y</w:t>
      </w:r>
      <w:r>
        <w:rPr>
          <w:rFonts w:ascii="PMingLiU" w:cs="PMingLiU" w:eastAsia="PMingLiU" w:hAnsi="PMingLiU"/>
          <w:sz w:val="15"/>
          <w:szCs w:val="15"/>
          <w:color w:val="262626"/>
        </w:rPr>
        <w:t/>
      </w:r>
      <w:r>
        <w:rPr>
          <w:rFonts w:ascii="Arial" w:cs="Arial" w:eastAsia="Arial" w:hAnsi="Arial"/>
          <w:sz w:val="15"/>
          <w:szCs w:val="15"/>
          <w:color w:val="262626"/>
        </w:rPr>
        <w:t xml:space="preserve"> strategic transformation goals and created meaningful shareholder value.</w:t>
      </w:r>
    </w:p>
    <w:p>
      <w:pPr>
        <w:spacing w:after="0" w:line="171" w:lineRule="exact"/>
        <w:rPr>
          <w:sz w:val="20"/>
          <w:szCs w:val="20"/>
          <w:color w:val="auto"/>
        </w:rPr>
      </w:pPr>
    </w:p>
    <w:p>
      <w:pPr>
        <w:ind w:left="20" w:right="380"/>
        <w:spacing w:after="0" w:line="305" w:lineRule="auto"/>
        <w:rPr>
          <w:sz w:val="20"/>
          <w:szCs w:val="20"/>
          <w:color w:val="auto"/>
        </w:rPr>
      </w:pPr>
      <w:r>
        <w:rPr>
          <w:rFonts w:ascii="Arial" w:cs="Arial" w:eastAsia="Arial" w:hAnsi="Arial"/>
          <w:sz w:val="22"/>
          <w:szCs w:val="22"/>
          <w:b w:val="1"/>
          <w:bCs w:val="1"/>
          <w:color w:val="98B82F"/>
        </w:rPr>
        <w:t>Strategic Transformation — Our Journey and Direction</w:t>
      </w:r>
    </w:p>
    <w:p>
      <w:pPr>
        <w:spacing w:after="0" w:line="1" w:lineRule="exact"/>
        <w:rPr>
          <w:sz w:val="20"/>
          <w:szCs w:val="20"/>
          <w:color w:val="auto"/>
        </w:rPr>
      </w:pPr>
    </w:p>
    <w:p>
      <w:pPr>
        <w:ind w:left="20" w:right="40"/>
        <w:spacing w:after="0" w:line="294" w:lineRule="auto"/>
        <w:rPr>
          <w:sz w:val="20"/>
          <w:szCs w:val="20"/>
          <w:color w:val="auto"/>
        </w:rPr>
      </w:pPr>
      <w:r>
        <w:rPr>
          <w:rFonts w:ascii="Arial" w:cs="Arial" w:eastAsia="Arial" w:hAnsi="Arial"/>
          <w:sz w:val="16"/>
          <w:szCs w:val="16"/>
          <w:color w:val="262626"/>
        </w:rPr>
        <w:t>When I joined CECO in mid-2020, the announcement of my appointment pointed toward a desire to transform CECO. The incredible diversity of CECO’s businesses and its winding history of acquisitions and focus on legacy energy markets called into question what transformation meant and if the company was indeed ready. We quickly determined we were ready and that our transformation did not need to be a complete rebuild. Instead, we needed critical growth focus coupled with an operating structure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96" w:lineRule="auto"/>
        <w:rPr>
          <w:sz w:val="20"/>
          <w:szCs w:val="20"/>
          <w:color w:val="auto"/>
        </w:rPr>
      </w:pPr>
      <w:r>
        <w:rPr>
          <w:rFonts w:ascii="Arial" w:cs="Arial" w:eastAsia="Arial" w:hAnsi="Arial"/>
          <w:sz w:val="16"/>
          <w:szCs w:val="16"/>
          <w:color w:val="262626"/>
        </w:rPr>
        <w:t>and model to execute at a higher and more sustainable level. We found many important foundational items from within the existing businesses and functions. We also quickly organized our businesses to point them toward optimal growth and broader market access. We steadily added strategic and core resources, and added diversity and more experience as we overhauled our senior leadership team and Board of Directors.</w:t>
      </w:r>
    </w:p>
    <w:p>
      <w:pPr>
        <w:spacing w:after="0" w:line="21"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262626"/>
        </w:rPr>
        <w:t>As we exit 2022 and enter a new chapter — which I call CECO 2.0 — we have a consistent strategic focus that builds upon our core market leadership positions and highlights our ability to protect people, the environment and industrial equipment.</w:t>
      </w:r>
    </w:p>
    <w:p>
      <w:pPr>
        <w:spacing w:after="0" w:line="106" w:lineRule="exact"/>
        <w:rPr>
          <w:sz w:val="20"/>
          <w:szCs w:val="20"/>
          <w:color w:val="auto"/>
        </w:rPr>
      </w:pPr>
    </w:p>
    <w:p>
      <w:pPr>
        <w:ind w:right="20"/>
        <w:spacing w:after="0" w:line="223" w:lineRule="exact"/>
        <w:rPr>
          <w:sz w:val="20"/>
          <w:szCs w:val="20"/>
          <w:color w:val="auto"/>
        </w:rPr>
      </w:pPr>
      <w:r>
        <w:rPr>
          <w:rFonts w:ascii="Arial" w:cs="Arial" w:eastAsia="Arial" w:hAnsi="Arial"/>
          <w:sz w:val="15"/>
          <w:szCs w:val="15"/>
          <w:color w:val="262626"/>
        </w:rPr>
        <w:t>Over the past few years, we have made ZPNUPÄ</w:t>
      </w:r>
      <w:r>
        <w:rPr>
          <w:rFonts w:ascii="PMingLiU" w:cs="PMingLiU" w:eastAsia="PMingLiU" w:hAnsi="PMingLiU"/>
          <w:sz w:val="15"/>
          <w:szCs w:val="15"/>
          <w:color w:val="262626"/>
        </w:rPr>
        <w:t/>
      </w:r>
      <w:r>
        <w:rPr>
          <w:rFonts w:ascii="Arial" w:cs="Arial" w:eastAsia="Arial" w:hAnsi="Arial"/>
          <w:sz w:val="15"/>
          <w:szCs w:val="15"/>
          <w:color w:val="262626"/>
        </w:rPr>
        <w:t>JHU[</w:t>
      </w:r>
      <w:r>
        <w:rPr>
          <w:rFonts w:ascii="PMingLiU" w:cs="PMingLiU" w:eastAsia="PMingLiU" w:hAnsi="PMingLiU"/>
          <w:sz w:val="15"/>
          <w:szCs w:val="15"/>
          <w:color w:val="262626"/>
        </w:rPr>
        <w:t/>
      </w:r>
      <w:r>
        <w:rPr>
          <w:rFonts w:ascii="Arial" w:cs="Arial" w:eastAsia="Arial" w:hAnsi="Arial"/>
          <w:sz w:val="15"/>
          <w:szCs w:val="15"/>
          <w:color w:val="262626"/>
        </w:rPr>
        <w:t>PU]LZ[TLU[</w:t>
      </w:r>
      <w:r>
        <w:rPr>
          <w:rFonts w:ascii="PMingLiU" w:cs="PMingLiU" w:eastAsia="PMingLiU" w:hAnsi="PMingLiU"/>
          <w:sz w:val="15"/>
          <w:szCs w:val="15"/>
          <w:color w:val="262626"/>
        </w:rPr>
        <w:t/>
      </w:r>
      <w:r>
        <w:rPr>
          <w:rFonts w:ascii="Arial" w:cs="Arial" w:eastAsia="Arial" w:hAnsi="Arial"/>
          <w:sz w:val="15"/>
          <w:szCs w:val="15"/>
          <w:color w:val="262626"/>
        </w:rPr>
        <w:t>PU</w:t>
      </w:r>
      <w:r>
        <w:rPr>
          <w:rFonts w:ascii="PMingLiU" w:cs="PMingLiU" w:eastAsia="PMingLiU" w:hAnsi="PMingLiU"/>
          <w:sz w:val="15"/>
          <w:szCs w:val="15"/>
          <w:color w:val="262626"/>
        </w:rPr>
        <w:t/>
      </w:r>
      <w:r>
        <w:rPr>
          <w:rFonts w:ascii="Arial" w:cs="Arial" w:eastAsia="Arial" w:hAnsi="Arial"/>
          <w:sz w:val="15"/>
          <w:szCs w:val="15"/>
          <w:color w:val="262626"/>
        </w:rPr>
        <w:t>VYNHUPJ</w:t>
      </w:r>
      <w:r>
        <w:rPr>
          <w:rFonts w:ascii="PMingLiU" w:cs="PMingLiU" w:eastAsia="PMingLiU" w:hAnsi="PMingLiU"/>
          <w:sz w:val="15"/>
          <w:szCs w:val="15"/>
          <w:color w:val="262626"/>
        </w:rPr>
        <w:t/>
      </w:r>
      <w:r>
        <w:rPr>
          <w:rFonts w:ascii="Arial" w:cs="Arial" w:eastAsia="Arial" w:hAnsi="Arial"/>
          <w:sz w:val="15"/>
          <w:szCs w:val="15"/>
          <w:color w:val="262626"/>
        </w:rPr>
        <w:t>HUK</w:t>
      </w:r>
      <w:r>
        <w:rPr>
          <w:rFonts w:ascii="PMingLiU" w:cs="PMingLiU" w:eastAsia="PMingLiU" w:hAnsi="PMingLiU"/>
          <w:sz w:val="15"/>
          <w:szCs w:val="15"/>
          <w:color w:val="262626"/>
        </w:rPr>
        <w:t/>
      </w:r>
      <w:r>
        <w:rPr>
          <w:rFonts w:ascii="Arial" w:cs="Arial" w:eastAsia="Arial" w:hAnsi="Arial"/>
          <w:sz w:val="15"/>
          <w:szCs w:val="15"/>
          <w:color w:val="262626"/>
        </w:rPr>
        <w:t xml:space="preserve"> inorganic growth programs to establish HUK</w:t>
      </w:r>
      <w:r>
        <w:rPr>
          <w:rFonts w:ascii="PMingLiU" w:cs="PMingLiU" w:eastAsia="PMingLiU" w:hAnsi="PMingLiU"/>
          <w:sz w:val="15"/>
          <w:szCs w:val="15"/>
          <w:color w:val="262626"/>
        </w:rPr>
        <w:t/>
      </w:r>
      <w:r>
        <w:rPr>
          <w:rFonts w:ascii="Arial" w:cs="Arial" w:eastAsia="Arial" w:hAnsi="Arial"/>
          <w:sz w:val="15"/>
          <w:szCs w:val="15"/>
          <w:color w:val="262626"/>
        </w:rPr>
        <w:t>YLÄ</w:t>
      </w:r>
      <w:r>
        <w:rPr>
          <w:rFonts w:ascii="PMingLiU" w:cs="PMingLiU" w:eastAsia="PMingLiU" w:hAnsi="PMingLiU"/>
          <w:sz w:val="15"/>
          <w:szCs w:val="15"/>
          <w:color w:val="262626"/>
        </w:rPr>
        <w:t/>
      </w:r>
      <w:r>
        <w:rPr>
          <w:rFonts w:ascii="Arial" w:cs="Arial" w:eastAsia="Arial" w:hAnsi="Arial"/>
          <w:sz w:val="15"/>
          <w:szCs w:val="15"/>
          <w:color w:val="262626"/>
        </w:rPr>
        <w:t>UL</w:t>
      </w:r>
      <w:r>
        <w:rPr>
          <w:rFonts w:ascii="PMingLiU" w:cs="PMingLiU" w:eastAsia="PMingLiU" w:hAnsi="PMingLiU"/>
          <w:sz w:val="15"/>
          <w:szCs w:val="15"/>
          <w:color w:val="262626"/>
        </w:rPr>
        <w:t/>
      </w:r>
      <w:r>
        <w:rPr>
          <w:rFonts w:ascii="Arial" w:cs="Arial" w:eastAsia="Arial" w:hAnsi="Arial"/>
          <w:sz w:val="15"/>
          <w:szCs w:val="15"/>
          <w:color w:val="262626"/>
        </w:rPr>
        <w:t>V\Y</w:t>
      </w:r>
      <w:r>
        <w:rPr>
          <w:rFonts w:ascii="PMingLiU" w:cs="PMingLiU" w:eastAsia="PMingLiU" w:hAnsi="PMingLiU"/>
          <w:sz w:val="15"/>
          <w:szCs w:val="15"/>
          <w:color w:val="262626"/>
        </w:rPr>
        <w:t/>
      </w:r>
      <w:r>
        <w:rPr>
          <w:rFonts w:ascii="Arial" w:cs="Arial" w:eastAsia="Arial" w:hAnsi="Arial"/>
          <w:sz w:val="15"/>
          <w:szCs w:val="15"/>
          <w:color w:val="262626"/>
        </w:rPr>
        <w:t>Z[YH[LN`</w:t>
      </w:r>
      <w:r>
        <w:rPr>
          <w:rFonts w:ascii="PMingLiU" w:cs="PMingLiU" w:eastAsia="PMingLiU" w:hAnsi="PMingLiU"/>
          <w:sz w:val="15"/>
          <w:szCs w:val="15"/>
          <w:color w:val="262626"/>
        </w:rPr>
        <w:t/>
      </w:r>
      <w:r>
        <w:rPr>
          <w:rFonts w:ascii="Arial" w:cs="Arial" w:eastAsia="Arial" w:hAnsi="Arial"/>
          <w:sz w:val="15"/>
          <w:szCs w:val="15"/>
          <w:color w:val="262626"/>
        </w:rPr>
        <w:t>HUK</w:t>
      </w:r>
      <w:r>
        <w:rPr>
          <w:rFonts w:ascii="PMingLiU" w:cs="PMingLiU" w:eastAsia="PMingLiU" w:hAnsi="PMingLiU"/>
          <w:sz w:val="15"/>
          <w:szCs w:val="15"/>
          <w:color w:val="262626"/>
        </w:rPr>
        <w:t/>
      </w:r>
      <w:r>
        <w:rPr>
          <w:rFonts w:ascii="Arial" w:cs="Arial" w:eastAsia="Arial" w:hAnsi="Arial"/>
          <w:sz w:val="15"/>
          <w:szCs w:val="15"/>
          <w:color w:val="262626"/>
        </w:rPr>
        <w:t>JHWHIPSP[PLZ</w:t>
      </w:r>
      <w:r>
        <w:rPr>
          <w:rFonts w:ascii="PMingLiU" w:cs="PMingLiU" w:eastAsia="PMingLiU" w:hAnsi="PMingLiU"/>
          <w:sz w:val="15"/>
          <w:szCs w:val="15"/>
          <w:color w:val="262626"/>
        </w:rPr>
        <w:t/>
      </w:r>
      <w:r>
        <w:rPr>
          <w:rFonts w:ascii="Arial" w:cs="Arial" w:eastAsia="Arial" w:hAnsi="Arial"/>
          <w:sz w:val="15"/>
          <w:szCs w:val="15"/>
          <w:color w:val="262626"/>
        </w:rPr>
        <w:t xml:space="preserve"> We are </w:t>
      </w:r>
      <w:r>
        <w:rPr>
          <w:rFonts w:ascii="Arial" w:cs="Arial" w:eastAsia="Arial" w:hAnsi="Arial"/>
          <w:sz w:val="15"/>
          <w:szCs w:val="15"/>
          <w:u w:val="single" w:color="auto"/>
          <w:color w:val="262626"/>
        </w:rPr>
        <w:t>advancing</w:t>
      </w:r>
      <w:r>
        <w:rPr>
          <w:rFonts w:ascii="Arial" w:cs="Arial" w:eastAsia="Arial" w:hAnsi="Arial"/>
          <w:sz w:val="15"/>
          <w:szCs w:val="15"/>
          <w:color w:val="262626"/>
        </w:rPr>
        <w:t xml:space="preserve"> our leadership position in </w:t>
      </w:r>
      <w:r>
        <w:rPr>
          <w:rFonts w:ascii="Arial" w:cs="Arial" w:eastAsia="Arial" w:hAnsi="Arial"/>
          <w:sz w:val="15"/>
          <w:szCs w:val="15"/>
          <w:b w:val="1"/>
          <w:bCs w:val="1"/>
          <w:color w:val="262626"/>
        </w:rPr>
        <w:t>Industrial Air</w:t>
      </w:r>
      <w:r>
        <w:rPr>
          <w:rFonts w:ascii="Arial" w:cs="Arial" w:eastAsia="Arial" w:hAnsi="Arial"/>
          <w:sz w:val="15"/>
          <w:szCs w:val="15"/>
          <w:color w:val="262626"/>
        </w:rPr>
        <w:t xml:space="preserve">. We are </w:t>
      </w:r>
      <w:r>
        <w:rPr>
          <w:rFonts w:ascii="Arial" w:cs="Arial" w:eastAsia="Arial" w:hAnsi="Arial"/>
          <w:sz w:val="15"/>
          <w:szCs w:val="15"/>
          <w:u w:val="single" w:color="auto"/>
          <w:color w:val="262626"/>
        </w:rPr>
        <w:t>building</w:t>
      </w:r>
      <w:r>
        <w:rPr>
          <w:rFonts w:ascii="Arial" w:cs="Arial" w:eastAsia="Arial" w:hAnsi="Arial"/>
          <w:sz w:val="15"/>
          <w:szCs w:val="15"/>
          <w:color w:val="262626"/>
        </w:rPr>
        <w:t xml:space="preserve"> a strong leadership position in niche markets within </w:t>
      </w:r>
      <w:r>
        <w:rPr>
          <w:rFonts w:ascii="Arial" w:cs="Arial" w:eastAsia="Arial" w:hAnsi="Arial"/>
          <w:sz w:val="15"/>
          <w:szCs w:val="15"/>
          <w:b w:val="1"/>
          <w:bCs w:val="1"/>
          <w:color w:val="262626"/>
        </w:rPr>
        <w:t>Industrial Water</w:t>
      </w:r>
      <w:r>
        <w:rPr>
          <w:rFonts w:ascii="Arial" w:cs="Arial" w:eastAsia="Arial" w:hAnsi="Arial"/>
          <w:sz w:val="15"/>
          <w:szCs w:val="15"/>
          <w:color w:val="262626"/>
        </w:rPr>
        <w:t>. We are</w:t>
      </w:r>
      <w:r>
        <w:rPr>
          <w:rFonts w:ascii="Arial" w:cs="Arial" w:eastAsia="Arial" w:hAnsi="Arial"/>
          <w:sz w:val="15"/>
          <w:szCs w:val="15"/>
          <w:b w:val="1"/>
          <w:bCs w:val="1"/>
          <w:color w:val="262626"/>
        </w:rPr>
        <w:t xml:space="preserve"> </w:t>
      </w:r>
      <w:r>
        <w:rPr>
          <w:rFonts w:ascii="Arial" w:cs="Arial" w:eastAsia="Arial" w:hAnsi="Arial"/>
          <w:sz w:val="15"/>
          <w:szCs w:val="15"/>
          <w:u w:val="single" w:color="auto"/>
          <w:color w:val="262626"/>
        </w:rPr>
        <w:t>repositioning</w:t>
      </w:r>
      <w:r>
        <w:rPr>
          <w:rFonts w:ascii="Arial" w:cs="Arial" w:eastAsia="Arial" w:hAnsi="Arial"/>
          <w:sz w:val="15"/>
          <w:szCs w:val="15"/>
          <w:b w:val="1"/>
          <w:bCs w:val="1"/>
          <w:color w:val="262626"/>
        </w:rPr>
        <w:t xml:space="preserve"> </w:t>
      </w:r>
      <w:r>
        <w:rPr>
          <w:rFonts w:ascii="Arial" w:cs="Arial" w:eastAsia="Arial" w:hAnsi="Arial"/>
          <w:sz w:val="15"/>
          <w:szCs w:val="15"/>
          <w:color w:val="262626"/>
        </w:rPr>
        <w:t>our</w:t>
      </w:r>
      <w:r>
        <w:rPr>
          <w:rFonts w:ascii="Arial" w:cs="Arial" w:eastAsia="Arial" w:hAnsi="Arial"/>
          <w:sz w:val="15"/>
          <w:szCs w:val="15"/>
          <w:b w:val="1"/>
          <w:bCs w:val="1"/>
          <w:color w:val="262626"/>
        </w:rPr>
        <w:t xml:space="preserve"> </w:t>
      </w:r>
      <w:r>
        <w:rPr>
          <w:rFonts w:ascii="Arial" w:cs="Arial" w:eastAsia="Arial" w:hAnsi="Arial"/>
          <w:sz w:val="15"/>
          <w:szCs w:val="15"/>
          <w:color w:val="262626"/>
        </w:rPr>
        <w:t xml:space="preserve">leading solutions and services for the </w:t>
      </w:r>
      <w:r>
        <w:rPr>
          <w:rFonts w:ascii="Arial" w:cs="Arial" w:eastAsia="Arial" w:hAnsi="Arial"/>
          <w:sz w:val="15"/>
          <w:szCs w:val="15"/>
          <w:b w:val="1"/>
          <w:bCs w:val="1"/>
          <w:color w:val="262626"/>
        </w:rPr>
        <w:t>Energy</w:t>
      </w:r>
      <w:r>
        <w:rPr>
          <w:rFonts w:ascii="Arial" w:cs="Arial" w:eastAsia="Arial" w:hAnsi="Arial"/>
          <w:sz w:val="15"/>
          <w:szCs w:val="15"/>
          <w:color w:val="262626"/>
        </w:rPr>
        <w:t xml:space="preserve"> </w:t>
      </w:r>
      <w:r>
        <w:rPr>
          <w:rFonts w:ascii="Arial" w:cs="Arial" w:eastAsia="Arial" w:hAnsi="Arial"/>
          <w:sz w:val="15"/>
          <w:szCs w:val="15"/>
          <w:b w:val="1"/>
          <w:bCs w:val="1"/>
          <w:color w:val="262626"/>
        </w:rPr>
        <w:t>Transition</w:t>
      </w:r>
      <w:r>
        <w:rPr>
          <w:rFonts w:ascii="Arial" w:cs="Arial" w:eastAsia="Arial" w:hAnsi="Arial"/>
          <w:sz w:val="15"/>
          <w:szCs w:val="15"/>
          <w:color w:val="262626"/>
        </w:rPr>
        <w:t>. Within each of these strategic</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25" w:lineRule="exact"/>
        <w:rPr>
          <w:sz w:val="20"/>
          <w:szCs w:val="20"/>
          <w:color w:val="auto"/>
        </w:rPr>
      </w:pPr>
      <w:r>
        <w:rPr>
          <w:rFonts w:ascii="Arial" w:cs="Arial" w:eastAsia="Arial" w:hAnsi="Arial"/>
          <w:sz w:val="16"/>
          <w:szCs w:val="16"/>
          <w:color w:val="262626"/>
        </w:rPr>
        <w:t>focus areas we are making key moves to add more balance to our long cycle and short J`JSL</w:t>
      </w:r>
      <w:r>
        <w:rPr>
          <w:rFonts w:ascii="PMingLiU" w:cs="PMingLiU" w:eastAsia="PMingLiU" w:hAnsi="PMingLiU"/>
          <w:sz w:val="16"/>
          <w:szCs w:val="16"/>
          <w:color w:val="262626"/>
        </w:rPr>
        <w:t/>
      </w:r>
      <w:r>
        <w:rPr>
          <w:rFonts w:ascii="Arial" w:cs="Arial" w:eastAsia="Arial" w:hAnsi="Arial"/>
          <w:sz w:val="16"/>
          <w:szCs w:val="16"/>
          <w:color w:val="262626"/>
        </w:rPr>
        <w:t>YL]LU\L</w:t>
      </w:r>
      <w:r>
        <w:rPr>
          <w:rFonts w:ascii="PMingLiU" w:cs="PMingLiU" w:eastAsia="PMingLiU" w:hAnsi="PMingLiU"/>
          <w:sz w:val="16"/>
          <w:szCs w:val="16"/>
          <w:color w:val="262626"/>
        </w:rPr>
        <w:t/>
      </w:r>
      <w:r>
        <w:rPr>
          <w:rFonts w:ascii="Arial" w:cs="Arial" w:eastAsia="Arial" w:hAnsi="Arial"/>
          <w:sz w:val="16"/>
          <w:szCs w:val="16"/>
          <w:color w:val="262626"/>
        </w:rPr>
        <w:t>TP_</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PU[LYUH[PVUHS</w:t>
      </w:r>
      <w:r>
        <w:rPr>
          <w:rFonts w:ascii="PMingLiU" w:cs="PMingLiU" w:eastAsia="PMingLiU" w:hAnsi="PMingLiU"/>
          <w:sz w:val="16"/>
          <w:szCs w:val="16"/>
          <w:color w:val="262626"/>
        </w:rPr>
        <w:t/>
      </w:r>
      <w:r>
        <w:rPr>
          <w:rFonts w:ascii="Arial" w:cs="Arial" w:eastAsia="Arial" w:hAnsi="Arial"/>
          <w:sz w:val="16"/>
          <w:szCs w:val="16"/>
          <w:color w:val="262626"/>
        </w:rPr>
        <w:t xml:space="preserve"> WYVÄ</w:t>
      </w:r>
      <w:r>
        <w:rPr>
          <w:rFonts w:ascii="PMingLiU" w:cs="PMingLiU" w:eastAsia="PMingLiU" w:hAnsi="PMingLiU"/>
          <w:sz w:val="16"/>
          <w:szCs w:val="16"/>
          <w:color w:val="262626"/>
        </w:rPr>
        <w:t/>
      </w:r>
      <w:r>
        <w:rPr>
          <w:rFonts w:ascii="Arial" w:cs="Arial" w:eastAsia="Arial" w:hAnsi="Arial"/>
          <w:sz w:val="16"/>
          <w:szCs w:val="16"/>
          <w:color w:val="262626"/>
        </w:rPr>
        <w:t>SL</w:t>
      </w:r>
      <w:r>
        <w:rPr>
          <w:rFonts w:ascii="PMingLiU" w:cs="PMingLiU" w:eastAsia="PMingLiU" w:hAnsi="PMingLiU"/>
          <w:sz w:val="16"/>
          <w:szCs w:val="16"/>
          <w:color w:val="262626"/>
        </w:rPr>
        <w:t/>
      </w:r>
      <w:r>
        <w:rPr>
          <w:rFonts w:ascii="Arial" w:cs="Arial" w:eastAsia="Arial" w:hAnsi="Arial"/>
          <w:sz w:val="16"/>
          <w:szCs w:val="16"/>
          <w:color w:val="262626"/>
        </w:rPr>
        <w:t xml:space="preserve"> As we invest and grow, we maintain an unwavering commitment to sustain a healthy IHSHUJL</w:t>
      </w:r>
      <w:r>
        <w:rPr>
          <w:rFonts w:ascii="PMingLiU" w:cs="PMingLiU" w:eastAsia="PMingLiU" w:hAnsi="PMingLiU"/>
          <w:sz w:val="16"/>
          <w:szCs w:val="16"/>
          <w:color w:val="262626"/>
        </w:rPr>
        <w:t/>
      </w:r>
      <w:r>
        <w:rPr>
          <w:rFonts w:ascii="Arial" w:cs="Arial" w:eastAsia="Arial" w:hAnsi="Arial"/>
          <w:sz w:val="16"/>
          <w:szCs w:val="16"/>
          <w:color w:val="262626"/>
        </w:rPr>
        <w:t>ZOLL[</w:t>
      </w:r>
      <w:r>
        <w:rPr>
          <w:rFonts w:ascii="PMingLiU" w:cs="PMingLiU" w:eastAsia="PMingLiU" w:hAnsi="PMingLiU"/>
          <w:sz w:val="16"/>
          <w:szCs w:val="16"/>
          <w:color w:val="262626"/>
        </w:rPr>
        <w:t/>
      </w:r>
      <w:r>
        <w:rPr>
          <w:rFonts w:ascii="Arial" w:cs="Arial" w:eastAsia="Arial" w:hAnsi="Arial"/>
          <w:sz w:val="16"/>
          <w:szCs w:val="16"/>
          <w:color w:val="262626"/>
        </w:rPr>
        <w:t>[V</w:t>
      </w:r>
      <w:r>
        <w:rPr>
          <w:rFonts w:ascii="PMingLiU" w:cs="PMingLiU" w:eastAsia="PMingLiU" w:hAnsi="PMingLiU"/>
          <w:sz w:val="16"/>
          <w:szCs w:val="16"/>
          <w:color w:val="262626"/>
        </w:rPr>
        <w:t/>
      </w:r>
      <w:r>
        <w:rPr>
          <w:rFonts w:ascii="Arial" w:cs="Arial" w:eastAsia="Arial" w:hAnsi="Arial"/>
          <w:sz w:val="16"/>
          <w:szCs w:val="16"/>
          <w:color w:val="262626"/>
        </w:rPr>
        <w:t>LUZ\YL</w:t>
      </w:r>
      <w:r>
        <w:rPr>
          <w:rFonts w:ascii="PMingLiU" w:cs="PMingLiU" w:eastAsia="PMingLiU" w:hAnsi="PMingLiU"/>
          <w:sz w:val="16"/>
          <w:szCs w:val="16"/>
          <w:color w:val="262626"/>
        </w:rPr>
        <w:t/>
      </w:r>
      <w:r>
        <w:rPr>
          <w:rFonts w:ascii="Arial" w:cs="Arial" w:eastAsia="Arial" w:hAnsi="Arial"/>
          <w:sz w:val="16"/>
          <w:szCs w:val="16"/>
          <w:color w:val="262626"/>
        </w:rPr>
        <w:t>Å</w:t>
      </w:r>
      <w:r>
        <w:rPr>
          <w:rFonts w:ascii="PMingLiU" w:cs="PMingLiU" w:eastAsia="PMingLiU" w:hAnsi="PMingLiU"/>
          <w:sz w:val="16"/>
          <w:szCs w:val="16"/>
          <w:color w:val="262626"/>
        </w:rPr>
        <w:t/>
      </w:r>
      <w:r>
        <w:rPr>
          <w:rFonts w:ascii="Arial" w:cs="Arial" w:eastAsia="Arial" w:hAnsi="Arial"/>
          <w:sz w:val="16"/>
          <w:szCs w:val="16"/>
          <w:color w:val="262626"/>
        </w:rPr>
        <w:t>L_PIPSP[`</w:t>
      </w:r>
      <w:r>
        <w:rPr>
          <w:rFonts w:ascii="PMingLiU" w:cs="PMingLiU" w:eastAsia="PMingLiU" w:hAnsi="PMingLiU"/>
          <w:sz w:val="16"/>
          <w:szCs w:val="16"/>
          <w:color w:val="262626"/>
        </w:rPr>
        <w:t/>
      </w:r>
    </w:p>
    <w:p>
      <w:pPr>
        <w:spacing w:after="0" w:line="170" w:lineRule="exact"/>
        <w:rPr>
          <w:sz w:val="20"/>
          <w:szCs w:val="20"/>
          <w:color w:val="auto"/>
        </w:rPr>
      </w:pPr>
    </w:p>
    <w:p>
      <w:pPr>
        <w:ind w:right="900"/>
        <w:spacing w:after="0" w:line="305" w:lineRule="auto"/>
        <w:rPr>
          <w:sz w:val="20"/>
          <w:szCs w:val="20"/>
          <w:color w:val="auto"/>
        </w:rPr>
      </w:pPr>
      <w:r>
        <w:rPr>
          <w:rFonts w:ascii="Arial" w:cs="Arial" w:eastAsia="Arial" w:hAnsi="Arial"/>
          <w:sz w:val="22"/>
          <w:szCs w:val="22"/>
          <w:b w:val="1"/>
          <w:bCs w:val="1"/>
          <w:color w:val="98B82F"/>
        </w:rPr>
        <w:t>Tremendous Progress and Result</w:t>
      </w:r>
    </w:p>
    <w:p>
      <w:pPr>
        <w:spacing w:after="0" w:line="1"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&gt;L</w:t>
      </w:r>
      <w:r>
        <w:rPr>
          <w:rFonts w:ascii="PMingLiU" w:cs="PMingLiU" w:eastAsia="PMingLiU" w:hAnsi="PMingLiU"/>
          <w:sz w:val="16"/>
          <w:szCs w:val="16"/>
          <w:color w:val="262626"/>
        </w:rPr>
        <w:t/>
      </w:r>
      <w:r>
        <w:rPr>
          <w:rFonts w:ascii="Arial" w:cs="Arial" w:eastAsia="Arial" w:hAnsi="Arial"/>
          <w:sz w:val="16"/>
          <w:szCs w:val="16"/>
          <w:color w:val="262626"/>
        </w:rPr>
        <w:t>LU[LYLK</w:t>
      </w:r>
      <w:r>
        <w:rPr>
          <w:rFonts w:ascii="PMingLiU" w:cs="PMingLiU" w:eastAsia="PMingLiU" w:hAnsi="PMingLiU"/>
          <w:sz w:val="16"/>
          <w:szCs w:val="16"/>
          <w:color w:val="262626"/>
        </w:rPr>
        <w:t/>
      </w:r>
      <w:r>
        <w:rPr>
          <w:rFonts w:ascii="Arial" w:cs="Arial" w:eastAsia="Arial" w:hAnsi="Arial"/>
          <w:sz w:val="16"/>
          <w:szCs w:val="16"/>
          <w:color w:val="262626"/>
        </w:rPr>
        <w:t>^P[O</w:t>
      </w:r>
      <w:r>
        <w:rPr>
          <w:rFonts w:ascii="PMingLiU" w:cs="PMingLiU" w:eastAsia="PMingLiU" w:hAnsi="PMingLiU"/>
          <w:sz w:val="16"/>
          <w:szCs w:val="16"/>
          <w:color w:val="262626"/>
        </w:rPr>
        <w:t/>
      </w:r>
      <w:r>
        <w:rPr>
          <w:rFonts w:ascii="Arial" w:cs="Arial" w:eastAsia="Arial" w:hAnsi="Arial"/>
          <w:sz w:val="16"/>
          <w:szCs w:val="16"/>
          <w:color w:val="262626"/>
        </w:rPr>
        <w:t>JVUÄ</w:t>
      </w:r>
      <w:r>
        <w:rPr>
          <w:rFonts w:ascii="PMingLiU" w:cs="PMingLiU" w:eastAsia="PMingLiU" w:hAnsi="PMingLiU"/>
          <w:sz w:val="16"/>
          <w:szCs w:val="16"/>
          <w:color w:val="262626"/>
        </w:rPr>
        <w:t/>
      </w:r>
      <w:r>
        <w:rPr>
          <w:rFonts w:ascii="Arial" w:cs="Arial" w:eastAsia="Arial" w:hAnsi="Arial"/>
          <w:sz w:val="16"/>
          <w:szCs w:val="16"/>
          <w:color w:val="262626"/>
        </w:rPr>
        <w:t>KLUJL</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262626"/>
        </w:rPr>
        <w:t>momentum as we had delivered solid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bookings and backlog growth throughout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2021. We exited 2022 with even more</w:t>
      </w:r>
    </w:p>
    <w:p>
      <w:pPr>
        <w:spacing w:after="0" w:line="36"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JVUÄ</w:t>
      </w:r>
      <w:r>
        <w:rPr>
          <w:rFonts w:ascii="PMingLiU" w:cs="PMingLiU" w:eastAsia="PMingLiU" w:hAnsi="PMingLiU"/>
          <w:sz w:val="16"/>
          <w:szCs w:val="16"/>
          <w:color w:val="262626"/>
        </w:rPr>
        <w:t/>
      </w:r>
      <w:r>
        <w:rPr>
          <w:rFonts w:ascii="Arial" w:cs="Arial" w:eastAsia="Arial" w:hAnsi="Arial"/>
          <w:sz w:val="16"/>
          <w:szCs w:val="16"/>
          <w:color w:val="262626"/>
        </w:rPr>
        <w:t>KLUJL</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TVTLU[\T</w:t>
      </w:r>
      <w:r>
        <w:rPr>
          <w:rFonts w:ascii="PMingLiU" w:cs="PMingLiU" w:eastAsia="PMingLiU" w:hAnsi="PMingLiU"/>
          <w:sz w:val="16"/>
          <w:szCs w:val="16"/>
          <w:color w:val="262626"/>
        </w:rPr>
        <w:t/>
      </w:r>
      <w:r>
        <w:rPr>
          <w:rFonts w:ascii="Arial" w:cs="Arial" w:eastAsia="Arial" w:hAnsi="Arial"/>
          <w:sz w:val="16"/>
          <w:szCs w:val="16"/>
          <w:color w:val="262626"/>
        </w:rPr>
        <w:t>(Z</w:t>
      </w:r>
      <w:r>
        <w:rPr>
          <w:rFonts w:ascii="PMingLiU" w:cs="PMingLiU" w:eastAsia="PMingLiU" w:hAnsi="PMingLiU"/>
          <w:sz w:val="16"/>
          <w:szCs w:val="16"/>
          <w:color w:val="262626"/>
        </w:rPr>
        <w:t/>
      </w:r>
      <w:r>
        <w:rPr>
          <w:rFonts w:ascii="Arial" w:cs="Arial" w:eastAsia="Arial" w:hAnsi="Arial"/>
          <w:sz w:val="16"/>
          <w:szCs w:val="16"/>
          <w:color w:val="262626"/>
        </w:rPr>
        <w:t>^L</w:t>
      </w:r>
      <w:r>
        <w:rPr>
          <w:rFonts w:ascii="PMingLiU" w:cs="PMingLiU" w:eastAsia="PMingLiU" w:hAnsi="PMingLiU"/>
          <w:sz w:val="16"/>
          <w:szCs w:val="16"/>
          <w:color w:val="262626"/>
        </w:rPr>
        <w:t/>
      </w:r>
      <w:r>
        <w:rPr>
          <w:rFonts w:ascii="Arial" w:cs="Arial" w:eastAsia="Arial" w:hAnsi="Arial"/>
          <w:sz w:val="16"/>
          <w:szCs w:val="16"/>
          <w:color w:val="262626"/>
        </w:rPr>
        <w:t>OPNOSPNO[</w:t>
      </w:r>
      <w:r>
        <w:rPr>
          <w:rFonts w:ascii="PMingLiU" w:cs="PMingLiU" w:eastAsia="PMingLiU" w:hAnsi="PMingLiU"/>
          <w:sz w:val="16"/>
          <w:szCs w:val="16"/>
          <w:color w:val="262626"/>
        </w:rPr>
        <w:t/>
      </w:r>
    </w:p>
    <w:p>
      <w:pPr>
        <w:spacing w:after="0" w:line="26" w:lineRule="exact"/>
        <w:rPr>
          <w:sz w:val="20"/>
          <w:szCs w:val="20"/>
          <w:color w:val="auto"/>
        </w:rPr>
      </w:pPr>
    </w:p>
    <w:p>
      <w:pPr>
        <w:spacing w:after="0" w:line="170" w:lineRule="exact"/>
        <w:rPr>
          <w:sz w:val="20"/>
          <w:szCs w:val="20"/>
          <w:color w:val="auto"/>
        </w:rPr>
      </w:pPr>
      <w:r>
        <w:rPr>
          <w:rFonts w:ascii="Arial" w:cs="Arial" w:eastAsia="Arial" w:hAnsi="Arial"/>
          <w:sz w:val="14"/>
          <w:szCs w:val="14"/>
          <w:color w:val="262626"/>
        </w:rPr>
        <w:t>PU</w:t>
      </w:r>
      <w:r>
        <w:rPr>
          <w:rFonts w:ascii="PMingLiU" w:cs="PMingLiU" w:eastAsia="PMingLiU" w:hAnsi="PMingLiU"/>
          <w:sz w:val="14"/>
          <w:szCs w:val="14"/>
          <w:color w:val="262626"/>
        </w:rPr>
        <w:t/>
      </w:r>
      <w:r>
        <w:rPr>
          <w:rFonts w:ascii="Arial" w:cs="Arial" w:eastAsia="Arial" w:hAnsi="Arial"/>
          <w:sz w:val="14"/>
          <w:szCs w:val="14"/>
          <w:color w:val="262626"/>
        </w:rPr>
        <w:t>[OPZ</w:t>
      </w:r>
      <w:r>
        <w:rPr>
          <w:rFonts w:ascii="PMingLiU" w:cs="PMingLiU" w:eastAsia="PMingLiU" w:hAnsi="PMingLiU"/>
          <w:sz w:val="14"/>
          <w:szCs w:val="14"/>
          <w:color w:val="262626"/>
        </w:rPr>
        <w:t/>
      </w:r>
      <w:r>
        <w:rPr>
          <w:rFonts w:ascii="Arial" w:cs="Arial" w:eastAsia="Arial" w:hAnsi="Arial"/>
          <w:sz w:val="14"/>
          <w:szCs w:val="14"/>
          <w:color w:val="262626"/>
        </w:rPr>
        <w:t>HUU\HS</w:t>
      </w:r>
      <w:r>
        <w:rPr>
          <w:rFonts w:ascii="PMingLiU" w:cs="PMingLiU" w:eastAsia="PMingLiU" w:hAnsi="PMingLiU"/>
          <w:sz w:val="14"/>
          <w:szCs w:val="14"/>
          <w:color w:val="262626"/>
        </w:rPr>
        <w:t/>
      </w:r>
      <w:r>
        <w:rPr>
          <w:rFonts w:ascii="Arial" w:cs="Arial" w:eastAsia="Arial" w:hAnsi="Arial"/>
          <w:sz w:val="14"/>
          <w:szCs w:val="14"/>
          <w:color w:val="262626"/>
        </w:rPr>
        <w:t>YLWVY[</w:t>
      </w:r>
      <w:r>
        <w:rPr>
          <w:rFonts w:ascii="PMingLiU" w:cs="PMingLiU" w:eastAsia="PMingLiU" w:hAnsi="PMingLiU"/>
          <w:sz w:val="14"/>
          <w:szCs w:val="14"/>
          <w:color w:val="262626"/>
        </w:rPr>
        <w:t/>
      </w:r>
      <w:r>
        <w:rPr>
          <w:rFonts w:ascii="Arial" w:cs="Arial" w:eastAsia="Arial" w:hAnsi="Arial"/>
          <w:sz w:val="14"/>
          <w:szCs w:val="14"/>
          <w:color w:val="262626"/>
        </w:rPr>
        <w:t>V\Y</w:t>
      </w:r>
      <w:r>
        <w:rPr>
          <w:rFonts w:ascii="PMingLiU" w:cs="PMingLiU" w:eastAsia="PMingLiU" w:hAnsi="PMingLiU"/>
          <w:sz w:val="14"/>
          <w:szCs w:val="14"/>
          <w:color w:val="262626"/>
        </w:rPr>
        <w:t/>
      </w:r>
      <w:r>
        <w:rPr>
          <w:rFonts w:ascii="Arial" w:cs="Arial" w:eastAsia="Arial" w:hAnsi="Arial"/>
          <w:sz w:val="14"/>
          <w:szCs w:val="14"/>
          <w:color w:val="262626"/>
        </w:rPr>
        <w:t>Ä</w:t>
      </w:r>
      <w:r>
        <w:rPr>
          <w:rFonts w:ascii="PMingLiU" w:cs="PMingLiU" w:eastAsia="PMingLiU" w:hAnsi="PMingLiU"/>
          <w:sz w:val="14"/>
          <w:szCs w:val="14"/>
          <w:color w:val="262626"/>
        </w:rPr>
        <w:t/>
      </w:r>
      <w:r>
        <w:rPr>
          <w:rFonts w:ascii="Arial" w:cs="Arial" w:eastAsia="Arial" w:hAnsi="Arial"/>
          <w:sz w:val="14"/>
          <w:szCs w:val="14"/>
          <w:color w:val="262626"/>
        </w:rPr>
        <w:t>UHUJPHS</w:t>
      </w:r>
      <w:r>
        <w:rPr>
          <w:rFonts w:ascii="PMingLiU" w:cs="PMingLiU" w:eastAsia="PMingLiU" w:hAnsi="PMingLiU"/>
          <w:sz w:val="14"/>
          <w:szCs w:val="14"/>
          <w:color w:val="262626"/>
        </w:rPr>
        <w:t/>
      </w:r>
      <w:r>
        <w:rPr>
          <w:rFonts w:ascii="Arial" w:cs="Arial" w:eastAsia="Arial" w:hAnsi="Arial"/>
          <w:sz w:val="14"/>
          <w:szCs w:val="14"/>
          <w:color w:val="262626"/>
        </w:rPr>
        <w:t>YLZ\S[Z</w:t>
      </w:r>
      <w:r>
        <w:rPr>
          <w:rFonts w:ascii="PMingLiU" w:cs="PMingLiU" w:eastAsia="PMingLiU" w:hAnsi="PMingLiU"/>
          <w:sz w:val="14"/>
          <w:szCs w:val="14"/>
          <w:color w:val="262626"/>
        </w:rPr>
        <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262626"/>
        </w:rPr>
        <w:t>were tremendous. We delivered the two</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highest bookings quarters in CECO’s proud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history, and we drove 46 percent bookings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growth for the year. Revenue was up more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than 30 percent, and our adjusted EBITDA</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grew more than 65 percent. The result for our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262626"/>
        </w:rPr>
        <w:t>shareholders was a stock that outperformed</w:t>
      </w:r>
    </w:p>
    <w:p>
      <w:pPr>
        <w:spacing w:after="0" w:line="36" w:lineRule="exact"/>
        <w:rPr>
          <w:sz w:val="20"/>
          <w:szCs w:val="20"/>
          <w:color w:val="auto"/>
        </w:rPr>
      </w:pPr>
    </w:p>
    <w:p>
      <w:pPr>
        <w:spacing w:after="0" w:line="182" w:lineRule="exact"/>
        <w:rPr>
          <w:sz w:val="20"/>
          <w:szCs w:val="20"/>
          <w:color w:val="auto"/>
        </w:rPr>
      </w:pPr>
      <w:r>
        <w:rPr>
          <w:rFonts w:ascii="Arial" w:cs="Arial" w:eastAsia="Arial" w:hAnsi="Arial"/>
          <w:sz w:val="15"/>
          <w:szCs w:val="15"/>
          <w:color w:val="262626"/>
        </w:rPr>
        <w:t>[OL</w:t>
      </w:r>
      <w:r>
        <w:rPr>
          <w:rFonts w:ascii="PMingLiU" w:cs="PMingLiU" w:eastAsia="PMingLiU" w:hAnsi="PMingLiU"/>
          <w:sz w:val="15"/>
          <w:szCs w:val="15"/>
          <w:color w:val="262626"/>
        </w:rPr>
        <w:t/>
      </w:r>
      <w:r>
        <w:rPr>
          <w:rFonts w:ascii="Arial" w:cs="Arial" w:eastAsia="Arial" w:hAnsi="Arial"/>
          <w:sz w:val="15"/>
          <w:szCs w:val="15"/>
          <w:color w:val="262626"/>
        </w:rPr>
        <w:t>IYVHKLY</w:t>
      </w:r>
      <w:r>
        <w:rPr>
          <w:rFonts w:ascii="PMingLiU" w:cs="PMingLiU" w:eastAsia="PMingLiU" w:hAnsi="PMingLiU"/>
          <w:sz w:val="15"/>
          <w:szCs w:val="15"/>
          <w:color w:val="262626"/>
        </w:rPr>
        <w:t/>
      </w:r>
      <w:r>
        <w:rPr>
          <w:rFonts w:ascii="Arial" w:cs="Arial" w:eastAsia="Arial" w:hAnsi="Arial"/>
          <w:sz w:val="15"/>
          <w:szCs w:val="15"/>
          <w:color w:val="262626"/>
        </w:rPr>
        <w:t>THYRL[Z</w:t>
      </w:r>
      <w:r>
        <w:rPr>
          <w:rFonts w:ascii="PMingLiU" w:cs="PMingLiU" w:eastAsia="PMingLiU" w:hAnsi="PMingLiU"/>
          <w:sz w:val="15"/>
          <w:szCs w:val="15"/>
          <w:color w:val="262626"/>
        </w:rPr>
        <w:t/>
      </w:r>
      <w:r>
        <w:rPr>
          <w:rFonts w:ascii="Arial" w:cs="Arial" w:eastAsia="Arial" w:hAnsi="Arial"/>
          <w:sz w:val="15"/>
          <w:szCs w:val="15"/>
          <w:color w:val="262626"/>
        </w:rPr>
        <w:t>I`</w:t>
      </w:r>
      <w:r>
        <w:rPr>
          <w:rFonts w:ascii="PMingLiU" w:cs="PMingLiU" w:eastAsia="PMingLiU" w:hAnsi="PMingLiU"/>
          <w:sz w:val="15"/>
          <w:szCs w:val="15"/>
          <w:color w:val="262626"/>
        </w:rPr>
        <w:t/>
      </w:r>
      <w:r>
        <w:rPr>
          <w:rFonts w:ascii="Arial" w:cs="Arial" w:eastAsia="Arial" w:hAnsi="Arial"/>
          <w:sz w:val="15"/>
          <w:szCs w:val="15"/>
          <w:color w:val="262626"/>
        </w:rPr>
        <w:t>H</w:t>
      </w:r>
      <w:r>
        <w:rPr>
          <w:rFonts w:ascii="PMingLiU" w:cs="PMingLiU" w:eastAsia="PMingLiU" w:hAnsi="PMingLiU"/>
          <w:sz w:val="15"/>
          <w:szCs w:val="15"/>
          <w:color w:val="262626"/>
        </w:rPr>
        <w:t/>
      </w:r>
      <w:r>
        <w:rPr>
          <w:rFonts w:ascii="Arial" w:cs="Arial" w:eastAsia="Arial" w:hAnsi="Arial"/>
          <w:sz w:val="15"/>
          <w:szCs w:val="15"/>
          <w:color w:val="262626"/>
        </w:rPr>
        <w:t>ZPNUPÄ</w:t>
      </w:r>
      <w:r>
        <w:rPr>
          <w:rFonts w:ascii="PMingLiU" w:cs="PMingLiU" w:eastAsia="PMingLiU" w:hAnsi="PMingLiU"/>
          <w:sz w:val="15"/>
          <w:szCs w:val="15"/>
          <w:color w:val="262626"/>
        </w:rPr>
        <w:t/>
      </w:r>
      <w:r>
        <w:rPr>
          <w:rFonts w:ascii="Arial" w:cs="Arial" w:eastAsia="Arial" w:hAnsi="Arial"/>
          <w:sz w:val="15"/>
          <w:szCs w:val="15"/>
          <w:color w:val="262626"/>
        </w:rPr>
        <w:t>JHU[</w:t>
      </w:r>
      <w:r>
        <w:rPr>
          <w:rFonts w:ascii="PMingLiU" w:cs="PMingLiU" w:eastAsia="PMingLiU" w:hAnsi="PMingLiU"/>
          <w:sz w:val="15"/>
          <w:szCs w:val="15"/>
          <w:color w:val="262626"/>
        </w:rPr>
        <w:t/>
      </w:r>
      <w:r>
        <w:rPr>
          <w:rFonts w:ascii="Arial" w:cs="Arial" w:eastAsia="Arial" w:hAnsi="Arial"/>
          <w:sz w:val="15"/>
          <w:szCs w:val="15"/>
          <w:color w:val="262626"/>
        </w:rPr>
        <w:t>THYNPU</w:t>
      </w:r>
      <w:r>
        <w:rPr>
          <w:rFonts w:ascii="PMingLiU" w:cs="PMingLiU" w:eastAsia="PMingLiU" w:hAnsi="PMingLiU"/>
          <w:sz w:val="15"/>
          <w:szCs w:val="15"/>
          <w:color w:val="262626"/>
        </w:rPr>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262626"/>
        </w:rPr>
        <w:t>We believe we are just getting started.</w:t>
      </w:r>
    </w:p>
    <w:p>
      <w:pPr>
        <w:spacing w:after="0" w:line="196" w:lineRule="exact"/>
        <w:rPr>
          <w:sz w:val="20"/>
          <w:szCs w:val="20"/>
          <w:color w:val="auto"/>
        </w:rPr>
      </w:pPr>
    </w:p>
    <w:p>
      <w:pPr>
        <w:spacing w:after="0" w:line="235" w:lineRule="exact"/>
        <w:rPr>
          <w:sz w:val="20"/>
          <w:szCs w:val="20"/>
          <w:color w:val="auto"/>
        </w:rPr>
      </w:pPr>
      <w:r>
        <w:rPr>
          <w:rFonts w:ascii="Arial" w:cs="Arial" w:eastAsia="Arial" w:hAnsi="Arial"/>
          <w:sz w:val="13"/>
          <w:szCs w:val="13"/>
          <w:color w:val="262626"/>
        </w:rPr>
        <w:t>0U</w:t>
      </w:r>
      <w:r>
        <w:rPr>
          <w:rFonts w:ascii="PMingLiU" w:cs="PMingLiU" w:eastAsia="PMingLiU" w:hAnsi="PMingLiU"/>
          <w:sz w:val="13"/>
          <w:szCs w:val="13"/>
          <w:color w:val="262626"/>
        </w:rPr>
        <w:t/>
      </w:r>
      <w:r>
        <w:rPr>
          <w:rFonts w:ascii="Arial" w:cs="Arial" w:eastAsia="Arial" w:hAnsi="Arial"/>
          <w:sz w:val="13"/>
          <w:szCs w:val="13"/>
          <w:color w:val="262626"/>
        </w:rPr>
        <w:t>HKKP[PVU</w:t>
      </w:r>
      <w:r>
        <w:rPr>
          <w:rFonts w:ascii="PMingLiU" w:cs="PMingLiU" w:eastAsia="PMingLiU" w:hAnsi="PMingLiU"/>
          <w:sz w:val="13"/>
          <w:szCs w:val="13"/>
          <w:color w:val="262626"/>
        </w:rPr>
        <w:t/>
      </w:r>
      <w:r>
        <w:rPr>
          <w:rFonts w:ascii="Arial" w:cs="Arial" w:eastAsia="Arial" w:hAnsi="Arial"/>
          <w:sz w:val="13"/>
          <w:szCs w:val="13"/>
          <w:color w:val="262626"/>
        </w:rPr>
        <w:t>[V</w:t>
      </w:r>
      <w:r>
        <w:rPr>
          <w:rFonts w:ascii="PMingLiU" w:cs="PMingLiU" w:eastAsia="PMingLiU" w:hAnsi="PMingLiU"/>
          <w:sz w:val="13"/>
          <w:szCs w:val="13"/>
          <w:color w:val="262626"/>
        </w:rPr>
        <w:t/>
      </w:r>
      <w:r>
        <w:rPr>
          <w:rFonts w:ascii="Arial" w:cs="Arial" w:eastAsia="Arial" w:hAnsi="Arial"/>
          <w:sz w:val="13"/>
          <w:szCs w:val="13"/>
          <w:color w:val="262626"/>
        </w:rPr>
        <w:t>ZPNUPÄ</w:t>
      </w:r>
      <w:r>
        <w:rPr>
          <w:rFonts w:ascii="PMingLiU" w:cs="PMingLiU" w:eastAsia="PMingLiU" w:hAnsi="PMingLiU"/>
          <w:sz w:val="13"/>
          <w:szCs w:val="13"/>
          <w:color w:val="262626"/>
        </w:rPr>
        <w:t/>
      </w:r>
      <w:r>
        <w:rPr>
          <w:rFonts w:ascii="Arial" w:cs="Arial" w:eastAsia="Arial" w:hAnsi="Arial"/>
          <w:sz w:val="13"/>
          <w:szCs w:val="13"/>
          <w:color w:val="262626"/>
        </w:rPr>
        <w:t>JHU[</w:t>
      </w:r>
      <w:r>
        <w:rPr>
          <w:rFonts w:ascii="PMingLiU" w:cs="PMingLiU" w:eastAsia="PMingLiU" w:hAnsi="PMingLiU"/>
          <w:sz w:val="13"/>
          <w:szCs w:val="13"/>
          <w:color w:val="262626"/>
        </w:rPr>
        <w:t/>
      </w:r>
      <w:r>
        <w:rPr>
          <w:rFonts w:ascii="Arial" w:cs="Arial" w:eastAsia="Arial" w:hAnsi="Arial"/>
          <w:sz w:val="13"/>
          <w:szCs w:val="13"/>
          <w:color w:val="262626"/>
        </w:rPr>
        <w:t>VYNHUPJ</w:t>
      </w:r>
      <w:r>
        <w:rPr>
          <w:rFonts w:ascii="PMingLiU" w:cs="PMingLiU" w:eastAsia="PMingLiU" w:hAnsi="PMingLiU"/>
          <w:sz w:val="13"/>
          <w:szCs w:val="13"/>
          <w:color w:val="262626"/>
        </w:rPr>
        <w:t/>
      </w:r>
      <w:r>
        <w:rPr>
          <w:rFonts w:ascii="Arial" w:cs="Arial" w:eastAsia="Arial" w:hAnsi="Arial"/>
          <w:sz w:val="13"/>
          <w:szCs w:val="13"/>
          <w:color w:val="262626"/>
        </w:rPr>
        <w:t>NYV^[O</w:t>
      </w:r>
      <w:r>
        <w:rPr>
          <w:rFonts w:ascii="PMingLiU" w:cs="PMingLiU" w:eastAsia="PMingLiU" w:hAnsi="PMingLiU"/>
          <w:sz w:val="13"/>
          <w:szCs w:val="13"/>
          <w:color w:val="262626"/>
        </w:rPr>
        <w:t/>
      </w:r>
      <w:r>
        <w:rPr>
          <w:rFonts w:ascii="Arial" w:cs="Arial" w:eastAsia="Arial" w:hAnsi="Arial"/>
          <w:sz w:val="13"/>
          <w:szCs w:val="13"/>
          <w:color w:val="262626"/>
        </w:rPr>
        <w:t>HUK</w:t>
      </w:r>
      <w:r>
        <w:rPr>
          <w:rFonts w:ascii="PMingLiU" w:cs="PMingLiU" w:eastAsia="PMingLiU" w:hAnsi="PMingLiU"/>
          <w:sz w:val="13"/>
          <w:szCs w:val="13"/>
          <w:color w:val="262626"/>
        </w:rPr>
        <w:t/>
      </w:r>
      <w:r>
        <w:rPr>
          <w:rFonts w:ascii="Arial" w:cs="Arial" w:eastAsia="Arial" w:hAnsi="Arial"/>
          <w:sz w:val="13"/>
          <w:szCs w:val="13"/>
          <w:color w:val="262626"/>
        </w:rPr>
        <w:t xml:space="preserve"> sustainable market penetration programs, we</w:t>
      </w:r>
    </w:p>
    <w:p>
      <w:pPr>
        <w:spacing w:after="0" w:line="276" w:lineRule="exact"/>
        <w:rPr>
          <w:sz w:val="20"/>
          <w:szCs w:val="20"/>
          <w:color w:val="auto"/>
        </w:rPr>
      </w:pPr>
    </w:p>
    <w:p>
      <w:pPr>
        <w:sectPr>
          <w:pgSz w:w="12240" w:h="15840" w:orient="portrait"/>
          <w:cols w:equalWidth="0" w:num="3">
            <w:col w:w="3340" w:space="260"/>
            <w:col w:w="3280" w:space="260"/>
            <w:col w:w="3260"/>
          </w:cols>
          <w:pgMar w:left="880" w:top="1440" w:right="960" w:bottom="217" w:gutter="0" w:footer="0" w:header="0"/>
          <w:type w:val="continuous"/>
        </w:sectPr>
      </w:pPr>
    </w:p>
    <w:p>
      <w:pPr>
        <w:spacing w:after="0" w:line="89" w:lineRule="exact"/>
        <w:rPr>
          <w:sz w:val="20"/>
          <w:szCs w:val="20"/>
          <w:color w:val="auto"/>
        </w:rPr>
      </w:pPr>
    </w:p>
    <w:p>
      <w:pPr>
        <w:ind w:left="260" w:hanging="240"/>
        <w:spacing w:after="0"/>
        <w:tabs>
          <w:tab w:leader="none" w:pos="260" w:val="left"/>
        </w:tabs>
        <w:numPr>
          <w:ilvl w:val="0"/>
          <w:numId w:val="2"/>
        </w:numPr>
        <w:rPr>
          <w:rFonts w:ascii="Arial" w:cs="Arial" w:eastAsia="Arial" w:hAnsi="Arial"/>
          <w:sz w:val="16"/>
          <w:szCs w:val="16"/>
          <w:b w:val="1"/>
          <w:bCs w:val="1"/>
          <w:color w:val="262626"/>
        </w:rPr>
      </w:pPr>
      <w:r>
        <w:rPr>
          <w:rFonts w:ascii="Arial" w:cs="Arial" w:eastAsia="Arial" w:hAnsi="Arial"/>
          <w:sz w:val="16"/>
          <w:szCs w:val="16"/>
          <w:b w:val="1"/>
          <w:bCs w:val="1"/>
          <w:color w:val="262626"/>
        </w:rPr>
        <w:t>CECO Environmental</w:t>
      </w:r>
    </w:p>
    <w:p>
      <w:pPr>
        <w:sectPr>
          <w:pgSz w:w="12240" w:h="15840" w:orient="portrait"/>
          <w:cols w:equalWidth="0" w:num="1">
            <w:col w:w="10400"/>
          </w:cols>
          <w:pgMar w:left="880" w:top="1440" w:right="960" w:bottom="217"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94" w:lineRule="auto"/>
        <w:rPr>
          <w:sz w:val="20"/>
          <w:szCs w:val="20"/>
          <w:color w:val="auto"/>
        </w:rPr>
      </w:pPr>
      <w:r>
        <w:rPr>
          <w:rFonts w:ascii="Arial" w:cs="Arial" w:eastAsia="Arial" w:hAnsi="Arial"/>
          <w:sz w:val="16"/>
          <w:szCs w:val="16"/>
          <w:color w:val="262626"/>
        </w:rPr>
        <w:t>started our inorganic growth journey. In 2022, we completed four strategic acquisitions – each of which was accretive from an EBITDA multiple perspective. These transactions are highlighted on pages 6 and 7. Each of the four transactions were sourced through our network relationships or market positions. These new additions add important strategic pieces that will advance our Industrial Air leadership, help build niche leadership within Industrial Water and reposition our leadership for the Energy Transition.</w:t>
      </w:r>
    </w:p>
    <w:p>
      <w:pPr>
        <w:spacing w:after="0" w:line="11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262626"/>
        </w:rPr>
        <w:t>Our capital deployment programs went beyond organic growth investments and acquisition funding. In 2022 we repurchased $7 million of CECO stock at an average price well below our year end per share value. When combined with our share repurchases from 2021, we have deployed $12 million to stock buybacks. We remain committed to a steady capital deployment model, which will focus on programmatic M&amp;A and maintain a solid balance sheet.</w:t>
      </w:r>
    </w:p>
    <w:p>
      <w:pPr>
        <w:spacing w:after="0" w:line="129" w:lineRule="exact"/>
        <w:rPr>
          <w:sz w:val="20"/>
          <w:szCs w:val="20"/>
          <w:color w:val="auto"/>
        </w:rPr>
      </w:pPr>
    </w:p>
    <w:p>
      <w:pPr>
        <w:ind w:right="940"/>
        <w:spacing w:after="0" w:line="305" w:lineRule="auto"/>
        <w:rPr>
          <w:sz w:val="20"/>
          <w:szCs w:val="20"/>
          <w:color w:val="auto"/>
        </w:rPr>
      </w:pPr>
      <w:r>
        <w:rPr>
          <w:rFonts w:ascii="Arial" w:cs="Arial" w:eastAsia="Arial" w:hAnsi="Arial"/>
          <w:sz w:val="22"/>
          <w:szCs w:val="22"/>
          <w:b w:val="1"/>
          <w:bCs w:val="1"/>
          <w:color w:val="98B82F"/>
        </w:rPr>
        <w:t>Sustainable Solutions and Culture</w:t>
      </w:r>
    </w:p>
    <w:p>
      <w:pPr>
        <w:spacing w:after="0" w:line="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262626"/>
        </w:rPr>
        <w:t>Protecting people, the environment and industrial equipment is the heartbeat of what drives our relationship with our customers and communities. Our employees are proud to work at CECO. To enhance this pride and to ensure our operating model continues to deliver above market results, we are investing in new cultural tools and capabilities.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262626"/>
        </w:rPr>
        <w:t>recruiting, developing and retaining top talent — and giving them common tools and language to work in a positive and consistent environment — we will continue to win, and win the right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-4864100</wp:posOffset>
            </wp:positionV>
            <wp:extent cx="7543800" cy="3680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8">
                      <a:extLst>
                        <a:ext uri="{28A0092B-C50C-407E-A947-70E740481C1C}"/>
                      </a:extLst>
                    </a:blip>
                    <a:srcRect/>
                    <a:stretch>
                      <a:fillRect/>
                    </a:stretch>
                  </pic:blipFill>
                  <pic:spPr bwMode="auto">
                    <a:xfrm>
                      <a:off x="0" y="0"/>
                      <a:ext cx="7543800" cy="3680460"/>
                    </a:xfrm>
                    <a:prstGeom prst="rect">
                      <a:avLst/>
                    </a:prstGeom>
                    <a:noFill/>
                  </pic:spPr>
                </pic:pic>
              </a:graphicData>
            </a:graphic>
          </wp:anchor>
        </w:drawing>
      </w:r>
    </w:p>
    <w:p>
      <w:pPr>
        <w:ind w:right="180"/>
        <w:spacing w:after="0" w:line="298" w:lineRule="auto"/>
        <w:rPr>
          <w:sz w:val="20"/>
          <w:szCs w:val="20"/>
          <w:color w:val="auto"/>
        </w:rPr>
      </w:pPr>
      <w:r>
        <w:rPr>
          <w:rFonts w:ascii="Arial" w:cs="Arial" w:eastAsia="Arial" w:hAnsi="Arial"/>
          <w:sz w:val="16"/>
          <w:szCs w:val="16"/>
          <w:color w:val="262626"/>
        </w:rPr>
        <w:t>To highlight many of our commitments as a sustainable organization, in 2022 we published our inaugural Environmental, Social and Governance Report (ESG). We highlight certain items in this annual report, and I encourage you to visit our website to download or review the document in its entirety.</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98B82F"/>
        </w:rPr>
        <w:t>Well Positioned for the Future</w:t>
      </w:r>
    </w:p>
    <w:p>
      <w:pPr>
        <w:spacing w:after="0" w:line="151" w:lineRule="exact"/>
        <w:rPr>
          <w:sz w:val="20"/>
          <w:szCs w:val="20"/>
          <w:color w:val="auto"/>
        </w:rPr>
      </w:pPr>
    </w:p>
    <w:p>
      <w:pPr>
        <w:ind w:right="80"/>
        <w:spacing w:after="0" w:line="222" w:lineRule="exact"/>
        <w:rPr>
          <w:sz w:val="20"/>
          <w:szCs w:val="20"/>
          <w:color w:val="auto"/>
        </w:rPr>
      </w:pPr>
      <w:r>
        <w:rPr>
          <w:rFonts w:ascii="Arial" w:cs="Arial" w:eastAsia="Arial" w:hAnsi="Arial"/>
          <w:sz w:val="15"/>
          <w:szCs w:val="15"/>
          <w:color w:val="262626"/>
        </w:rPr>
        <w:t>CECO is in the driver’s seat. We have a unique position of leadership in Industrial Air that we will continue to advance. We are building a real leadership position in niche markets within Industrial Water. And we are repositioning our solutions and services to better serve the Energy Transition. We entered 2023 with a record backlog and perhaps our largest pipeline of future project opportunities than ever before. This is the result of years of hard work to systematically enter new vertical markets and geographies. &gt;L</w:t>
      </w:r>
      <w:r>
        <w:rPr>
          <w:rFonts w:ascii="PMingLiU" w:cs="PMingLiU" w:eastAsia="PMingLiU" w:hAnsi="PMingLiU"/>
          <w:sz w:val="15"/>
          <w:szCs w:val="15"/>
          <w:color w:val="262626"/>
        </w:rPr>
        <w:t/>
      </w:r>
      <w:r>
        <w:rPr>
          <w:rFonts w:ascii="Arial" w:cs="Arial" w:eastAsia="Arial" w:hAnsi="Arial"/>
          <w:sz w:val="15"/>
          <w:szCs w:val="15"/>
          <w:color w:val="262626"/>
        </w:rPr>
        <w:t>HYL</w:t>
      </w:r>
      <w:r>
        <w:rPr>
          <w:rFonts w:ascii="PMingLiU" w:cs="PMingLiU" w:eastAsia="PMingLiU" w:hAnsi="PMingLiU"/>
          <w:sz w:val="15"/>
          <w:szCs w:val="15"/>
          <w:color w:val="262626"/>
        </w:rPr>
        <w:t/>
      </w:r>
      <w:r>
        <w:rPr>
          <w:rFonts w:ascii="Arial" w:cs="Arial" w:eastAsia="Arial" w:hAnsi="Arial"/>
          <w:sz w:val="15"/>
          <w:szCs w:val="15"/>
          <w:color w:val="262626"/>
        </w:rPr>
        <w:t xml:space="preserve"> JVUÄKLU[</w:t>
      </w:r>
      <w:r>
        <w:rPr>
          <w:rFonts w:ascii="PMingLiU" w:cs="PMingLiU" w:eastAsia="PMingLiU" w:hAnsi="PMingLiU"/>
          <w:sz w:val="15"/>
          <w:szCs w:val="15"/>
          <w:color w:val="262626"/>
        </w:rPr>
        <w:t/>
      </w:r>
      <w:r>
        <w:rPr>
          <w:rFonts w:ascii="Arial" w:cs="Arial" w:eastAsia="Arial" w:hAnsi="Arial"/>
          <w:sz w:val="15"/>
          <w:szCs w:val="15"/>
          <w:color w:val="262626"/>
        </w:rPr>
        <w:t>V\Y</w:t>
      </w:r>
      <w:r>
        <w:rPr>
          <w:rFonts w:ascii="PMingLiU" w:cs="PMingLiU" w:eastAsia="PMingLiU" w:hAnsi="PMingLiU"/>
          <w:sz w:val="15"/>
          <w:szCs w:val="15"/>
          <w:color w:val="262626"/>
        </w:rPr>
        <w:t/>
      </w:r>
      <w:r>
        <w:rPr>
          <w:rFonts w:ascii="Arial" w:cs="Arial" w:eastAsia="Arial" w:hAnsi="Arial"/>
          <w:sz w:val="15"/>
          <w:szCs w:val="15"/>
          <w:color w:val="262626"/>
        </w:rPr>
        <w:t>NYV^[O</w:t>
      </w:r>
      <w:r>
        <w:rPr>
          <w:rFonts w:ascii="PMingLiU" w:cs="PMingLiU" w:eastAsia="PMingLiU" w:hAnsi="PMingLiU"/>
          <w:sz w:val="15"/>
          <w:szCs w:val="15"/>
          <w:color w:val="262626"/>
        </w:rPr>
        <w:t/>
      </w:r>
      <w:r>
        <w:rPr>
          <w:rFonts w:ascii="Arial" w:cs="Arial" w:eastAsia="Arial" w:hAnsi="Arial"/>
          <w:sz w:val="15"/>
          <w:szCs w:val="15"/>
          <w:color w:val="262626"/>
        </w:rPr>
        <w:t>^PSS</w:t>
      </w:r>
      <w:r>
        <w:rPr>
          <w:rFonts w:ascii="PMingLiU" w:cs="PMingLiU" w:eastAsia="PMingLiU" w:hAnsi="PMingLiU"/>
          <w:sz w:val="15"/>
          <w:szCs w:val="15"/>
          <w:color w:val="262626"/>
        </w:rPr>
        <w:t/>
      </w:r>
      <w:r>
        <w:rPr>
          <w:rFonts w:ascii="Arial" w:cs="Arial" w:eastAsia="Arial" w:hAnsi="Arial"/>
          <w:sz w:val="15"/>
          <w:szCs w:val="15"/>
          <w:color w:val="262626"/>
        </w:rPr>
        <w:t>JVU[PU\L</w:t>
      </w:r>
      <w:r>
        <w:rPr>
          <w:rFonts w:ascii="PMingLiU" w:cs="PMingLiU" w:eastAsia="PMingLiU" w:hAnsi="PMingLiU"/>
          <w:sz w:val="15"/>
          <w:szCs w:val="15"/>
          <w:color w:val="262626"/>
        </w:rPr>
        <w:t/>
      </w:r>
      <w:r>
        <w:rPr>
          <w:rFonts w:ascii="Arial" w:cs="Arial" w:eastAsia="Arial" w:hAnsi="Arial"/>
          <w:sz w:val="15"/>
          <w:szCs w:val="15"/>
          <w:color w:val="262626"/>
        </w:rPr>
        <w:t xml:space="preserve"> and we expect our programmatic M&amp;A approach will open even more opportunities.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98B82F"/>
        </w:rPr>
        <w:t>Maintain Momentum</w:t>
      </w:r>
    </w:p>
    <w:p>
      <w:pPr>
        <w:spacing w:after="0" w:line="151" w:lineRule="exact"/>
        <w:rPr>
          <w:sz w:val="20"/>
          <w:szCs w:val="20"/>
          <w:color w:val="auto"/>
        </w:rPr>
      </w:pPr>
    </w:p>
    <w:p>
      <w:pPr>
        <w:ind w:right="220"/>
        <w:spacing w:after="0" w:line="370" w:lineRule="auto"/>
        <w:rPr>
          <w:sz w:val="20"/>
          <w:szCs w:val="20"/>
          <w:color w:val="auto"/>
        </w:rPr>
      </w:pPr>
      <w:r>
        <w:rPr>
          <w:rFonts w:ascii="Arial" w:cs="Arial" w:eastAsia="Arial" w:hAnsi="Arial"/>
          <w:sz w:val="16"/>
          <w:szCs w:val="16"/>
          <w:color w:val="262626"/>
        </w:rPr>
        <w:t>CECO is committed to building upon the tremendous success we delivered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262626"/>
        </w:rPr>
        <w:t>Our purpose- driven organization continues to reach new markets and our solutions are in demand. The awareness and demand for sustainable solutions that protect people, the environment, and industrial equipment continues to rise. Our talented and diverse team has navigated the challenges of the past few years and tirelessly delivered for our customers. I am proud to help lead this team.</w:t>
      </w:r>
    </w:p>
    <w:p>
      <w:pPr>
        <w:spacing w:after="0" w:line="331" w:lineRule="exact"/>
        <w:rPr>
          <w:sz w:val="20"/>
          <w:szCs w:val="20"/>
          <w:color w:val="auto"/>
        </w:rPr>
      </w:pPr>
    </w:p>
    <w:p>
      <w:pPr>
        <w:spacing w:after="0" w:line="226" w:lineRule="exact"/>
        <w:rPr>
          <w:sz w:val="20"/>
          <w:szCs w:val="20"/>
          <w:color w:val="auto"/>
        </w:rPr>
      </w:pPr>
      <w:r>
        <w:rPr>
          <w:rFonts w:ascii="Arial" w:cs="Arial" w:eastAsia="Arial" w:hAnsi="Arial"/>
          <w:sz w:val="16"/>
          <w:szCs w:val="16"/>
          <w:color w:val="262626"/>
        </w:rPr>
        <w:t xml:space="preserve">In summary, I want to thank each of our ZOHYLOVSKLYZ </w:t>
      </w:r>
      <w:r>
        <w:rPr>
          <w:rFonts w:ascii="PMingLiU" w:cs="PMingLiU" w:eastAsia="PMingLiU" w:hAnsi="PMingLiU"/>
          <w:sz w:val="16"/>
          <w:szCs w:val="16"/>
          <w:color w:val="262626"/>
        </w:rPr>
        <w:t/>
      </w:r>
      <w:r>
        <w:rPr>
          <w:rFonts w:ascii="Arial" w:cs="Arial" w:eastAsia="Arial" w:hAnsi="Arial"/>
          <w:sz w:val="16"/>
          <w:szCs w:val="16"/>
          <w:color w:val="262626"/>
        </w:rPr>
        <w:t>MVY</w:t>
      </w:r>
      <w:r>
        <w:rPr>
          <w:rFonts w:ascii="PMingLiU" w:cs="PMingLiU" w:eastAsia="PMingLiU" w:hAnsi="PMingLiU"/>
          <w:sz w:val="16"/>
          <w:szCs w:val="16"/>
          <w:color w:val="262626"/>
        </w:rPr>
        <w:t/>
      </w:r>
      <w:r>
        <w:rPr>
          <w:rFonts w:ascii="Arial" w:cs="Arial" w:eastAsia="Arial" w:hAnsi="Arial"/>
          <w:sz w:val="16"/>
          <w:szCs w:val="16"/>
          <w:color w:val="262626"/>
        </w:rPr>
        <w:t>`V\Y</w:t>
      </w:r>
      <w:r>
        <w:rPr>
          <w:rFonts w:ascii="PMingLiU" w:cs="PMingLiU" w:eastAsia="PMingLiU" w:hAnsi="PMingLiU"/>
          <w:sz w:val="16"/>
          <w:szCs w:val="16"/>
          <w:color w:val="262626"/>
        </w:rPr>
        <w:t/>
      </w:r>
      <w:r>
        <w:rPr>
          <w:rFonts w:ascii="Arial" w:cs="Arial" w:eastAsia="Arial" w:hAnsi="Arial"/>
          <w:sz w:val="16"/>
          <w:szCs w:val="16"/>
          <w:color w:val="262626"/>
        </w:rPr>
        <w:t>Z\WWVY[</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JVUÄKLUJL</w:t>
      </w:r>
      <w:r>
        <w:rPr>
          <w:rFonts w:ascii="PMingLiU" w:cs="PMingLiU" w:eastAsia="PMingLiU" w:hAnsi="PMingLiU"/>
          <w:sz w:val="16"/>
          <w:szCs w:val="16"/>
          <w:color w:val="262626"/>
        </w:rPr>
        <w:t/>
      </w:r>
      <w:r>
        <w:rPr>
          <w:rFonts w:ascii="Arial" w:cs="Arial" w:eastAsia="Arial" w:hAnsi="Arial"/>
          <w:sz w:val="16"/>
          <w:szCs w:val="16"/>
          <w:color w:val="262626"/>
        </w:rPr>
        <w:t xml:space="preserve"> in the CECO team. We look forward to delivering higher performance and more value.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262626"/>
        </w:rPr>
        <w:t>Sincerely,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262626"/>
        </w:rPr>
        <w:t>Todd R. Gleason</w:t>
      </w:r>
    </w:p>
    <w:p>
      <w:pPr>
        <w:spacing w:after="0" w:line="26"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,_LJ\[P]L</w:t>
      </w:r>
      <w:r>
        <w:rPr>
          <w:rFonts w:ascii="PMingLiU" w:cs="PMingLiU" w:eastAsia="PMingLiU" w:hAnsi="PMingLiU"/>
          <w:sz w:val="16"/>
          <w:szCs w:val="16"/>
          <w:color w:val="262626"/>
        </w:rPr>
        <w:t/>
      </w:r>
      <w:r>
        <w:rPr>
          <w:rFonts w:ascii="Arial" w:cs="Arial" w:eastAsia="Arial" w:hAnsi="Arial"/>
          <w:sz w:val="16"/>
          <w:szCs w:val="16"/>
          <w:color w:val="262626"/>
        </w:rPr>
        <w:t>6ɉJLY</w:t>
      </w:r>
    </w:p>
    <w:p>
      <w:pPr>
        <w:spacing w:after="0"/>
        <w:rPr>
          <w:sz w:val="20"/>
          <w:szCs w:val="20"/>
          <w:color w:val="auto"/>
        </w:rPr>
      </w:pPr>
      <w:r>
        <w:rPr>
          <w:rFonts w:ascii="Arial" w:cs="Arial" w:eastAsia="Arial" w:hAnsi="Arial"/>
          <w:sz w:val="16"/>
          <w:szCs w:val="16"/>
          <w:color w:val="262626"/>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69850</wp:posOffset>
            </wp:positionV>
            <wp:extent cx="2121535" cy="17646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9">
                      <a:extLst>
                        <a:ext uri="{28A0092B-C50C-407E-A947-70E740481C1C}"/>
                      </a:extLst>
                    </a:blip>
                    <a:srcRect/>
                    <a:stretch>
                      <a:fillRect/>
                    </a:stretch>
                  </pic:blipFill>
                  <pic:spPr bwMode="auto">
                    <a:xfrm>
                      <a:off x="0" y="0"/>
                      <a:ext cx="2121535" cy="1764665"/>
                    </a:xfrm>
                    <a:prstGeom prst="rect">
                      <a:avLst/>
                    </a:prstGeom>
                    <a:noFill/>
                  </pic:spPr>
                </pic:pic>
              </a:graphicData>
            </a:graphic>
          </wp:anchor>
        </w:drawing>
      </w:r>
    </w:p>
    <w:p>
      <w:pPr>
        <w:spacing w:after="0" w:line="3207" w:lineRule="exact"/>
        <w:rPr>
          <w:sz w:val="20"/>
          <w:szCs w:val="20"/>
          <w:color w:val="auto"/>
        </w:rPr>
      </w:pPr>
    </w:p>
    <w:p>
      <w:pPr>
        <w:sectPr>
          <w:pgSz w:w="12240" w:h="15840" w:orient="portrait"/>
          <w:cols w:equalWidth="0" w:num="3">
            <w:col w:w="3320" w:space="240"/>
            <w:col w:w="3300" w:space="260"/>
            <w:col w:w="3340"/>
          </w:cols>
          <w:pgMar w:left="900" w:top="1440" w:right="880" w:bottom="208" w:gutter="0" w:footer="0" w:header="0"/>
        </w:sectPr>
      </w:pPr>
    </w:p>
    <w:p>
      <w:pPr>
        <w:spacing w:after="0" w:line="2" w:lineRule="exact"/>
        <w:rPr>
          <w:sz w:val="20"/>
          <w:szCs w:val="20"/>
          <w:color w:val="auto"/>
        </w:rPr>
      </w:pPr>
    </w:p>
    <w:p>
      <w:pPr>
        <w:ind w:left="8580"/>
        <w:spacing w:after="0"/>
        <w:tabs>
          <w:tab w:leader="none" w:pos="1032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5</w:t>
      </w:r>
    </w:p>
    <w:p>
      <w:pPr>
        <w:sectPr>
          <w:pgSz w:w="12240" w:h="15840" w:orient="portrait"/>
          <w:cols w:equalWidth="0" w:num="1">
            <w:col w:w="10460"/>
          </w:cols>
          <w:pgMar w:left="900" w:top="1440" w:right="880" w:bottom="208" w:gutter="0" w:footer="0" w:header="0"/>
          <w:type w:val="continuous"/>
        </w:sectPr>
      </w:pPr>
    </w:p>
    <w:bookmarkStart w:id="7" w:name="page8"/>
    <w:bookmarkEnd w:id="7"/>
    <w:p>
      <w:pPr>
        <w:spacing w:after="0" w:line="36"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567055</wp:posOffset>
                </wp:positionH>
                <wp:positionV relativeFrom="page">
                  <wp:posOffset>571500</wp:posOffset>
                </wp:positionV>
                <wp:extent cx="6633845" cy="216090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33845" cy="2160905"/>
                        </a:xfrm>
                        <a:prstGeom prst="rect">
                          <a:avLst/>
                        </a:prstGeom>
                        <a:solidFill>
                          <a:srgbClr val="98B82F"/>
                        </a:solidFill>
                      </wps:spPr>
                      <wps:bodyPr/>
                    </wps:wsp>
                  </a:graphicData>
                </a:graphic>
              </wp:anchor>
            </w:drawing>
          </mc:Choice>
          <mc:Fallback>
            <w:pict>
              <v:rect id="Shape 36" o:spid="_x0000_s1061" style="position:absolute;margin-left:44.65pt;margin-top:45pt;width:522.35pt;height:170.1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98B82F" stroked="f">
                <w10:wrap anchorx="page" anchory="page"/>
              </v:rect>
            </w:pict>
          </mc:Fallback>
        </mc:AlternateContent>
      </w:r>
    </w:p>
    <w:p>
      <w:pPr>
        <w:ind w:left="1400"/>
        <w:spacing w:after="0"/>
        <w:rPr>
          <w:sz w:val="20"/>
          <w:szCs w:val="20"/>
          <w:color w:val="auto"/>
        </w:rPr>
      </w:pPr>
      <w:r>
        <w:rPr>
          <w:sz w:val="1"/>
          <w:szCs w:val="1"/>
          <w:color w:val="auto"/>
        </w:rPr>
        <w:drawing>
          <wp:inline distT="0" distB="0" distL="0" distR="0">
            <wp:extent cx="334010" cy="33845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extLst>
                    </a:blip>
                    <a:srcRect/>
                    <a:stretch>
                      <a:fillRect/>
                    </a:stretch>
                  </pic:blipFill>
                  <pic:spPr bwMode="auto">
                    <a:xfrm>
                      <a:off x="0" y="0"/>
                      <a:ext cx="334010" cy="338455"/>
                    </a:xfrm>
                    <a:prstGeom prst="rect">
                      <a:avLst/>
                    </a:prstGeom>
                    <a:noFill/>
                    <a:ln>
                      <a:noFill/>
                    </a:ln>
                  </pic:spPr>
                </pic:pic>
              </a:graphicData>
            </a:graphic>
          </wp:inline>
        </w:drawing>
      </w:r>
      <w:r>
        <w:rPr>
          <w:rFonts w:ascii="Arial" w:cs="Arial" w:eastAsia="Arial" w:hAnsi="Arial"/>
          <w:sz w:val="40"/>
          <w:szCs w:val="40"/>
          <w:b w:val="1"/>
          <w:bCs w:val="1"/>
          <w:color w:val="FFFFFF"/>
        </w:rPr>
        <w:t xml:space="preserve"> Winning in Diverse Growth Markets</w:t>
      </w:r>
    </w:p>
    <w:p>
      <w:pPr>
        <w:spacing w:after="0" w:line="260" w:lineRule="exact"/>
        <w:rPr>
          <w:sz w:val="20"/>
          <w:szCs w:val="20"/>
          <w:color w:val="auto"/>
        </w:rPr>
      </w:pPr>
    </w:p>
    <w:p>
      <w:pPr>
        <w:ind w:left="1380" w:right="1060"/>
        <w:spacing w:after="0" w:line="258" w:lineRule="exact"/>
        <w:rPr>
          <w:sz w:val="20"/>
          <w:szCs w:val="20"/>
          <w:color w:val="auto"/>
        </w:rPr>
      </w:pPr>
      <w:r>
        <w:rPr>
          <w:rFonts w:ascii="Arial" w:cs="Arial" w:eastAsia="Arial" w:hAnsi="Arial"/>
          <w:sz w:val="14"/>
          <w:szCs w:val="14"/>
          <w:color w:val="FFFFFF"/>
        </w:rPr>
        <w:t>CECO has a programmatic M&amp;A approach that is focused on adding key strategic businesses to propel our progress in Industrial Air, Industrial Water and Energy Transition. Each transaction goes through H</w:t>
      </w:r>
      <w:r>
        <w:rPr>
          <w:rFonts w:ascii="PMingLiU" w:cs="PMingLiU" w:eastAsia="PMingLiU" w:hAnsi="PMingLiU"/>
          <w:sz w:val="14"/>
          <w:szCs w:val="14"/>
          <w:color w:val="FFFFFF"/>
        </w:rPr>
        <w:t/>
      </w:r>
      <w:r>
        <w:rPr>
          <w:rFonts w:ascii="Arial" w:cs="Arial" w:eastAsia="Arial" w:hAnsi="Arial"/>
          <w:sz w:val="14"/>
          <w:szCs w:val="14"/>
          <w:color w:val="FFFFFF"/>
        </w:rPr>
        <w:t>YPNVYV\Z</w:t>
      </w:r>
      <w:r>
        <w:rPr>
          <w:rFonts w:ascii="PMingLiU" w:cs="PMingLiU" w:eastAsia="PMingLiU" w:hAnsi="PMingLiU"/>
          <w:sz w:val="14"/>
          <w:szCs w:val="14"/>
          <w:color w:val="FFFFFF"/>
        </w:rPr>
        <w:t/>
      </w:r>
      <w:r>
        <w:rPr>
          <w:rFonts w:ascii="Arial" w:cs="Arial" w:eastAsia="Arial" w:hAnsi="Arial"/>
          <w:sz w:val="14"/>
          <w:szCs w:val="14"/>
          <w:color w:val="FFFFFF"/>
        </w:rPr>
        <w:t>ZJYLLUPUN</w:t>
      </w:r>
      <w:r>
        <w:rPr>
          <w:rFonts w:ascii="PMingLiU" w:cs="PMingLiU" w:eastAsia="PMingLiU" w:hAnsi="PMingLiU"/>
          <w:sz w:val="14"/>
          <w:szCs w:val="14"/>
          <w:color w:val="FFFFFF"/>
        </w:rPr>
        <w:t/>
      </w:r>
      <w:r>
        <w:rPr>
          <w:rFonts w:ascii="Arial" w:cs="Arial" w:eastAsia="Arial" w:hAnsi="Arial"/>
          <w:sz w:val="14"/>
          <w:szCs w:val="14"/>
          <w:color w:val="FFFFFF"/>
        </w:rPr>
        <w:t>WYVJLZZ</w:t>
      </w:r>
      <w:r>
        <w:rPr>
          <w:rFonts w:ascii="PMingLiU" w:cs="PMingLiU" w:eastAsia="PMingLiU" w:hAnsi="PMingLiU"/>
          <w:sz w:val="14"/>
          <w:szCs w:val="14"/>
          <w:color w:val="FFFFFF"/>
        </w:rPr>
        <w:t/>
      </w:r>
      <w:r>
        <w:rPr>
          <w:rFonts w:ascii="Arial" w:cs="Arial" w:eastAsia="Arial" w:hAnsi="Arial"/>
          <w:sz w:val="14"/>
          <w:szCs w:val="14"/>
          <w:color w:val="FFFFFF"/>
        </w:rPr>
        <w:t>[V</w:t>
      </w:r>
      <w:r>
        <w:rPr>
          <w:rFonts w:ascii="PMingLiU" w:cs="PMingLiU" w:eastAsia="PMingLiU" w:hAnsi="PMingLiU"/>
          <w:sz w:val="14"/>
          <w:szCs w:val="14"/>
          <w:color w:val="FFFFFF"/>
        </w:rPr>
        <w:t/>
      </w:r>
      <w:r>
        <w:rPr>
          <w:rFonts w:ascii="Arial" w:cs="Arial" w:eastAsia="Arial" w:hAnsi="Arial"/>
          <w:sz w:val="14"/>
          <w:szCs w:val="14"/>
          <w:color w:val="FFFFFF"/>
        </w:rPr>
        <w:t>L]HS\H[L</w:t>
      </w:r>
      <w:r>
        <w:rPr>
          <w:rFonts w:ascii="PMingLiU" w:cs="PMingLiU" w:eastAsia="PMingLiU" w:hAnsi="PMingLiU"/>
          <w:sz w:val="14"/>
          <w:szCs w:val="14"/>
          <w:color w:val="FFFFFF"/>
        </w:rPr>
        <w:t/>
      </w:r>
      <w:r>
        <w:rPr>
          <w:rFonts w:ascii="Arial" w:cs="Arial" w:eastAsia="Arial" w:hAnsi="Arial"/>
          <w:sz w:val="14"/>
          <w:szCs w:val="14"/>
          <w:color w:val="FFFFFF"/>
        </w:rPr>
        <w:t>[OL</w:t>
      </w:r>
      <w:r>
        <w:rPr>
          <w:rFonts w:ascii="PMingLiU" w:cs="PMingLiU" w:eastAsia="PMingLiU" w:hAnsi="PMingLiU"/>
          <w:sz w:val="14"/>
          <w:szCs w:val="14"/>
          <w:color w:val="FFFFFF"/>
        </w:rPr>
        <w:t/>
      </w:r>
      <w:r>
        <w:rPr>
          <w:rFonts w:ascii="Arial" w:cs="Arial" w:eastAsia="Arial" w:hAnsi="Arial"/>
          <w:sz w:val="14"/>
          <w:szCs w:val="14"/>
          <w:color w:val="FFFFFF"/>
        </w:rPr>
        <w:t>NYV^[O</w:t>
      </w:r>
      <w:r>
        <w:rPr>
          <w:rFonts w:ascii="PMingLiU" w:cs="PMingLiU" w:eastAsia="PMingLiU" w:hAnsi="PMingLiU"/>
          <w:sz w:val="14"/>
          <w:szCs w:val="14"/>
          <w:color w:val="FFFFFF"/>
        </w:rPr>
        <w:t/>
      </w:r>
      <w:r>
        <w:rPr>
          <w:rFonts w:ascii="Arial" w:cs="Arial" w:eastAsia="Arial" w:hAnsi="Arial"/>
          <w:sz w:val="14"/>
          <w:szCs w:val="14"/>
          <w:color w:val="FFFFFF"/>
        </w:rPr>
        <w:t>VWWVY[\UP[PLZ</w:t>
      </w:r>
      <w:r>
        <w:rPr>
          <w:rFonts w:ascii="PMingLiU" w:cs="PMingLiU" w:eastAsia="PMingLiU" w:hAnsi="PMingLiU"/>
          <w:sz w:val="14"/>
          <w:szCs w:val="14"/>
          <w:color w:val="FFFFFF"/>
        </w:rPr>
        <w:t/>
      </w:r>
      <w:r>
        <w:rPr>
          <w:rFonts w:ascii="Arial" w:cs="Arial" w:eastAsia="Arial" w:hAnsi="Arial"/>
          <w:sz w:val="14"/>
          <w:szCs w:val="14"/>
          <w:color w:val="FFFFFF"/>
        </w:rPr>
        <w:t>JVTIPULK</w:t>
      </w:r>
      <w:r>
        <w:rPr>
          <w:rFonts w:ascii="PMingLiU" w:cs="PMingLiU" w:eastAsia="PMingLiU" w:hAnsi="PMingLiU"/>
          <w:sz w:val="14"/>
          <w:szCs w:val="14"/>
          <w:color w:val="FFFFFF"/>
        </w:rPr>
        <w:t/>
      </w:r>
      <w:r>
        <w:rPr>
          <w:rFonts w:ascii="Arial" w:cs="Arial" w:eastAsia="Arial" w:hAnsi="Arial"/>
          <w:sz w:val="14"/>
          <w:szCs w:val="14"/>
          <w:color w:val="FFFFFF"/>
        </w:rPr>
        <w:t>^P[O</w:t>
      </w:r>
      <w:r>
        <w:rPr>
          <w:rFonts w:ascii="PMingLiU" w:cs="PMingLiU" w:eastAsia="PMingLiU" w:hAnsi="PMingLiU"/>
          <w:sz w:val="14"/>
          <w:szCs w:val="14"/>
          <w:color w:val="FFFFFF"/>
        </w:rPr>
        <w:t/>
      </w:r>
      <w:r>
        <w:rPr>
          <w:rFonts w:ascii="Arial" w:cs="Arial" w:eastAsia="Arial" w:hAnsi="Arial"/>
          <w:sz w:val="14"/>
          <w:szCs w:val="14"/>
          <w:color w:val="FFFFFF"/>
        </w:rPr>
        <w:t>[OL</w:t>
      </w:r>
      <w:r>
        <w:rPr>
          <w:rFonts w:ascii="PMingLiU" w:cs="PMingLiU" w:eastAsia="PMingLiU" w:hAnsi="PMingLiU"/>
          <w:sz w:val="14"/>
          <w:szCs w:val="14"/>
          <w:color w:val="FFFFFF"/>
        </w:rPr>
        <w:t/>
      </w:r>
      <w:r>
        <w:rPr>
          <w:rFonts w:ascii="Arial" w:cs="Arial" w:eastAsia="Arial" w:hAnsi="Arial"/>
          <w:sz w:val="14"/>
          <w:szCs w:val="14"/>
          <w:color w:val="FFFFFF"/>
        </w:rPr>
        <w:t>ÄUHUJPHS</w:t>
      </w:r>
      <w:r>
        <w:rPr>
          <w:rFonts w:ascii="PMingLiU" w:cs="PMingLiU" w:eastAsia="PMingLiU" w:hAnsi="PMingLiU"/>
          <w:sz w:val="14"/>
          <w:szCs w:val="14"/>
          <w:color w:val="FFFFFF"/>
        </w:rPr>
        <w:t/>
      </w:r>
      <w:r>
        <w:rPr>
          <w:rFonts w:ascii="Arial" w:cs="Arial" w:eastAsia="Arial" w:hAnsi="Arial"/>
          <w:sz w:val="14"/>
          <w:szCs w:val="14"/>
          <w:color w:val="FFFFFF"/>
        </w:rPr>
        <w:t>WYVÄSL</w:t>
      </w:r>
      <w:r>
        <w:rPr>
          <w:rFonts w:ascii="PMingLiU" w:cs="PMingLiU" w:eastAsia="PMingLiU" w:hAnsi="PMingLiU"/>
          <w:sz w:val="14"/>
          <w:szCs w:val="14"/>
          <w:color w:val="FFFFFF"/>
        </w:rPr>
        <w:t/>
      </w:r>
      <w:r>
        <w:rPr>
          <w:rFonts w:ascii="Arial" w:cs="Arial" w:eastAsia="Arial" w:hAnsi="Arial"/>
          <w:sz w:val="14"/>
          <w:szCs w:val="14"/>
          <w:color w:val="FFFFFF"/>
        </w:rPr>
        <w:t xml:space="preserve"> of the business and transaction cost. In 2022, the Company was pleased to have completed the four acquisitions as highlighted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877570</wp:posOffset>
            </wp:positionV>
            <wp:extent cx="2273935" cy="280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extLst>
                    </a:blip>
                    <a:srcRect/>
                    <a:stretch>
                      <a:fillRect/>
                    </a:stretch>
                  </pic:blipFill>
                  <pic:spPr bwMode="auto">
                    <a:xfrm>
                      <a:off x="0" y="0"/>
                      <a:ext cx="2273935" cy="2805430"/>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1164590</wp:posOffset>
            </wp:positionV>
            <wp:extent cx="1940560" cy="1940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extLst>
                    </a:blip>
                    <a:srcRect/>
                    <a:stretch>
                      <a:fillRect/>
                    </a:stretch>
                  </pic:blipFill>
                  <pic:spPr bwMode="auto">
                    <a:xfrm>
                      <a:off x="0" y="0"/>
                      <a:ext cx="1940560" cy="194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FFFFFF"/>
        </w:rPr>
        <w:t>General Rubber</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Date Closed: </w:t>
      </w:r>
      <w:r>
        <w:rPr>
          <w:rFonts w:ascii="Arial" w:cs="Arial" w:eastAsia="Arial" w:hAnsi="Arial"/>
          <w:sz w:val="16"/>
          <w:szCs w:val="16"/>
          <w:color w:val="FFFFFF"/>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67945</wp:posOffset>
            </wp:positionV>
            <wp:extent cx="1952625" cy="1537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extLst>
                    </a:blip>
                    <a:srcRect/>
                    <a:stretch>
                      <a:fillRect/>
                    </a:stretch>
                  </pic:blipFill>
                  <pic:spPr bwMode="auto">
                    <a:xfrm>
                      <a:off x="0" y="0"/>
                      <a:ext cx="1952625" cy="1537335"/>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Location: </w:t>
      </w:r>
      <w:r>
        <w:rPr>
          <w:rFonts w:ascii="Arial" w:cs="Arial" w:eastAsia="Arial" w:hAnsi="Arial"/>
          <w:sz w:val="16"/>
          <w:szCs w:val="16"/>
          <w:color w:val="FFFFFF"/>
        </w:rPr>
        <w:t>Tucson, Arizona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Employees:  </w:t>
      </w:r>
      <w:r>
        <w:rPr>
          <w:rFonts w:ascii="Arial" w:cs="Arial" w:eastAsia="Arial" w:hAnsi="Arial"/>
          <w:sz w:val="16"/>
          <w:szCs w:val="16"/>
          <w:color w:val="FFFFFF"/>
        </w:rPr>
        <w:t>101</w:t>
      </w:r>
    </w:p>
    <w:p>
      <w:pPr>
        <w:spacing w:after="0" w:line="216" w:lineRule="exact"/>
        <w:rPr>
          <w:sz w:val="20"/>
          <w:szCs w:val="20"/>
          <w:color w:val="auto"/>
        </w:rPr>
      </w:pPr>
    </w:p>
    <w:p>
      <w:pPr>
        <w:ind w:left="300" w:right="6960"/>
        <w:spacing w:after="0" w:line="370" w:lineRule="auto"/>
        <w:rPr>
          <w:sz w:val="20"/>
          <w:szCs w:val="20"/>
          <w:color w:val="auto"/>
        </w:rPr>
      </w:pPr>
      <w:r>
        <w:rPr>
          <w:rFonts w:ascii="Arial" w:cs="Arial" w:eastAsia="Arial" w:hAnsi="Arial"/>
          <w:sz w:val="16"/>
          <w:szCs w:val="16"/>
          <w:b w:val="1"/>
          <w:bCs w:val="1"/>
          <w:color w:val="FFFFFF"/>
        </w:rPr>
        <w:t xml:space="preserve">Products: </w:t>
      </w:r>
      <w:r>
        <w:rPr>
          <w:rFonts w:ascii="Arial" w:cs="Arial" w:eastAsia="Arial" w:hAnsi="Arial"/>
          <w:sz w:val="16"/>
          <w:szCs w:val="16"/>
          <w:color w:val="FFFFFF"/>
        </w:rPr>
        <w:t>Rubber Expansion Joints,</w:t>
      </w:r>
      <w:r>
        <w:rPr>
          <w:rFonts w:ascii="Arial" w:cs="Arial" w:eastAsia="Arial" w:hAnsi="Arial"/>
          <w:sz w:val="16"/>
          <w:szCs w:val="16"/>
          <w:b w:val="1"/>
          <w:bCs w:val="1"/>
          <w:color w:val="FFFFFF"/>
        </w:rPr>
        <w:t xml:space="preserve"> </w:t>
      </w:r>
      <w:r>
        <w:rPr>
          <w:rFonts w:ascii="Arial" w:cs="Arial" w:eastAsia="Arial" w:hAnsi="Arial"/>
          <w:sz w:val="16"/>
          <w:szCs w:val="16"/>
          <w:color w:val="FFFFFF"/>
        </w:rPr>
        <w:t>Pinch &amp; Check Valves</w:t>
      </w:r>
    </w:p>
    <w:p>
      <w:pPr>
        <w:spacing w:after="0" w:line="53" w:lineRule="exact"/>
        <w:rPr>
          <w:sz w:val="20"/>
          <w:szCs w:val="20"/>
          <w:color w:val="auto"/>
        </w:rPr>
      </w:pPr>
    </w:p>
    <w:p>
      <w:pPr>
        <w:ind w:left="300" w:right="7020"/>
        <w:spacing w:after="0" w:line="328" w:lineRule="auto"/>
        <w:rPr>
          <w:sz w:val="20"/>
          <w:szCs w:val="20"/>
          <w:color w:val="auto"/>
        </w:rPr>
      </w:pPr>
      <w:r>
        <w:rPr>
          <w:rFonts w:ascii="Arial" w:cs="Arial" w:eastAsia="Arial" w:hAnsi="Arial"/>
          <w:sz w:val="16"/>
          <w:szCs w:val="16"/>
          <w:b w:val="1"/>
          <w:bCs w:val="1"/>
          <w:color w:val="FFFFFF"/>
        </w:rPr>
        <w:t xml:space="preserve">End Markets: </w:t>
      </w:r>
      <w:r>
        <w:rPr>
          <w:rFonts w:ascii="Arial" w:cs="Arial" w:eastAsia="Arial" w:hAnsi="Arial"/>
          <w:sz w:val="16"/>
          <w:szCs w:val="16"/>
          <w:color w:val="FFFFFF"/>
        </w:rPr>
        <w:t>Industrial Process,</w:t>
      </w:r>
      <w:r>
        <w:rPr>
          <w:rFonts w:ascii="Arial" w:cs="Arial" w:eastAsia="Arial" w:hAnsi="Arial"/>
          <w:sz w:val="16"/>
          <w:szCs w:val="16"/>
          <w:b w:val="1"/>
          <w:bCs w:val="1"/>
          <w:color w:val="FFFFFF"/>
        </w:rPr>
        <w:t xml:space="preserve"> </w:t>
      </w:r>
      <w:r>
        <w:rPr>
          <w:rFonts w:ascii="Arial" w:cs="Arial" w:eastAsia="Arial" w:hAnsi="Arial"/>
          <w:sz w:val="16"/>
          <w:szCs w:val="16"/>
          <w:color w:val="FFFFFF"/>
        </w:rPr>
        <w:t>Chemical Processing Water Supply, Stormwater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110605" cy="3107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extLst>
                    </a:blip>
                    <a:srcRect/>
                    <a:stretch>
                      <a:fillRect/>
                    </a:stretch>
                  </pic:blipFill>
                  <pic:spPr bwMode="auto">
                    <a:xfrm>
                      <a:off x="0" y="0"/>
                      <a:ext cx="6110605" cy="3107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FFFFFF"/>
        </w:rPr>
        <w:t>Compass Water Solutions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Date Closed: </w:t>
      </w:r>
      <w:r>
        <w:rPr>
          <w:rFonts w:ascii="Arial" w:cs="Arial" w:eastAsia="Arial" w:hAnsi="Arial"/>
          <w:sz w:val="16"/>
          <w:szCs w:val="16"/>
          <w:color w:val="FFFFFF"/>
        </w:rPr>
        <w:t>May</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Location: </w:t>
      </w:r>
      <w:r>
        <w:rPr>
          <w:rFonts w:ascii="Arial" w:cs="Arial" w:eastAsia="Arial" w:hAnsi="Arial"/>
          <w:sz w:val="16"/>
          <w:szCs w:val="16"/>
          <w:color w:val="FFFFFF"/>
        </w:rPr>
        <w:t>Tustin, California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Employees:  </w:t>
      </w:r>
      <w:r>
        <w:rPr>
          <w:rFonts w:ascii="Arial" w:cs="Arial" w:eastAsia="Arial" w:hAnsi="Arial"/>
          <w:sz w:val="16"/>
          <w:szCs w:val="16"/>
          <w:color w:val="FFFFFF"/>
        </w:rPr>
        <w:t>22</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 xml:space="preserve">Products: </w:t>
      </w:r>
      <w:r>
        <w:rPr>
          <w:rFonts w:ascii="Arial" w:cs="Arial" w:eastAsia="Arial" w:hAnsi="Arial"/>
          <w:sz w:val="16"/>
          <w:szCs w:val="16"/>
          <w:color w:val="FFFFFF"/>
        </w:rPr>
        <w:t>Oil-Water Separators,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Reverse Osmosis Watermakers,</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6"/>
          <w:szCs w:val="16"/>
          <w:color w:val="FFFFFF"/>
        </w:rPr>
        <w:t>Industrial Waste Treatment</w:t>
      </w:r>
    </w:p>
    <w:p>
      <w:pPr>
        <w:spacing w:after="0" w:line="196" w:lineRule="exact"/>
        <w:rPr>
          <w:sz w:val="20"/>
          <w:szCs w:val="20"/>
          <w:color w:val="auto"/>
        </w:rPr>
      </w:pPr>
    </w:p>
    <w:p>
      <w:pPr>
        <w:ind w:left="300" w:right="7180"/>
        <w:spacing w:after="0" w:line="229" w:lineRule="exact"/>
        <w:rPr>
          <w:sz w:val="20"/>
          <w:szCs w:val="20"/>
          <w:color w:val="auto"/>
        </w:rPr>
      </w:pPr>
      <w:r>
        <w:rPr>
          <w:rFonts w:ascii="Arial" w:cs="Arial" w:eastAsia="Arial" w:hAnsi="Arial"/>
          <w:sz w:val="16"/>
          <w:szCs w:val="16"/>
          <w:b w:val="1"/>
          <w:bCs w:val="1"/>
          <w:color w:val="FFFFFF"/>
        </w:rPr>
        <w:t xml:space="preserve">End Markets: </w:t>
      </w:r>
      <w:r>
        <w:rPr>
          <w:rFonts w:ascii="Arial" w:cs="Arial" w:eastAsia="Arial" w:hAnsi="Arial"/>
          <w:sz w:val="16"/>
          <w:szCs w:val="16"/>
          <w:color w:val="FFFFFF"/>
        </w:rPr>
        <w:t>Marine &amp; Maritime,</w:t>
      </w:r>
      <w:r>
        <w:rPr>
          <w:rFonts w:ascii="Arial" w:cs="Arial" w:eastAsia="Arial" w:hAnsi="Arial"/>
          <w:sz w:val="16"/>
          <w:szCs w:val="16"/>
          <w:b w:val="1"/>
          <w:bCs w:val="1"/>
          <w:color w:val="FFFFFF"/>
        </w:rPr>
        <w:t xml:space="preserve"> </w:t>
      </w:r>
      <w:r>
        <w:rPr>
          <w:rFonts w:ascii="Arial" w:cs="Arial" w:eastAsia="Arial" w:hAnsi="Arial"/>
          <w:sz w:val="16"/>
          <w:szCs w:val="16"/>
          <w:color w:val="FFFFFF"/>
        </w:rPr>
        <w:t>6ɈZOVYL</w:t>
      </w:r>
      <w:r>
        <w:rPr>
          <w:rFonts w:ascii="PMingLiU" w:cs="PMingLiU" w:eastAsia="PMingLiU" w:hAnsi="PMingLiU"/>
          <w:sz w:val="16"/>
          <w:szCs w:val="16"/>
          <w:color w:val="FFFFFF"/>
        </w:rPr>
        <w:t/>
      </w:r>
      <w:r>
        <w:rPr>
          <w:rFonts w:ascii="Arial" w:cs="Arial" w:eastAsia="Arial" w:hAnsi="Arial"/>
          <w:sz w:val="16"/>
          <w:szCs w:val="16"/>
          <w:color w:val="FFFFFF"/>
        </w:rPr>
        <w:t>6PS</w:t>
      </w:r>
      <w:r>
        <w:rPr>
          <w:rFonts w:ascii="PMingLiU" w:cs="PMingLiU" w:eastAsia="PMingLiU" w:hAnsi="PMingLiU"/>
          <w:sz w:val="16"/>
          <w:szCs w:val="16"/>
          <w:color w:val="FFFFFF"/>
        </w:rPr>
        <w:t/>
      </w:r>
      <w:r>
        <w:rPr>
          <w:rFonts w:ascii="Arial" w:cs="Arial" w:eastAsia="Arial" w:hAnsi="Arial"/>
          <w:sz w:val="16"/>
          <w:szCs w:val="16"/>
          <w:color w:val="FFFFFF"/>
        </w:rPr>
        <w:t>.HZ</w:t>
      </w:r>
      <w:r>
        <w:rPr>
          <w:rFonts w:ascii="PMingLiU" w:cs="PMingLiU" w:eastAsia="PMingLiU" w:hAnsi="PMingLiU"/>
          <w:sz w:val="16"/>
          <w:szCs w:val="16"/>
          <w:color w:val="FFFFFF"/>
        </w:rPr>
        <w:t/>
      </w:r>
      <w:r>
        <w:rPr>
          <w:rFonts w:ascii="Arial" w:cs="Arial" w:eastAsia="Arial" w:hAnsi="Arial"/>
          <w:sz w:val="16"/>
          <w:szCs w:val="16"/>
          <w:color w:val="FFFFFF"/>
        </w:rPr>
        <w:t>7YVK\J[PVU</w:t>
      </w:r>
      <w:r>
        <w:rPr>
          <w:rFonts w:ascii="PMingLiU" w:cs="PMingLiU" w:eastAsia="PMingLiU" w:hAnsi="PMingLiU"/>
          <w:sz w:val="16"/>
          <w:szCs w:val="16"/>
          <w:color w:val="FFFFFF"/>
        </w:rPr>
        <w:t/>
      </w:r>
      <w:r>
        <w:rPr>
          <w:rFonts w:ascii="Arial" w:cs="Arial" w:eastAsia="Arial" w:hAnsi="Arial"/>
          <w:sz w:val="16"/>
          <w:szCs w:val="16"/>
          <w:color w:val="FFFFFF"/>
        </w:rPr>
        <w:t xml:space="preserve"> 6ɈZOVYL</w:t>
      </w:r>
      <w:r>
        <w:rPr>
          <w:rFonts w:ascii="PMingLiU" w:cs="PMingLiU" w:eastAsia="PMingLiU" w:hAnsi="PMingLiU"/>
          <w:sz w:val="16"/>
          <w:szCs w:val="16"/>
          <w:color w:val="FFFFFF"/>
        </w:rPr>
        <w:t/>
      </w:r>
      <w:r>
        <w:rPr>
          <w:rFonts w:ascii="Arial" w:cs="Arial" w:eastAsia="Arial" w:hAnsi="Arial"/>
          <w:sz w:val="16"/>
          <w:szCs w:val="16"/>
          <w:color w:val="FFFFFF"/>
        </w:rPr>
        <w:t>&gt;PUK</w:t>
      </w:r>
    </w:p>
    <w:p>
      <w:pPr>
        <w:sectPr>
          <w:pgSz w:w="12240" w:h="15840" w:orient="portrait"/>
          <w:cols w:equalWidth="0" w:num="1">
            <w:col w:w="9900"/>
          </w:cols>
          <w:pgMar w:left="900" w:top="1440" w:right="1440"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40" w:hanging="240"/>
        <w:spacing w:after="0"/>
        <w:tabs>
          <w:tab w:leader="none" w:pos="240" w:val="left"/>
        </w:tabs>
        <w:numPr>
          <w:ilvl w:val="0"/>
          <w:numId w:val="3"/>
        </w:numPr>
        <w:rPr>
          <w:rFonts w:ascii="Arial" w:cs="Arial" w:eastAsia="Arial" w:hAnsi="Arial"/>
          <w:sz w:val="16"/>
          <w:szCs w:val="16"/>
          <w:b w:val="1"/>
          <w:bCs w:val="1"/>
          <w:color w:val="262626"/>
        </w:rPr>
      </w:pPr>
      <w:r>
        <w:rPr>
          <w:rFonts w:ascii="Arial" w:cs="Arial" w:eastAsia="Arial" w:hAnsi="Arial"/>
          <w:sz w:val="16"/>
          <w:szCs w:val="16"/>
          <w:b w:val="1"/>
          <w:bCs w:val="1"/>
          <w:color w:val="262626"/>
        </w:rPr>
        <w:t>CECO Environmental</w:t>
      </w:r>
    </w:p>
    <w:p>
      <w:pPr>
        <w:sectPr>
          <w:pgSz w:w="12240" w:h="15840" w:orient="portrait"/>
          <w:cols w:equalWidth="0" w:num="1">
            <w:col w:w="9900"/>
          </w:cols>
          <w:pgMar w:left="900" w:top="1440" w:right="1440" w:bottom="217"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495300</wp:posOffset>
            </wp:positionV>
            <wp:extent cx="6654800" cy="2879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extLst>
                    </a:blip>
                    <a:srcRect/>
                    <a:stretch>
                      <a:fillRect/>
                    </a:stretch>
                  </pic:blipFill>
                  <pic:spPr bwMode="auto">
                    <a:xfrm>
                      <a:off x="0" y="0"/>
                      <a:ext cx="6654800"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Western Airducts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Date Closed: </w:t>
      </w:r>
      <w:r>
        <w:rPr>
          <w:rFonts w:ascii="Arial" w:cs="Arial" w:eastAsia="Arial" w:hAnsi="Arial"/>
          <w:sz w:val="16"/>
          <w:szCs w:val="16"/>
          <w:color w:val="FFFFFF"/>
        </w:rPr>
        <w:t>June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Location: </w:t>
      </w:r>
      <w:r>
        <w:rPr>
          <w:rFonts w:ascii="Arial" w:cs="Arial" w:eastAsia="Arial" w:hAnsi="Arial"/>
          <w:sz w:val="16"/>
          <w:szCs w:val="16"/>
          <w:color w:val="FFFFFF"/>
        </w:rPr>
        <w:t>Frome, United Kingdom</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Employees:  </w:t>
      </w:r>
      <w:r>
        <w:rPr>
          <w:rFonts w:ascii="Arial" w:cs="Arial" w:eastAsia="Arial" w:hAnsi="Arial"/>
          <w:sz w:val="16"/>
          <w:szCs w:val="16"/>
          <w:color w:val="FFFFFF"/>
        </w:rPr>
        <w:t>21</w:t>
      </w:r>
    </w:p>
    <w:p>
      <w:pPr>
        <w:spacing w:after="0" w:line="216" w:lineRule="exact"/>
        <w:rPr>
          <w:sz w:val="20"/>
          <w:szCs w:val="20"/>
          <w:color w:val="auto"/>
        </w:rPr>
      </w:pPr>
    </w:p>
    <w:p>
      <w:pPr>
        <w:ind w:right="7320"/>
        <w:spacing w:after="0" w:line="370" w:lineRule="auto"/>
        <w:rPr>
          <w:sz w:val="20"/>
          <w:szCs w:val="20"/>
          <w:color w:val="auto"/>
        </w:rPr>
      </w:pPr>
      <w:r>
        <w:rPr>
          <w:rFonts w:ascii="Arial" w:cs="Arial" w:eastAsia="Arial" w:hAnsi="Arial"/>
          <w:sz w:val="16"/>
          <w:szCs w:val="16"/>
          <w:b w:val="1"/>
          <w:bCs w:val="1"/>
          <w:color w:val="FFFFFF"/>
        </w:rPr>
        <w:t xml:space="preserve">Products: </w:t>
      </w:r>
      <w:r>
        <w:rPr>
          <w:rFonts w:ascii="Arial" w:cs="Arial" w:eastAsia="Arial" w:hAnsi="Arial"/>
          <w:sz w:val="16"/>
          <w:szCs w:val="16"/>
          <w:color w:val="FFFFFF"/>
        </w:rPr>
        <w:t>Dust Collectors, Variable Air</w:t>
      </w:r>
      <w:r>
        <w:rPr>
          <w:rFonts w:ascii="Arial" w:cs="Arial" w:eastAsia="Arial" w:hAnsi="Arial"/>
          <w:sz w:val="16"/>
          <w:szCs w:val="16"/>
          <w:b w:val="1"/>
          <w:bCs w:val="1"/>
          <w:color w:val="FFFFFF"/>
        </w:rPr>
        <w:t xml:space="preserve"> </w:t>
      </w:r>
      <w:r>
        <w:rPr>
          <w:rFonts w:ascii="Arial" w:cs="Arial" w:eastAsia="Arial" w:hAnsi="Arial"/>
          <w:sz w:val="16"/>
          <w:szCs w:val="16"/>
          <w:color w:val="FFFFFF"/>
        </w:rPr>
        <w:t>Volume Controls</w:t>
      </w:r>
    </w:p>
    <w:p>
      <w:pPr>
        <w:spacing w:after="0" w:line="53" w:lineRule="exact"/>
        <w:rPr>
          <w:sz w:val="20"/>
          <w:szCs w:val="20"/>
          <w:color w:val="auto"/>
        </w:rPr>
      </w:pPr>
    </w:p>
    <w:p>
      <w:pPr>
        <w:ind w:right="7980"/>
        <w:spacing w:after="0" w:line="370" w:lineRule="auto"/>
        <w:rPr>
          <w:sz w:val="20"/>
          <w:szCs w:val="20"/>
          <w:color w:val="auto"/>
        </w:rPr>
      </w:pPr>
      <w:r>
        <w:rPr>
          <w:rFonts w:ascii="Arial" w:cs="Arial" w:eastAsia="Arial" w:hAnsi="Arial"/>
          <w:sz w:val="16"/>
          <w:szCs w:val="16"/>
          <w:b w:val="1"/>
          <w:bCs w:val="1"/>
          <w:color w:val="FFFFFF"/>
        </w:rPr>
        <w:t xml:space="preserve">End Markets: </w:t>
      </w:r>
      <w:r>
        <w:rPr>
          <w:rFonts w:ascii="Arial" w:cs="Arial" w:eastAsia="Arial" w:hAnsi="Arial"/>
          <w:sz w:val="16"/>
          <w:szCs w:val="16"/>
          <w:color w:val="FFFFFF"/>
        </w:rPr>
        <w:t>Manufacturing,</w:t>
      </w:r>
      <w:r>
        <w:rPr>
          <w:rFonts w:ascii="Arial" w:cs="Arial" w:eastAsia="Arial" w:hAnsi="Arial"/>
          <w:sz w:val="16"/>
          <w:szCs w:val="16"/>
          <w:b w:val="1"/>
          <w:bCs w:val="1"/>
          <w:color w:val="FFFFFF"/>
        </w:rPr>
        <w:t xml:space="preserve"> </w:t>
      </w:r>
      <w:r>
        <w:rPr>
          <w:rFonts w:ascii="Arial" w:cs="Arial" w:eastAsia="Arial" w:hAnsi="Arial"/>
          <w:sz w:val="16"/>
          <w:szCs w:val="16"/>
          <w:color w:val="FFFFFF"/>
        </w:rPr>
        <w:t>Woodworking, Machining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460375</wp:posOffset>
            </wp:positionV>
            <wp:extent cx="6743700" cy="2842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extLst>
                    </a:blip>
                    <a:srcRect/>
                    <a:stretch>
                      <a:fillRect/>
                    </a:stretch>
                  </pic:blipFill>
                  <pic:spPr bwMode="auto">
                    <a:xfrm>
                      <a:off x="0" y="0"/>
                      <a:ext cx="6743700" cy="284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DS21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Date Closed: </w:t>
      </w:r>
      <w:r>
        <w:rPr>
          <w:rFonts w:ascii="Arial" w:cs="Arial" w:eastAsia="Arial" w:hAnsi="Arial"/>
          <w:sz w:val="16"/>
          <w:szCs w:val="16"/>
          <w:color w:val="FFFFFF"/>
        </w:rPr>
        <w:t>September</w:t>
      </w:r>
    </w:p>
    <w:p>
      <w:pPr>
        <w:spacing w:after="0" w:line="87" w:lineRule="exact"/>
        <w:rPr>
          <w:sz w:val="20"/>
          <w:szCs w:val="20"/>
          <w:color w:val="auto"/>
        </w:rPr>
      </w:pPr>
    </w:p>
    <w:p>
      <w:pPr>
        <w:jc w:val="right"/>
        <w:ind w:right="1520"/>
        <w:spacing w:after="0"/>
        <w:tabs>
          <w:tab w:leader="none" w:pos="1620" w:val="left"/>
        </w:tabs>
        <w:rPr>
          <w:sz w:val="20"/>
          <w:szCs w:val="20"/>
          <w:color w:val="auto"/>
        </w:rPr>
      </w:pPr>
      <w:r>
        <w:rPr>
          <w:rFonts w:ascii="Arial" w:cs="Arial" w:eastAsia="Arial" w:hAnsi="Arial"/>
          <w:sz w:val="13"/>
          <w:szCs w:val="13"/>
          <w:color w:val="262626"/>
        </w:rPr>
        <w:t>CPI Separator</w:t>
      </w:r>
      <w:r>
        <w:rPr>
          <w:sz w:val="20"/>
          <w:szCs w:val="20"/>
          <w:color w:val="auto"/>
        </w:rPr>
        <w:tab/>
      </w:r>
      <w:r>
        <w:rPr>
          <w:rFonts w:ascii="Arial" w:cs="Arial" w:eastAsia="Arial" w:hAnsi="Arial"/>
          <w:sz w:val="12"/>
          <w:szCs w:val="12"/>
          <w:color w:val="262626"/>
        </w:rPr>
        <w:t>Storm Water Treatment Skid</w:t>
      </w:r>
    </w:p>
    <w:p>
      <w:pPr>
        <w:spacing w:after="0"/>
        <w:rPr>
          <w:sz w:val="20"/>
          <w:szCs w:val="20"/>
          <w:color w:val="auto"/>
        </w:rPr>
      </w:pPr>
      <w:r>
        <w:rPr>
          <w:rFonts w:ascii="Arial" w:cs="Arial" w:eastAsia="Arial" w:hAnsi="Arial"/>
          <w:sz w:val="16"/>
          <w:szCs w:val="16"/>
          <w:b w:val="1"/>
          <w:bCs w:val="1"/>
          <w:color w:val="FFFFFF"/>
        </w:rPr>
        <w:t xml:space="preserve">Location: </w:t>
      </w:r>
      <w:r>
        <w:rPr>
          <w:rFonts w:ascii="Arial" w:cs="Arial" w:eastAsia="Arial" w:hAnsi="Arial"/>
          <w:sz w:val="16"/>
          <w:szCs w:val="16"/>
          <w:color w:val="FFFFFF"/>
        </w:rPr>
        <w:t>Incheon, Korea</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xml:space="preserve">Employees:  </w:t>
      </w:r>
      <w:r>
        <w:rPr>
          <w:rFonts w:ascii="Arial" w:cs="Arial" w:eastAsia="Arial" w:hAnsi="Arial"/>
          <w:sz w:val="16"/>
          <w:szCs w:val="16"/>
          <w:color w:val="FFFFFF"/>
        </w:rPr>
        <w:t>27</w:t>
      </w:r>
    </w:p>
    <w:p>
      <w:pPr>
        <w:spacing w:after="0" w:line="216" w:lineRule="exact"/>
        <w:rPr>
          <w:sz w:val="20"/>
          <w:szCs w:val="20"/>
          <w:color w:val="auto"/>
        </w:rPr>
      </w:pPr>
    </w:p>
    <w:p>
      <w:pPr>
        <w:ind w:right="7800"/>
        <w:spacing w:after="0" w:line="411" w:lineRule="auto"/>
        <w:rPr>
          <w:sz w:val="20"/>
          <w:szCs w:val="20"/>
          <w:color w:val="auto"/>
        </w:rPr>
      </w:pPr>
      <w:r>
        <w:rPr>
          <w:rFonts w:ascii="Arial" w:cs="Arial" w:eastAsia="Arial" w:hAnsi="Arial"/>
          <w:sz w:val="15"/>
          <w:szCs w:val="15"/>
          <w:b w:val="1"/>
          <w:bCs w:val="1"/>
          <w:color w:val="FFFFFF"/>
        </w:rPr>
        <w:t xml:space="preserve">Products: </w:t>
      </w:r>
      <w:r>
        <w:rPr>
          <w:rFonts w:ascii="Arial" w:cs="Arial" w:eastAsia="Arial" w:hAnsi="Arial"/>
          <w:sz w:val="15"/>
          <w:szCs w:val="15"/>
          <w:color w:val="FFFFFF"/>
        </w:rPr>
        <w:t>Industrial Water and</w:t>
      </w:r>
      <w:r>
        <w:rPr>
          <w:rFonts w:ascii="Arial" w:cs="Arial" w:eastAsia="Arial" w:hAnsi="Arial"/>
          <w:sz w:val="15"/>
          <w:szCs w:val="15"/>
          <w:b w:val="1"/>
          <w:bCs w:val="1"/>
          <w:color w:val="FFFFFF"/>
        </w:rPr>
        <w:t xml:space="preserve"> </w:t>
      </w:r>
      <w:r>
        <w:rPr>
          <w:rFonts w:ascii="Arial" w:cs="Arial" w:eastAsia="Arial" w:hAnsi="Arial"/>
          <w:sz w:val="15"/>
          <w:szCs w:val="15"/>
          <w:color w:val="FFFFFF"/>
        </w:rPr>
        <w:t>Wastewater Treatment Solutions</w:t>
      </w:r>
    </w:p>
    <w:p>
      <w:pPr>
        <w:spacing w:after="0" w:line="29" w:lineRule="exact"/>
        <w:rPr>
          <w:sz w:val="20"/>
          <w:szCs w:val="20"/>
          <w:color w:val="auto"/>
        </w:rPr>
      </w:pPr>
    </w:p>
    <w:p>
      <w:pPr>
        <w:ind w:right="7160"/>
        <w:spacing w:after="0" w:line="340" w:lineRule="auto"/>
        <w:rPr>
          <w:sz w:val="20"/>
          <w:szCs w:val="20"/>
          <w:color w:val="auto"/>
        </w:rPr>
      </w:pPr>
      <w:r>
        <w:rPr>
          <w:rFonts w:ascii="Arial" w:cs="Arial" w:eastAsia="Arial" w:hAnsi="Arial"/>
          <w:sz w:val="15"/>
          <w:szCs w:val="15"/>
          <w:b w:val="1"/>
          <w:bCs w:val="1"/>
          <w:color w:val="FFFFFF"/>
        </w:rPr>
        <w:t xml:space="preserve">End Markets: </w:t>
      </w:r>
      <w:r>
        <w:rPr>
          <w:rFonts w:ascii="Arial" w:cs="Arial" w:eastAsia="Arial" w:hAnsi="Arial"/>
          <w:sz w:val="15"/>
          <w:szCs w:val="15"/>
          <w:color w:val="FFFFFF"/>
        </w:rPr>
        <w:t>Hydrogen Production,</w:t>
      </w:r>
      <w:r>
        <w:rPr>
          <w:rFonts w:ascii="Arial" w:cs="Arial" w:eastAsia="Arial" w:hAnsi="Arial"/>
          <w:sz w:val="15"/>
          <w:szCs w:val="15"/>
          <w:b w:val="1"/>
          <w:bCs w:val="1"/>
          <w:color w:val="FFFFFF"/>
        </w:rPr>
        <w:t xml:space="preserve"> </w:t>
      </w:r>
      <w:r>
        <w:rPr>
          <w:rFonts w:ascii="Arial" w:cs="Arial" w:eastAsia="Arial" w:hAnsi="Arial"/>
          <w:sz w:val="15"/>
          <w:szCs w:val="15"/>
          <w:color w:val="FFFFFF"/>
        </w:rPr>
        <w:t>Semiconductor and Electronics, Produced Water, Hydrocarbon &amp; Chemical</w:t>
      </w:r>
    </w:p>
    <w:p>
      <w:pPr>
        <w:spacing w:after="0" w:line="1" w:lineRule="exact"/>
        <w:rPr>
          <w:sz w:val="20"/>
          <w:szCs w:val="20"/>
          <w:color w:val="auto"/>
        </w:rPr>
      </w:pPr>
    </w:p>
    <w:p>
      <w:pPr>
        <w:ind w:left="3440"/>
        <w:spacing w:after="0"/>
        <w:tabs>
          <w:tab w:leader="none" w:pos="6940" w:val="left"/>
        </w:tabs>
        <w:rPr>
          <w:sz w:val="20"/>
          <w:szCs w:val="20"/>
          <w:color w:val="auto"/>
        </w:rPr>
      </w:pPr>
      <w:r>
        <w:rPr>
          <w:rFonts w:ascii="Arial" w:cs="Arial" w:eastAsia="Arial" w:hAnsi="Arial"/>
          <w:sz w:val="13"/>
          <w:szCs w:val="13"/>
          <w:color w:val="262626"/>
        </w:rPr>
        <w:t>CPI Serparator for MOE Project in Iraq, Dec. 20, 2011</w:t>
      </w:r>
      <w:r>
        <w:rPr>
          <w:sz w:val="20"/>
          <w:szCs w:val="20"/>
          <w:color w:val="auto"/>
        </w:rPr>
        <w:tab/>
      </w:r>
      <w:r>
        <w:rPr>
          <w:rFonts w:ascii="Arial" w:cs="Arial" w:eastAsia="Arial" w:hAnsi="Arial"/>
          <w:sz w:val="14"/>
          <w:szCs w:val="14"/>
          <w:color w:val="262626"/>
        </w:rPr>
        <w:t>Activated Carbon Filter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441325</wp:posOffset>
            </wp:positionV>
            <wp:extent cx="7543800" cy="2955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7543800" cy="2955290"/>
                    </a:xfrm>
                    <a:prstGeom prst="rect">
                      <a:avLst/>
                    </a:prstGeom>
                    <a:noFill/>
                  </pic:spPr>
                </pic:pic>
              </a:graphicData>
            </a:graphic>
          </wp:anchor>
        </w:drawing>
      </w:r>
    </w:p>
    <w:p>
      <w:pPr>
        <w:sectPr>
          <w:pgSz w:w="12240" w:h="15840" w:orient="portrait"/>
          <w:cols w:equalWidth="0" w:num="1">
            <w:col w:w="10120"/>
          </w:cols>
          <w:pgMar w:left="1220" w:top="1440" w:right="900" w:bottom="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260"/>
        <w:spacing w:after="0"/>
        <w:tabs>
          <w:tab w:leader="none" w:pos="1000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7</w:t>
      </w:r>
    </w:p>
    <w:p>
      <w:pPr>
        <w:sectPr>
          <w:pgSz w:w="12240" w:h="15840" w:orient="portrait"/>
          <w:cols w:equalWidth="0" w:num="1">
            <w:col w:w="10120"/>
          </w:cols>
          <w:pgMar w:left="1220" w:top="1440" w:right="900" w:bottom="76" w:gutter="0" w:footer="0" w:header="0"/>
          <w:type w:val="continuous"/>
        </w:sectPr>
      </w:pPr>
    </w:p>
    <w:bookmarkStart w:id="9" w:name="page10"/>
    <w:bookmarkEnd w:id="9"/>
    <w:p>
      <w:pPr>
        <w:spacing w:after="0"/>
        <w:rPr>
          <w:sz w:val="20"/>
          <w:szCs w:val="20"/>
          <w:color w:val="auto"/>
        </w:rPr>
      </w:pPr>
      <w:r>
        <w:rPr>
          <w:sz w:val="1"/>
          <w:szCs w:val="1"/>
          <w:color w:val="auto"/>
        </w:rPr>
        <w:drawing>
          <wp:inline distT="0" distB="0" distL="0" distR="0">
            <wp:extent cx="334010" cy="33845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334010" cy="338455"/>
                    </a:xfrm>
                    <a:prstGeom prst="rect">
                      <a:avLst/>
                    </a:prstGeom>
                    <a:noFill/>
                    <a:ln>
                      <a:noFill/>
                    </a:ln>
                  </pic:spPr>
                </pic:pic>
              </a:graphicData>
            </a:graphic>
          </wp:inline>
        </w:drawing>
      </w:r>
      <w:r>
        <w:rPr>
          <w:rFonts w:ascii="Arial" w:cs="Arial" w:eastAsia="Arial" w:hAnsi="Arial"/>
          <w:sz w:val="39"/>
          <w:szCs w:val="39"/>
          <w:b w:val="1"/>
          <w:bCs w:val="1"/>
          <w:color w:val="273D86"/>
        </w:rPr>
        <w:t xml:space="preserve"> Human Capital, Talent, Culture and Growth</w:t>
      </w:r>
    </w:p>
    <w:p>
      <w:pPr>
        <w:sectPr>
          <w:pgSz w:w="12240" w:h="15840" w:orient="portrait"/>
          <w:cols w:equalWidth="0" w:num="1">
            <w:col w:w="10420"/>
          </w:cols>
          <w:pgMar w:left="880" w:top="825" w:right="940" w:bottom="217" w:gutter="0" w:footer="0" w:header="0"/>
        </w:sectPr>
      </w:pPr>
    </w:p>
    <w:p>
      <w:pPr>
        <w:spacing w:after="0" w:line="200" w:lineRule="exact"/>
        <w:rPr>
          <w:sz w:val="20"/>
          <w:szCs w:val="20"/>
          <w:color w:val="auto"/>
        </w:rPr>
      </w:pPr>
    </w:p>
    <w:p>
      <w:pPr>
        <w:spacing w:after="0" w:line="315" w:lineRule="exact"/>
        <w:rPr>
          <w:sz w:val="20"/>
          <w:szCs w:val="20"/>
          <w:color w:val="auto"/>
        </w:rPr>
      </w:pPr>
    </w:p>
    <w:p>
      <w:pPr>
        <w:ind w:left="20"/>
        <w:spacing w:after="0" w:line="224" w:lineRule="exact"/>
        <w:rPr>
          <w:sz w:val="20"/>
          <w:szCs w:val="20"/>
          <w:color w:val="auto"/>
        </w:rPr>
      </w:pPr>
      <w:r>
        <w:rPr>
          <w:rFonts w:ascii="Arial" w:cs="Arial" w:eastAsia="Arial" w:hAnsi="Arial"/>
          <w:sz w:val="16"/>
          <w:szCs w:val="16"/>
          <w:color w:val="262626"/>
        </w:rPr>
        <w:t>(Z</w:t>
      </w:r>
      <w:r>
        <w:rPr>
          <w:rFonts w:ascii="PMingLiU" w:cs="PMingLiU" w:eastAsia="PMingLiU" w:hAnsi="PMingLiU"/>
          <w:sz w:val="16"/>
          <w:szCs w:val="16"/>
          <w:color w:val="262626"/>
        </w:rPr>
        <w:t/>
      </w:r>
      <w:r>
        <w:rPr>
          <w:rFonts w:ascii="Arial" w:cs="Arial" w:eastAsia="Arial" w:hAnsi="Arial"/>
          <w:sz w:val="16"/>
          <w:szCs w:val="16"/>
          <w:color w:val="262626"/>
        </w:rPr>
        <w:t>H</w:t>
      </w:r>
      <w:r>
        <w:rPr>
          <w:rFonts w:ascii="PMingLiU" w:cs="PMingLiU" w:eastAsia="PMingLiU" w:hAnsi="PMingLiU"/>
          <w:sz w:val="16"/>
          <w:szCs w:val="16"/>
          <w:color w:val="262626"/>
        </w:rPr>
        <w:t/>
      </w:r>
      <w:r>
        <w:rPr>
          <w:rFonts w:ascii="Arial" w:cs="Arial" w:eastAsia="Arial" w:hAnsi="Arial"/>
          <w:sz w:val="16"/>
          <w:szCs w:val="16"/>
          <w:color w:val="262626"/>
        </w:rPr>
        <w:t>NSVIHS</w:t>
      </w:r>
      <w:r>
        <w:rPr>
          <w:rFonts w:ascii="PMingLiU" w:cs="PMingLiU" w:eastAsia="PMingLiU" w:hAnsi="PMingLiU"/>
          <w:sz w:val="16"/>
          <w:szCs w:val="16"/>
          <w:color w:val="262626"/>
        </w:rPr>
        <w:t/>
      </w:r>
      <w:r>
        <w:rPr>
          <w:rFonts w:ascii="Arial" w:cs="Arial" w:eastAsia="Arial" w:hAnsi="Arial"/>
          <w:sz w:val="16"/>
          <w:szCs w:val="16"/>
          <w:color w:val="262626"/>
        </w:rPr>
        <w:t>KP]LYZPÄ</w:t>
      </w:r>
      <w:r>
        <w:rPr>
          <w:rFonts w:ascii="PMingLiU" w:cs="PMingLiU" w:eastAsia="PMingLiU" w:hAnsi="PMingLiU"/>
          <w:sz w:val="16"/>
          <w:szCs w:val="16"/>
          <w:color w:val="262626"/>
        </w:rPr>
        <w:t/>
      </w:r>
      <w:r>
        <w:rPr>
          <w:rFonts w:ascii="Arial" w:cs="Arial" w:eastAsia="Arial" w:hAnsi="Arial"/>
          <w:sz w:val="16"/>
          <w:szCs w:val="16"/>
          <w:color w:val="262626"/>
        </w:rPr>
        <w:t>LK</w:t>
      </w:r>
      <w:r>
        <w:rPr>
          <w:rFonts w:ascii="PMingLiU" w:cs="PMingLiU" w:eastAsia="PMingLiU" w:hAnsi="PMingLiU"/>
          <w:sz w:val="16"/>
          <w:szCs w:val="16"/>
          <w:color w:val="262626"/>
        </w:rPr>
        <w:t/>
      </w:r>
      <w:r>
        <w:rPr>
          <w:rFonts w:ascii="Arial" w:cs="Arial" w:eastAsia="Arial" w:hAnsi="Arial"/>
          <w:sz w:val="16"/>
          <w:szCs w:val="16"/>
          <w:color w:val="262626"/>
        </w:rPr>
        <w:t>LU]PYVUTLU[HS</w:t>
      </w:r>
      <w:r>
        <w:rPr>
          <w:rFonts w:ascii="PMingLiU" w:cs="PMingLiU" w:eastAsia="PMingLiU" w:hAnsi="PMingLiU"/>
          <w:sz w:val="16"/>
          <w:szCs w:val="16"/>
          <w:color w:val="262626"/>
        </w:rPr>
        <w:t/>
      </w:r>
      <w:r>
        <w:rPr>
          <w:rFonts w:ascii="Arial" w:cs="Arial" w:eastAsia="Arial" w:hAnsi="Arial"/>
          <w:sz w:val="16"/>
          <w:szCs w:val="16"/>
          <w:color w:val="262626"/>
        </w:rPr>
        <w:t xml:space="preserve"> company, we recognize that having a diverse team of employees helps make us innovative, collaborative and a great place to work. In the last year, CECO has expanded its global footprint to nine countries, and we now have approximately 1,000 employees in our organization.</w:t>
      </w:r>
    </w:p>
    <w:p>
      <w:pPr>
        <w:spacing w:after="0" w:line="156" w:lineRule="exact"/>
        <w:rPr>
          <w:sz w:val="20"/>
          <w:szCs w:val="20"/>
          <w:color w:val="auto"/>
        </w:rPr>
      </w:pPr>
    </w:p>
    <w:p>
      <w:pPr>
        <w:ind w:left="20" w:right="40"/>
        <w:spacing w:after="0" w:line="223" w:lineRule="exact"/>
        <w:rPr>
          <w:sz w:val="20"/>
          <w:szCs w:val="20"/>
          <w:color w:val="auto"/>
        </w:rPr>
      </w:pPr>
      <w:r>
        <w:rPr>
          <w:rFonts w:ascii="Arial" w:cs="Arial" w:eastAsia="Arial" w:hAnsi="Arial"/>
          <w:sz w:val="16"/>
          <w:szCs w:val="16"/>
          <w:color w:val="262626"/>
        </w:rPr>
        <w:t>&gt;P[O</w:t>
      </w:r>
      <w:r>
        <w:rPr>
          <w:rFonts w:ascii="PMingLiU" w:cs="PMingLiU" w:eastAsia="PMingLiU" w:hAnsi="PMingLiU"/>
          <w:sz w:val="16"/>
          <w:szCs w:val="16"/>
          <w:color w:val="262626"/>
        </w:rPr>
        <w:t/>
      </w:r>
      <w:r>
        <w:rPr>
          <w:rFonts w:ascii="Arial" w:cs="Arial" w:eastAsia="Arial" w:hAnsi="Arial"/>
          <w:sz w:val="16"/>
          <w:szCs w:val="16"/>
          <w:color w:val="262626"/>
        </w:rPr>
        <w:t>Vɉ</w:t>
      </w:r>
      <w:r>
        <w:rPr>
          <w:rFonts w:ascii="PMingLiU" w:cs="PMingLiU" w:eastAsia="PMingLiU" w:hAnsi="PMingLiU"/>
          <w:sz w:val="16"/>
          <w:szCs w:val="16"/>
          <w:color w:val="262626"/>
        </w:rPr>
        <w:t/>
      </w:r>
      <w:r>
        <w:rPr>
          <w:rFonts w:ascii="Arial" w:cs="Arial" w:eastAsia="Arial" w:hAnsi="Arial"/>
          <w:sz w:val="16"/>
          <w:szCs w:val="16"/>
          <w:color w:val="262626"/>
        </w:rPr>
        <w:t>JLZ</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THU\MHJ[\YPUN</w:t>
      </w:r>
      <w:r>
        <w:rPr>
          <w:rFonts w:ascii="PMingLiU" w:cs="PMingLiU" w:eastAsia="PMingLiU" w:hAnsi="PMingLiU"/>
          <w:sz w:val="16"/>
          <w:szCs w:val="16"/>
          <w:color w:val="262626"/>
        </w:rPr>
        <w:t/>
      </w:r>
      <w:r>
        <w:rPr>
          <w:rFonts w:ascii="Arial" w:cs="Arial" w:eastAsia="Arial" w:hAnsi="Arial"/>
          <w:sz w:val="16"/>
          <w:szCs w:val="16"/>
          <w:color w:val="262626"/>
        </w:rPr>
        <w:t>WSHU[Z</w:t>
      </w:r>
      <w:r>
        <w:rPr>
          <w:rFonts w:ascii="PMingLiU" w:cs="PMingLiU" w:eastAsia="PMingLiU" w:hAnsi="PMingLiU"/>
          <w:sz w:val="16"/>
          <w:szCs w:val="16"/>
          <w:color w:val="262626"/>
        </w:rPr>
        <w:t/>
      </w:r>
      <w:r>
        <w:rPr>
          <w:rFonts w:ascii="Arial" w:cs="Arial" w:eastAsia="Arial" w:hAnsi="Arial"/>
          <w:sz w:val="16"/>
          <w:szCs w:val="16"/>
          <w:color w:val="262626"/>
        </w:rPr>
        <w:t xml:space="preserve"> around the world, we have a well-connected network that is global in nature yet respects local culture. From our headquarters in +HSSHZ</w:t>
      </w:r>
      <w:r>
        <w:rPr>
          <w:rFonts w:ascii="PMingLiU" w:cs="PMingLiU" w:eastAsia="PMingLiU" w:hAnsi="PMingLiU"/>
          <w:sz w:val="16"/>
          <w:szCs w:val="16"/>
          <w:color w:val="262626"/>
        </w:rPr>
        <w:t/>
      </w:r>
      <w:r>
        <w:rPr>
          <w:rFonts w:ascii="Arial" w:cs="Arial" w:eastAsia="Arial" w:hAnsi="Arial"/>
          <w:sz w:val="16"/>
          <w:szCs w:val="16"/>
          <w:color w:val="262626"/>
        </w:rPr>
        <w:t>;L_HZ</w:t>
      </w:r>
      <w:r>
        <w:rPr>
          <w:rFonts w:ascii="PMingLiU" w:cs="PMingLiU" w:eastAsia="PMingLiU" w:hAnsi="PMingLiU"/>
          <w:sz w:val="16"/>
          <w:szCs w:val="16"/>
          <w:color w:val="262626"/>
        </w:rPr>
        <w:t/>
      </w:r>
      <w:r>
        <w:rPr>
          <w:rFonts w:ascii="Arial" w:cs="Arial" w:eastAsia="Arial" w:hAnsi="Arial"/>
          <w:sz w:val="16"/>
          <w:szCs w:val="16"/>
          <w:color w:val="262626"/>
        </w:rPr>
        <w:t>[V</w:t>
      </w:r>
      <w:r>
        <w:rPr>
          <w:rFonts w:ascii="PMingLiU" w:cs="PMingLiU" w:eastAsia="PMingLiU" w:hAnsi="PMingLiU"/>
          <w:sz w:val="16"/>
          <w:szCs w:val="16"/>
          <w:color w:val="262626"/>
        </w:rPr>
        <w:t/>
      </w:r>
      <w:r>
        <w:rPr>
          <w:rFonts w:ascii="Arial" w:cs="Arial" w:eastAsia="Arial" w:hAnsi="Arial"/>
          <w:sz w:val="16"/>
          <w:szCs w:val="16"/>
          <w:color w:val="262626"/>
        </w:rPr>
        <w:t xml:space="preserve"> V\Y</w:t>
      </w:r>
      <w:r>
        <w:rPr>
          <w:rFonts w:ascii="PMingLiU" w:cs="PMingLiU" w:eastAsia="PMingLiU" w:hAnsi="PMingLiU"/>
          <w:sz w:val="16"/>
          <w:szCs w:val="16"/>
          <w:color w:val="262626"/>
        </w:rPr>
        <w:t/>
      </w:r>
      <w:r>
        <w:rPr>
          <w:rFonts w:ascii="Arial" w:cs="Arial" w:eastAsia="Arial" w:hAnsi="Arial"/>
          <w:sz w:val="16"/>
          <w:szCs w:val="16"/>
          <w:color w:val="262626"/>
        </w:rPr>
        <w:t>YLNPVUHS</w:t>
      </w:r>
      <w:r>
        <w:rPr>
          <w:rFonts w:ascii="PMingLiU" w:cs="PMingLiU" w:eastAsia="PMingLiU" w:hAnsi="PMingLiU"/>
          <w:sz w:val="16"/>
          <w:szCs w:val="16"/>
          <w:color w:val="262626"/>
        </w:rPr>
        <w:t/>
      </w:r>
      <w:r>
        <w:rPr>
          <w:rFonts w:ascii="Arial" w:cs="Arial" w:eastAsia="Arial" w:hAnsi="Arial"/>
          <w:sz w:val="16"/>
          <w:szCs w:val="16"/>
          <w:color w:val="262626"/>
        </w:rPr>
        <w:t>Vɉ</w:t>
      </w:r>
      <w:r>
        <w:rPr>
          <w:rFonts w:ascii="PMingLiU" w:cs="PMingLiU" w:eastAsia="PMingLiU" w:hAnsi="PMingLiU"/>
          <w:sz w:val="16"/>
          <w:szCs w:val="16"/>
          <w:color w:val="262626"/>
        </w:rPr>
        <w:t/>
      </w:r>
      <w:r>
        <w:rPr>
          <w:rFonts w:ascii="Arial" w:cs="Arial" w:eastAsia="Arial" w:hAnsi="Arial"/>
          <w:sz w:val="16"/>
          <w:szCs w:val="16"/>
          <w:color w:val="262626"/>
        </w:rPr>
        <w:t>JLZ</w:t>
      </w:r>
      <w:r>
        <w:rPr>
          <w:rFonts w:ascii="PMingLiU" w:cs="PMingLiU" w:eastAsia="PMingLiU" w:hAnsi="PMingLiU"/>
          <w:sz w:val="16"/>
          <w:szCs w:val="16"/>
          <w:color w:val="262626"/>
        </w:rPr>
        <w:t/>
      </w:r>
      <w:r>
        <w:rPr>
          <w:rFonts w:ascii="Arial" w:cs="Arial" w:eastAsia="Arial" w:hAnsi="Arial"/>
          <w:sz w:val="16"/>
          <w:szCs w:val="16"/>
          <w:color w:val="262626"/>
        </w:rPr>
        <w:t xml:space="preserve"> PU</w:t>
      </w:r>
      <w:r>
        <w:rPr>
          <w:rFonts w:ascii="PMingLiU" w:cs="PMingLiU" w:eastAsia="PMingLiU" w:hAnsi="PMingLiU"/>
          <w:sz w:val="16"/>
          <w:szCs w:val="16"/>
          <w:color w:val="262626"/>
        </w:rPr>
        <w:t/>
      </w:r>
      <w:r>
        <w:rPr>
          <w:rFonts w:ascii="Arial" w:cs="Arial" w:eastAsia="Arial" w:hAnsi="Arial"/>
          <w:sz w:val="16"/>
          <w:szCs w:val="16"/>
          <w:color w:val="262626"/>
        </w:rPr>
        <w:t xml:space="preserve"> the Netherlands, India and Dubai, to our manufacturing facilities like Guangzhou and Telford, Pennsylvania, we embrace diversity, encourage collaboration and respect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575945</wp:posOffset>
            </wp:positionV>
            <wp:extent cx="4069080" cy="5481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9">
                      <a:extLst>
                        <a:ext uri="{28A0092B-C50C-407E-A947-70E740481C1C}"/>
                      </a:extLst>
                    </a:blip>
                    <a:srcRect/>
                    <a:stretch>
                      <a:fillRect/>
                    </a:stretch>
                  </pic:blipFill>
                  <pic:spPr bwMode="auto">
                    <a:xfrm>
                      <a:off x="0" y="0"/>
                      <a:ext cx="4069080" cy="5481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293" w:lineRule="auto"/>
        <w:rPr>
          <w:sz w:val="20"/>
          <w:szCs w:val="20"/>
          <w:color w:val="auto"/>
        </w:rPr>
      </w:pPr>
      <w:r>
        <w:rPr>
          <w:rFonts w:ascii="Arial" w:cs="Arial" w:eastAsia="Arial" w:hAnsi="Arial"/>
          <w:sz w:val="16"/>
          <w:szCs w:val="16"/>
          <w:color w:val="262626"/>
        </w:rPr>
        <w:t>To continually grow as a company and drive innovation and operational excellence, we strive to identify, attract, retain and motivate world-class talent. We believe that CECO is only as good as its people, which inspires us to invest in our employees and help them succeed in their careers. Our goal is to enable our global talent — at every level — to achieve its full potential. Our teams grow, lead and innovate through opportunities to develop and expand their skills and expertise while achieving their career goals. We believe that investing in our employees today helps us excel as an organization in the future.</w:t>
      </w:r>
    </w:p>
    <w:p>
      <w:pPr>
        <w:spacing w:after="0" w:line="115" w:lineRule="exact"/>
        <w:rPr>
          <w:sz w:val="20"/>
          <w:szCs w:val="20"/>
          <w:color w:val="auto"/>
        </w:rPr>
      </w:pPr>
    </w:p>
    <w:p>
      <w:pPr>
        <w:ind w:right="20"/>
        <w:spacing w:after="0" w:line="227" w:lineRule="exact"/>
        <w:rPr>
          <w:sz w:val="20"/>
          <w:szCs w:val="20"/>
          <w:color w:val="auto"/>
        </w:rPr>
      </w:pPr>
      <w:r>
        <w:rPr>
          <w:rFonts w:ascii="Arial" w:cs="Arial" w:eastAsia="Arial" w:hAnsi="Arial"/>
          <w:sz w:val="16"/>
          <w:szCs w:val="16"/>
          <w:color w:val="262626"/>
        </w:rPr>
        <w:t>We recognize and reward success, and strive to make CECO a great place to work. As part VM</w:t>
      </w:r>
      <w:r>
        <w:rPr>
          <w:rFonts w:ascii="PMingLiU" w:cs="PMingLiU" w:eastAsia="PMingLiU" w:hAnsi="PMingLiU"/>
          <w:sz w:val="16"/>
          <w:szCs w:val="16"/>
          <w:color w:val="262626"/>
        </w:rPr>
        <w:t/>
      </w:r>
      <w:r>
        <w:rPr>
          <w:rFonts w:ascii="Arial" w:cs="Arial" w:eastAsia="Arial" w:hAnsi="Arial"/>
          <w:sz w:val="16"/>
          <w:szCs w:val="16"/>
          <w:color w:val="262626"/>
        </w:rPr>
        <w:t>V\Y</w:t>
      </w:r>
      <w:r>
        <w:rPr>
          <w:rFonts w:ascii="PMingLiU" w:cs="PMingLiU" w:eastAsia="PMingLiU" w:hAnsi="PMingLiU"/>
          <w:sz w:val="16"/>
          <w:szCs w:val="16"/>
          <w:color w:val="262626"/>
        </w:rPr>
        <w:t/>
      </w:r>
      <w:r>
        <w:rPr>
          <w:rFonts w:ascii="Arial" w:cs="Arial" w:eastAsia="Arial" w:hAnsi="Arial"/>
          <w:sz w:val="16"/>
          <w:szCs w:val="16"/>
          <w:color w:val="262626"/>
        </w:rPr>
        <w:t>LɈ</w:t>
      </w:r>
      <w:r>
        <w:rPr>
          <w:rFonts w:ascii="PMingLiU" w:cs="PMingLiU" w:eastAsia="PMingLiU" w:hAnsi="PMingLiU"/>
          <w:sz w:val="16"/>
          <w:szCs w:val="16"/>
          <w:color w:val="262626"/>
        </w:rPr>
        <w:t/>
      </w:r>
      <w:r>
        <w:rPr>
          <w:rFonts w:ascii="Arial" w:cs="Arial" w:eastAsia="Arial" w:hAnsi="Arial"/>
          <w:sz w:val="16"/>
          <w:szCs w:val="16"/>
          <w:color w:val="262626"/>
        </w:rPr>
        <w:t xml:space="preserve"> VY[Z</w:t>
      </w:r>
      <w:r>
        <w:rPr>
          <w:rFonts w:ascii="PMingLiU" w:cs="PMingLiU" w:eastAsia="PMingLiU" w:hAnsi="PMingLiU"/>
          <w:sz w:val="16"/>
          <w:szCs w:val="16"/>
          <w:color w:val="262626"/>
        </w:rPr>
        <w:t/>
      </w:r>
      <w:r>
        <w:rPr>
          <w:rFonts w:ascii="Arial" w:cs="Arial" w:eastAsia="Arial" w:hAnsi="Arial"/>
          <w:sz w:val="16"/>
          <w:szCs w:val="16"/>
          <w:color w:val="262626"/>
        </w:rPr>
        <w:t>[V</w:t>
      </w:r>
      <w:r>
        <w:rPr>
          <w:rFonts w:ascii="PMingLiU" w:cs="PMingLiU" w:eastAsia="PMingLiU" w:hAnsi="PMingLiU"/>
          <w:sz w:val="16"/>
          <w:szCs w:val="16"/>
          <w:color w:val="262626"/>
        </w:rPr>
        <w:t/>
      </w:r>
      <w:r>
        <w:rPr>
          <w:rFonts w:ascii="Arial" w:cs="Arial" w:eastAsia="Arial" w:hAnsi="Arial"/>
          <w:sz w:val="16"/>
          <w:szCs w:val="16"/>
          <w:color w:val="262626"/>
        </w:rPr>
        <w:t>JVU[PU\V\ZS`</w:t>
      </w:r>
      <w:r>
        <w:rPr>
          <w:rFonts w:ascii="PMingLiU" w:cs="PMingLiU" w:eastAsia="PMingLiU" w:hAnsi="PMingLiU"/>
          <w:sz w:val="16"/>
          <w:szCs w:val="16"/>
          <w:color w:val="262626"/>
        </w:rPr>
        <w:t/>
      </w:r>
      <w:r>
        <w:rPr>
          <w:rFonts w:ascii="Arial" w:cs="Arial" w:eastAsia="Arial" w:hAnsi="Arial"/>
          <w:sz w:val="16"/>
          <w:szCs w:val="16"/>
          <w:color w:val="262626"/>
        </w:rPr>
        <w:t xml:space="preserve"> PTWYV]L</w:t>
      </w:r>
      <w:r>
        <w:rPr>
          <w:rFonts w:ascii="PMingLiU" w:cs="PMingLiU" w:eastAsia="PMingLiU" w:hAnsi="PMingLiU"/>
          <w:sz w:val="16"/>
          <w:szCs w:val="16"/>
          <w:color w:val="262626"/>
        </w:rPr>
        <w:t/>
      </w:r>
      <w:r>
        <w:rPr>
          <w:rFonts w:ascii="Arial" w:cs="Arial" w:eastAsia="Arial" w:hAnsi="Arial"/>
          <w:sz w:val="16"/>
          <w:szCs w:val="16"/>
          <w:color w:val="262626"/>
        </w:rPr>
        <w:t>^L</w:t>
      </w:r>
      <w:r>
        <w:rPr>
          <w:rFonts w:ascii="PMingLiU" w:cs="PMingLiU" w:eastAsia="PMingLiU" w:hAnsi="PMingLiU"/>
          <w:sz w:val="16"/>
          <w:szCs w:val="16"/>
          <w:color w:val="262626"/>
        </w:rPr>
        <w:t/>
      </w:r>
      <w:r>
        <w:rPr>
          <w:rFonts w:ascii="Arial" w:cs="Arial" w:eastAsia="Arial" w:hAnsi="Arial"/>
          <w:sz w:val="16"/>
          <w:szCs w:val="16"/>
          <w:color w:val="262626"/>
        </w:rPr>
        <w:t xml:space="preserve"> regularly seek feedback from our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140"/>
        <w:spacing w:after="0" w:line="224" w:lineRule="exact"/>
        <w:rPr>
          <w:sz w:val="20"/>
          <w:szCs w:val="20"/>
          <w:color w:val="auto"/>
        </w:rPr>
      </w:pPr>
      <w:r>
        <w:rPr>
          <w:rFonts w:ascii="Arial" w:cs="Arial" w:eastAsia="Arial" w:hAnsi="Arial"/>
          <w:sz w:val="16"/>
          <w:szCs w:val="16"/>
          <w:color w:val="262626"/>
        </w:rPr>
        <w:t>on workplace culture and environment, JVTWHU`</w:t>
      </w:r>
      <w:r>
        <w:rPr>
          <w:rFonts w:ascii="PMingLiU" w:cs="PMingLiU" w:eastAsia="PMingLiU" w:hAnsi="PMingLiU"/>
          <w:sz w:val="16"/>
          <w:szCs w:val="16"/>
          <w:color w:val="262626"/>
        </w:rPr>
        <w:t/>
      </w:r>
      <w:r>
        <w:rPr>
          <w:rFonts w:ascii="Arial" w:cs="Arial" w:eastAsia="Arial" w:hAnsi="Arial"/>
          <w:sz w:val="16"/>
          <w:szCs w:val="16"/>
          <w:color w:val="262626"/>
        </w:rPr>
        <w:t>ILULÄ</w:t>
      </w:r>
      <w:r>
        <w:rPr>
          <w:rFonts w:ascii="PMingLiU" w:cs="PMingLiU" w:eastAsia="PMingLiU" w:hAnsi="PMingLiU"/>
          <w:sz w:val="16"/>
          <w:szCs w:val="16"/>
          <w:color w:val="262626"/>
        </w:rPr>
        <w:t/>
      </w:r>
      <w:r>
        <w:rPr>
          <w:rFonts w:ascii="Arial" w:cs="Arial" w:eastAsia="Arial" w:hAnsi="Arial"/>
          <w:sz w:val="16"/>
          <w:szCs w:val="16"/>
          <w:color w:val="262626"/>
        </w:rPr>
        <w:t>[Z</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WYVNYHTZ</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 xml:space="preserve"> management engagement. We believe that in order to retain top talent, it’s important to ensure that not only are we rewarding our employees for their achievements but also taking action to address the needs of our workforce.</w:t>
      </w:r>
    </w:p>
    <w:p>
      <w:pPr>
        <w:spacing w:after="0" w:line="156" w:lineRule="exact"/>
        <w:rPr>
          <w:sz w:val="20"/>
          <w:szCs w:val="20"/>
          <w:color w:val="auto"/>
        </w:rPr>
      </w:pPr>
    </w:p>
    <w:p>
      <w:pPr>
        <w:spacing w:after="0" w:line="297" w:lineRule="auto"/>
        <w:rPr>
          <w:sz w:val="20"/>
          <w:szCs w:val="20"/>
          <w:color w:val="auto"/>
        </w:rPr>
      </w:pPr>
      <w:r>
        <w:rPr>
          <w:rFonts w:ascii="Arial" w:cs="Arial" w:eastAsia="Arial" w:hAnsi="Arial"/>
          <w:sz w:val="16"/>
          <w:szCs w:val="16"/>
          <w:color w:val="262626"/>
        </w:rPr>
        <w:t>Our people are our biggest asset, and we believe that our high-integrity culture and talented employees drive our success. Their knowledge and skills are crucial to providing consistent quality solutions and an excellent customer experience. We can only ensure the continuous growth and improvement of our company by ensuring their well-being, safety and professional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680720</wp:posOffset>
            </wp:positionV>
            <wp:extent cx="3327400" cy="5481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extLst>
                    </a:blip>
                    <a:srcRect/>
                    <a:stretch>
                      <a:fillRect/>
                    </a:stretch>
                  </pic:blipFill>
                  <pic:spPr bwMode="auto">
                    <a:xfrm>
                      <a:off x="0" y="0"/>
                      <a:ext cx="3327400" cy="5481955"/>
                    </a:xfrm>
                    <a:prstGeom prst="rect">
                      <a:avLst/>
                    </a:prstGeom>
                    <a:noFill/>
                  </pic:spPr>
                </pic:pic>
              </a:graphicData>
            </a:graphic>
          </wp:anchor>
        </w:drawing>
      </w:r>
    </w:p>
    <w:p>
      <w:pPr>
        <w:spacing w:after="0" w:line="370" w:lineRule="exact"/>
        <w:rPr>
          <w:sz w:val="20"/>
          <w:szCs w:val="20"/>
          <w:color w:val="auto"/>
        </w:rPr>
      </w:pPr>
    </w:p>
    <w:p>
      <w:pPr>
        <w:sectPr>
          <w:pgSz w:w="12240" w:h="15840" w:orient="portrait"/>
          <w:cols w:equalWidth="0" w:num="3">
            <w:col w:w="3260" w:space="320"/>
            <w:col w:w="3280" w:space="280"/>
            <w:col w:w="3280"/>
          </w:cols>
          <w:pgMar w:left="880" w:top="825" w:right="940" w:bottom="2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hanging="280"/>
        <w:spacing w:after="0"/>
        <w:tabs>
          <w:tab w:leader="none" w:pos="300" w:val="left"/>
        </w:tabs>
        <w:numPr>
          <w:ilvl w:val="0"/>
          <w:numId w:val="4"/>
        </w:numPr>
        <w:rPr>
          <w:rFonts w:ascii="Arial" w:cs="Arial" w:eastAsia="Arial" w:hAnsi="Arial"/>
          <w:sz w:val="16"/>
          <w:szCs w:val="16"/>
          <w:b w:val="1"/>
          <w:bCs w:val="1"/>
          <w:color w:val="262626"/>
        </w:rPr>
      </w:pPr>
      <w:r>
        <w:rPr>
          <w:rFonts w:ascii="Arial" w:cs="Arial" w:eastAsia="Arial" w:hAnsi="Arial"/>
          <w:sz w:val="16"/>
          <w:szCs w:val="16"/>
          <w:b w:val="1"/>
          <w:bCs w:val="1"/>
          <w:color w:val="262626"/>
        </w:rPr>
        <w:t>CECO Environmental</w:t>
      </w:r>
    </w:p>
    <w:p>
      <w:pPr>
        <w:sectPr>
          <w:pgSz w:w="12240" w:h="15840" w:orient="portrait"/>
          <w:cols w:equalWidth="0" w:num="1">
            <w:col w:w="10420"/>
          </w:cols>
          <w:pgMar w:left="880" w:top="825" w:right="940" w:bottom="217" w:gutter="0" w:footer="0" w:header="0"/>
          <w:type w:val="continuous"/>
        </w:sectPr>
      </w:pPr>
    </w:p>
    <w:bookmarkStart w:id="10" w:name="page11"/>
    <w:bookmarkEnd w:id="10"/>
    <w:p>
      <w:pPr>
        <w:ind w:left="98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571500</wp:posOffset>
            </wp:positionH>
            <wp:positionV relativeFrom="page">
              <wp:posOffset>609600</wp:posOffset>
            </wp:positionV>
            <wp:extent cx="6629400" cy="2033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1">
                      <a:extLst>
                        <a:ext uri="{28A0092B-C50C-407E-A947-70E740481C1C}"/>
                      </a:extLst>
                    </a:blip>
                    <a:srcRect/>
                    <a:stretch>
                      <a:fillRect/>
                    </a:stretch>
                  </pic:blipFill>
                  <pic:spPr bwMode="auto">
                    <a:xfrm>
                      <a:off x="0" y="0"/>
                      <a:ext cx="6629400" cy="2033270"/>
                    </a:xfrm>
                    <a:prstGeom prst="rect">
                      <a:avLst/>
                    </a:prstGeom>
                    <a:noFill/>
                  </pic:spPr>
                </pic:pic>
              </a:graphicData>
            </a:graphic>
          </wp:anchor>
        </w:drawing>
        <w:drawing>
          <wp:inline distT="0" distB="0" distL="0" distR="0">
            <wp:extent cx="254000" cy="33845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2">
                      <a:extLst>
                        <a:ext uri="{28A0092B-C50C-407E-A947-70E740481C1C}"/>
                      </a:extLst>
                    </a:blip>
                    <a:srcRect/>
                    <a:stretch>
                      <a:fillRect/>
                    </a:stretch>
                  </pic:blipFill>
                  <pic:spPr bwMode="auto">
                    <a:xfrm>
                      <a:off x="0" y="0"/>
                      <a:ext cx="254000" cy="338455"/>
                    </a:xfrm>
                    <a:prstGeom prst="rect">
                      <a:avLst/>
                    </a:prstGeom>
                    <a:noFill/>
                    <a:ln>
                      <a:noFill/>
                    </a:ln>
                  </pic:spPr>
                </pic:pic>
              </a:graphicData>
            </a:graphic>
          </wp:inline>
        </w:drawing>
      </w:r>
      <w:r>
        <w:rPr>
          <w:rFonts w:ascii="Arial" w:cs="Arial" w:eastAsia="Arial" w:hAnsi="Arial"/>
          <w:sz w:val="40"/>
          <w:szCs w:val="40"/>
          <w:b w:val="1"/>
          <w:bCs w:val="1"/>
          <w:color w:val="FFFFFF"/>
        </w:rPr>
        <w:t xml:space="preserve"> ESG Highlights</w:t>
      </w:r>
    </w:p>
    <w:p>
      <w:pPr>
        <w:spacing w:after="0" w:line="244" w:lineRule="exact"/>
        <w:rPr>
          <w:sz w:val="20"/>
          <w:szCs w:val="20"/>
          <w:color w:val="auto"/>
        </w:rPr>
      </w:pPr>
    </w:p>
    <w:p>
      <w:pPr>
        <w:ind w:left="1040" w:right="1060"/>
        <w:spacing w:after="0" w:line="370" w:lineRule="auto"/>
        <w:rPr>
          <w:sz w:val="20"/>
          <w:szCs w:val="20"/>
          <w:color w:val="auto"/>
        </w:rPr>
      </w:pPr>
      <w:r>
        <w:rPr>
          <w:rFonts w:ascii="Arial" w:cs="Arial" w:eastAsia="Arial" w:hAnsi="Arial"/>
          <w:sz w:val="16"/>
          <w:szCs w:val="16"/>
          <w:color w:val="FFFFFF"/>
        </w:rPr>
        <w:t>In mid-2022 CECO issued its inaugural ESG Report outlining the commitment and focus on the Environment, Social Programs and Governance</w:t>
      </w:r>
    </w:p>
    <w:p>
      <w:pPr>
        <w:spacing w:after="0" w:line="53" w:lineRule="exact"/>
        <w:rPr>
          <w:sz w:val="20"/>
          <w:szCs w:val="20"/>
          <w:color w:val="auto"/>
        </w:rPr>
      </w:pPr>
    </w:p>
    <w:p>
      <w:pPr>
        <w:ind w:left="1040" w:right="980"/>
        <w:spacing w:after="0" w:line="328" w:lineRule="auto"/>
        <w:rPr>
          <w:sz w:val="20"/>
          <w:szCs w:val="20"/>
          <w:color w:val="auto"/>
        </w:rPr>
      </w:pPr>
      <w:r>
        <w:rPr>
          <w:rFonts w:ascii="Arial" w:cs="Arial" w:eastAsia="Arial" w:hAnsi="Arial"/>
          <w:sz w:val="16"/>
          <w:szCs w:val="16"/>
          <w:color w:val="FFFFFF"/>
        </w:rPr>
        <w:t>CECO has a proud history of delivering solutions that help protect people, the environment and industrial equipment. The Company’s solutions and services help ensure our customers are compliant with a multitude of environmental regulations and their communities are safer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773430</wp:posOffset>
            </wp:positionV>
            <wp:extent cx="6629400" cy="520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3">
                      <a:extLst>
                        <a:ext uri="{28A0092B-C50C-407E-A947-70E740481C1C}"/>
                      </a:extLst>
                    </a:blip>
                    <a:srcRect/>
                    <a:stretch>
                      <a:fillRect/>
                    </a:stretch>
                  </pic:blipFill>
                  <pic:spPr bwMode="auto">
                    <a:xfrm>
                      <a:off x="0" y="0"/>
                      <a:ext cx="6629400" cy="5208905"/>
                    </a:xfrm>
                    <a:prstGeom prst="rect">
                      <a:avLst/>
                    </a:prstGeom>
                    <a:noFill/>
                  </pic:spPr>
                </pic:pic>
              </a:graphicData>
            </a:graphic>
          </wp:anchor>
        </w:drawing>
      </w:r>
    </w:p>
    <w:p>
      <w:pPr>
        <w:sectPr>
          <w:pgSz w:w="12240" w:h="15840" w:orient="portrait"/>
          <w:cols w:equalWidth="0" w:num="1">
            <w:col w:w="10440"/>
          </w:cols>
          <w:pgMar w:left="900" w:top="1284" w:right="900"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40" w:right="1040"/>
        <w:spacing w:after="0" w:line="279" w:lineRule="auto"/>
        <w:rPr>
          <w:sz w:val="20"/>
          <w:szCs w:val="20"/>
          <w:color w:val="auto"/>
        </w:rPr>
      </w:pPr>
      <w:r>
        <w:rPr>
          <w:rFonts w:ascii="Arial" w:cs="Arial" w:eastAsia="Arial" w:hAnsi="Arial"/>
          <w:sz w:val="40"/>
          <w:szCs w:val="40"/>
          <w:color w:val="FFFFFF"/>
        </w:rPr>
        <w:t>Understanding Today, Improving Tomorrow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FFFFFF"/>
        </w:rPr>
        <w:t>2021 ENVIRONMENTAL, SOCIAL AND</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FFFFFF"/>
        </w:rPr>
        <w:t>GOVERNANCE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640"/>
        <w:spacing w:after="0" w:line="303" w:lineRule="auto"/>
        <w:rPr>
          <w:sz w:val="20"/>
          <w:szCs w:val="20"/>
          <w:color w:val="auto"/>
        </w:rPr>
      </w:pPr>
      <w:r>
        <w:rPr>
          <w:rFonts w:ascii="Arial" w:cs="Arial" w:eastAsia="Arial" w:hAnsi="Arial"/>
          <w:sz w:val="32"/>
          <w:szCs w:val="32"/>
          <w:b w:val="1"/>
          <w:bCs w:val="1"/>
          <w:color w:val="FFFFFF"/>
        </w:rPr>
        <w:t>Articulates Commitment to ESG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-322580</wp:posOffset>
                </wp:positionH>
                <wp:positionV relativeFrom="paragraph">
                  <wp:posOffset>548640</wp:posOffset>
                </wp:positionV>
                <wp:extent cx="2075180" cy="159067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5180" cy="1590675"/>
                        </a:xfrm>
                        <a:prstGeom prst="rect">
                          <a:avLst/>
                        </a:prstGeom>
                        <a:solidFill>
                          <a:srgbClr val="98B82F"/>
                        </a:solidFill>
                      </wps:spPr>
                      <wps:bodyPr/>
                    </wps:wsp>
                  </a:graphicData>
                </a:graphic>
              </wp:anchor>
            </w:drawing>
          </mc:Choice>
          <mc:Fallback>
            <w:pict>
              <v:rect id="Shape 51" o:spid="_x0000_s1076" style="position:absolute;margin-left:-25.3999pt;margin-top:43.2pt;width:163.4pt;height:12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right="440"/>
        <w:spacing w:after="0" w:line="303" w:lineRule="auto"/>
        <w:rPr>
          <w:sz w:val="20"/>
          <w:szCs w:val="20"/>
          <w:color w:val="auto"/>
        </w:rPr>
      </w:pPr>
      <w:r>
        <w:rPr>
          <w:rFonts w:ascii="Arial" w:cs="Arial" w:eastAsia="Arial" w:hAnsi="Arial"/>
          <w:sz w:val="32"/>
          <w:szCs w:val="32"/>
          <w:b w:val="1"/>
          <w:bCs w:val="1"/>
          <w:color w:val="FFFFFF"/>
        </w:rPr>
        <w:t>ESG Score (ISS) Improved By 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-322580</wp:posOffset>
                </wp:positionH>
                <wp:positionV relativeFrom="paragraph">
                  <wp:posOffset>548640</wp:posOffset>
                </wp:positionV>
                <wp:extent cx="2075180" cy="159067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5180" cy="1590675"/>
                        </a:xfrm>
                        <a:prstGeom prst="rect">
                          <a:avLst/>
                        </a:prstGeom>
                        <a:solidFill>
                          <a:srgbClr val="98B82F"/>
                        </a:solidFill>
                      </wps:spPr>
                      <wps:bodyPr/>
                    </wps:wsp>
                  </a:graphicData>
                </a:graphic>
              </wp:anchor>
            </w:drawing>
          </mc:Choice>
          <mc:Fallback>
            <w:pict>
              <v:rect id="Shape 52" o:spid="_x0000_s1077" style="position:absolute;margin-left:-25.3999pt;margin-top:43.2pt;width:163.4pt;height:125.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8B82F"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0"/>
        <w:spacing w:after="0" w:line="287" w:lineRule="auto"/>
        <w:rPr>
          <w:sz w:val="20"/>
          <w:szCs w:val="20"/>
          <w:color w:val="auto"/>
        </w:rPr>
      </w:pPr>
      <w:r>
        <w:rPr>
          <w:rFonts w:ascii="Arial" w:cs="Arial" w:eastAsia="Arial" w:hAnsi="Arial"/>
          <w:sz w:val="31"/>
          <w:szCs w:val="31"/>
          <w:b w:val="1"/>
          <w:bCs w:val="1"/>
          <w:color w:val="FFFFFF"/>
        </w:rPr>
        <w:t>Establishes Solid Baseline Data and Sets Clear Objectives</w:t>
      </w:r>
    </w:p>
    <w:p>
      <w:pPr>
        <w:spacing w:after="0" w:line="200" w:lineRule="exact"/>
        <w:rPr>
          <w:sz w:val="20"/>
          <w:szCs w:val="20"/>
          <w:color w:val="auto"/>
        </w:rPr>
      </w:pPr>
    </w:p>
    <w:p>
      <w:pPr>
        <w:sectPr>
          <w:pgSz w:w="12240" w:h="15840" w:orient="portrait"/>
          <w:cols w:equalWidth="0" w:num="2">
            <w:col w:w="6960" w:space="720"/>
            <w:col w:w="2760"/>
          </w:cols>
          <w:pgMar w:left="900" w:top="1284" w:right="900" w:bottom="208"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273D86"/>
        </w:rPr>
        <w:t>CECO’S ESG Report: www.cecoenviro.com/esg</w:t>
      </w:r>
    </w:p>
    <w:p>
      <w:pPr>
        <w:sectPr>
          <w:pgSz w:w="12240" w:h="15840" w:orient="portrait"/>
          <w:cols w:equalWidth="0" w:num="1">
            <w:col w:w="10440"/>
          </w:cols>
          <w:pgMar w:left="900" w:top="1284" w:right="900" w:bottom="20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580"/>
        <w:spacing w:after="0"/>
        <w:tabs>
          <w:tab w:leader="none" w:pos="1032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9</w:t>
      </w:r>
    </w:p>
    <w:p>
      <w:pPr>
        <w:sectPr>
          <w:pgSz w:w="12240" w:h="15840" w:orient="portrait"/>
          <w:cols w:equalWidth="0" w:num="1">
            <w:col w:w="10440"/>
          </w:cols>
          <w:pgMar w:left="900" w:top="1284" w:right="900" w:bottom="208" w:gutter="0" w:footer="0" w:header="0"/>
          <w:type w:val="continuous"/>
        </w:sectPr>
      </w:pPr>
    </w:p>
    <w:bookmarkStart w:id="11" w:name="page12"/>
    <w:bookmarkEnd w:id="11"/>
    <w:p>
      <w:pPr>
        <w:spacing w:after="0"/>
        <w:rPr>
          <w:sz w:val="20"/>
          <w:szCs w:val="20"/>
          <w:color w:val="auto"/>
        </w:rPr>
      </w:pPr>
      <w:r>
        <w:rPr>
          <w:sz w:val="1"/>
          <w:szCs w:val="1"/>
          <w:color w:val="auto"/>
        </w:rPr>
        <w:drawing>
          <wp:inline distT="0" distB="0" distL="0" distR="0">
            <wp:extent cx="299720" cy="3035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28"/>
          <w:szCs w:val="28"/>
          <w:b w:val="1"/>
          <w:bCs w:val="1"/>
          <w:color w:val="273D86"/>
        </w:rPr>
        <w:t xml:space="preserve"> Environmental</w:t>
      </w:r>
    </w:p>
    <w:p>
      <w:pPr>
        <w:spacing w:after="0" w:line="230" w:lineRule="exact"/>
        <w:rPr>
          <w:sz w:val="20"/>
          <w:szCs w:val="20"/>
          <w:color w:val="auto"/>
        </w:rPr>
      </w:pPr>
    </w:p>
    <w:p>
      <w:pPr>
        <w:ind w:left="40" w:right="180"/>
        <w:spacing w:after="0" w:line="226" w:lineRule="exact"/>
        <w:rPr>
          <w:sz w:val="20"/>
          <w:szCs w:val="20"/>
          <w:color w:val="auto"/>
        </w:rPr>
      </w:pPr>
      <w:r>
        <w:rPr>
          <w:rFonts w:ascii="Arial" w:cs="Arial" w:eastAsia="Arial" w:hAnsi="Arial"/>
          <w:sz w:val="16"/>
          <w:szCs w:val="16"/>
          <w:color w:val="262626"/>
        </w:rPr>
        <w:t>CECO has a strong mission to help companies grow their business ^P[O</w:t>
      </w:r>
      <w:r>
        <w:rPr>
          <w:rFonts w:ascii="PMingLiU" w:cs="PMingLiU" w:eastAsia="PMingLiU" w:hAnsi="PMingLiU"/>
          <w:sz w:val="16"/>
          <w:szCs w:val="16"/>
          <w:color w:val="262626"/>
        </w:rPr>
        <w:t/>
      </w:r>
      <w:r>
        <w:rPr>
          <w:rFonts w:ascii="Arial" w:cs="Arial" w:eastAsia="Arial" w:hAnsi="Arial"/>
          <w:sz w:val="16"/>
          <w:szCs w:val="16"/>
          <w:color w:val="262626"/>
        </w:rPr>
        <w:t>JSLHU</w:t>
      </w:r>
      <w:r>
        <w:rPr>
          <w:rFonts w:ascii="PMingLiU" w:cs="PMingLiU" w:eastAsia="PMingLiU" w:hAnsi="PMingLiU"/>
          <w:sz w:val="16"/>
          <w:szCs w:val="16"/>
          <w:color w:val="262626"/>
        </w:rPr>
        <w:t/>
      </w:r>
      <w:r>
        <w:rPr>
          <w:rFonts w:ascii="Arial" w:cs="Arial" w:eastAsia="Arial" w:hAnsi="Arial"/>
          <w:sz w:val="16"/>
          <w:szCs w:val="16"/>
          <w:color w:val="262626"/>
        </w:rPr>
        <w:t>ZHML</w:t>
      </w:r>
      <w:r>
        <w:rPr>
          <w:rFonts w:ascii="PMingLiU" w:cs="PMingLiU" w:eastAsia="PMingLiU" w:hAnsi="PMingLiU"/>
          <w:sz w:val="16"/>
          <w:szCs w:val="16"/>
          <w:color w:val="262626"/>
        </w:rPr>
        <w:t/>
      </w: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TVYL</w:t>
      </w:r>
      <w:r>
        <w:rPr>
          <w:rFonts w:ascii="PMingLiU" w:cs="PMingLiU" w:eastAsia="PMingLiU" w:hAnsi="PMingLiU"/>
          <w:sz w:val="16"/>
          <w:szCs w:val="16"/>
          <w:color w:val="262626"/>
        </w:rPr>
        <w:t/>
      </w:r>
      <w:r>
        <w:rPr>
          <w:rFonts w:ascii="Arial" w:cs="Arial" w:eastAsia="Arial" w:hAnsi="Arial"/>
          <w:sz w:val="16"/>
          <w:szCs w:val="16"/>
          <w:color w:val="262626"/>
        </w:rPr>
        <w:t xml:space="preserve"> LɉJPLU[</w:t>
      </w:r>
      <w:r>
        <w:rPr>
          <w:rFonts w:ascii="PMingLiU" w:cs="PMingLiU" w:eastAsia="PMingLiU" w:hAnsi="PMingLiU"/>
          <w:sz w:val="16"/>
          <w:szCs w:val="16"/>
          <w:color w:val="262626"/>
        </w:rPr>
        <w:t/>
      </w:r>
      <w:r>
        <w:rPr>
          <w:rFonts w:ascii="Arial" w:cs="Arial" w:eastAsia="Arial" w:hAnsi="Arial"/>
          <w:sz w:val="16"/>
          <w:szCs w:val="16"/>
          <w:color w:val="262626"/>
        </w:rPr>
        <w:t xml:space="preserve"> solutions that help protect our shared environment.</w:t>
      </w:r>
    </w:p>
    <w:p>
      <w:pPr>
        <w:spacing w:after="0" w:line="152" w:lineRule="exact"/>
        <w:rPr>
          <w:sz w:val="20"/>
          <w:szCs w:val="20"/>
          <w:color w:val="auto"/>
        </w:rPr>
      </w:pPr>
    </w:p>
    <w:p>
      <w:pPr>
        <w:ind w:left="40" w:right="200"/>
        <w:spacing w:after="0" w:line="307" w:lineRule="auto"/>
        <w:rPr>
          <w:sz w:val="20"/>
          <w:szCs w:val="20"/>
          <w:color w:val="auto"/>
        </w:rPr>
      </w:pPr>
      <w:r>
        <w:rPr>
          <w:rFonts w:ascii="Arial" w:cs="Arial" w:eastAsia="Arial" w:hAnsi="Arial"/>
          <w:sz w:val="16"/>
          <w:szCs w:val="16"/>
          <w:color w:val="262626"/>
        </w:rPr>
        <w:t>CECO believes that it is important to be transparent in disclosing our environmental footprint and equally critical to strive to minimize our footprint.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sz w:val="1"/>
          <w:szCs w:val="1"/>
          <w:color w:val="auto"/>
        </w:rPr>
        <w:drawing>
          <wp:inline distT="0" distB="0" distL="0" distR="0">
            <wp:extent cx="299720" cy="30353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28"/>
          <w:szCs w:val="28"/>
          <w:b w:val="1"/>
          <w:bCs w:val="1"/>
          <w:color w:val="273D86"/>
        </w:rPr>
        <w:t xml:space="preserve"> Social</w:t>
      </w:r>
    </w:p>
    <w:p>
      <w:pPr>
        <w:spacing w:after="0" w:line="240" w:lineRule="exact"/>
        <w:rPr>
          <w:sz w:val="20"/>
          <w:szCs w:val="20"/>
          <w:color w:val="auto"/>
        </w:rPr>
      </w:pPr>
    </w:p>
    <w:p>
      <w:pPr>
        <w:ind w:left="40" w:right="260"/>
        <w:spacing w:after="0" w:line="307" w:lineRule="auto"/>
        <w:rPr>
          <w:sz w:val="20"/>
          <w:szCs w:val="20"/>
          <w:color w:val="auto"/>
        </w:rPr>
      </w:pPr>
      <w:r>
        <w:rPr>
          <w:rFonts w:ascii="Arial" w:cs="Arial" w:eastAsia="Arial" w:hAnsi="Arial"/>
          <w:sz w:val="16"/>
          <w:szCs w:val="16"/>
          <w:color w:val="262626"/>
        </w:rPr>
        <w:t>CECO is committed to employees by well established programs around health, safety, wellness, development and key retention programs.</w:t>
      </w:r>
    </w:p>
    <w:p>
      <w:pPr>
        <w:spacing w:after="0" w:line="103" w:lineRule="exact"/>
        <w:rPr>
          <w:sz w:val="20"/>
          <w:szCs w:val="20"/>
          <w:color w:val="auto"/>
        </w:rPr>
      </w:pPr>
    </w:p>
    <w:p>
      <w:pPr>
        <w:ind w:left="40" w:right="360"/>
        <w:spacing w:after="0" w:line="307" w:lineRule="auto"/>
        <w:rPr>
          <w:sz w:val="20"/>
          <w:szCs w:val="20"/>
          <w:color w:val="auto"/>
        </w:rPr>
      </w:pPr>
      <w:r>
        <w:rPr>
          <w:rFonts w:ascii="Arial" w:cs="Arial" w:eastAsia="Arial" w:hAnsi="Arial"/>
          <w:sz w:val="16"/>
          <w:szCs w:val="16"/>
          <w:color w:val="262626"/>
        </w:rPr>
        <w:t>CECO continues to add diversity across its entire organization including the board, executive leadership team and other key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299720" cy="30353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299720" cy="303530"/>
                    </a:xfrm>
                    <a:prstGeom prst="rect">
                      <a:avLst/>
                    </a:prstGeom>
                    <a:noFill/>
                    <a:ln>
                      <a:noFill/>
                    </a:ln>
                  </pic:spPr>
                </pic:pic>
              </a:graphicData>
            </a:graphic>
          </wp:inline>
        </w:drawing>
      </w:r>
      <w:r>
        <w:rPr>
          <w:rFonts w:ascii="Arial" w:cs="Arial" w:eastAsia="Arial" w:hAnsi="Arial"/>
          <w:sz w:val="28"/>
          <w:szCs w:val="28"/>
          <w:b w:val="1"/>
          <w:bCs w:val="1"/>
          <w:color w:val="273D86"/>
        </w:rPr>
        <w:t xml:space="preserve"> Governance</w:t>
      </w:r>
    </w:p>
    <w:p>
      <w:pPr>
        <w:spacing w:after="0" w:line="238" w:lineRule="exact"/>
        <w:rPr>
          <w:sz w:val="20"/>
          <w:szCs w:val="20"/>
          <w:color w:val="auto"/>
        </w:rPr>
      </w:pPr>
    </w:p>
    <w:p>
      <w:pPr>
        <w:ind w:left="80" w:right="120"/>
        <w:spacing w:after="0" w:line="314" w:lineRule="auto"/>
        <w:rPr>
          <w:sz w:val="20"/>
          <w:szCs w:val="20"/>
          <w:color w:val="auto"/>
        </w:rPr>
      </w:pPr>
      <w:r>
        <w:rPr>
          <w:rFonts w:ascii="Arial" w:cs="Arial" w:eastAsia="Arial" w:hAnsi="Arial"/>
          <w:sz w:val="16"/>
          <w:szCs w:val="16"/>
          <w:color w:val="262626"/>
        </w:rPr>
        <w:t>CECO prides itself on developing and maintaining a strong reputation of integrity, honesty, fairness, and accountability.</w:t>
      </w:r>
    </w:p>
    <w:p>
      <w:pPr>
        <w:spacing w:after="0" w:line="97" w:lineRule="exact"/>
        <w:rPr>
          <w:sz w:val="20"/>
          <w:szCs w:val="20"/>
          <w:color w:val="auto"/>
        </w:rPr>
      </w:pPr>
    </w:p>
    <w:p>
      <w:pPr>
        <w:ind w:left="80" w:right="20"/>
        <w:spacing w:after="0" w:line="314" w:lineRule="auto"/>
        <w:rPr>
          <w:sz w:val="20"/>
          <w:szCs w:val="20"/>
          <w:color w:val="auto"/>
        </w:rPr>
      </w:pPr>
      <w:r>
        <w:rPr>
          <w:rFonts w:ascii="Arial" w:cs="Arial" w:eastAsia="Arial" w:hAnsi="Arial"/>
          <w:sz w:val="16"/>
          <w:szCs w:val="16"/>
          <w:color w:val="262626"/>
        </w:rPr>
        <w:t>CECO has a robust set of practices and policies to ensure that teams are operating with the highest levels of business and personal ethics.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59"/>
        </w:trPr>
        <w:tc>
          <w:tcPr>
            <w:tcW w:w="2440" w:type="dxa"/>
            <w:vAlign w:val="bottom"/>
            <w:tcBorders>
              <w:left w:val="single" w:sz="8" w:color="98B82F"/>
              <w:right w:val="single" w:sz="8" w:color="98B82F"/>
            </w:tcBorders>
            <w:gridSpan w:val="15"/>
            <w:shd w:val="clear" w:color="auto" w:fill="98B82F"/>
          </w:tcPr>
          <w:p>
            <w:pPr>
              <w:ind w:left="100"/>
              <w:spacing w:after="0" w:line="97" w:lineRule="exact"/>
              <w:rPr>
                <w:sz w:val="20"/>
                <w:szCs w:val="20"/>
                <w:color w:val="auto"/>
              </w:rPr>
            </w:pPr>
            <w:r>
              <w:rPr>
                <w:rFonts w:ascii="Arial" w:cs="Arial" w:eastAsia="Arial" w:hAnsi="Arial"/>
                <w:sz w:val="8"/>
                <w:szCs w:val="8"/>
                <w:b w:val="1"/>
                <w:bCs w:val="1"/>
                <w:color w:val="FFFFFF"/>
              </w:rPr>
              <w:t>5KVGU</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9KVJ</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%WTTGPV</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'*5</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#PF</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3WCNKV[</w:t>
            </w:r>
            <w:r>
              <w:rPr>
                <w:rFonts w:ascii="PMingLiU" w:cs="PMingLiU" w:eastAsia="PMingLiU" w:hAnsi="PMingLiU"/>
                <w:sz w:val="8"/>
                <w:szCs w:val="8"/>
                <w:b w:val="1"/>
                <w:bCs w:val="1"/>
                <w:color w:val="FFFFFF"/>
              </w:rPr>
              <w:t/>
            </w:r>
            <w:r>
              <w:rPr>
                <w:rFonts w:ascii="Arial" w:cs="Arial" w:eastAsia="Arial" w:hAnsi="Arial"/>
                <w:sz w:val="8"/>
                <w:szCs w:val="8"/>
                <w:b w:val="1"/>
                <w:bCs w:val="1"/>
                <w:color w:val="FFFFFF"/>
              </w:rPr>
              <w:t>%GTVKƂECVKQPU</w:t>
            </w:r>
            <w:r>
              <w:rPr>
                <w:rFonts w:ascii="PMingLiU" w:cs="PMingLiU" w:eastAsia="PMingLiU" w:hAnsi="PMingLiU"/>
                <w:sz w:val="8"/>
                <w:szCs w:val="8"/>
                <w:b w:val="1"/>
                <w:bCs w:val="1"/>
                <w:color w:val="FFFFFF"/>
              </w:rPr>
              <w:t/>
            </w:r>
          </w:p>
        </w:tc>
        <w:tc>
          <w:tcPr>
            <w:tcW w:w="100" w:type="dxa"/>
            <w:vAlign w:val="bottom"/>
            <w:tcBorders>
              <w:right w:val="single" w:sz="8" w:color="98B82F"/>
            </w:tcBorders>
            <w:shd w:val="clear" w:color="auto" w:fill="98B82F"/>
          </w:tcPr>
          <w:p>
            <w:pPr>
              <w:spacing w:after="0"/>
              <w:rPr>
                <w:sz w:val="13"/>
                <w:szCs w:val="13"/>
                <w:color w:val="auto"/>
              </w:rPr>
            </w:pPr>
          </w:p>
        </w:tc>
        <w:tc>
          <w:tcPr>
            <w:tcW w:w="180" w:type="dxa"/>
            <w:vAlign w:val="bottom"/>
            <w:shd w:val="clear" w:color="auto" w:fill="98B82F"/>
          </w:tcPr>
          <w:p>
            <w:pPr>
              <w:spacing w:after="0"/>
              <w:rPr>
                <w:sz w:val="13"/>
                <w:szCs w:val="13"/>
                <w:color w:val="auto"/>
              </w:rPr>
            </w:pPr>
          </w:p>
        </w:tc>
        <w:tc>
          <w:tcPr>
            <w:tcW w:w="40" w:type="dxa"/>
            <w:vAlign w:val="bottom"/>
            <w:shd w:val="clear" w:color="auto" w:fill="98B82F"/>
          </w:tcPr>
          <w:p>
            <w:pPr>
              <w:spacing w:after="0"/>
              <w:rPr>
                <w:sz w:val="13"/>
                <w:szCs w:val="13"/>
                <w:color w:val="auto"/>
              </w:rPr>
            </w:pPr>
          </w:p>
        </w:tc>
        <w:tc>
          <w:tcPr>
            <w:tcW w:w="60" w:type="dxa"/>
            <w:vAlign w:val="bottom"/>
            <w:shd w:val="clear" w:color="auto" w:fill="98B82F"/>
          </w:tcPr>
          <w:p>
            <w:pPr>
              <w:spacing w:after="0"/>
              <w:rPr>
                <w:sz w:val="13"/>
                <w:szCs w:val="13"/>
                <w:color w:val="auto"/>
              </w:rPr>
            </w:pPr>
          </w:p>
        </w:tc>
        <w:tc>
          <w:tcPr>
            <w:tcW w:w="120" w:type="dxa"/>
            <w:vAlign w:val="bottom"/>
            <w:shd w:val="clear" w:color="auto" w:fill="98B82F"/>
          </w:tcPr>
          <w:p>
            <w:pPr>
              <w:spacing w:after="0"/>
              <w:rPr>
                <w:sz w:val="13"/>
                <w:szCs w:val="13"/>
                <w:color w:val="auto"/>
              </w:rPr>
            </w:pPr>
          </w:p>
        </w:tc>
        <w:tc>
          <w:tcPr>
            <w:tcW w:w="40" w:type="dxa"/>
            <w:vAlign w:val="bottom"/>
            <w:shd w:val="clear" w:color="auto" w:fill="98B82F"/>
          </w:tcPr>
          <w:p>
            <w:pPr>
              <w:spacing w:after="0"/>
              <w:rPr>
                <w:sz w:val="13"/>
                <w:szCs w:val="13"/>
                <w:color w:val="auto"/>
              </w:rPr>
            </w:pPr>
          </w:p>
        </w:tc>
        <w:tc>
          <w:tcPr>
            <w:tcW w:w="40" w:type="dxa"/>
            <w:vAlign w:val="bottom"/>
            <w:shd w:val="clear" w:color="auto" w:fill="98B82F"/>
          </w:tcPr>
          <w:p>
            <w:pPr>
              <w:spacing w:after="0"/>
              <w:rPr>
                <w:sz w:val="13"/>
                <w:szCs w:val="13"/>
                <w:color w:val="auto"/>
              </w:rPr>
            </w:pPr>
          </w:p>
        </w:tc>
        <w:tc>
          <w:tcPr>
            <w:tcW w:w="200" w:type="dxa"/>
            <w:vAlign w:val="bottom"/>
            <w:tcBorders>
              <w:left w:val="single" w:sz="8" w:color="98B82F"/>
              <w:right w:val="single" w:sz="8" w:color="98B82F"/>
            </w:tcBorders>
            <w:shd w:val="clear" w:color="auto" w:fill="98B82F"/>
          </w:tcPr>
          <w:p>
            <w:pPr>
              <w:spacing w:after="0"/>
              <w:rPr>
                <w:sz w:val="13"/>
                <w:szCs w:val="13"/>
                <w:color w:val="auto"/>
              </w:rPr>
            </w:pPr>
          </w:p>
        </w:tc>
        <w:tc>
          <w:tcPr>
            <w:tcW w:w="40" w:type="dxa"/>
            <w:vAlign w:val="bottom"/>
            <w:shd w:val="clear" w:color="auto" w:fill="98B82F"/>
          </w:tcPr>
          <w:p>
            <w:pPr>
              <w:spacing w:after="0"/>
              <w:rPr>
                <w:sz w:val="13"/>
                <w:szCs w:val="13"/>
                <w:color w:val="auto"/>
              </w:rPr>
            </w:pPr>
          </w:p>
        </w:tc>
        <w:tc>
          <w:tcPr>
            <w:tcW w:w="120" w:type="dxa"/>
            <w:vAlign w:val="bottom"/>
            <w:shd w:val="clear" w:color="auto" w:fill="98B82F"/>
          </w:tcPr>
          <w:p>
            <w:pPr>
              <w:spacing w:after="0"/>
              <w:rPr>
                <w:sz w:val="13"/>
                <w:szCs w:val="13"/>
                <w:color w:val="auto"/>
              </w:rPr>
            </w:pPr>
          </w:p>
        </w:tc>
        <w:tc>
          <w:tcPr>
            <w:tcW w:w="460" w:type="dxa"/>
            <w:vAlign w:val="bottom"/>
            <w:gridSpan w:val="5"/>
            <w:shd w:val="clear" w:color="auto" w:fill="98B82F"/>
          </w:tcPr>
          <w:p>
            <w:pPr>
              <w:jc w:val="center"/>
              <w:ind w:left="2"/>
              <w:spacing w:after="0" w:line="97" w:lineRule="exact"/>
              <w:rPr>
                <w:sz w:val="20"/>
                <w:szCs w:val="20"/>
                <w:color w:val="auto"/>
              </w:rPr>
            </w:pPr>
            <w:r>
              <w:rPr>
                <w:rFonts w:ascii="Arial" w:cs="Arial" w:eastAsia="Arial" w:hAnsi="Arial"/>
                <w:sz w:val="8"/>
                <w:szCs w:val="8"/>
                <w:b w:val="1"/>
                <w:bCs w:val="1"/>
                <w:color w:val="FFFFFF"/>
              </w:rPr>
              <w:t>+51</w:t>
            </w:r>
            <w:r>
              <w:rPr>
                <w:rFonts w:ascii="PMingLiU" w:cs="PMingLiU" w:eastAsia="PMingLiU" w:hAnsi="PMingLiU"/>
                <w:sz w:val="8"/>
                <w:szCs w:val="8"/>
                <w:b w:val="1"/>
                <w:bCs w:val="1"/>
                <w:color w:val="FFFFFF"/>
              </w:rPr>
              <w:t/>
            </w:r>
          </w:p>
        </w:tc>
        <w:tc>
          <w:tcPr>
            <w:tcW w:w="100" w:type="dxa"/>
            <w:vAlign w:val="bottom"/>
            <w:tcBorders>
              <w:right w:val="single" w:sz="8" w:color="98B82F"/>
            </w:tcBorders>
            <w:shd w:val="clear" w:color="auto" w:fill="98B82F"/>
          </w:tcPr>
          <w:p>
            <w:pPr>
              <w:spacing w:after="0"/>
              <w:rPr>
                <w:sz w:val="13"/>
                <w:szCs w:val="13"/>
                <w:color w:val="auto"/>
              </w:rPr>
            </w:pPr>
          </w:p>
        </w:tc>
        <w:tc>
          <w:tcPr>
            <w:tcW w:w="100" w:type="dxa"/>
            <w:vAlign w:val="bottom"/>
            <w:tcBorders>
              <w:right w:val="single" w:sz="8" w:color="98B82F"/>
            </w:tcBorders>
            <w:shd w:val="clear" w:color="auto" w:fill="98B82F"/>
          </w:tcPr>
          <w:p>
            <w:pPr>
              <w:spacing w:after="0"/>
              <w:rPr>
                <w:sz w:val="13"/>
                <w:szCs w:val="13"/>
                <w:color w:val="auto"/>
              </w:rPr>
            </w:pPr>
          </w:p>
        </w:tc>
        <w:tc>
          <w:tcPr>
            <w:tcW w:w="20" w:type="dxa"/>
            <w:vAlign w:val="bottom"/>
            <w:shd w:val="clear" w:color="auto" w:fill="98B82F"/>
          </w:tcPr>
          <w:p>
            <w:pPr>
              <w:spacing w:after="0"/>
              <w:rPr>
                <w:sz w:val="13"/>
                <w:szCs w:val="13"/>
                <w:color w:val="auto"/>
              </w:rPr>
            </w:pPr>
          </w:p>
        </w:tc>
        <w:tc>
          <w:tcPr>
            <w:tcW w:w="60" w:type="dxa"/>
            <w:vAlign w:val="bottom"/>
            <w:shd w:val="clear" w:color="auto" w:fill="98B82F"/>
          </w:tcPr>
          <w:p>
            <w:pPr>
              <w:spacing w:after="0"/>
              <w:rPr>
                <w:sz w:val="13"/>
                <w:szCs w:val="13"/>
                <w:color w:val="auto"/>
              </w:rPr>
            </w:pPr>
          </w:p>
        </w:tc>
        <w:tc>
          <w:tcPr>
            <w:tcW w:w="100" w:type="dxa"/>
            <w:vAlign w:val="bottom"/>
            <w:shd w:val="clear" w:color="auto" w:fill="98B82F"/>
          </w:tcPr>
          <w:p>
            <w:pPr>
              <w:spacing w:after="0"/>
              <w:rPr>
                <w:sz w:val="13"/>
                <w:szCs w:val="13"/>
                <w:color w:val="auto"/>
              </w:rPr>
            </w:pPr>
          </w:p>
        </w:tc>
        <w:tc>
          <w:tcPr>
            <w:tcW w:w="460" w:type="dxa"/>
            <w:vAlign w:val="bottom"/>
            <w:gridSpan w:val="6"/>
            <w:shd w:val="clear" w:color="auto" w:fill="98B82F"/>
          </w:tcPr>
          <w:p>
            <w:pPr>
              <w:jc w:val="center"/>
              <w:spacing w:after="0" w:line="97" w:lineRule="exact"/>
              <w:rPr>
                <w:sz w:val="20"/>
                <w:szCs w:val="20"/>
                <w:color w:val="auto"/>
              </w:rPr>
            </w:pPr>
            <w:r>
              <w:rPr>
                <w:rFonts w:ascii="Arial" w:cs="Arial" w:eastAsia="Arial" w:hAnsi="Arial"/>
                <w:sz w:val="8"/>
                <w:szCs w:val="8"/>
                <w:b w:val="1"/>
                <w:bCs w:val="1"/>
                <w:color w:val="FFFFFF"/>
              </w:rPr>
              <w:t>+51</w:t>
            </w:r>
            <w:r>
              <w:rPr>
                <w:rFonts w:ascii="PMingLiU" w:cs="PMingLiU" w:eastAsia="PMingLiU" w:hAnsi="PMingLiU"/>
                <w:sz w:val="8"/>
                <w:szCs w:val="8"/>
                <w:b w:val="1"/>
                <w:bCs w:val="1"/>
                <w:color w:val="FFFFFF"/>
              </w:rPr>
              <w:t/>
            </w:r>
          </w:p>
        </w:tc>
        <w:tc>
          <w:tcPr>
            <w:tcW w:w="180" w:type="dxa"/>
            <w:vAlign w:val="bottom"/>
            <w:tcBorders>
              <w:right w:val="single" w:sz="8" w:color="98B82F"/>
            </w:tcBorders>
            <w:shd w:val="clear" w:color="auto" w:fill="98B82F"/>
          </w:tcPr>
          <w:p>
            <w:pPr>
              <w:spacing w:after="0"/>
              <w:rPr>
                <w:sz w:val="13"/>
                <w:szCs w:val="13"/>
                <w:color w:val="auto"/>
              </w:rPr>
            </w:pPr>
          </w:p>
        </w:tc>
        <w:tc>
          <w:tcPr>
            <w:tcW w:w="20" w:type="dxa"/>
            <w:vAlign w:val="bottom"/>
            <w:shd w:val="clear" w:color="auto" w:fill="98B82F"/>
          </w:tcPr>
          <w:p>
            <w:pPr>
              <w:spacing w:after="0"/>
              <w:rPr>
                <w:sz w:val="13"/>
                <w:szCs w:val="13"/>
                <w:color w:val="auto"/>
              </w:rPr>
            </w:pPr>
          </w:p>
        </w:tc>
        <w:tc>
          <w:tcPr>
            <w:tcW w:w="60" w:type="dxa"/>
            <w:vAlign w:val="bottom"/>
            <w:shd w:val="clear" w:color="auto" w:fill="98B82F"/>
          </w:tcPr>
          <w:p>
            <w:pPr>
              <w:spacing w:after="0"/>
              <w:rPr>
                <w:sz w:val="13"/>
                <w:szCs w:val="13"/>
                <w:color w:val="auto"/>
              </w:rPr>
            </w:pPr>
          </w:p>
        </w:tc>
        <w:tc>
          <w:tcPr>
            <w:tcW w:w="20" w:type="dxa"/>
            <w:vAlign w:val="bottom"/>
            <w:shd w:val="clear" w:color="auto" w:fill="98B82F"/>
          </w:tcPr>
          <w:p>
            <w:pPr>
              <w:spacing w:after="0"/>
              <w:rPr>
                <w:sz w:val="13"/>
                <w:szCs w:val="13"/>
                <w:color w:val="auto"/>
              </w:rPr>
            </w:pPr>
          </w:p>
        </w:tc>
        <w:tc>
          <w:tcPr>
            <w:tcW w:w="500" w:type="dxa"/>
            <w:vAlign w:val="bottom"/>
            <w:gridSpan w:val="4"/>
            <w:shd w:val="clear" w:color="auto" w:fill="98B82F"/>
          </w:tcPr>
          <w:p>
            <w:pPr>
              <w:ind w:left="80"/>
              <w:spacing w:after="0" w:line="97" w:lineRule="exact"/>
              <w:rPr>
                <w:sz w:val="20"/>
                <w:szCs w:val="20"/>
                <w:color w:val="auto"/>
              </w:rPr>
            </w:pPr>
            <w:r>
              <w:rPr>
                <w:rFonts w:ascii="Arial" w:cs="Arial" w:eastAsia="Arial" w:hAnsi="Arial"/>
                <w:sz w:val="8"/>
                <w:szCs w:val="8"/>
                <w:b w:val="1"/>
                <w:bCs w:val="1"/>
                <w:color w:val="FFFFFF"/>
              </w:rPr>
              <w:t>+51</w:t>
            </w:r>
            <w:r>
              <w:rPr>
                <w:rFonts w:ascii="PMingLiU" w:cs="PMingLiU" w:eastAsia="PMingLiU" w:hAnsi="PMingLiU"/>
                <w:sz w:val="8"/>
                <w:szCs w:val="8"/>
                <w:b w:val="1"/>
                <w:bCs w:val="1"/>
                <w:color w:val="FFFFFF"/>
              </w:rPr>
              <w:t/>
            </w:r>
          </w:p>
        </w:tc>
        <w:tc>
          <w:tcPr>
            <w:tcW w:w="120" w:type="dxa"/>
            <w:vAlign w:val="bottom"/>
            <w:tcBorders>
              <w:right w:val="single" w:sz="8" w:color="98B82F"/>
            </w:tcBorders>
            <w:shd w:val="clear" w:color="auto" w:fill="98B82F"/>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640" w:type="dxa"/>
            <w:vAlign w:val="bottom"/>
            <w:tcBorders>
              <w:left w:val="single" w:sz="8" w:color="98B82F"/>
              <w:right w:val="single" w:sz="8" w:color="98B82F"/>
            </w:tcBorders>
            <w:gridSpan w:val="3"/>
            <w:shd w:val="clear" w:color="auto" w:fill="98B82F"/>
          </w:tcPr>
          <w:p>
            <w:pPr>
              <w:spacing w:after="0"/>
              <w:rPr>
                <w:sz w:val="6"/>
                <w:szCs w:val="6"/>
                <w:color w:val="auto"/>
              </w:rPr>
            </w:pPr>
          </w:p>
        </w:tc>
        <w:tc>
          <w:tcPr>
            <w:tcW w:w="140" w:type="dxa"/>
            <w:vAlign w:val="bottom"/>
            <w:tcBorders>
              <w:right w:val="single" w:sz="8" w:color="98B82F"/>
            </w:tcBorders>
            <w:gridSpan w:val="2"/>
            <w:shd w:val="clear" w:color="auto" w:fill="98B82F"/>
          </w:tcPr>
          <w:p>
            <w:pPr>
              <w:spacing w:after="0"/>
              <w:rPr>
                <w:sz w:val="6"/>
                <w:szCs w:val="6"/>
                <w:color w:val="auto"/>
              </w:rPr>
            </w:pPr>
          </w:p>
        </w:tc>
        <w:tc>
          <w:tcPr>
            <w:tcW w:w="320" w:type="dxa"/>
            <w:vAlign w:val="bottom"/>
            <w:tcBorders>
              <w:right w:val="single" w:sz="8" w:color="98B82F"/>
            </w:tcBorders>
            <w:shd w:val="clear" w:color="auto" w:fill="98B82F"/>
          </w:tcPr>
          <w:p>
            <w:pPr>
              <w:spacing w:after="0"/>
              <w:rPr>
                <w:sz w:val="6"/>
                <w:szCs w:val="6"/>
                <w:color w:val="auto"/>
              </w:rPr>
            </w:pPr>
          </w:p>
        </w:tc>
        <w:tc>
          <w:tcPr>
            <w:tcW w:w="1060" w:type="dxa"/>
            <w:vAlign w:val="bottom"/>
            <w:tcBorders>
              <w:right w:val="single" w:sz="8" w:color="98B82F"/>
            </w:tcBorders>
            <w:gridSpan w:val="8"/>
            <w:shd w:val="clear" w:color="auto" w:fill="98B82F"/>
          </w:tcPr>
          <w:p>
            <w:pPr>
              <w:spacing w:after="0"/>
              <w:rPr>
                <w:sz w:val="6"/>
                <w:szCs w:val="6"/>
                <w:color w:val="auto"/>
              </w:rPr>
            </w:pPr>
          </w:p>
        </w:tc>
        <w:tc>
          <w:tcPr>
            <w:tcW w:w="280" w:type="dxa"/>
            <w:vAlign w:val="bottom"/>
            <w:tcBorders>
              <w:right w:val="single" w:sz="8" w:color="98B82F"/>
            </w:tcBorders>
            <w:shd w:val="clear" w:color="auto" w:fill="98B82F"/>
          </w:tcPr>
          <w:p>
            <w:pPr>
              <w:spacing w:after="0"/>
              <w:rPr>
                <w:sz w:val="6"/>
                <w:szCs w:val="6"/>
                <w:color w:val="auto"/>
              </w:rPr>
            </w:pPr>
          </w:p>
        </w:tc>
        <w:tc>
          <w:tcPr>
            <w:tcW w:w="100" w:type="dxa"/>
            <w:vAlign w:val="bottom"/>
            <w:tcBorders>
              <w:right w:val="single" w:sz="8" w:color="98B82F"/>
            </w:tcBorders>
            <w:shd w:val="clear" w:color="auto" w:fill="98B82F"/>
          </w:tcPr>
          <w:p>
            <w:pPr>
              <w:spacing w:after="0"/>
              <w:rPr>
                <w:sz w:val="6"/>
                <w:szCs w:val="6"/>
                <w:color w:val="auto"/>
              </w:rPr>
            </w:pPr>
          </w:p>
        </w:tc>
        <w:tc>
          <w:tcPr>
            <w:tcW w:w="480" w:type="dxa"/>
            <w:vAlign w:val="bottom"/>
            <w:gridSpan w:val="6"/>
            <w:shd w:val="clear" w:color="auto" w:fill="98B82F"/>
          </w:tcPr>
          <w:p>
            <w:pPr>
              <w:spacing w:after="0"/>
              <w:rPr>
                <w:sz w:val="6"/>
                <w:szCs w:val="6"/>
                <w:color w:val="auto"/>
              </w:rPr>
            </w:pPr>
          </w:p>
        </w:tc>
        <w:tc>
          <w:tcPr>
            <w:tcW w:w="200" w:type="dxa"/>
            <w:vAlign w:val="bottom"/>
            <w:tcBorders>
              <w:left w:val="single" w:sz="8" w:color="98B82F"/>
              <w:right w:val="single" w:sz="8" w:color="98B82F"/>
            </w:tcBorders>
            <w:shd w:val="clear" w:color="auto" w:fill="98B82F"/>
          </w:tcPr>
          <w:p>
            <w:pPr>
              <w:spacing w:after="0"/>
              <w:rPr>
                <w:sz w:val="6"/>
                <w:szCs w:val="6"/>
                <w:color w:val="auto"/>
              </w:rPr>
            </w:pPr>
          </w:p>
        </w:tc>
        <w:tc>
          <w:tcPr>
            <w:tcW w:w="600" w:type="dxa"/>
            <w:vAlign w:val="bottom"/>
            <w:tcBorders>
              <w:right w:val="single" w:sz="8" w:color="98B82F"/>
            </w:tcBorders>
            <w:gridSpan w:val="6"/>
            <w:shd w:val="clear" w:color="auto" w:fill="98B82F"/>
          </w:tcPr>
          <w:p>
            <w:pPr>
              <w:spacing w:after="0"/>
              <w:rPr>
                <w:sz w:val="6"/>
                <w:szCs w:val="6"/>
                <w:color w:val="auto"/>
              </w:rPr>
            </w:pPr>
          </w:p>
        </w:tc>
        <w:tc>
          <w:tcPr>
            <w:tcW w:w="120" w:type="dxa"/>
            <w:vAlign w:val="bottom"/>
            <w:tcBorders>
              <w:right w:val="single" w:sz="8" w:color="98B82F"/>
            </w:tcBorders>
            <w:gridSpan w:val="2"/>
            <w:shd w:val="clear" w:color="auto" w:fill="98B82F"/>
          </w:tcPr>
          <w:p>
            <w:pPr>
              <w:spacing w:after="0"/>
              <w:rPr>
                <w:sz w:val="6"/>
                <w:szCs w:val="6"/>
                <w:color w:val="auto"/>
              </w:rPr>
            </w:pPr>
          </w:p>
        </w:tc>
        <w:tc>
          <w:tcPr>
            <w:tcW w:w="100" w:type="dxa"/>
            <w:vAlign w:val="bottom"/>
            <w:tcBorders>
              <w:right w:val="single" w:sz="8" w:color="98B82F"/>
            </w:tcBorders>
            <w:shd w:val="clear" w:color="auto" w:fill="98B82F"/>
          </w:tcPr>
          <w:p>
            <w:pPr>
              <w:spacing w:after="0"/>
              <w:rPr>
                <w:sz w:val="6"/>
                <w:szCs w:val="6"/>
                <w:color w:val="auto"/>
              </w:rPr>
            </w:pPr>
          </w:p>
        </w:tc>
        <w:tc>
          <w:tcPr>
            <w:tcW w:w="220" w:type="dxa"/>
            <w:vAlign w:val="bottom"/>
            <w:tcBorders>
              <w:right w:val="single" w:sz="8" w:color="98B82F"/>
            </w:tcBorders>
            <w:gridSpan w:val="4"/>
            <w:shd w:val="clear" w:color="auto" w:fill="98B82F"/>
          </w:tcPr>
          <w:p>
            <w:pPr>
              <w:spacing w:after="0"/>
              <w:rPr>
                <w:sz w:val="6"/>
                <w:szCs w:val="6"/>
                <w:color w:val="auto"/>
              </w:rPr>
            </w:pPr>
          </w:p>
        </w:tc>
        <w:tc>
          <w:tcPr>
            <w:tcW w:w="600" w:type="dxa"/>
            <w:vAlign w:val="bottom"/>
            <w:tcBorders>
              <w:right w:val="single" w:sz="8" w:color="98B82F"/>
            </w:tcBorders>
            <w:gridSpan w:val="6"/>
            <w:shd w:val="clear" w:color="auto" w:fill="98B82F"/>
          </w:tcPr>
          <w:p>
            <w:pPr>
              <w:spacing w:after="0"/>
              <w:rPr>
                <w:sz w:val="6"/>
                <w:szCs w:val="6"/>
                <w:color w:val="auto"/>
              </w:rPr>
            </w:pPr>
          </w:p>
        </w:tc>
        <w:tc>
          <w:tcPr>
            <w:tcW w:w="320" w:type="dxa"/>
            <w:vAlign w:val="bottom"/>
            <w:tcBorders>
              <w:right w:val="single" w:sz="8" w:color="98B82F"/>
            </w:tcBorders>
            <w:gridSpan w:val="4"/>
            <w:shd w:val="clear" w:color="auto" w:fill="98B82F"/>
          </w:tcPr>
          <w:p>
            <w:pPr>
              <w:spacing w:after="0"/>
              <w:rPr>
                <w:sz w:val="6"/>
                <w:szCs w:val="6"/>
                <w:color w:val="auto"/>
              </w:rPr>
            </w:pPr>
          </w:p>
        </w:tc>
        <w:tc>
          <w:tcPr>
            <w:tcW w:w="100" w:type="dxa"/>
            <w:vAlign w:val="bottom"/>
            <w:tcBorders>
              <w:right w:val="single" w:sz="8" w:color="98B82F"/>
            </w:tcBorders>
            <w:shd w:val="clear" w:color="auto" w:fill="98B82F"/>
          </w:tcPr>
          <w:p>
            <w:pPr>
              <w:spacing w:after="0"/>
              <w:rPr>
                <w:sz w:val="6"/>
                <w:szCs w:val="6"/>
                <w:color w:val="auto"/>
              </w:rPr>
            </w:pPr>
          </w:p>
        </w:tc>
        <w:tc>
          <w:tcPr>
            <w:tcW w:w="300" w:type="dxa"/>
            <w:vAlign w:val="bottom"/>
            <w:tcBorders>
              <w:right w:val="single" w:sz="8" w:color="98B82F"/>
            </w:tcBorders>
            <w:gridSpan w:val="3"/>
            <w:shd w:val="clear" w:color="auto" w:fill="98B82F"/>
          </w:tcPr>
          <w:p>
            <w:pPr>
              <w:spacing w:after="0"/>
              <w:rPr>
                <w:sz w:val="6"/>
                <w:szCs w:val="6"/>
                <w:color w:val="auto"/>
              </w:rPr>
            </w:pPr>
          </w:p>
        </w:tc>
        <w:tc>
          <w:tcPr>
            <w:tcW w:w="1740" w:type="dxa"/>
            <w:vAlign w:val="bottom"/>
            <w:gridSpan w:val="14"/>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780" w:type="dxa"/>
            <w:vAlign w:val="bottom"/>
            <w:tcBorders>
              <w:left w:val="single" w:sz="8" w:color="98B82F"/>
              <w:bottom w:val="single" w:sz="8" w:color="EAF1CE"/>
              <w:right w:val="single" w:sz="8" w:color="EAF1CE"/>
            </w:tcBorders>
            <w:gridSpan w:val="5"/>
            <w:shd w:val="clear" w:color="auto" w:fill="EAF1CE"/>
          </w:tcPr>
          <w:p>
            <w:pPr>
              <w:ind w:left="100"/>
              <w:spacing w:after="0"/>
              <w:rPr>
                <w:sz w:val="20"/>
                <w:szCs w:val="20"/>
                <w:color w:val="auto"/>
              </w:rPr>
            </w:pPr>
            <w:r>
              <w:rPr>
                <w:rFonts w:ascii="Arial" w:cs="Arial" w:eastAsia="Arial" w:hAnsi="Arial"/>
                <w:sz w:val="8"/>
                <w:szCs w:val="8"/>
                <w:color w:val="262626"/>
              </w:rPr>
              <w:t>Pune, India</w:t>
            </w:r>
          </w:p>
        </w:tc>
        <w:tc>
          <w:tcPr>
            <w:tcW w:w="320" w:type="dxa"/>
            <w:vAlign w:val="bottom"/>
            <w:tcBorders>
              <w:bottom w:val="single" w:sz="8" w:color="EAF1CE"/>
              <w:right w:val="single" w:sz="8" w:color="EAF1CE"/>
            </w:tcBorders>
            <w:shd w:val="clear" w:color="auto" w:fill="EAF1CE"/>
          </w:tcPr>
          <w:p>
            <w:pPr>
              <w:spacing w:after="0"/>
              <w:rPr>
                <w:sz w:val="16"/>
                <w:szCs w:val="16"/>
                <w:color w:val="auto"/>
              </w:rPr>
            </w:pPr>
          </w:p>
        </w:tc>
        <w:tc>
          <w:tcPr>
            <w:tcW w:w="80" w:type="dxa"/>
            <w:vAlign w:val="bottom"/>
            <w:tcBorders>
              <w:bottom w:val="single" w:sz="8" w:color="EAF1CE"/>
            </w:tcBorders>
            <w:shd w:val="clear" w:color="auto" w:fill="EAF1CE"/>
          </w:tcPr>
          <w:p>
            <w:pPr>
              <w:spacing w:after="0"/>
              <w:rPr>
                <w:sz w:val="16"/>
                <w:szCs w:val="16"/>
                <w:color w:val="auto"/>
              </w:rPr>
            </w:pPr>
          </w:p>
        </w:tc>
        <w:tc>
          <w:tcPr>
            <w:tcW w:w="140" w:type="dxa"/>
            <w:vAlign w:val="bottom"/>
            <w:tcBorders>
              <w:bottom w:val="single" w:sz="8" w:color="EAF1CE"/>
            </w:tcBorders>
            <w:shd w:val="clear" w:color="auto" w:fill="EAF1CE"/>
          </w:tcPr>
          <w:p>
            <w:pPr>
              <w:spacing w:after="0"/>
              <w:rPr>
                <w:sz w:val="16"/>
                <w:szCs w:val="16"/>
                <w:color w:val="auto"/>
              </w:rPr>
            </w:pPr>
          </w:p>
        </w:tc>
        <w:tc>
          <w:tcPr>
            <w:tcW w:w="120" w:type="dxa"/>
            <w:vAlign w:val="bottom"/>
            <w:tcBorders>
              <w:bottom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120" w:type="dxa"/>
            <w:vAlign w:val="bottom"/>
            <w:tcBorders>
              <w:bottom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140" w:type="dxa"/>
            <w:vAlign w:val="bottom"/>
            <w:tcBorders>
              <w:bottom w:val="single" w:sz="8" w:color="EAF1CE"/>
            </w:tcBorders>
            <w:shd w:val="clear" w:color="auto" w:fill="EAF1CE"/>
          </w:tcPr>
          <w:p>
            <w:pPr>
              <w:spacing w:after="0"/>
              <w:rPr>
                <w:sz w:val="16"/>
                <w:szCs w:val="16"/>
                <w:color w:val="auto"/>
              </w:rPr>
            </w:pPr>
          </w:p>
        </w:tc>
        <w:tc>
          <w:tcPr>
            <w:tcW w:w="260" w:type="dxa"/>
            <w:vAlign w:val="bottom"/>
            <w:tcBorders>
              <w:bottom w:val="single" w:sz="8" w:color="EAF1CE"/>
              <w:right w:val="single" w:sz="8" w:color="EAF1CE"/>
            </w:tcBorders>
            <w:shd w:val="clear" w:color="auto" w:fill="EAF1CE"/>
          </w:tcPr>
          <w:p>
            <w:pPr>
              <w:spacing w:after="0"/>
              <w:rPr>
                <w:sz w:val="16"/>
                <w:szCs w:val="16"/>
                <w:color w:val="auto"/>
              </w:rPr>
            </w:pPr>
          </w:p>
        </w:tc>
        <w:tc>
          <w:tcPr>
            <w:tcW w:w="280" w:type="dxa"/>
            <w:vAlign w:val="bottom"/>
            <w:tcBorders>
              <w:bottom w:val="single" w:sz="8" w:color="EAF1CE"/>
              <w:right w:val="single" w:sz="8" w:color="EAF1CE"/>
            </w:tcBorders>
            <w:shd w:val="clear" w:color="auto" w:fill="EAF1CE"/>
          </w:tcPr>
          <w:p>
            <w:pPr>
              <w:spacing w:after="0"/>
              <w:rPr>
                <w:sz w:val="16"/>
                <w:szCs w:val="16"/>
                <w:color w:val="auto"/>
              </w:rPr>
            </w:pPr>
          </w:p>
        </w:tc>
        <w:tc>
          <w:tcPr>
            <w:tcW w:w="100" w:type="dxa"/>
            <w:vAlign w:val="bottom"/>
            <w:tcBorders>
              <w:bottom w:val="single" w:sz="8" w:color="EAF1CE"/>
              <w:right w:val="single" w:sz="8" w:color="EAF1CE"/>
            </w:tcBorders>
            <w:shd w:val="clear" w:color="auto" w:fill="EAF1CE"/>
          </w:tcPr>
          <w:p>
            <w:pPr>
              <w:spacing w:after="0"/>
              <w:rPr>
                <w:sz w:val="16"/>
                <w:szCs w:val="16"/>
                <w:color w:val="auto"/>
              </w:rPr>
            </w:pPr>
          </w:p>
        </w:tc>
        <w:tc>
          <w:tcPr>
            <w:tcW w:w="18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60" w:type="dxa"/>
            <w:vAlign w:val="bottom"/>
            <w:tcBorders>
              <w:bottom w:val="single" w:sz="8" w:color="EAF1CE"/>
            </w:tcBorders>
            <w:shd w:val="clear" w:color="auto" w:fill="EAF1CE"/>
          </w:tcPr>
          <w:p>
            <w:pPr>
              <w:spacing w:after="0"/>
              <w:rPr>
                <w:sz w:val="16"/>
                <w:szCs w:val="16"/>
                <w:color w:val="auto"/>
              </w:rPr>
            </w:pPr>
          </w:p>
        </w:tc>
        <w:tc>
          <w:tcPr>
            <w:tcW w:w="12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200" w:type="dxa"/>
            <w:vAlign w:val="bottom"/>
            <w:tcBorders>
              <w:left w:val="single" w:sz="8" w:color="EAF1CE"/>
              <w:bottom w:val="single" w:sz="8" w:color="EAF1CE"/>
              <w:right w:val="single" w:sz="8" w:color="98B82F"/>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120" w:type="dxa"/>
            <w:vAlign w:val="bottom"/>
            <w:tcBorders>
              <w:bottom w:val="single" w:sz="8" w:color="EAF1CE"/>
            </w:tcBorders>
            <w:shd w:val="clear" w:color="auto" w:fill="EAF1CE"/>
          </w:tcPr>
          <w:p>
            <w:pPr>
              <w:spacing w:after="0"/>
              <w:rPr>
                <w:sz w:val="16"/>
                <w:szCs w:val="16"/>
                <w:color w:val="auto"/>
              </w:rPr>
            </w:pPr>
          </w:p>
        </w:tc>
        <w:tc>
          <w:tcPr>
            <w:tcW w:w="220" w:type="dxa"/>
            <w:vAlign w:val="bottom"/>
            <w:tcBorders>
              <w:bottom w:val="single" w:sz="8" w:color="EAF1CE"/>
            </w:tcBorders>
            <w:shd w:val="clear" w:color="auto" w:fill="EAF1CE"/>
          </w:tcPr>
          <w:p>
            <w:pPr>
              <w:spacing w:after="0"/>
              <w:rPr>
                <w:sz w:val="16"/>
                <w:szCs w:val="16"/>
                <w:color w:val="auto"/>
              </w:rPr>
            </w:pPr>
          </w:p>
        </w:tc>
        <w:tc>
          <w:tcPr>
            <w:tcW w:w="340" w:type="dxa"/>
            <w:vAlign w:val="bottom"/>
            <w:tcBorders>
              <w:bottom w:val="single" w:sz="8" w:color="EAF1CE"/>
              <w:right w:val="single" w:sz="8" w:color="EAF1CE"/>
            </w:tcBorders>
            <w:gridSpan w:val="5"/>
            <w:shd w:val="clear" w:color="auto" w:fill="EAF1CE"/>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bottom w:val="single" w:sz="8" w:color="EAF1CE"/>
              <w:right w:val="single" w:sz="8" w:color="98B82F"/>
            </w:tcBorders>
            <w:shd w:val="clear" w:color="auto" w:fill="EAF1CE"/>
          </w:tcPr>
          <w:p>
            <w:pPr>
              <w:spacing w:after="0"/>
              <w:rPr>
                <w:sz w:val="16"/>
                <w:szCs w:val="16"/>
                <w:color w:val="auto"/>
              </w:rPr>
            </w:pPr>
          </w:p>
        </w:tc>
        <w:tc>
          <w:tcPr>
            <w:tcW w:w="20" w:type="dxa"/>
            <w:vAlign w:val="bottom"/>
            <w:tcBorders>
              <w:bottom w:val="single" w:sz="8" w:color="EAF1CE"/>
            </w:tcBorders>
            <w:shd w:val="clear" w:color="auto" w:fill="EAF1CE"/>
          </w:tcPr>
          <w:p>
            <w:pPr>
              <w:spacing w:after="0"/>
              <w:rPr>
                <w:sz w:val="16"/>
                <w:szCs w:val="16"/>
                <w:color w:val="auto"/>
              </w:rPr>
            </w:pPr>
          </w:p>
        </w:tc>
        <w:tc>
          <w:tcPr>
            <w:tcW w:w="60" w:type="dxa"/>
            <w:vAlign w:val="bottom"/>
            <w:tcBorders>
              <w:bottom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right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160" w:type="dxa"/>
            <w:vAlign w:val="bottom"/>
            <w:tcBorders>
              <w:bottom w:val="single" w:sz="8" w:color="EAF1CE"/>
            </w:tcBorders>
            <w:gridSpan w:val="2"/>
            <w:shd w:val="clear" w:color="auto" w:fill="EAF1CE"/>
          </w:tcPr>
          <w:p>
            <w:pPr>
              <w:jc w:val="center"/>
              <w:ind w:right="40"/>
              <w:spacing w:after="0"/>
              <w:rPr>
                <w:sz w:val="20"/>
                <w:szCs w:val="20"/>
                <w:color w:val="auto"/>
              </w:rPr>
            </w:pPr>
            <w:r>
              <w:rPr>
                <w:rFonts w:ascii="Arial" w:cs="Arial" w:eastAsia="Arial" w:hAnsi="Arial"/>
                <w:sz w:val="8"/>
                <w:szCs w:val="8"/>
                <w:color w:val="262626"/>
                <w:w w:val="74"/>
              </w:rPr>
              <w:t>X</w:t>
            </w:r>
          </w:p>
        </w:tc>
        <w:tc>
          <w:tcPr>
            <w:tcW w:w="100" w:type="dxa"/>
            <w:vAlign w:val="bottom"/>
            <w:tcBorders>
              <w:bottom w:val="single" w:sz="8" w:color="EAF1CE"/>
            </w:tcBorders>
            <w:shd w:val="clear" w:color="auto" w:fill="EAF1CE"/>
          </w:tcPr>
          <w:p>
            <w:pPr>
              <w:spacing w:after="0"/>
              <w:rPr>
                <w:sz w:val="16"/>
                <w:szCs w:val="16"/>
                <w:color w:val="auto"/>
              </w:rPr>
            </w:pPr>
          </w:p>
        </w:tc>
        <w:tc>
          <w:tcPr>
            <w:tcW w:w="60" w:type="dxa"/>
            <w:vAlign w:val="bottom"/>
            <w:tcBorders>
              <w:bottom w:val="single" w:sz="8" w:color="EAF1CE"/>
            </w:tcBorders>
            <w:shd w:val="clear" w:color="auto" w:fill="EAF1CE"/>
          </w:tcPr>
          <w:p>
            <w:pPr>
              <w:spacing w:after="0"/>
              <w:rPr>
                <w:sz w:val="16"/>
                <w:szCs w:val="16"/>
                <w:color w:val="auto"/>
              </w:rPr>
            </w:pPr>
          </w:p>
        </w:tc>
        <w:tc>
          <w:tcPr>
            <w:tcW w:w="180" w:type="dxa"/>
            <w:vAlign w:val="bottom"/>
            <w:tcBorders>
              <w:bottom w:val="single" w:sz="8" w:color="EAF1CE"/>
              <w:right w:val="single" w:sz="8" w:color="98B82F"/>
            </w:tcBorders>
            <w:shd w:val="clear" w:color="auto" w:fill="EAF1CE"/>
          </w:tcPr>
          <w:p>
            <w:pPr>
              <w:spacing w:after="0"/>
              <w:rPr>
                <w:sz w:val="16"/>
                <w:szCs w:val="16"/>
                <w:color w:val="auto"/>
              </w:rPr>
            </w:pPr>
          </w:p>
        </w:tc>
        <w:tc>
          <w:tcPr>
            <w:tcW w:w="20" w:type="dxa"/>
            <w:vAlign w:val="bottom"/>
            <w:tcBorders>
              <w:bottom w:val="single" w:sz="8" w:color="EAF1CE"/>
            </w:tcBorders>
            <w:shd w:val="clear" w:color="auto" w:fill="EAF1CE"/>
          </w:tcPr>
          <w:p>
            <w:pPr>
              <w:spacing w:after="0"/>
              <w:rPr>
                <w:sz w:val="16"/>
                <w:szCs w:val="16"/>
                <w:color w:val="auto"/>
              </w:rPr>
            </w:pPr>
          </w:p>
        </w:tc>
        <w:tc>
          <w:tcPr>
            <w:tcW w:w="60" w:type="dxa"/>
            <w:vAlign w:val="bottom"/>
            <w:tcBorders>
              <w:bottom w:val="single" w:sz="8" w:color="EAF1CE"/>
            </w:tcBorders>
            <w:shd w:val="clear" w:color="auto" w:fill="EAF1CE"/>
          </w:tcPr>
          <w:p>
            <w:pPr>
              <w:spacing w:after="0"/>
              <w:rPr>
                <w:sz w:val="16"/>
                <w:szCs w:val="16"/>
                <w:color w:val="auto"/>
              </w:rPr>
            </w:pPr>
          </w:p>
        </w:tc>
        <w:tc>
          <w:tcPr>
            <w:tcW w:w="20" w:type="dxa"/>
            <w:vAlign w:val="bottom"/>
            <w:tcBorders>
              <w:bottom w:val="single" w:sz="8" w:color="EAF1CE"/>
            </w:tcBorders>
            <w:shd w:val="clear" w:color="auto" w:fill="EAF1CE"/>
          </w:tcPr>
          <w:p>
            <w:pPr>
              <w:spacing w:after="0"/>
              <w:rPr>
                <w:sz w:val="16"/>
                <w:szCs w:val="16"/>
                <w:color w:val="auto"/>
              </w:rPr>
            </w:pPr>
          </w:p>
        </w:tc>
        <w:tc>
          <w:tcPr>
            <w:tcW w:w="220" w:type="dxa"/>
            <w:vAlign w:val="bottom"/>
            <w:tcBorders>
              <w:bottom w:val="single" w:sz="8" w:color="EAF1CE"/>
              <w:right w:val="single" w:sz="8" w:color="EAF1CE"/>
            </w:tcBorders>
            <w:shd w:val="clear" w:color="auto" w:fill="EAF1CE"/>
          </w:tcPr>
          <w:p>
            <w:pPr>
              <w:spacing w:after="0"/>
              <w:rPr>
                <w:sz w:val="16"/>
                <w:szCs w:val="16"/>
                <w:color w:val="auto"/>
              </w:rPr>
            </w:pPr>
          </w:p>
        </w:tc>
        <w:tc>
          <w:tcPr>
            <w:tcW w:w="280" w:type="dxa"/>
            <w:vAlign w:val="bottom"/>
            <w:tcBorders>
              <w:bottom w:val="single" w:sz="8" w:color="EAF1CE"/>
            </w:tcBorders>
            <w:gridSpan w:val="3"/>
            <w:shd w:val="clear" w:color="auto" w:fill="EAF1CE"/>
          </w:tcPr>
          <w:p>
            <w:pPr>
              <w:ind w:left="20"/>
              <w:spacing w:after="0"/>
              <w:rPr>
                <w:sz w:val="20"/>
                <w:szCs w:val="20"/>
                <w:color w:val="auto"/>
              </w:rPr>
            </w:pPr>
            <w:r>
              <w:rPr>
                <w:rFonts w:ascii="Arial" w:cs="Arial" w:eastAsia="Arial" w:hAnsi="Arial"/>
                <w:sz w:val="8"/>
                <w:szCs w:val="8"/>
                <w:color w:val="262626"/>
              </w:rPr>
              <w:t>X</w:t>
            </w:r>
          </w:p>
        </w:tc>
        <w:tc>
          <w:tcPr>
            <w:tcW w:w="120" w:type="dxa"/>
            <w:vAlign w:val="bottom"/>
            <w:tcBorders>
              <w:bottom w:val="single" w:sz="8" w:color="EAF1CE"/>
              <w:right w:val="single" w:sz="8" w:color="98B82F"/>
            </w:tcBorders>
            <w:shd w:val="clear" w:color="auto" w:fill="EAF1C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 w:type="dxa"/>
            <w:vAlign w:val="bottom"/>
            <w:tcBorders>
              <w:top w:val="single" w:sz="8" w:color="98B82F"/>
              <w:left w:val="single" w:sz="8" w:color="98B82F"/>
              <w:bottom w:val="single" w:sz="8" w:color="EAF1CE"/>
              <w:right w:val="single" w:sz="8" w:color="EAF1CE"/>
            </w:tcBorders>
            <w:gridSpan w:val="5"/>
            <w:shd w:val="clear" w:color="auto" w:fill="EAF1CE"/>
          </w:tcPr>
          <w:p>
            <w:pPr>
              <w:ind w:left="100"/>
              <w:spacing w:after="0"/>
              <w:rPr>
                <w:sz w:val="20"/>
                <w:szCs w:val="20"/>
                <w:color w:val="auto"/>
              </w:rPr>
            </w:pPr>
            <w:r>
              <w:rPr>
                <w:rFonts w:ascii="Arial" w:cs="Arial" w:eastAsia="Arial" w:hAnsi="Arial"/>
                <w:sz w:val="8"/>
                <w:szCs w:val="8"/>
                <w:color w:val="262626"/>
              </w:rPr>
              <w:t>Singapore</w:t>
            </w:r>
          </w:p>
        </w:tc>
        <w:tc>
          <w:tcPr>
            <w:tcW w:w="32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80" w:type="dxa"/>
            <w:vAlign w:val="bottom"/>
            <w:tcBorders>
              <w:top w:val="single" w:sz="8" w:color="98B82F"/>
              <w:bottom w:val="single" w:sz="8" w:color="EAF1CE"/>
            </w:tcBorders>
            <w:shd w:val="clear" w:color="auto" w:fill="EAF1CE"/>
          </w:tcPr>
          <w:p>
            <w:pPr>
              <w:spacing w:after="0"/>
              <w:rPr>
                <w:sz w:val="15"/>
                <w:szCs w:val="15"/>
                <w:color w:val="auto"/>
              </w:rPr>
            </w:pPr>
          </w:p>
        </w:tc>
        <w:tc>
          <w:tcPr>
            <w:tcW w:w="140" w:type="dxa"/>
            <w:vAlign w:val="bottom"/>
            <w:tcBorders>
              <w:top w:val="single" w:sz="8" w:color="98B82F"/>
              <w:bottom w:val="single" w:sz="8" w:color="EAF1CE"/>
            </w:tcBorders>
            <w:shd w:val="clear" w:color="auto" w:fill="EAF1CE"/>
          </w:tcPr>
          <w:p>
            <w:pPr>
              <w:spacing w:after="0"/>
              <w:rPr>
                <w:sz w:val="15"/>
                <w:szCs w:val="15"/>
                <w:color w:val="auto"/>
              </w:rPr>
            </w:pPr>
          </w:p>
        </w:tc>
        <w:tc>
          <w:tcPr>
            <w:tcW w:w="120" w:type="dxa"/>
            <w:vAlign w:val="bottom"/>
            <w:tcBorders>
              <w:top w:val="single" w:sz="8" w:color="98B82F"/>
              <w:bottom w:val="single" w:sz="8" w:color="EAF1CE"/>
            </w:tcBorders>
            <w:shd w:val="clear" w:color="auto" w:fill="EAF1CE"/>
          </w:tcPr>
          <w:p>
            <w:pPr>
              <w:spacing w:after="0"/>
              <w:rPr>
                <w:sz w:val="15"/>
                <w:szCs w:val="15"/>
                <w:color w:val="auto"/>
              </w:rPr>
            </w:pPr>
          </w:p>
        </w:tc>
        <w:tc>
          <w:tcPr>
            <w:tcW w:w="100" w:type="dxa"/>
            <w:vAlign w:val="bottom"/>
            <w:tcBorders>
              <w:top w:val="single" w:sz="8" w:color="98B82F"/>
              <w:bottom w:val="single" w:sz="8" w:color="EAF1CE"/>
            </w:tcBorders>
            <w:shd w:val="clear" w:color="auto" w:fill="EAF1CE"/>
          </w:tcPr>
          <w:p>
            <w:pPr>
              <w:spacing w:after="0"/>
              <w:rPr>
                <w:sz w:val="15"/>
                <w:szCs w:val="15"/>
                <w:color w:val="auto"/>
              </w:rPr>
            </w:pPr>
          </w:p>
        </w:tc>
        <w:tc>
          <w:tcPr>
            <w:tcW w:w="120" w:type="dxa"/>
            <w:vAlign w:val="bottom"/>
            <w:tcBorders>
              <w:top w:val="single" w:sz="8" w:color="98B82F"/>
              <w:bottom w:val="single" w:sz="8" w:color="EAF1CE"/>
            </w:tcBorders>
            <w:shd w:val="clear" w:color="auto" w:fill="EAF1CE"/>
          </w:tcPr>
          <w:p>
            <w:pPr>
              <w:spacing w:after="0"/>
              <w:rPr>
                <w:sz w:val="15"/>
                <w:szCs w:val="15"/>
                <w:color w:val="auto"/>
              </w:rPr>
            </w:pPr>
          </w:p>
        </w:tc>
        <w:tc>
          <w:tcPr>
            <w:tcW w:w="100" w:type="dxa"/>
            <w:vAlign w:val="bottom"/>
            <w:tcBorders>
              <w:top w:val="single" w:sz="8" w:color="98B82F"/>
              <w:bottom w:val="single" w:sz="8" w:color="EAF1CE"/>
            </w:tcBorders>
            <w:shd w:val="clear" w:color="auto" w:fill="EAF1CE"/>
          </w:tcPr>
          <w:p>
            <w:pPr>
              <w:spacing w:after="0"/>
              <w:rPr>
                <w:sz w:val="15"/>
                <w:szCs w:val="15"/>
                <w:color w:val="auto"/>
              </w:rPr>
            </w:pPr>
          </w:p>
        </w:tc>
        <w:tc>
          <w:tcPr>
            <w:tcW w:w="140" w:type="dxa"/>
            <w:vAlign w:val="bottom"/>
            <w:tcBorders>
              <w:top w:val="single" w:sz="8" w:color="98B82F"/>
              <w:bottom w:val="single" w:sz="8" w:color="EAF1CE"/>
            </w:tcBorders>
            <w:shd w:val="clear" w:color="auto" w:fill="EAF1CE"/>
          </w:tcPr>
          <w:p>
            <w:pPr>
              <w:spacing w:after="0"/>
              <w:rPr>
                <w:sz w:val="15"/>
                <w:szCs w:val="15"/>
                <w:color w:val="auto"/>
              </w:rPr>
            </w:pPr>
          </w:p>
        </w:tc>
        <w:tc>
          <w:tcPr>
            <w:tcW w:w="26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28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10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180" w:type="dxa"/>
            <w:vAlign w:val="bottom"/>
            <w:tcBorders>
              <w:top w:val="single" w:sz="8" w:color="98B82F"/>
              <w:bottom w:val="single" w:sz="8" w:color="EAF1CE"/>
            </w:tcBorders>
            <w:shd w:val="clear" w:color="auto" w:fill="EAF1CE"/>
          </w:tcPr>
          <w:p>
            <w:pPr>
              <w:spacing w:after="0"/>
              <w:rPr>
                <w:sz w:val="15"/>
                <w:szCs w:val="15"/>
                <w:color w:val="auto"/>
              </w:rPr>
            </w:pPr>
          </w:p>
        </w:tc>
        <w:tc>
          <w:tcPr>
            <w:tcW w:w="40" w:type="dxa"/>
            <w:vAlign w:val="bottom"/>
            <w:tcBorders>
              <w:top w:val="single" w:sz="8" w:color="98B82F"/>
              <w:bottom w:val="single" w:sz="8" w:color="EAF1CE"/>
            </w:tcBorders>
            <w:shd w:val="clear" w:color="auto" w:fill="EAF1CE"/>
          </w:tcPr>
          <w:p>
            <w:pPr>
              <w:spacing w:after="0"/>
              <w:rPr>
                <w:sz w:val="15"/>
                <w:szCs w:val="15"/>
                <w:color w:val="auto"/>
              </w:rPr>
            </w:pPr>
          </w:p>
        </w:tc>
        <w:tc>
          <w:tcPr>
            <w:tcW w:w="60" w:type="dxa"/>
            <w:vAlign w:val="bottom"/>
            <w:tcBorders>
              <w:top w:val="single" w:sz="8" w:color="98B82F"/>
              <w:bottom w:val="single" w:sz="8" w:color="EAF1CE"/>
            </w:tcBorders>
            <w:shd w:val="clear" w:color="auto" w:fill="EAF1CE"/>
          </w:tcPr>
          <w:p>
            <w:pPr>
              <w:spacing w:after="0"/>
              <w:rPr>
                <w:sz w:val="15"/>
                <w:szCs w:val="15"/>
                <w:color w:val="auto"/>
              </w:rPr>
            </w:pPr>
          </w:p>
        </w:tc>
        <w:tc>
          <w:tcPr>
            <w:tcW w:w="120" w:type="dxa"/>
            <w:vAlign w:val="bottom"/>
            <w:tcBorders>
              <w:top w:val="single" w:sz="8" w:color="98B82F"/>
              <w:bottom w:val="single" w:sz="8" w:color="EAF1CE"/>
            </w:tcBorders>
            <w:shd w:val="clear" w:color="auto" w:fill="EAF1CE"/>
          </w:tcPr>
          <w:p>
            <w:pPr>
              <w:spacing w:after="0"/>
              <w:rPr>
                <w:sz w:val="15"/>
                <w:szCs w:val="15"/>
                <w:color w:val="auto"/>
              </w:rPr>
            </w:pPr>
          </w:p>
        </w:tc>
        <w:tc>
          <w:tcPr>
            <w:tcW w:w="40" w:type="dxa"/>
            <w:vAlign w:val="bottom"/>
            <w:tcBorders>
              <w:top w:val="single" w:sz="8" w:color="98B82F"/>
              <w:bottom w:val="single" w:sz="8" w:color="EAF1CE"/>
            </w:tcBorders>
            <w:shd w:val="clear" w:color="auto" w:fill="EAF1CE"/>
          </w:tcPr>
          <w:p>
            <w:pPr>
              <w:spacing w:after="0"/>
              <w:rPr>
                <w:sz w:val="15"/>
                <w:szCs w:val="15"/>
                <w:color w:val="auto"/>
              </w:rPr>
            </w:pPr>
          </w:p>
        </w:tc>
        <w:tc>
          <w:tcPr>
            <w:tcW w:w="40" w:type="dxa"/>
            <w:vAlign w:val="bottom"/>
            <w:tcBorders>
              <w:top w:val="single" w:sz="8" w:color="98B82F"/>
              <w:bottom w:val="single" w:sz="8" w:color="EAF1CE"/>
            </w:tcBorders>
            <w:shd w:val="clear" w:color="auto" w:fill="EAF1CE"/>
          </w:tcPr>
          <w:p>
            <w:pPr>
              <w:spacing w:after="0"/>
              <w:rPr>
                <w:sz w:val="15"/>
                <w:szCs w:val="15"/>
                <w:color w:val="auto"/>
              </w:rPr>
            </w:pPr>
          </w:p>
        </w:tc>
        <w:tc>
          <w:tcPr>
            <w:tcW w:w="200" w:type="dxa"/>
            <w:vAlign w:val="bottom"/>
            <w:tcBorders>
              <w:top w:val="single" w:sz="8" w:color="98B82F"/>
              <w:left w:val="single" w:sz="8" w:color="EAF1CE"/>
              <w:bottom w:val="single" w:sz="8" w:color="EAF1CE"/>
              <w:right w:val="single" w:sz="8" w:color="98B82F"/>
            </w:tcBorders>
            <w:shd w:val="clear" w:color="auto" w:fill="EAF1CE"/>
          </w:tcPr>
          <w:p>
            <w:pPr>
              <w:spacing w:after="0"/>
              <w:rPr>
                <w:sz w:val="15"/>
                <w:szCs w:val="15"/>
                <w:color w:val="auto"/>
              </w:rPr>
            </w:pPr>
          </w:p>
        </w:tc>
        <w:tc>
          <w:tcPr>
            <w:tcW w:w="40" w:type="dxa"/>
            <w:vAlign w:val="bottom"/>
            <w:tcBorders>
              <w:top w:val="single" w:sz="8" w:color="98B82F"/>
              <w:bottom w:val="single" w:sz="8" w:color="EAF1CE"/>
            </w:tcBorders>
            <w:shd w:val="clear" w:color="auto" w:fill="EAF1CE"/>
          </w:tcPr>
          <w:p>
            <w:pPr>
              <w:spacing w:after="0"/>
              <w:rPr>
                <w:sz w:val="15"/>
                <w:szCs w:val="15"/>
                <w:color w:val="auto"/>
              </w:rPr>
            </w:pPr>
          </w:p>
        </w:tc>
        <w:tc>
          <w:tcPr>
            <w:tcW w:w="120" w:type="dxa"/>
            <w:vAlign w:val="bottom"/>
            <w:tcBorders>
              <w:top w:val="single" w:sz="8" w:color="98B82F"/>
              <w:bottom w:val="single" w:sz="8" w:color="EAF1CE"/>
            </w:tcBorders>
            <w:shd w:val="clear" w:color="auto" w:fill="EAF1CE"/>
          </w:tcPr>
          <w:p>
            <w:pPr>
              <w:spacing w:after="0"/>
              <w:rPr>
                <w:sz w:val="15"/>
                <w:szCs w:val="15"/>
                <w:color w:val="auto"/>
              </w:rPr>
            </w:pPr>
          </w:p>
        </w:tc>
        <w:tc>
          <w:tcPr>
            <w:tcW w:w="220" w:type="dxa"/>
            <w:vAlign w:val="bottom"/>
            <w:tcBorders>
              <w:top w:val="single" w:sz="8" w:color="98B82F"/>
              <w:bottom w:val="single" w:sz="8" w:color="EAF1CE"/>
            </w:tcBorders>
            <w:shd w:val="clear" w:color="auto" w:fill="EAF1CE"/>
          </w:tcPr>
          <w:p>
            <w:pPr>
              <w:spacing w:after="0"/>
              <w:rPr>
                <w:sz w:val="15"/>
                <w:szCs w:val="15"/>
                <w:color w:val="auto"/>
              </w:rPr>
            </w:pPr>
          </w:p>
        </w:tc>
        <w:tc>
          <w:tcPr>
            <w:tcW w:w="340" w:type="dxa"/>
            <w:vAlign w:val="bottom"/>
            <w:tcBorders>
              <w:top w:val="single" w:sz="8" w:color="98B82F"/>
              <w:bottom w:val="single" w:sz="8" w:color="EAF1CE"/>
              <w:right w:val="single" w:sz="8" w:color="EAF1CE"/>
            </w:tcBorders>
            <w:gridSpan w:val="5"/>
            <w:shd w:val="clear" w:color="auto" w:fill="EAF1CE"/>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right w:val="single" w:sz="8" w:color="98B82F"/>
            </w:tcBorders>
            <w:shd w:val="clear" w:color="auto" w:fill="EAF1CE"/>
          </w:tcPr>
          <w:p>
            <w:pPr>
              <w:spacing w:after="0"/>
              <w:rPr>
                <w:sz w:val="15"/>
                <w:szCs w:val="15"/>
                <w:color w:val="auto"/>
              </w:rPr>
            </w:pPr>
          </w:p>
        </w:tc>
        <w:tc>
          <w:tcPr>
            <w:tcW w:w="20" w:type="dxa"/>
            <w:vAlign w:val="bottom"/>
            <w:tcBorders>
              <w:top w:val="single" w:sz="8" w:color="98B82F"/>
              <w:bottom w:val="single" w:sz="8" w:color="EAF1CE"/>
            </w:tcBorders>
            <w:shd w:val="clear" w:color="auto" w:fill="EAF1CE"/>
          </w:tcPr>
          <w:p>
            <w:pPr>
              <w:spacing w:after="0"/>
              <w:rPr>
                <w:sz w:val="15"/>
                <w:szCs w:val="15"/>
                <w:color w:val="auto"/>
              </w:rPr>
            </w:pPr>
          </w:p>
        </w:tc>
        <w:tc>
          <w:tcPr>
            <w:tcW w:w="60" w:type="dxa"/>
            <w:vAlign w:val="bottom"/>
            <w:tcBorders>
              <w:top w:val="single" w:sz="8" w:color="98B82F"/>
              <w:bottom w:val="single" w:sz="8" w:color="EAF1CE"/>
            </w:tcBorders>
            <w:shd w:val="clear" w:color="auto" w:fill="EAF1CE"/>
          </w:tcPr>
          <w:p>
            <w:pPr>
              <w:spacing w:after="0"/>
              <w:rPr>
                <w:sz w:val="15"/>
                <w:szCs w:val="15"/>
                <w:color w:val="auto"/>
              </w:rPr>
            </w:pPr>
          </w:p>
        </w:tc>
        <w:tc>
          <w:tcPr>
            <w:tcW w:w="100" w:type="dxa"/>
            <w:vAlign w:val="bottom"/>
            <w:tcBorders>
              <w:top w:val="single" w:sz="8" w:color="98B82F"/>
              <w:bottom w:val="single" w:sz="8" w:color="EAF1CE"/>
            </w:tcBorders>
            <w:shd w:val="clear" w:color="auto" w:fill="EAF1CE"/>
          </w:tcPr>
          <w:p>
            <w:pPr>
              <w:spacing w:after="0"/>
              <w:rPr>
                <w:sz w:val="15"/>
                <w:szCs w:val="15"/>
                <w:color w:val="auto"/>
              </w:rPr>
            </w:pPr>
          </w:p>
        </w:tc>
        <w:tc>
          <w:tcPr>
            <w:tcW w:w="4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100" w:type="dxa"/>
            <w:vAlign w:val="bottom"/>
            <w:tcBorders>
              <w:top w:val="single" w:sz="8" w:color="98B82F"/>
              <w:bottom w:val="single" w:sz="8" w:color="EAF1CE"/>
            </w:tcBorders>
            <w:shd w:val="clear" w:color="auto" w:fill="EAF1CE"/>
          </w:tcPr>
          <w:p>
            <w:pPr>
              <w:spacing w:after="0"/>
              <w:rPr>
                <w:sz w:val="15"/>
                <w:szCs w:val="15"/>
                <w:color w:val="auto"/>
              </w:rPr>
            </w:pPr>
          </w:p>
        </w:tc>
        <w:tc>
          <w:tcPr>
            <w:tcW w:w="160" w:type="dxa"/>
            <w:vAlign w:val="bottom"/>
            <w:tcBorders>
              <w:top w:val="single" w:sz="8" w:color="98B82F"/>
              <w:bottom w:val="single" w:sz="8" w:color="EAF1CE"/>
            </w:tcBorders>
            <w:gridSpan w:val="2"/>
            <w:shd w:val="clear" w:color="auto" w:fill="EAF1CE"/>
          </w:tcPr>
          <w:p>
            <w:pPr>
              <w:jc w:val="center"/>
              <w:ind w:right="4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tcBorders>
            <w:shd w:val="clear" w:color="auto" w:fill="EAF1CE"/>
          </w:tcPr>
          <w:p>
            <w:pPr>
              <w:spacing w:after="0"/>
              <w:rPr>
                <w:sz w:val="15"/>
                <w:szCs w:val="15"/>
                <w:color w:val="auto"/>
              </w:rPr>
            </w:pPr>
          </w:p>
        </w:tc>
        <w:tc>
          <w:tcPr>
            <w:tcW w:w="60" w:type="dxa"/>
            <w:vAlign w:val="bottom"/>
            <w:tcBorders>
              <w:top w:val="single" w:sz="8" w:color="98B82F"/>
              <w:bottom w:val="single" w:sz="8" w:color="EAF1CE"/>
            </w:tcBorders>
            <w:shd w:val="clear" w:color="auto" w:fill="EAF1CE"/>
          </w:tcPr>
          <w:p>
            <w:pPr>
              <w:spacing w:after="0"/>
              <w:rPr>
                <w:sz w:val="15"/>
                <w:szCs w:val="15"/>
                <w:color w:val="auto"/>
              </w:rPr>
            </w:pPr>
          </w:p>
        </w:tc>
        <w:tc>
          <w:tcPr>
            <w:tcW w:w="180" w:type="dxa"/>
            <w:vAlign w:val="bottom"/>
            <w:tcBorders>
              <w:top w:val="single" w:sz="8" w:color="98B82F"/>
              <w:bottom w:val="single" w:sz="8" w:color="EAF1CE"/>
              <w:right w:val="single" w:sz="8" w:color="98B82F"/>
            </w:tcBorders>
            <w:shd w:val="clear" w:color="auto" w:fill="EAF1CE"/>
          </w:tcPr>
          <w:p>
            <w:pPr>
              <w:spacing w:after="0"/>
              <w:rPr>
                <w:sz w:val="15"/>
                <w:szCs w:val="15"/>
                <w:color w:val="auto"/>
              </w:rPr>
            </w:pPr>
          </w:p>
        </w:tc>
        <w:tc>
          <w:tcPr>
            <w:tcW w:w="20" w:type="dxa"/>
            <w:vAlign w:val="bottom"/>
            <w:tcBorders>
              <w:top w:val="single" w:sz="8" w:color="98B82F"/>
              <w:bottom w:val="single" w:sz="8" w:color="EAF1CE"/>
            </w:tcBorders>
            <w:shd w:val="clear" w:color="auto" w:fill="EAF1CE"/>
          </w:tcPr>
          <w:p>
            <w:pPr>
              <w:spacing w:after="0"/>
              <w:rPr>
                <w:sz w:val="15"/>
                <w:szCs w:val="15"/>
                <w:color w:val="auto"/>
              </w:rPr>
            </w:pPr>
          </w:p>
        </w:tc>
        <w:tc>
          <w:tcPr>
            <w:tcW w:w="60" w:type="dxa"/>
            <w:vAlign w:val="bottom"/>
            <w:tcBorders>
              <w:top w:val="single" w:sz="8" w:color="98B82F"/>
              <w:bottom w:val="single" w:sz="8" w:color="EAF1CE"/>
            </w:tcBorders>
            <w:shd w:val="clear" w:color="auto" w:fill="EAF1CE"/>
          </w:tcPr>
          <w:p>
            <w:pPr>
              <w:spacing w:after="0"/>
              <w:rPr>
                <w:sz w:val="15"/>
                <w:szCs w:val="15"/>
                <w:color w:val="auto"/>
              </w:rPr>
            </w:pPr>
          </w:p>
        </w:tc>
        <w:tc>
          <w:tcPr>
            <w:tcW w:w="20" w:type="dxa"/>
            <w:vAlign w:val="bottom"/>
            <w:tcBorders>
              <w:top w:val="single" w:sz="8" w:color="98B82F"/>
              <w:bottom w:val="single" w:sz="8" w:color="EAF1CE"/>
            </w:tcBorders>
            <w:shd w:val="clear" w:color="auto" w:fill="EAF1CE"/>
          </w:tcPr>
          <w:p>
            <w:pPr>
              <w:spacing w:after="0"/>
              <w:rPr>
                <w:sz w:val="15"/>
                <w:szCs w:val="15"/>
                <w:color w:val="auto"/>
              </w:rPr>
            </w:pPr>
          </w:p>
        </w:tc>
        <w:tc>
          <w:tcPr>
            <w:tcW w:w="220" w:type="dxa"/>
            <w:vAlign w:val="bottom"/>
            <w:tcBorders>
              <w:top w:val="single" w:sz="8" w:color="98B82F"/>
              <w:bottom w:val="single" w:sz="8" w:color="EAF1CE"/>
              <w:right w:val="single" w:sz="8" w:color="EAF1CE"/>
            </w:tcBorders>
            <w:shd w:val="clear" w:color="auto" w:fill="EAF1CE"/>
          </w:tcPr>
          <w:p>
            <w:pPr>
              <w:spacing w:after="0"/>
              <w:rPr>
                <w:sz w:val="15"/>
                <w:szCs w:val="15"/>
                <w:color w:val="auto"/>
              </w:rPr>
            </w:pPr>
          </w:p>
        </w:tc>
        <w:tc>
          <w:tcPr>
            <w:tcW w:w="280" w:type="dxa"/>
            <w:vAlign w:val="bottom"/>
            <w:tcBorders>
              <w:top w:val="single" w:sz="8" w:color="98B82F"/>
              <w:bottom w:val="single" w:sz="8" w:color="EAF1CE"/>
            </w:tcBorders>
            <w:gridSpan w:val="3"/>
            <w:shd w:val="clear" w:color="auto" w:fill="EAF1CE"/>
          </w:tcPr>
          <w:p>
            <w:pPr>
              <w:ind w:left="20"/>
              <w:spacing w:after="0"/>
              <w:rPr>
                <w:sz w:val="20"/>
                <w:szCs w:val="20"/>
                <w:color w:val="auto"/>
              </w:rPr>
            </w:pPr>
            <w:r>
              <w:rPr>
                <w:rFonts w:ascii="Arial" w:cs="Arial" w:eastAsia="Arial" w:hAnsi="Arial"/>
                <w:sz w:val="8"/>
                <w:szCs w:val="8"/>
                <w:color w:val="262626"/>
              </w:rPr>
              <w:t>X</w:t>
            </w:r>
          </w:p>
        </w:tc>
        <w:tc>
          <w:tcPr>
            <w:tcW w:w="120" w:type="dxa"/>
            <w:vAlign w:val="bottom"/>
            <w:tcBorders>
              <w:top w:val="single" w:sz="8" w:color="98B82F"/>
              <w:bottom w:val="single" w:sz="8" w:color="EAF1CE"/>
              <w:right w:val="single" w:sz="8" w:color="98B82F"/>
            </w:tcBorders>
            <w:shd w:val="clear" w:color="auto" w:fill="EAF1C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180" w:type="dxa"/>
            <w:vAlign w:val="bottom"/>
            <w:tcBorders>
              <w:top w:val="single" w:sz="8" w:color="98B82F"/>
              <w:left w:val="single" w:sz="8" w:color="98B82F"/>
              <w:bottom w:val="single" w:sz="8" w:color="EAF1CE"/>
            </w:tcBorders>
            <w:gridSpan w:val="7"/>
            <w:shd w:val="clear" w:color="auto" w:fill="EAF1CE"/>
          </w:tcPr>
          <w:p>
            <w:pPr>
              <w:ind w:left="100"/>
              <w:spacing w:after="0"/>
              <w:rPr>
                <w:sz w:val="20"/>
                <w:szCs w:val="20"/>
                <w:color w:val="auto"/>
              </w:rPr>
            </w:pPr>
            <w:r>
              <w:rPr>
                <w:rFonts w:ascii="Arial" w:cs="Arial" w:eastAsia="Arial" w:hAnsi="Arial"/>
                <w:sz w:val="8"/>
                <w:szCs w:val="8"/>
                <w:color w:val="262626"/>
              </w:rPr>
              <w:t>Stansted, United Kingdom</w:t>
            </w:r>
          </w:p>
        </w:tc>
        <w:tc>
          <w:tcPr>
            <w:tcW w:w="140" w:type="dxa"/>
            <w:vAlign w:val="bottom"/>
            <w:tcBorders>
              <w:top w:val="single" w:sz="8" w:color="98B82F"/>
              <w:bottom w:val="single" w:sz="8" w:color="EAF1CE"/>
            </w:tcBorders>
            <w:shd w:val="clear" w:color="auto" w:fill="EAF1CE"/>
          </w:tcPr>
          <w:p>
            <w:pPr>
              <w:spacing w:after="0"/>
              <w:rPr>
                <w:sz w:val="18"/>
                <w:szCs w:val="18"/>
                <w:color w:val="auto"/>
              </w:rPr>
            </w:pPr>
          </w:p>
        </w:tc>
        <w:tc>
          <w:tcPr>
            <w:tcW w:w="120" w:type="dxa"/>
            <w:vAlign w:val="bottom"/>
            <w:tcBorders>
              <w:top w:val="single" w:sz="8" w:color="98B82F"/>
              <w:bottom w:val="single" w:sz="8" w:color="EAF1CE"/>
            </w:tcBorders>
            <w:shd w:val="clear" w:color="auto" w:fill="EAF1CE"/>
          </w:tcPr>
          <w:p>
            <w:pPr>
              <w:spacing w:after="0"/>
              <w:rPr>
                <w:sz w:val="18"/>
                <w:szCs w:val="18"/>
                <w:color w:val="auto"/>
              </w:rPr>
            </w:pPr>
          </w:p>
        </w:tc>
        <w:tc>
          <w:tcPr>
            <w:tcW w:w="100" w:type="dxa"/>
            <w:vAlign w:val="bottom"/>
            <w:tcBorders>
              <w:top w:val="single" w:sz="8" w:color="98B82F"/>
              <w:bottom w:val="single" w:sz="8" w:color="EAF1CE"/>
            </w:tcBorders>
            <w:shd w:val="clear" w:color="auto" w:fill="EAF1CE"/>
          </w:tcPr>
          <w:p>
            <w:pPr>
              <w:spacing w:after="0"/>
              <w:rPr>
                <w:sz w:val="18"/>
                <w:szCs w:val="18"/>
                <w:color w:val="auto"/>
              </w:rPr>
            </w:pPr>
          </w:p>
        </w:tc>
        <w:tc>
          <w:tcPr>
            <w:tcW w:w="120" w:type="dxa"/>
            <w:vAlign w:val="bottom"/>
            <w:tcBorders>
              <w:top w:val="single" w:sz="8" w:color="98B82F"/>
              <w:bottom w:val="single" w:sz="8" w:color="EAF1CE"/>
            </w:tcBorders>
            <w:shd w:val="clear" w:color="auto" w:fill="EAF1CE"/>
          </w:tcPr>
          <w:p>
            <w:pPr>
              <w:spacing w:after="0"/>
              <w:rPr>
                <w:sz w:val="18"/>
                <w:szCs w:val="18"/>
                <w:color w:val="auto"/>
              </w:rPr>
            </w:pPr>
          </w:p>
        </w:tc>
        <w:tc>
          <w:tcPr>
            <w:tcW w:w="100" w:type="dxa"/>
            <w:vAlign w:val="bottom"/>
            <w:tcBorders>
              <w:top w:val="single" w:sz="8" w:color="98B82F"/>
              <w:bottom w:val="single" w:sz="8" w:color="EAF1CE"/>
            </w:tcBorders>
            <w:shd w:val="clear" w:color="auto" w:fill="EAF1CE"/>
          </w:tcPr>
          <w:p>
            <w:pPr>
              <w:spacing w:after="0"/>
              <w:rPr>
                <w:sz w:val="18"/>
                <w:szCs w:val="18"/>
                <w:color w:val="auto"/>
              </w:rPr>
            </w:pPr>
          </w:p>
        </w:tc>
        <w:tc>
          <w:tcPr>
            <w:tcW w:w="140" w:type="dxa"/>
            <w:vAlign w:val="bottom"/>
            <w:tcBorders>
              <w:top w:val="single" w:sz="8" w:color="98B82F"/>
              <w:bottom w:val="single" w:sz="8" w:color="EAF1CE"/>
            </w:tcBorders>
            <w:shd w:val="clear" w:color="auto" w:fill="EAF1CE"/>
          </w:tcPr>
          <w:p>
            <w:pPr>
              <w:spacing w:after="0"/>
              <w:rPr>
                <w:sz w:val="18"/>
                <w:szCs w:val="18"/>
                <w:color w:val="auto"/>
              </w:rPr>
            </w:pPr>
          </w:p>
        </w:tc>
        <w:tc>
          <w:tcPr>
            <w:tcW w:w="260" w:type="dxa"/>
            <w:vAlign w:val="bottom"/>
            <w:tcBorders>
              <w:top w:val="single" w:sz="8" w:color="98B82F"/>
              <w:bottom w:val="single" w:sz="8" w:color="EAF1CE"/>
              <w:right w:val="single" w:sz="8" w:color="EAF1CE"/>
            </w:tcBorders>
            <w:shd w:val="clear" w:color="auto" w:fill="EAF1CE"/>
          </w:tcPr>
          <w:p>
            <w:pPr>
              <w:spacing w:after="0"/>
              <w:rPr>
                <w:sz w:val="18"/>
                <w:szCs w:val="18"/>
                <w:color w:val="auto"/>
              </w:rPr>
            </w:pPr>
          </w:p>
        </w:tc>
        <w:tc>
          <w:tcPr>
            <w:tcW w:w="280" w:type="dxa"/>
            <w:vAlign w:val="bottom"/>
            <w:tcBorders>
              <w:top w:val="single" w:sz="8" w:color="98B82F"/>
              <w:bottom w:val="single" w:sz="8" w:color="EAF1CE"/>
              <w:right w:val="single" w:sz="8" w:color="EAF1CE"/>
            </w:tcBorders>
            <w:shd w:val="clear" w:color="auto" w:fill="EAF1CE"/>
          </w:tcPr>
          <w:p>
            <w:pPr>
              <w:spacing w:after="0"/>
              <w:rPr>
                <w:sz w:val="18"/>
                <w:szCs w:val="18"/>
                <w:color w:val="auto"/>
              </w:rPr>
            </w:pPr>
          </w:p>
        </w:tc>
        <w:tc>
          <w:tcPr>
            <w:tcW w:w="100" w:type="dxa"/>
            <w:vAlign w:val="bottom"/>
            <w:tcBorders>
              <w:top w:val="single" w:sz="8" w:color="98B82F"/>
              <w:bottom w:val="single" w:sz="8" w:color="EAF1CE"/>
              <w:right w:val="single" w:sz="8" w:color="EAF1CE"/>
            </w:tcBorders>
            <w:shd w:val="clear" w:color="auto" w:fill="EAF1CE"/>
          </w:tcPr>
          <w:p>
            <w:pPr>
              <w:spacing w:after="0"/>
              <w:rPr>
                <w:sz w:val="18"/>
                <w:szCs w:val="18"/>
                <w:color w:val="auto"/>
              </w:rPr>
            </w:pPr>
          </w:p>
        </w:tc>
        <w:tc>
          <w:tcPr>
            <w:tcW w:w="180" w:type="dxa"/>
            <w:vAlign w:val="bottom"/>
            <w:tcBorders>
              <w:top w:val="single" w:sz="8" w:color="98B82F"/>
              <w:bottom w:val="single" w:sz="8" w:color="EAF1CE"/>
            </w:tcBorders>
            <w:shd w:val="clear" w:color="auto" w:fill="EAF1CE"/>
          </w:tcPr>
          <w:p>
            <w:pPr>
              <w:spacing w:after="0"/>
              <w:rPr>
                <w:sz w:val="18"/>
                <w:szCs w:val="18"/>
                <w:color w:val="auto"/>
              </w:rPr>
            </w:pPr>
          </w:p>
        </w:tc>
        <w:tc>
          <w:tcPr>
            <w:tcW w:w="40" w:type="dxa"/>
            <w:vAlign w:val="bottom"/>
            <w:tcBorders>
              <w:top w:val="single" w:sz="8" w:color="98B82F"/>
              <w:bottom w:val="single" w:sz="8" w:color="EAF1CE"/>
            </w:tcBorders>
            <w:shd w:val="clear" w:color="auto" w:fill="EAF1CE"/>
          </w:tcPr>
          <w:p>
            <w:pPr>
              <w:spacing w:after="0"/>
              <w:rPr>
                <w:sz w:val="18"/>
                <w:szCs w:val="18"/>
                <w:color w:val="auto"/>
              </w:rPr>
            </w:pPr>
          </w:p>
        </w:tc>
        <w:tc>
          <w:tcPr>
            <w:tcW w:w="60" w:type="dxa"/>
            <w:vAlign w:val="bottom"/>
            <w:tcBorders>
              <w:top w:val="single" w:sz="8" w:color="98B82F"/>
              <w:bottom w:val="single" w:sz="8" w:color="EAF1CE"/>
            </w:tcBorders>
            <w:shd w:val="clear" w:color="auto" w:fill="EAF1CE"/>
          </w:tcPr>
          <w:p>
            <w:pPr>
              <w:spacing w:after="0"/>
              <w:rPr>
                <w:sz w:val="18"/>
                <w:szCs w:val="18"/>
                <w:color w:val="auto"/>
              </w:rPr>
            </w:pPr>
          </w:p>
        </w:tc>
        <w:tc>
          <w:tcPr>
            <w:tcW w:w="120" w:type="dxa"/>
            <w:vAlign w:val="bottom"/>
            <w:tcBorders>
              <w:top w:val="single" w:sz="8" w:color="98B82F"/>
              <w:bottom w:val="single" w:sz="8" w:color="EAF1CE"/>
            </w:tcBorders>
            <w:shd w:val="clear" w:color="auto" w:fill="EAF1CE"/>
          </w:tcPr>
          <w:p>
            <w:pPr>
              <w:spacing w:after="0"/>
              <w:rPr>
                <w:sz w:val="18"/>
                <w:szCs w:val="18"/>
                <w:color w:val="auto"/>
              </w:rPr>
            </w:pPr>
          </w:p>
        </w:tc>
        <w:tc>
          <w:tcPr>
            <w:tcW w:w="40" w:type="dxa"/>
            <w:vAlign w:val="bottom"/>
            <w:tcBorders>
              <w:top w:val="single" w:sz="8" w:color="98B82F"/>
              <w:bottom w:val="single" w:sz="8" w:color="EAF1CE"/>
            </w:tcBorders>
            <w:shd w:val="clear" w:color="auto" w:fill="EAF1CE"/>
          </w:tcPr>
          <w:p>
            <w:pPr>
              <w:spacing w:after="0"/>
              <w:rPr>
                <w:sz w:val="18"/>
                <w:szCs w:val="18"/>
                <w:color w:val="auto"/>
              </w:rPr>
            </w:pPr>
          </w:p>
        </w:tc>
        <w:tc>
          <w:tcPr>
            <w:tcW w:w="40" w:type="dxa"/>
            <w:vAlign w:val="bottom"/>
            <w:tcBorders>
              <w:top w:val="single" w:sz="8" w:color="98B82F"/>
              <w:bottom w:val="single" w:sz="8" w:color="EAF1CE"/>
            </w:tcBorders>
            <w:shd w:val="clear" w:color="auto" w:fill="EAF1CE"/>
          </w:tcPr>
          <w:p>
            <w:pPr>
              <w:spacing w:after="0"/>
              <w:rPr>
                <w:sz w:val="18"/>
                <w:szCs w:val="18"/>
                <w:color w:val="auto"/>
              </w:rPr>
            </w:pPr>
          </w:p>
        </w:tc>
        <w:tc>
          <w:tcPr>
            <w:tcW w:w="200" w:type="dxa"/>
            <w:vAlign w:val="bottom"/>
            <w:tcBorders>
              <w:top w:val="single" w:sz="8" w:color="98B82F"/>
              <w:left w:val="single" w:sz="8" w:color="EAF1CE"/>
              <w:bottom w:val="single" w:sz="8" w:color="EAF1CE"/>
              <w:right w:val="single" w:sz="8" w:color="98B82F"/>
            </w:tcBorders>
            <w:shd w:val="clear" w:color="auto" w:fill="EAF1CE"/>
          </w:tcPr>
          <w:p>
            <w:pPr>
              <w:spacing w:after="0"/>
              <w:rPr>
                <w:sz w:val="18"/>
                <w:szCs w:val="18"/>
                <w:color w:val="auto"/>
              </w:rPr>
            </w:pPr>
          </w:p>
        </w:tc>
        <w:tc>
          <w:tcPr>
            <w:tcW w:w="40" w:type="dxa"/>
            <w:vAlign w:val="bottom"/>
            <w:tcBorders>
              <w:top w:val="single" w:sz="8" w:color="98B82F"/>
              <w:bottom w:val="single" w:sz="8" w:color="EAF1CE"/>
            </w:tcBorders>
            <w:shd w:val="clear" w:color="auto" w:fill="EAF1CE"/>
          </w:tcPr>
          <w:p>
            <w:pPr>
              <w:spacing w:after="0"/>
              <w:rPr>
                <w:sz w:val="18"/>
                <w:szCs w:val="18"/>
                <w:color w:val="auto"/>
              </w:rPr>
            </w:pPr>
          </w:p>
        </w:tc>
        <w:tc>
          <w:tcPr>
            <w:tcW w:w="120" w:type="dxa"/>
            <w:vAlign w:val="bottom"/>
            <w:tcBorders>
              <w:top w:val="single" w:sz="8" w:color="98B82F"/>
              <w:bottom w:val="single" w:sz="8" w:color="EAF1CE"/>
            </w:tcBorders>
            <w:shd w:val="clear" w:color="auto" w:fill="EAF1CE"/>
          </w:tcPr>
          <w:p>
            <w:pPr>
              <w:spacing w:after="0"/>
              <w:rPr>
                <w:sz w:val="18"/>
                <w:szCs w:val="18"/>
                <w:color w:val="auto"/>
              </w:rPr>
            </w:pPr>
          </w:p>
        </w:tc>
        <w:tc>
          <w:tcPr>
            <w:tcW w:w="220" w:type="dxa"/>
            <w:vAlign w:val="bottom"/>
            <w:tcBorders>
              <w:top w:val="single" w:sz="8" w:color="98B82F"/>
              <w:bottom w:val="single" w:sz="8" w:color="EAF1CE"/>
            </w:tcBorders>
            <w:shd w:val="clear" w:color="auto" w:fill="EAF1CE"/>
          </w:tcPr>
          <w:p>
            <w:pPr>
              <w:spacing w:after="0"/>
              <w:rPr>
                <w:sz w:val="18"/>
                <w:szCs w:val="18"/>
                <w:color w:val="auto"/>
              </w:rPr>
            </w:pPr>
          </w:p>
        </w:tc>
        <w:tc>
          <w:tcPr>
            <w:tcW w:w="340" w:type="dxa"/>
            <w:vAlign w:val="bottom"/>
            <w:tcBorders>
              <w:top w:val="single" w:sz="8" w:color="98B82F"/>
              <w:bottom w:val="single" w:sz="8" w:color="EAF1CE"/>
              <w:right w:val="single" w:sz="8" w:color="EAF1CE"/>
            </w:tcBorders>
            <w:gridSpan w:val="5"/>
            <w:shd w:val="clear" w:color="auto" w:fill="EAF1CE"/>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right w:val="single" w:sz="8" w:color="98B82F"/>
            </w:tcBorders>
            <w:shd w:val="clear" w:color="auto" w:fill="EAF1CE"/>
          </w:tcPr>
          <w:p>
            <w:pPr>
              <w:spacing w:after="0"/>
              <w:rPr>
                <w:sz w:val="18"/>
                <w:szCs w:val="18"/>
                <w:color w:val="auto"/>
              </w:rPr>
            </w:pPr>
          </w:p>
        </w:tc>
        <w:tc>
          <w:tcPr>
            <w:tcW w:w="20" w:type="dxa"/>
            <w:vAlign w:val="bottom"/>
            <w:tcBorders>
              <w:top w:val="single" w:sz="8" w:color="98B82F"/>
              <w:bottom w:val="single" w:sz="8" w:color="EAF1CE"/>
            </w:tcBorders>
            <w:shd w:val="clear" w:color="auto" w:fill="EAF1CE"/>
          </w:tcPr>
          <w:p>
            <w:pPr>
              <w:spacing w:after="0"/>
              <w:rPr>
                <w:sz w:val="18"/>
                <w:szCs w:val="18"/>
                <w:color w:val="auto"/>
              </w:rPr>
            </w:pPr>
          </w:p>
        </w:tc>
        <w:tc>
          <w:tcPr>
            <w:tcW w:w="60" w:type="dxa"/>
            <w:vAlign w:val="bottom"/>
            <w:tcBorders>
              <w:top w:val="single" w:sz="8" w:color="98B82F"/>
              <w:bottom w:val="single" w:sz="8" w:color="EAF1CE"/>
            </w:tcBorders>
            <w:shd w:val="clear" w:color="auto" w:fill="EAF1CE"/>
          </w:tcPr>
          <w:p>
            <w:pPr>
              <w:spacing w:after="0"/>
              <w:rPr>
                <w:sz w:val="18"/>
                <w:szCs w:val="18"/>
                <w:color w:val="auto"/>
              </w:rPr>
            </w:pPr>
          </w:p>
        </w:tc>
        <w:tc>
          <w:tcPr>
            <w:tcW w:w="100" w:type="dxa"/>
            <w:vAlign w:val="bottom"/>
            <w:tcBorders>
              <w:top w:val="single" w:sz="8" w:color="98B82F"/>
              <w:bottom w:val="single" w:sz="8" w:color="EAF1CE"/>
            </w:tcBorders>
            <w:shd w:val="clear" w:color="auto" w:fill="EAF1CE"/>
          </w:tcPr>
          <w:p>
            <w:pPr>
              <w:spacing w:after="0"/>
              <w:rPr>
                <w:sz w:val="18"/>
                <w:szCs w:val="18"/>
                <w:color w:val="auto"/>
              </w:rPr>
            </w:pPr>
          </w:p>
        </w:tc>
        <w:tc>
          <w:tcPr>
            <w:tcW w:w="40" w:type="dxa"/>
            <w:vAlign w:val="bottom"/>
            <w:tcBorders>
              <w:top w:val="single" w:sz="8" w:color="98B82F"/>
              <w:bottom w:val="single" w:sz="8" w:color="EAF1CE"/>
              <w:right w:val="single" w:sz="8" w:color="EAF1CE"/>
            </w:tcBorders>
            <w:shd w:val="clear" w:color="auto" w:fill="EAF1CE"/>
          </w:tcPr>
          <w:p>
            <w:pPr>
              <w:spacing w:after="0"/>
              <w:rPr>
                <w:sz w:val="18"/>
                <w:szCs w:val="18"/>
                <w:color w:val="auto"/>
              </w:rPr>
            </w:pPr>
          </w:p>
        </w:tc>
        <w:tc>
          <w:tcPr>
            <w:tcW w:w="100" w:type="dxa"/>
            <w:vAlign w:val="bottom"/>
            <w:tcBorders>
              <w:top w:val="single" w:sz="8" w:color="98B82F"/>
              <w:bottom w:val="single" w:sz="8" w:color="EAF1CE"/>
            </w:tcBorders>
            <w:shd w:val="clear" w:color="auto" w:fill="EAF1CE"/>
          </w:tcPr>
          <w:p>
            <w:pPr>
              <w:spacing w:after="0"/>
              <w:rPr>
                <w:sz w:val="18"/>
                <w:szCs w:val="18"/>
                <w:color w:val="auto"/>
              </w:rPr>
            </w:pPr>
          </w:p>
        </w:tc>
        <w:tc>
          <w:tcPr>
            <w:tcW w:w="160" w:type="dxa"/>
            <w:vAlign w:val="bottom"/>
            <w:tcBorders>
              <w:top w:val="single" w:sz="8" w:color="98B82F"/>
              <w:bottom w:val="single" w:sz="8" w:color="EAF1CE"/>
            </w:tcBorders>
            <w:gridSpan w:val="2"/>
            <w:shd w:val="clear" w:color="auto" w:fill="EAF1CE"/>
          </w:tcPr>
          <w:p>
            <w:pPr>
              <w:jc w:val="center"/>
              <w:ind w:right="4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tcBorders>
            <w:shd w:val="clear" w:color="auto" w:fill="EAF1CE"/>
          </w:tcPr>
          <w:p>
            <w:pPr>
              <w:spacing w:after="0"/>
              <w:rPr>
                <w:sz w:val="18"/>
                <w:szCs w:val="18"/>
                <w:color w:val="auto"/>
              </w:rPr>
            </w:pPr>
          </w:p>
        </w:tc>
        <w:tc>
          <w:tcPr>
            <w:tcW w:w="60" w:type="dxa"/>
            <w:vAlign w:val="bottom"/>
            <w:tcBorders>
              <w:top w:val="single" w:sz="8" w:color="98B82F"/>
              <w:bottom w:val="single" w:sz="8" w:color="EAF1CE"/>
            </w:tcBorders>
            <w:shd w:val="clear" w:color="auto" w:fill="EAF1CE"/>
          </w:tcPr>
          <w:p>
            <w:pPr>
              <w:spacing w:after="0"/>
              <w:rPr>
                <w:sz w:val="18"/>
                <w:szCs w:val="18"/>
                <w:color w:val="auto"/>
              </w:rPr>
            </w:pPr>
          </w:p>
        </w:tc>
        <w:tc>
          <w:tcPr>
            <w:tcW w:w="180" w:type="dxa"/>
            <w:vAlign w:val="bottom"/>
            <w:tcBorders>
              <w:top w:val="single" w:sz="8" w:color="98B82F"/>
              <w:bottom w:val="single" w:sz="8" w:color="EAF1CE"/>
              <w:right w:val="single" w:sz="8" w:color="98B82F"/>
            </w:tcBorders>
            <w:shd w:val="clear" w:color="auto" w:fill="EAF1CE"/>
          </w:tcPr>
          <w:p>
            <w:pPr>
              <w:spacing w:after="0"/>
              <w:rPr>
                <w:sz w:val="18"/>
                <w:szCs w:val="18"/>
                <w:color w:val="auto"/>
              </w:rPr>
            </w:pPr>
          </w:p>
        </w:tc>
        <w:tc>
          <w:tcPr>
            <w:tcW w:w="20" w:type="dxa"/>
            <w:vAlign w:val="bottom"/>
            <w:tcBorders>
              <w:top w:val="single" w:sz="8" w:color="98B82F"/>
              <w:bottom w:val="single" w:sz="8" w:color="EAF1CE"/>
            </w:tcBorders>
            <w:shd w:val="clear" w:color="auto" w:fill="EAF1CE"/>
          </w:tcPr>
          <w:p>
            <w:pPr>
              <w:spacing w:after="0"/>
              <w:rPr>
                <w:sz w:val="18"/>
                <w:szCs w:val="18"/>
                <w:color w:val="auto"/>
              </w:rPr>
            </w:pPr>
          </w:p>
        </w:tc>
        <w:tc>
          <w:tcPr>
            <w:tcW w:w="60" w:type="dxa"/>
            <w:vAlign w:val="bottom"/>
            <w:tcBorders>
              <w:top w:val="single" w:sz="8" w:color="98B82F"/>
              <w:bottom w:val="single" w:sz="8" w:color="EAF1CE"/>
            </w:tcBorders>
            <w:shd w:val="clear" w:color="auto" w:fill="EAF1CE"/>
          </w:tcPr>
          <w:p>
            <w:pPr>
              <w:spacing w:after="0"/>
              <w:rPr>
                <w:sz w:val="18"/>
                <w:szCs w:val="18"/>
                <w:color w:val="auto"/>
              </w:rPr>
            </w:pPr>
          </w:p>
        </w:tc>
        <w:tc>
          <w:tcPr>
            <w:tcW w:w="20" w:type="dxa"/>
            <w:vAlign w:val="bottom"/>
            <w:tcBorders>
              <w:top w:val="single" w:sz="8" w:color="98B82F"/>
              <w:bottom w:val="single" w:sz="8" w:color="EAF1CE"/>
            </w:tcBorders>
            <w:shd w:val="clear" w:color="auto" w:fill="EAF1CE"/>
          </w:tcPr>
          <w:p>
            <w:pPr>
              <w:spacing w:after="0"/>
              <w:rPr>
                <w:sz w:val="18"/>
                <w:szCs w:val="18"/>
                <w:color w:val="auto"/>
              </w:rPr>
            </w:pPr>
          </w:p>
        </w:tc>
        <w:tc>
          <w:tcPr>
            <w:tcW w:w="220" w:type="dxa"/>
            <w:vAlign w:val="bottom"/>
            <w:tcBorders>
              <w:top w:val="single" w:sz="8" w:color="98B82F"/>
              <w:bottom w:val="single" w:sz="8" w:color="EAF1CE"/>
              <w:right w:val="single" w:sz="8" w:color="EAF1CE"/>
            </w:tcBorders>
            <w:shd w:val="clear" w:color="auto" w:fill="EAF1CE"/>
          </w:tcPr>
          <w:p>
            <w:pPr>
              <w:spacing w:after="0"/>
              <w:rPr>
                <w:sz w:val="18"/>
                <w:szCs w:val="18"/>
                <w:color w:val="auto"/>
              </w:rPr>
            </w:pPr>
          </w:p>
        </w:tc>
        <w:tc>
          <w:tcPr>
            <w:tcW w:w="280" w:type="dxa"/>
            <w:vAlign w:val="bottom"/>
            <w:tcBorders>
              <w:top w:val="single" w:sz="8" w:color="98B82F"/>
              <w:bottom w:val="single" w:sz="8" w:color="EAF1CE"/>
            </w:tcBorders>
            <w:gridSpan w:val="3"/>
            <w:shd w:val="clear" w:color="auto" w:fill="EAF1CE"/>
          </w:tcPr>
          <w:p>
            <w:pPr>
              <w:ind w:left="20"/>
              <w:spacing w:after="0"/>
              <w:rPr>
                <w:sz w:val="20"/>
                <w:szCs w:val="20"/>
                <w:color w:val="auto"/>
              </w:rPr>
            </w:pPr>
            <w:r>
              <w:rPr>
                <w:rFonts w:ascii="Arial" w:cs="Arial" w:eastAsia="Arial" w:hAnsi="Arial"/>
                <w:sz w:val="8"/>
                <w:szCs w:val="8"/>
                <w:color w:val="262626"/>
              </w:rPr>
              <w:t>X</w:t>
            </w:r>
          </w:p>
        </w:tc>
        <w:tc>
          <w:tcPr>
            <w:tcW w:w="120" w:type="dxa"/>
            <w:vAlign w:val="bottom"/>
            <w:tcBorders>
              <w:top w:val="single" w:sz="8" w:color="98B82F"/>
              <w:bottom w:val="single" w:sz="8" w:color="EAF1CE"/>
              <w:right w:val="single" w:sz="8" w:color="98B82F"/>
            </w:tcBorders>
            <w:shd w:val="clear" w:color="auto" w:fill="EAF1CE"/>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0" w:type="dxa"/>
            <w:vAlign w:val="bottom"/>
            <w:tcBorders>
              <w:top w:val="single" w:sz="8" w:color="98B82F"/>
              <w:left w:val="single" w:sz="8" w:color="98B82F"/>
              <w:bottom w:val="single" w:sz="8" w:color="EAF1CE"/>
              <w:right w:val="single" w:sz="8" w:color="EAF1CE"/>
            </w:tcBorders>
            <w:gridSpan w:val="5"/>
            <w:shd w:val="clear" w:color="auto" w:fill="EAF1CE"/>
          </w:tcPr>
          <w:p>
            <w:pPr>
              <w:ind w:left="100"/>
              <w:spacing w:after="0"/>
              <w:rPr>
                <w:sz w:val="20"/>
                <w:szCs w:val="20"/>
                <w:color w:val="auto"/>
              </w:rPr>
            </w:pPr>
            <w:r>
              <w:rPr>
                <w:rFonts w:ascii="Arial" w:cs="Arial" w:eastAsia="Arial" w:hAnsi="Arial"/>
                <w:sz w:val="8"/>
                <w:szCs w:val="8"/>
                <w:color w:val="262626"/>
                <w:w w:val="94"/>
              </w:rPr>
              <w:t>Dubai, United Arab</w:t>
            </w:r>
          </w:p>
        </w:tc>
        <w:tc>
          <w:tcPr>
            <w:tcW w:w="400" w:type="dxa"/>
            <w:vAlign w:val="bottom"/>
            <w:tcBorders>
              <w:top w:val="single" w:sz="8" w:color="98B82F"/>
              <w:bottom w:val="single" w:sz="8" w:color="EAF1CE"/>
            </w:tcBorders>
            <w:gridSpan w:val="2"/>
            <w:shd w:val="clear" w:color="auto" w:fill="EAF1CE"/>
          </w:tcPr>
          <w:p>
            <w:pPr>
              <w:ind w:left="40"/>
              <w:spacing w:after="0"/>
              <w:rPr>
                <w:sz w:val="20"/>
                <w:szCs w:val="20"/>
                <w:color w:val="auto"/>
              </w:rPr>
            </w:pPr>
            <w:r>
              <w:rPr>
                <w:rFonts w:ascii="Arial" w:cs="Arial" w:eastAsia="Arial" w:hAnsi="Arial"/>
                <w:sz w:val="8"/>
                <w:szCs w:val="8"/>
                <w:color w:val="262626"/>
              </w:rPr>
              <w:t>Emirates</w:t>
            </w:r>
          </w:p>
        </w:tc>
        <w:tc>
          <w:tcPr>
            <w:tcW w:w="140" w:type="dxa"/>
            <w:vAlign w:val="bottom"/>
            <w:tcBorders>
              <w:top w:val="single" w:sz="8" w:color="98B82F"/>
              <w:bottom w:val="single" w:sz="8" w:color="EAF1CE"/>
            </w:tcBorders>
            <w:shd w:val="clear" w:color="auto" w:fill="EAF1CE"/>
          </w:tcPr>
          <w:p>
            <w:pPr>
              <w:spacing w:after="0"/>
              <w:rPr>
                <w:sz w:val="13"/>
                <w:szCs w:val="13"/>
                <w:color w:val="auto"/>
              </w:rPr>
            </w:pPr>
          </w:p>
        </w:tc>
        <w:tc>
          <w:tcPr>
            <w:tcW w:w="120" w:type="dxa"/>
            <w:vAlign w:val="bottom"/>
            <w:tcBorders>
              <w:top w:val="single" w:sz="8" w:color="98B82F"/>
              <w:bottom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EAF1CE"/>
            </w:tcBorders>
            <w:shd w:val="clear" w:color="auto" w:fill="EAF1CE"/>
          </w:tcPr>
          <w:p>
            <w:pPr>
              <w:spacing w:after="0"/>
              <w:rPr>
                <w:sz w:val="13"/>
                <w:szCs w:val="13"/>
                <w:color w:val="auto"/>
              </w:rPr>
            </w:pPr>
          </w:p>
        </w:tc>
        <w:tc>
          <w:tcPr>
            <w:tcW w:w="120" w:type="dxa"/>
            <w:vAlign w:val="bottom"/>
            <w:tcBorders>
              <w:top w:val="single" w:sz="8" w:color="98B82F"/>
              <w:bottom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EAF1CE"/>
            </w:tcBorders>
            <w:shd w:val="clear" w:color="auto" w:fill="EAF1CE"/>
          </w:tcPr>
          <w:p>
            <w:pPr>
              <w:spacing w:after="0"/>
              <w:rPr>
                <w:sz w:val="13"/>
                <w:szCs w:val="13"/>
                <w:color w:val="auto"/>
              </w:rPr>
            </w:pPr>
          </w:p>
        </w:tc>
        <w:tc>
          <w:tcPr>
            <w:tcW w:w="140" w:type="dxa"/>
            <w:vAlign w:val="bottom"/>
            <w:tcBorders>
              <w:top w:val="single" w:sz="8" w:color="98B82F"/>
              <w:bottom w:val="single" w:sz="8" w:color="EAF1CE"/>
            </w:tcBorders>
            <w:shd w:val="clear" w:color="auto" w:fill="EAF1CE"/>
          </w:tcPr>
          <w:p>
            <w:pPr>
              <w:spacing w:after="0"/>
              <w:rPr>
                <w:sz w:val="13"/>
                <w:szCs w:val="13"/>
                <w:color w:val="auto"/>
              </w:rPr>
            </w:pPr>
          </w:p>
        </w:tc>
        <w:tc>
          <w:tcPr>
            <w:tcW w:w="26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28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180" w:type="dxa"/>
            <w:vAlign w:val="bottom"/>
            <w:tcBorders>
              <w:top w:val="single" w:sz="8" w:color="98B82F"/>
              <w:bottom w:val="single" w:sz="8" w:color="EAF1CE"/>
            </w:tcBorders>
            <w:shd w:val="clear" w:color="auto" w:fill="EAF1CE"/>
          </w:tcPr>
          <w:p>
            <w:pPr>
              <w:spacing w:after="0"/>
              <w:rPr>
                <w:sz w:val="13"/>
                <w:szCs w:val="13"/>
                <w:color w:val="auto"/>
              </w:rPr>
            </w:pPr>
          </w:p>
        </w:tc>
        <w:tc>
          <w:tcPr>
            <w:tcW w:w="40" w:type="dxa"/>
            <w:vAlign w:val="bottom"/>
            <w:tcBorders>
              <w:top w:val="single" w:sz="8" w:color="98B82F"/>
              <w:bottom w:val="single" w:sz="8" w:color="EAF1CE"/>
            </w:tcBorders>
            <w:shd w:val="clear" w:color="auto" w:fill="EAF1CE"/>
          </w:tcPr>
          <w:p>
            <w:pPr>
              <w:spacing w:after="0"/>
              <w:rPr>
                <w:sz w:val="13"/>
                <w:szCs w:val="13"/>
                <w:color w:val="auto"/>
              </w:rPr>
            </w:pPr>
          </w:p>
        </w:tc>
        <w:tc>
          <w:tcPr>
            <w:tcW w:w="60" w:type="dxa"/>
            <w:vAlign w:val="bottom"/>
            <w:tcBorders>
              <w:top w:val="single" w:sz="8" w:color="98B82F"/>
              <w:bottom w:val="single" w:sz="8" w:color="EAF1CE"/>
            </w:tcBorders>
            <w:shd w:val="clear" w:color="auto" w:fill="EAF1CE"/>
          </w:tcPr>
          <w:p>
            <w:pPr>
              <w:spacing w:after="0"/>
              <w:rPr>
                <w:sz w:val="13"/>
                <w:szCs w:val="13"/>
                <w:color w:val="auto"/>
              </w:rPr>
            </w:pPr>
          </w:p>
        </w:tc>
        <w:tc>
          <w:tcPr>
            <w:tcW w:w="120" w:type="dxa"/>
            <w:vAlign w:val="bottom"/>
            <w:tcBorders>
              <w:top w:val="single" w:sz="8" w:color="98B82F"/>
              <w:bottom w:val="single" w:sz="8" w:color="EAF1CE"/>
            </w:tcBorders>
            <w:shd w:val="clear" w:color="auto" w:fill="EAF1CE"/>
          </w:tcPr>
          <w:p>
            <w:pPr>
              <w:spacing w:after="0"/>
              <w:rPr>
                <w:sz w:val="13"/>
                <w:szCs w:val="13"/>
                <w:color w:val="auto"/>
              </w:rPr>
            </w:pPr>
          </w:p>
        </w:tc>
        <w:tc>
          <w:tcPr>
            <w:tcW w:w="40" w:type="dxa"/>
            <w:vAlign w:val="bottom"/>
            <w:tcBorders>
              <w:top w:val="single" w:sz="8" w:color="98B82F"/>
              <w:bottom w:val="single" w:sz="8" w:color="EAF1CE"/>
            </w:tcBorders>
            <w:shd w:val="clear" w:color="auto" w:fill="EAF1CE"/>
          </w:tcPr>
          <w:p>
            <w:pPr>
              <w:spacing w:after="0"/>
              <w:rPr>
                <w:sz w:val="13"/>
                <w:szCs w:val="13"/>
                <w:color w:val="auto"/>
              </w:rPr>
            </w:pPr>
          </w:p>
        </w:tc>
        <w:tc>
          <w:tcPr>
            <w:tcW w:w="40" w:type="dxa"/>
            <w:vAlign w:val="bottom"/>
            <w:tcBorders>
              <w:top w:val="single" w:sz="8" w:color="98B82F"/>
              <w:bottom w:val="single" w:sz="8" w:color="EAF1CE"/>
            </w:tcBorders>
            <w:shd w:val="clear" w:color="auto" w:fill="EAF1CE"/>
          </w:tcPr>
          <w:p>
            <w:pPr>
              <w:spacing w:after="0"/>
              <w:rPr>
                <w:sz w:val="13"/>
                <w:szCs w:val="13"/>
                <w:color w:val="auto"/>
              </w:rPr>
            </w:pPr>
          </w:p>
        </w:tc>
        <w:tc>
          <w:tcPr>
            <w:tcW w:w="200" w:type="dxa"/>
            <w:vAlign w:val="bottom"/>
            <w:tcBorders>
              <w:top w:val="single" w:sz="8" w:color="98B82F"/>
              <w:left w:val="single" w:sz="8" w:color="EAF1CE"/>
              <w:bottom w:val="single" w:sz="8" w:color="EAF1CE"/>
              <w:right w:val="single" w:sz="8" w:color="EAF1CE"/>
            </w:tcBorders>
            <w:shd w:val="clear" w:color="auto" w:fill="EAF1CE"/>
          </w:tcPr>
          <w:p>
            <w:pPr>
              <w:spacing w:after="0"/>
              <w:rPr>
                <w:sz w:val="13"/>
                <w:szCs w:val="13"/>
                <w:color w:val="auto"/>
              </w:rPr>
            </w:pPr>
          </w:p>
        </w:tc>
        <w:tc>
          <w:tcPr>
            <w:tcW w:w="40" w:type="dxa"/>
            <w:vAlign w:val="bottom"/>
            <w:tcBorders>
              <w:top w:val="single" w:sz="8" w:color="98B82F"/>
              <w:bottom w:val="single" w:sz="8" w:color="EAF1CE"/>
            </w:tcBorders>
            <w:shd w:val="clear" w:color="auto" w:fill="EAF1CE"/>
          </w:tcPr>
          <w:p>
            <w:pPr>
              <w:spacing w:after="0"/>
              <w:rPr>
                <w:sz w:val="13"/>
                <w:szCs w:val="13"/>
                <w:color w:val="auto"/>
              </w:rPr>
            </w:pPr>
          </w:p>
        </w:tc>
        <w:tc>
          <w:tcPr>
            <w:tcW w:w="120" w:type="dxa"/>
            <w:vAlign w:val="bottom"/>
            <w:tcBorders>
              <w:top w:val="single" w:sz="8" w:color="98B82F"/>
              <w:bottom w:val="single" w:sz="8" w:color="EAF1CE"/>
            </w:tcBorders>
            <w:shd w:val="clear" w:color="auto" w:fill="EAF1CE"/>
          </w:tcPr>
          <w:p>
            <w:pPr>
              <w:spacing w:after="0"/>
              <w:rPr>
                <w:sz w:val="13"/>
                <w:szCs w:val="13"/>
                <w:color w:val="auto"/>
              </w:rPr>
            </w:pPr>
          </w:p>
        </w:tc>
        <w:tc>
          <w:tcPr>
            <w:tcW w:w="220" w:type="dxa"/>
            <w:vAlign w:val="bottom"/>
            <w:tcBorders>
              <w:top w:val="single" w:sz="8" w:color="98B82F"/>
              <w:bottom w:val="single" w:sz="8" w:color="EAF1CE"/>
            </w:tcBorders>
            <w:shd w:val="clear" w:color="auto" w:fill="EAF1CE"/>
          </w:tcPr>
          <w:p>
            <w:pPr>
              <w:spacing w:after="0"/>
              <w:rPr>
                <w:sz w:val="13"/>
                <w:szCs w:val="13"/>
                <w:color w:val="auto"/>
              </w:rPr>
            </w:pPr>
          </w:p>
        </w:tc>
        <w:tc>
          <w:tcPr>
            <w:tcW w:w="340" w:type="dxa"/>
            <w:vAlign w:val="bottom"/>
            <w:tcBorders>
              <w:top w:val="single" w:sz="8" w:color="98B82F"/>
              <w:bottom w:val="single" w:sz="8" w:color="EAF1CE"/>
              <w:right w:val="single" w:sz="8" w:color="EAF1CE"/>
            </w:tcBorders>
            <w:gridSpan w:val="5"/>
            <w:shd w:val="clear" w:color="auto" w:fill="EAF1CE"/>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20" w:type="dxa"/>
            <w:vAlign w:val="bottom"/>
            <w:tcBorders>
              <w:top w:val="single" w:sz="8" w:color="98B82F"/>
              <w:bottom w:val="single" w:sz="8" w:color="EAF1CE"/>
            </w:tcBorders>
            <w:shd w:val="clear" w:color="auto" w:fill="EAF1CE"/>
          </w:tcPr>
          <w:p>
            <w:pPr>
              <w:spacing w:after="0"/>
              <w:rPr>
                <w:sz w:val="13"/>
                <w:szCs w:val="13"/>
                <w:color w:val="auto"/>
              </w:rPr>
            </w:pPr>
          </w:p>
        </w:tc>
        <w:tc>
          <w:tcPr>
            <w:tcW w:w="60" w:type="dxa"/>
            <w:vAlign w:val="bottom"/>
            <w:tcBorders>
              <w:top w:val="single" w:sz="8" w:color="98B82F"/>
              <w:bottom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EAF1CE"/>
            </w:tcBorders>
            <w:shd w:val="clear" w:color="auto" w:fill="EAF1CE"/>
          </w:tcPr>
          <w:p>
            <w:pPr>
              <w:spacing w:after="0"/>
              <w:rPr>
                <w:sz w:val="13"/>
                <w:szCs w:val="13"/>
                <w:color w:val="auto"/>
              </w:rPr>
            </w:pPr>
          </w:p>
        </w:tc>
        <w:tc>
          <w:tcPr>
            <w:tcW w:w="4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EAF1CE"/>
            </w:tcBorders>
            <w:shd w:val="clear" w:color="auto" w:fill="EAF1CE"/>
          </w:tcPr>
          <w:p>
            <w:pPr>
              <w:spacing w:after="0"/>
              <w:rPr>
                <w:sz w:val="13"/>
                <w:szCs w:val="13"/>
                <w:color w:val="auto"/>
              </w:rPr>
            </w:pPr>
          </w:p>
        </w:tc>
        <w:tc>
          <w:tcPr>
            <w:tcW w:w="160" w:type="dxa"/>
            <w:vAlign w:val="bottom"/>
            <w:tcBorders>
              <w:top w:val="single" w:sz="8" w:color="98B82F"/>
              <w:bottom w:val="single" w:sz="8" w:color="EAF1CE"/>
            </w:tcBorders>
            <w:gridSpan w:val="2"/>
            <w:shd w:val="clear" w:color="auto" w:fill="EAF1CE"/>
          </w:tcPr>
          <w:p>
            <w:pPr>
              <w:jc w:val="center"/>
              <w:ind w:right="40"/>
              <w:spacing w:after="0"/>
              <w:rPr>
                <w:sz w:val="20"/>
                <w:szCs w:val="20"/>
                <w:color w:val="auto"/>
              </w:rPr>
            </w:pPr>
            <w:r>
              <w:rPr>
                <w:rFonts w:ascii="Arial" w:cs="Arial" w:eastAsia="Arial" w:hAnsi="Arial"/>
                <w:sz w:val="8"/>
                <w:szCs w:val="8"/>
                <w:color w:val="262626"/>
                <w:w w:val="74"/>
              </w:rPr>
              <w:t>X</w:t>
            </w:r>
          </w:p>
        </w:tc>
        <w:tc>
          <w:tcPr>
            <w:tcW w:w="100" w:type="dxa"/>
            <w:vAlign w:val="bottom"/>
            <w:tcBorders>
              <w:top w:val="single" w:sz="8" w:color="98B82F"/>
              <w:bottom w:val="single" w:sz="8" w:color="EAF1CE"/>
            </w:tcBorders>
            <w:shd w:val="clear" w:color="auto" w:fill="EAF1CE"/>
          </w:tcPr>
          <w:p>
            <w:pPr>
              <w:spacing w:after="0"/>
              <w:rPr>
                <w:sz w:val="13"/>
                <w:szCs w:val="13"/>
                <w:color w:val="auto"/>
              </w:rPr>
            </w:pPr>
          </w:p>
        </w:tc>
        <w:tc>
          <w:tcPr>
            <w:tcW w:w="60" w:type="dxa"/>
            <w:vAlign w:val="bottom"/>
            <w:tcBorders>
              <w:top w:val="single" w:sz="8" w:color="98B82F"/>
              <w:bottom w:val="single" w:sz="8" w:color="EAF1CE"/>
            </w:tcBorders>
            <w:shd w:val="clear" w:color="auto" w:fill="EAF1CE"/>
          </w:tcPr>
          <w:p>
            <w:pPr>
              <w:spacing w:after="0"/>
              <w:rPr>
                <w:sz w:val="13"/>
                <w:szCs w:val="13"/>
                <w:color w:val="auto"/>
              </w:rPr>
            </w:pPr>
          </w:p>
        </w:tc>
        <w:tc>
          <w:tcPr>
            <w:tcW w:w="18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20" w:type="dxa"/>
            <w:vAlign w:val="bottom"/>
            <w:tcBorders>
              <w:top w:val="single" w:sz="8" w:color="98B82F"/>
              <w:bottom w:val="single" w:sz="8" w:color="EAF1CE"/>
            </w:tcBorders>
            <w:shd w:val="clear" w:color="auto" w:fill="EAF1CE"/>
          </w:tcPr>
          <w:p>
            <w:pPr>
              <w:spacing w:after="0"/>
              <w:rPr>
                <w:sz w:val="13"/>
                <w:szCs w:val="13"/>
                <w:color w:val="auto"/>
              </w:rPr>
            </w:pPr>
          </w:p>
        </w:tc>
        <w:tc>
          <w:tcPr>
            <w:tcW w:w="60" w:type="dxa"/>
            <w:vAlign w:val="bottom"/>
            <w:tcBorders>
              <w:top w:val="single" w:sz="8" w:color="98B82F"/>
              <w:bottom w:val="single" w:sz="8" w:color="EAF1CE"/>
            </w:tcBorders>
            <w:shd w:val="clear" w:color="auto" w:fill="EAF1CE"/>
          </w:tcPr>
          <w:p>
            <w:pPr>
              <w:spacing w:after="0"/>
              <w:rPr>
                <w:sz w:val="13"/>
                <w:szCs w:val="13"/>
                <w:color w:val="auto"/>
              </w:rPr>
            </w:pPr>
          </w:p>
        </w:tc>
        <w:tc>
          <w:tcPr>
            <w:tcW w:w="20" w:type="dxa"/>
            <w:vAlign w:val="bottom"/>
            <w:tcBorders>
              <w:top w:val="single" w:sz="8" w:color="98B82F"/>
              <w:bottom w:val="single" w:sz="8" w:color="EAF1CE"/>
            </w:tcBorders>
            <w:shd w:val="clear" w:color="auto" w:fill="EAF1CE"/>
          </w:tcPr>
          <w:p>
            <w:pPr>
              <w:spacing w:after="0"/>
              <w:rPr>
                <w:sz w:val="13"/>
                <w:szCs w:val="13"/>
                <w:color w:val="auto"/>
              </w:rPr>
            </w:pPr>
          </w:p>
        </w:tc>
        <w:tc>
          <w:tcPr>
            <w:tcW w:w="22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280" w:type="dxa"/>
            <w:vAlign w:val="bottom"/>
            <w:tcBorders>
              <w:top w:val="single" w:sz="8" w:color="98B82F"/>
              <w:bottom w:val="single" w:sz="8" w:color="EAF1CE"/>
            </w:tcBorders>
            <w:gridSpan w:val="3"/>
            <w:shd w:val="clear" w:color="auto" w:fill="EAF1CE"/>
          </w:tcPr>
          <w:p>
            <w:pPr>
              <w:ind w:left="20"/>
              <w:spacing w:after="0"/>
              <w:rPr>
                <w:sz w:val="20"/>
                <w:szCs w:val="20"/>
                <w:color w:val="auto"/>
              </w:rPr>
            </w:pPr>
            <w:r>
              <w:rPr>
                <w:rFonts w:ascii="Arial" w:cs="Arial" w:eastAsia="Arial" w:hAnsi="Arial"/>
                <w:sz w:val="8"/>
                <w:szCs w:val="8"/>
                <w:color w:val="262626"/>
              </w:rPr>
              <w:t>X</w:t>
            </w:r>
          </w:p>
        </w:tc>
        <w:tc>
          <w:tcPr>
            <w:tcW w:w="120" w:type="dxa"/>
            <w:vAlign w:val="bottom"/>
            <w:tcBorders>
              <w:top w:val="single" w:sz="8" w:color="98B82F"/>
              <w:bottom w:val="single" w:sz="8" w:color="EAF1CE"/>
              <w:right w:val="single" w:sz="8" w:color="EAF1CE"/>
            </w:tcBorders>
            <w:shd w:val="clear" w:color="auto" w:fill="EAF1CE"/>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80" w:type="dxa"/>
            <w:vAlign w:val="bottom"/>
            <w:tcBorders>
              <w:top w:val="single" w:sz="8" w:color="98B82F"/>
              <w:left w:val="single" w:sz="8" w:color="98B82F"/>
              <w:right w:val="single" w:sz="8" w:color="EAF1CE"/>
            </w:tcBorders>
            <w:gridSpan w:val="5"/>
            <w:vMerge w:val="restart"/>
            <w:shd w:val="clear" w:color="auto" w:fill="EAF1CE"/>
          </w:tcPr>
          <w:p>
            <w:pPr>
              <w:ind w:left="100"/>
              <w:spacing w:after="0"/>
              <w:rPr>
                <w:sz w:val="20"/>
                <w:szCs w:val="20"/>
                <w:color w:val="auto"/>
              </w:rPr>
            </w:pPr>
            <w:r>
              <w:rPr>
                <w:rFonts w:ascii="Arial" w:cs="Arial" w:eastAsia="Arial" w:hAnsi="Arial"/>
                <w:sz w:val="8"/>
                <w:szCs w:val="8"/>
                <w:color w:val="262626"/>
              </w:rPr>
              <w:t>Zhenjiang, China</w:t>
            </w:r>
          </w:p>
        </w:tc>
        <w:tc>
          <w:tcPr>
            <w:tcW w:w="320" w:type="dxa"/>
            <w:vAlign w:val="bottom"/>
            <w:tcBorders>
              <w:top w:val="single" w:sz="8" w:color="EAF1CE"/>
              <w:right w:val="single" w:sz="8" w:color="EAF1CE"/>
            </w:tcBorders>
            <w:shd w:val="clear" w:color="auto" w:fill="EAF1CE"/>
          </w:tcPr>
          <w:p>
            <w:pPr>
              <w:spacing w:after="0"/>
              <w:rPr>
                <w:sz w:val="3"/>
                <w:szCs w:val="3"/>
                <w:color w:val="auto"/>
              </w:rPr>
            </w:pPr>
          </w:p>
        </w:tc>
        <w:tc>
          <w:tcPr>
            <w:tcW w:w="80" w:type="dxa"/>
            <w:vAlign w:val="bottom"/>
            <w:tcBorders>
              <w:top w:val="single" w:sz="8" w:color="EAF1CE"/>
            </w:tcBorders>
            <w:shd w:val="clear" w:color="auto" w:fill="EAF1CE"/>
          </w:tcPr>
          <w:p>
            <w:pPr>
              <w:spacing w:after="0"/>
              <w:rPr>
                <w:sz w:val="3"/>
                <w:szCs w:val="3"/>
                <w:color w:val="auto"/>
              </w:rPr>
            </w:pPr>
          </w:p>
        </w:tc>
        <w:tc>
          <w:tcPr>
            <w:tcW w:w="140" w:type="dxa"/>
            <w:vAlign w:val="bottom"/>
            <w:tcBorders>
              <w:top w:val="single" w:sz="8" w:color="EAF1CE"/>
            </w:tcBorders>
            <w:shd w:val="clear" w:color="auto" w:fill="EAF1CE"/>
          </w:tcPr>
          <w:p>
            <w:pPr>
              <w:spacing w:after="0"/>
              <w:rPr>
                <w:sz w:val="3"/>
                <w:szCs w:val="3"/>
                <w:color w:val="auto"/>
              </w:rPr>
            </w:pPr>
          </w:p>
        </w:tc>
        <w:tc>
          <w:tcPr>
            <w:tcW w:w="120" w:type="dxa"/>
            <w:vAlign w:val="bottom"/>
            <w:tcBorders>
              <w:top w:val="single" w:sz="8" w:color="EAF1CE"/>
            </w:tcBorders>
            <w:shd w:val="clear" w:color="auto" w:fill="EAF1CE"/>
          </w:tcPr>
          <w:p>
            <w:pPr>
              <w:spacing w:after="0"/>
              <w:rPr>
                <w:sz w:val="3"/>
                <w:szCs w:val="3"/>
                <w:color w:val="auto"/>
              </w:rPr>
            </w:pPr>
          </w:p>
        </w:tc>
        <w:tc>
          <w:tcPr>
            <w:tcW w:w="100" w:type="dxa"/>
            <w:vAlign w:val="bottom"/>
            <w:tcBorders>
              <w:top w:val="single" w:sz="8" w:color="EAF1CE"/>
            </w:tcBorders>
            <w:shd w:val="clear" w:color="auto" w:fill="EAF1CE"/>
          </w:tcPr>
          <w:p>
            <w:pPr>
              <w:spacing w:after="0"/>
              <w:rPr>
                <w:sz w:val="3"/>
                <w:szCs w:val="3"/>
                <w:color w:val="auto"/>
              </w:rPr>
            </w:pPr>
          </w:p>
        </w:tc>
        <w:tc>
          <w:tcPr>
            <w:tcW w:w="120" w:type="dxa"/>
            <w:vAlign w:val="bottom"/>
            <w:tcBorders>
              <w:top w:val="single" w:sz="8" w:color="EAF1CE"/>
            </w:tcBorders>
            <w:shd w:val="clear" w:color="auto" w:fill="EAF1CE"/>
          </w:tcPr>
          <w:p>
            <w:pPr>
              <w:spacing w:after="0"/>
              <w:rPr>
                <w:sz w:val="3"/>
                <w:szCs w:val="3"/>
                <w:color w:val="auto"/>
              </w:rPr>
            </w:pPr>
          </w:p>
        </w:tc>
        <w:tc>
          <w:tcPr>
            <w:tcW w:w="100" w:type="dxa"/>
            <w:vAlign w:val="bottom"/>
            <w:tcBorders>
              <w:top w:val="single" w:sz="8" w:color="EAF1CE"/>
            </w:tcBorders>
            <w:shd w:val="clear" w:color="auto" w:fill="EAF1CE"/>
          </w:tcPr>
          <w:p>
            <w:pPr>
              <w:spacing w:after="0"/>
              <w:rPr>
                <w:sz w:val="3"/>
                <w:szCs w:val="3"/>
                <w:color w:val="auto"/>
              </w:rPr>
            </w:pPr>
          </w:p>
        </w:tc>
        <w:tc>
          <w:tcPr>
            <w:tcW w:w="3200" w:type="dxa"/>
            <w:vAlign w:val="bottom"/>
            <w:tcBorders>
              <w:top w:val="single" w:sz="8" w:color="EAF1CE"/>
            </w:tcBorders>
            <w:gridSpan w:val="33"/>
            <w:shd w:val="clear" w:color="auto" w:fill="EAF1CE"/>
          </w:tcPr>
          <w:p>
            <w:pPr>
              <w:ind w:left="20"/>
              <w:spacing w:after="0" w:line="39" w:lineRule="exact"/>
              <w:rPr>
                <w:sz w:val="20"/>
                <w:szCs w:val="20"/>
                <w:color w:val="auto"/>
              </w:rPr>
            </w:pPr>
            <w:r>
              <w:rPr>
                <w:rFonts w:ascii="Arial" w:cs="Arial" w:eastAsia="Arial" w:hAnsi="Arial"/>
                <w:sz w:val="4"/>
                <w:szCs w:val="4"/>
                <w:b w:val="1"/>
                <w:bCs w:val="1"/>
                <w:color w:val="273D86"/>
              </w:rPr>
              <w:t>Energy Usage at US Manufacturing Facilities (kWh)</w:t>
            </w:r>
          </w:p>
        </w:tc>
        <w:tc>
          <w:tcPr>
            <w:tcW w:w="220" w:type="dxa"/>
            <w:vAlign w:val="bottom"/>
            <w:tcBorders>
              <w:top w:val="single" w:sz="8" w:color="EAF1CE"/>
              <w:right w:val="single" w:sz="8" w:color="EAF1CE"/>
            </w:tcBorders>
            <w:shd w:val="clear" w:color="auto" w:fill="EAF1CE"/>
          </w:tcPr>
          <w:p>
            <w:pPr>
              <w:spacing w:after="0"/>
              <w:rPr>
                <w:sz w:val="3"/>
                <w:szCs w:val="3"/>
                <w:color w:val="auto"/>
              </w:rPr>
            </w:pPr>
          </w:p>
        </w:tc>
        <w:tc>
          <w:tcPr>
            <w:tcW w:w="280" w:type="dxa"/>
            <w:vAlign w:val="bottom"/>
            <w:tcBorders>
              <w:top w:val="single" w:sz="8" w:color="EAF1CE"/>
            </w:tcBorders>
            <w:gridSpan w:val="3"/>
            <w:vMerge w:val="restart"/>
            <w:shd w:val="clear" w:color="auto" w:fill="EAF1CE"/>
          </w:tcPr>
          <w:p>
            <w:pPr>
              <w:ind w:left="20"/>
              <w:spacing w:after="0"/>
              <w:rPr>
                <w:sz w:val="20"/>
                <w:szCs w:val="20"/>
                <w:color w:val="auto"/>
              </w:rPr>
            </w:pPr>
            <w:r>
              <w:rPr>
                <w:rFonts w:ascii="Arial" w:cs="Arial" w:eastAsia="Arial" w:hAnsi="Arial"/>
                <w:sz w:val="8"/>
                <w:szCs w:val="8"/>
                <w:color w:val="262626"/>
              </w:rPr>
              <w:t>X</w:t>
            </w:r>
          </w:p>
        </w:tc>
        <w:tc>
          <w:tcPr>
            <w:tcW w:w="120" w:type="dxa"/>
            <w:vAlign w:val="bottom"/>
            <w:tcBorders>
              <w:top w:val="single" w:sz="8" w:color="EAF1CE"/>
              <w:right w:val="single" w:sz="8" w:color="EAF1CE"/>
            </w:tcBorders>
            <w:shd w:val="clear" w:color="auto" w:fill="EAF1CE"/>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780" w:type="dxa"/>
            <w:vAlign w:val="bottom"/>
            <w:tcBorders>
              <w:left w:val="single" w:sz="8" w:color="98B82F"/>
              <w:bottom w:val="single" w:sz="8" w:color="EAF1CE"/>
              <w:right w:val="single" w:sz="8" w:color="EAF1CE"/>
            </w:tcBorders>
            <w:gridSpan w:val="5"/>
            <w:vMerge w:val="continue"/>
            <w:shd w:val="clear" w:color="auto" w:fill="EAF1CE"/>
          </w:tcPr>
          <w:p>
            <w:pPr>
              <w:spacing w:after="0"/>
              <w:rPr>
                <w:sz w:val="12"/>
                <w:szCs w:val="12"/>
                <w:color w:val="auto"/>
              </w:rPr>
            </w:pPr>
          </w:p>
        </w:tc>
        <w:tc>
          <w:tcPr>
            <w:tcW w:w="320" w:type="dxa"/>
            <w:vAlign w:val="bottom"/>
            <w:tcBorders>
              <w:bottom w:val="single" w:sz="8" w:color="EAF1CE"/>
              <w:right w:val="single" w:sz="8" w:color="EAF1CE"/>
            </w:tcBorders>
            <w:shd w:val="clear" w:color="auto" w:fill="EAF1CE"/>
          </w:tcPr>
          <w:p>
            <w:pPr>
              <w:spacing w:after="0"/>
              <w:rPr>
                <w:sz w:val="12"/>
                <w:szCs w:val="12"/>
                <w:color w:val="auto"/>
              </w:rPr>
            </w:pPr>
          </w:p>
        </w:tc>
        <w:tc>
          <w:tcPr>
            <w:tcW w:w="80" w:type="dxa"/>
            <w:vAlign w:val="bottom"/>
            <w:tcBorders>
              <w:bottom w:val="single" w:sz="8" w:color="EAF1CE"/>
            </w:tcBorders>
            <w:shd w:val="clear" w:color="auto" w:fill="EAF1CE"/>
          </w:tcPr>
          <w:p>
            <w:pPr>
              <w:spacing w:after="0"/>
              <w:rPr>
                <w:sz w:val="12"/>
                <w:szCs w:val="12"/>
                <w:color w:val="auto"/>
              </w:rPr>
            </w:pPr>
          </w:p>
        </w:tc>
        <w:tc>
          <w:tcPr>
            <w:tcW w:w="14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140" w:type="dxa"/>
            <w:vAlign w:val="bottom"/>
            <w:tcBorders>
              <w:bottom w:val="single" w:sz="8" w:color="EAF1CE"/>
            </w:tcBorders>
            <w:shd w:val="clear" w:color="auto" w:fill="EAF1CE"/>
          </w:tcPr>
          <w:p>
            <w:pPr>
              <w:spacing w:after="0"/>
              <w:rPr>
                <w:sz w:val="12"/>
                <w:szCs w:val="12"/>
                <w:color w:val="auto"/>
              </w:rPr>
            </w:pPr>
          </w:p>
        </w:tc>
        <w:tc>
          <w:tcPr>
            <w:tcW w:w="260" w:type="dxa"/>
            <w:vAlign w:val="bottom"/>
            <w:tcBorders>
              <w:bottom w:val="single" w:sz="8" w:color="EAF1CE"/>
              <w:right w:val="single" w:sz="8" w:color="EAF1CE"/>
            </w:tcBorders>
            <w:shd w:val="clear" w:color="auto" w:fill="EAF1CE"/>
          </w:tcPr>
          <w:p>
            <w:pPr>
              <w:spacing w:after="0"/>
              <w:rPr>
                <w:sz w:val="12"/>
                <w:szCs w:val="12"/>
                <w:color w:val="auto"/>
              </w:rPr>
            </w:pPr>
          </w:p>
        </w:tc>
        <w:tc>
          <w:tcPr>
            <w:tcW w:w="280" w:type="dxa"/>
            <w:vAlign w:val="bottom"/>
            <w:tcBorders>
              <w:bottom w:val="single" w:sz="8" w:color="EAF1CE"/>
              <w:right w:val="single" w:sz="8" w:color="EAF1CE"/>
            </w:tcBorders>
            <w:shd w:val="clear" w:color="auto" w:fill="EAF1CE"/>
          </w:tcPr>
          <w:p>
            <w:pPr>
              <w:spacing w:after="0"/>
              <w:rPr>
                <w:sz w:val="12"/>
                <w:szCs w:val="12"/>
                <w:color w:val="auto"/>
              </w:rPr>
            </w:pPr>
          </w:p>
        </w:tc>
        <w:tc>
          <w:tcPr>
            <w:tcW w:w="100" w:type="dxa"/>
            <w:vAlign w:val="bottom"/>
            <w:tcBorders>
              <w:bottom w:val="single" w:sz="8" w:color="EAF1CE"/>
              <w:right w:val="single" w:sz="8" w:color="EAF1CE"/>
            </w:tcBorders>
            <w:shd w:val="clear" w:color="auto" w:fill="EAF1CE"/>
          </w:tcPr>
          <w:p>
            <w:pPr>
              <w:spacing w:after="0"/>
              <w:rPr>
                <w:sz w:val="12"/>
                <w:szCs w:val="12"/>
                <w:color w:val="auto"/>
              </w:rPr>
            </w:pPr>
          </w:p>
        </w:tc>
        <w:tc>
          <w:tcPr>
            <w:tcW w:w="180" w:type="dxa"/>
            <w:vAlign w:val="bottom"/>
            <w:tcBorders>
              <w:bottom w:val="single" w:sz="8" w:color="EAF1CE"/>
            </w:tcBorders>
            <w:shd w:val="clear" w:color="auto" w:fill="EAF1CE"/>
          </w:tcPr>
          <w:p>
            <w:pPr>
              <w:spacing w:after="0"/>
              <w:rPr>
                <w:sz w:val="12"/>
                <w:szCs w:val="12"/>
                <w:color w:val="auto"/>
              </w:rPr>
            </w:pPr>
          </w:p>
        </w:tc>
        <w:tc>
          <w:tcPr>
            <w:tcW w:w="40" w:type="dxa"/>
            <w:vAlign w:val="bottom"/>
            <w:tcBorders>
              <w:bottom w:val="single" w:sz="8" w:color="EAF1CE"/>
            </w:tcBorders>
            <w:shd w:val="clear" w:color="auto" w:fill="EAF1CE"/>
          </w:tcPr>
          <w:p>
            <w:pPr>
              <w:spacing w:after="0"/>
              <w:rPr>
                <w:sz w:val="12"/>
                <w:szCs w:val="12"/>
                <w:color w:val="auto"/>
              </w:rPr>
            </w:pPr>
          </w:p>
        </w:tc>
        <w:tc>
          <w:tcPr>
            <w:tcW w:w="6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40" w:type="dxa"/>
            <w:vAlign w:val="bottom"/>
            <w:tcBorders>
              <w:bottom w:val="single" w:sz="8" w:color="EAF1CE"/>
            </w:tcBorders>
            <w:shd w:val="clear" w:color="auto" w:fill="EAF1CE"/>
          </w:tcPr>
          <w:p>
            <w:pPr>
              <w:spacing w:after="0"/>
              <w:rPr>
                <w:sz w:val="12"/>
                <w:szCs w:val="12"/>
                <w:color w:val="auto"/>
              </w:rPr>
            </w:pPr>
          </w:p>
        </w:tc>
        <w:tc>
          <w:tcPr>
            <w:tcW w:w="40" w:type="dxa"/>
            <w:vAlign w:val="bottom"/>
            <w:tcBorders>
              <w:bottom w:val="single" w:sz="8" w:color="EAF1CE"/>
            </w:tcBorders>
            <w:shd w:val="clear" w:color="auto" w:fill="EAF1CE"/>
          </w:tcPr>
          <w:p>
            <w:pPr>
              <w:spacing w:after="0"/>
              <w:rPr>
                <w:sz w:val="12"/>
                <w:szCs w:val="12"/>
                <w:color w:val="auto"/>
              </w:rPr>
            </w:pPr>
          </w:p>
        </w:tc>
        <w:tc>
          <w:tcPr>
            <w:tcW w:w="200" w:type="dxa"/>
            <w:vAlign w:val="bottom"/>
            <w:tcBorders>
              <w:left w:val="single" w:sz="8" w:color="EAF1CE"/>
              <w:bottom w:val="single" w:sz="8" w:color="EAF1CE"/>
              <w:right w:val="single" w:sz="8" w:color="EAF1CE"/>
            </w:tcBorders>
            <w:shd w:val="clear" w:color="auto" w:fill="EAF1CE"/>
          </w:tcPr>
          <w:p>
            <w:pPr>
              <w:spacing w:after="0"/>
              <w:rPr>
                <w:sz w:val="12"/>
                <w:szCs w:val="12"/>
                <w:color w:val="auto"/>
              </w:rPr>
            </w:pPr>
          </w:p>
        </w:tc>
        <w:tc>
          <w:tcPr>
            <w:tcW w:w="4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220" w:type="dxa"/>
            <w:vAlign w:val="bottom"/>
            <w:tcBorders>
              <w:bottom w:val="single" w:sz="8" w:color="EAF1CE"/>
            </w:tcBorders>
            <w:shd w:val="clear" w:color="auto" w:fill="EAF1CE"/>
          </w:tcPr>
          <w:p>
            <w:pPr>
              <w:spacing w:after="0"/>
              <w:rPr>
                <w:sz w:val="12"/>
                <w:szCs w:val="12"/>
                <w:color w:val="auto"/>
              </w:rPr>
            </w:pPr>
          </w:p>
        </w:tc>
        <w:tc>
          <w:tcPr>
            <w:tcW w:w="340" w:type="dxa"/>
            <w:vAlign w:val="bottom"/>
            <w:tcBorders>
              <w:bottom w:val="single" w:sz="8" w:color="EAF1CE"/>
              <w:right w:val="single" w:sz="8" w:color="EAF1CE"/>
            </w:tcBorders>
            <w:gridSpan w:val="5"/>
            <w:shd w:val="clear" w:color="auto" w:fill="EAF1CE"/>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bottom w:val="single" w:sz="8" w:color="EAF1CE"/>
              <w:right w:val="single" w:sz="8" w:color="EAF1CE"/>
            </w:tcBorders>
            <w:shd w:val="clear" w:color="auto" w:fill="EAF1CE"/>
          </w:tcPr>
          <w:p>
            <w:pPr>
              <w:spacing w:after="0"/>
              <w:rPr>
                <w:sz w:val="12"/>
                <w:szCs w:val="12"/>
                <w:color w:val="auto"/>
              </w:rPr>
            </w:pPr>
          </w:p>
        </w:tc>
        <w:tc>
          <w:tcPr>
            <w:tcW w:w="20" w:type="dxa"/>
            <w:vAlign w:val="bottom"/>
            <w:tcBorders>
              <w:bottom w:val="single" w:sz="8" w:color="EAF1CE"/>
            </w:tcBorders>
            <w:shd w:val="clear" w:color="auto" w:fill="EAF1CE"/>
          </w:tcPr>
          <w:p>
            <w:pPr>
              <w:spacing w:after="0"/>
              <w:rPr>
                <w:sz w:val="12"/>
                <w:szCs w:val="12"/>
                <w:color w:val="auto"/>
              </w:rPr>
            </w:pPr>
          </w:p>
        </w:tc>
        <w:tc>
          <w:tcPr>
            <w:tcW w:w="60" w:type="dxa"/>
            <w:vAlign w:val="bottom"/>
            <w:tcBorders>
              <w:bottom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40" w:type="dxa"/>
            <w:vAlign w:val="bottom"/>
            <w:tcBorders>
              <w:bottom w:val="single" w:sz="8" w:color="EAF1CE"/>
              <w:right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160" w:type="dxa"/>
            <w:vAlign w:val="bottom"/>
            <w:tcBorders>
              <w:bottom w:val="single" w:sz="8" w:color="EAF1CE"/>
            </w:tcBorders>
            <w:gridSpan w:val="2"/>
            <w:shd w:val="clear" w:color="auto" w:fill="EAF1CE"/>
          </w:tcPr>
          <w:p>
            <w:pPr>
              <w:jc w:val="center"/>
              <w:ind w:right="40"/>
              <w:spacing w:after="0"/>
              <w:rPr>
                <w:sz w:val="20"/>
                <w:szCs w:val="20"/>
                <w:color w:val="auto"/>
              </w:rPr>
            </w:pPr>
            <w:r>
              <w:rPr>
                <w:rFonts w:ascii="Arial" w:cs="Arial" w:eastAsia="Arial" w:hAnsi="Arial"/>
                <w:sz w:val="8"/>
                <w:szCs w:val="8"/>
                <w:color w:val="262626"/>
                <w:w w:val="74"/>
              </w:rPr>
              <w:t>X</w:t>
            </w:r>
          </w:p>
        </w:tc>
        <w:tc>
          <w:tcPr>
            <w:tcW w:w="100" w:type="dxa"/>
            <w:vAlign w:val="bottom"/>
            <w:tcBorders>
              <w:bottom w:val="single" w:sz="8" w:color="EAF1CE"/>
            </w:tcBorders>
            <w:shd w:val="clear" w:color="auto" w:fill="EAF1CE"/>
          </w:tcPr>
          <w:p>
            <w:pPr>
              <w:spacing w:after="0"/>
              <w:rPr>
                <w:sz w:val="12"/>
                <w:szCs w:val="12"/>
                <w:color w:val="auto"/>
              </w:rPr>
            </w:pPr>
          </w:p>
        </w:tc>
        <w:tc>
          <w:tcPr>
            <w:tcW w:w="60" w:type="dxa"/>
            <w:vAlign w:val="bottom"/>
            <w:tcBorders>
              <w:bottom w:val="single" w:sz="8" w:color="EAF1CE"/>
            </w:tcBorders>
            <w:shd w:val="clear" w:color="auto" w:fill="EAF1CE"/>
          </w:tcPr>
          <w:p>
            <w:pPr>
              <w:spacing w:after="0"/>
              <w:rPr>
                <w:sz w:val="12"/>
                <w:szCs w:val="12"/>
                <w:color w:val="auto"/>
              </w:rPr>
            </w:pPr>
          </w:p>
        </w:tc>
        <w:tc>
          <w:tcPr>
            <w:tcW w:w="180" w:type="dxa"/>
            <w:vAlign w:val="bottom"/>
            <w:tcBorders>
              <w:bottom w:val="single" w:sz="8" w:color="EAF1CE"/>
              <w:right w:val="single" w:sz="8" w:color="EAF1CE"/>
            </w:tcBorders>
            <w:shd w:val="clear" w:color="auto" w:fill="EAF1CE"/>
          </w:tcPr>
          <w:p>
            <w:pPr>
              <w:spacing w:after="0"/>
              <w:rPr>
                <w:sz w:val="12"/>
                <w:szCs w:val="12"/>
                <w:color w:val="auto"/>
              </w:rPr>
            </w:pPr>
          </w:p>
        </w:tc>
        <w:tc>
          <w:tcPr>
            <w:tcW w:w="20" w:type="dxa"/>
            <w:vAlign w:val="bottom"/>
            <w:tcBorders>
              <w:bottom w:val="single" w:sz="8" w:color="EAF1CE"/>
            </w:tcBorders>
            <w:shd w:val="clear" w:color="auto" w:fill="EAF1CE"/>
          </w:tcPr>
          <w:p>
            <w:pPr>
              <w:spacing w:after="0"/>
              <w:rPr>
                <w:sz w:val="12"/>
                <w:szCs w:val="12"/>
                <w:color w:val="auto"/>
              </w:rPr>
            </w:pPr>
          </w:p>
        </w:tc>
        <w:tc>
          <w:tcPr>
            <w:tcW w:w="60" w:type="dxa"/>
            <w:vAlign w:val="bottom"/>
            <w:tcBorders>
              <w:bottom w:val="single" w:sz="8" w:color="EAF1CE"/>
            </w:tcBorders>
            <w:shd w:val="clear" w:color="auto" w:fill="EAF1CE"/>
          </w:tcPr>
          <w:p>
            <w:pPr>
              <w:spacing w:after="0"/>
              <w:rPr>
                <w:sz w:val="12"/>
                <w:szCs w:val="12"/>
                <w:color w:val="auto"/>
              </w:rPr>
            </w:pPr>
          </w:p>
        </w:tc>
        <w:tc>
          <w:tcPr>
            <w:tcW w:w="20" w:type="dxa"/>
            <w:vAlign w:val="bottom"/>
            <w:tcBorders>
              <w:bottom w:val="single" w:sz="8" w:color="EAF1CE"/>
            </w:tcBorders>
            <w:shd w:val="clear" w:color="auto" w:fill="EAF1CE"/>
          </w:tcPr>
          <w:p>
            <w:pPr>
              <w:spacing w:after="0"/>
              <w:rPr>
                <w:sz w:val="12"/>
                <w:szCs w:val="12"/>
                <w:color w:val="auto"/>
              </w:rPr>
            </w:pPr>
          </w:p>
        </w:tc>
        <w:tc>
          <w:tcPr>
            <w:tcW w:w="220" w:type="dxa"/>
            <w:vAlign w:val="bottom"/>
            <w:tcBorders>
              <w:bottom w:val="single" w:sz="8" w:color="EAF1CE"/>
              <w:right w:val="single" w:sz="8" w:color="EAF1CE"/>
            </w:tcBorders>
            <w:shd w:val="clear" w:color="auto" w:fill="EAF1CE"/>
          </w:tcPr>
          <w:p>
            <w:pPr>
              <w:spacing w:after="0"/>
              <w:rPr>
                <w:sz w:val="12"/>
                <w:szCs w:val="12"/>
                <w:color w:val="auto"/>
              </w:rPr>
            </w:pPr>
          </w:p>
        </w:tc>
        <w:tc>
          <w:tcPr>
            <w:tcW w:w="280" w:type="dxa"/>
            <w:vAlign w:val="bottom"/>
            <w:tcBorders>
              <w:bottom w:val="single" w:sz="8" w:color="EAF1CE"/>
            </w:tcBorders>
            <w:gridSpan w:val="3"/>
            <w:vMerge w:val="continue"/>
            <w:shd w:val="clear" w:color="auto" w:fill="EAF1CE"/>
          </w:tcPr>
          <w:p>
            <w:pPr>
              <w:spacing w:after="0"/>
              <w:rPr>
                <w:sz w:val="12"/>
                <w:szCs w:val="12"/>
                <w:color w:val="auto"/>
              </w:rPr>
            </w:pPr>
          </w:p>
        </w:tc>
        <w:tc>
          <w:tcPr>
            <w:tcW w:w="120" w:type="dxa"/>
            <w:vAlign w:val="bottom"/>
            <w:tcBorders>
              <w:bottom w:val="single" w:sz="8" w:color="EAF1CE"/>
              <w:right w:val="single" w:sz="8" w:color="EAF1CE"/>
            </w:tcBorders>
            <w:shd w:val="clear" w:color="auto" w:fill="EAF1C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780" w:type="dxa"/>
            <w:vAlign w:val="bottom"/>
            <w:tcBorders>
              <w:top w:val="single" w:sz="8" w:color="98B82F"/>
              <w:left w:val="single" w:sz="8" w:color="98B82F"/>
              <w:right w:val="single" w:sz="8" w:color="EAF1CE"/>
            </w:tcBorders>
            <w:gridSpan w:val="5"/>
            <w:vMerge w:val="restart"/>
            <w:shd w:val="clear" w:color="auto" w:fill="EAF1CE"/>
          </w:tcPr>
          <w:p>
            <w:pPr>
              <w:ind w:left="100"/>
              <w:spacing w:after="0"/>
              <w:rPr>
                <w:sz w:val="20"/>
                <w:szCs w:val="20"/>
                <w:color w:val="auto"/>
              </w:rPr>
            </w:pPr>
            <w:r>
              <w:rPr>
                <w:rFonts w:ascii="Arial" w:cs="Arial" w:eastAsia="Arial" w:hAnsi="Arial"/>
                <w:sz w:val="8"/>
                <w:szCs w:val="8"/>
                <w:color w:val="262626"/>
              </w:rPr>
              <w:t>Denton, Texas</w:t>
            </w:r>
          </w:p>
        </w:tc>
        <w:tc>
          <w:tcPr>
            <w:tcW w:w="320" w:type="dxa"/>
            <w:vAlign w:val="bottom"/>
            <w:tcBorders>
              <w:top w:val="single" w:sz="8" w:color="EAF1CE"/>
              <w:right w:val="single" w:sz="8" w:color="EAF1CE"/>
            </w:tcBorders>
            <w:shd w:val="clear" w:color="auto" w:fill="EAF1CE"/>
          </w:tcPr>
          <w:p>
            <w:pPr>
              <w:spacing w:after="0"/>
              <w:rPr>
                <w:sz w:val="9"/>
                <w:szCs w:val="9"/>
                <w:color w:val="auto"/>
              </w:rPr>
            </w:pPr>
          </w:p>
        </w:tc>
        <w:tc>
          <w:tcPr>
            <w:tcW w:w="80" w:type="dxa"/>
            <w:vAlign w:val="bottom"/>
            <w:tcBorders>
              <w:top w:val="single" w:sz="8" w:color="EAF1CE"/>
            </w:tcBorders>
            <w:shd w:val="clear" w:color="auto" w:fill="EAF1CE"/>
          </w:tcPr>
          <w:p>
            <w:pPr>
              <w:spacing w:after="0"/>
              <w:rPr>
                <w:sz w:val="9"/>
                <w:szCs w:val="9"/>
                <w:color w:val="auto"/>
              </w:rPr>
            </w:pPr>
          </w:p>
        </w:tc>
        <w:tc>
          <w:tcPr>
            <w:tcW w:w="260" w:type="dxa"/>
            <w:vAlign w:val="bottom"/>
            <w:tcBorders>
              <w:top w:val="single" w:sz="8" w:color="EAF1CE"/>
            </w:tcBorders>
            <w:gridSpan w:val="2"/>
            <w:vMerge w:val="restart"/>
            <w:textDirection w:val="btLr"/>
            <w:shd w:val="clear" w:color="auto" w:fill="EAF1CE"/>
          </w:tcPr>
          <w:p>
            <w:pPr>
              <w:ind w:left="157"/>
              <w:spacing w:after="0"/>
              <w:rPr>
                <w:sz w:val="20"/>
                <w:szCs w:val="20"/>
                <w:color w:val="auto"/>
              </w:rPr>
            </w:pPr>
            <w:r>
              <w:rPr>
                <w:rFonts w:ascii="Arial" w:cs="Arial" w:eastAsia="Arial" w:hAnsi="Arial"/>
                <w:sz w:val="9"/>
                <w:szCs w:val="9"/>
                <w:color w:val="262626"/>
                <w:w w:val="99"/>
              </w:rPr>
              <w:t>1,187,400</w:t>
            </w:r>
          </w:p>
        </w:tc>
        <w:tc>
          <w:tcPr>
            <w:tcW w:w="100" w:type="dxa"/>
            <w:vAlign w:val="bottom"/>
            <w:tcBorders>
              <w:top w:val="single" w:sz="8" w:color="EAF1CE"/>
            </w:tcBorders>
            <w:shd w:val="clear" w:color="auto" w:fill="EAF1CE"/>
          </w:tcPr>
          <w:p>
            <w:pPr>
              <w:spacing w:after="0"/>
              <w:rPr>
                <w:sz w:val="9"/>
                <w:szCs w:val="9"/>
                <w:color w:val="auto"/>
              </w:rPr>
            </w:pPr>
          </w:p>
        </w:tc>
        <w:tc>
          <w:tcPr>
            <w:tcW w:w="120" w:type="dxa"/>
            <w:vAlign w:val="bottom"/>
            <w:tcBorders>
              <w:top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140" w:type="dxa"/>
            <w:vAlign w:val="bottom"/>
            <w:tcBorders>
              <w:top w:val="single" w:sz="8" w:color="EAF1CE"/>
            </w:tcBorders>
            <w:shd w:val="clear" w:color="auto" w:fill="EAF1CE"/>
          </w:tcPr>
          <w:p>
            <w:pPr>
              <w:spacing w:after="0"/>
              <w:rPr>
                <w:sz w:val="9"/>
                <w:szCs w:val="9"/>
                <w:color w:val="auto"/>
              </w:rPr>
            </w:pPr>
          </w:p>
        </w:tc>
        <w:tc>
          <w:tcPr>
            <w:tcW w:w="260" w:type="dxa"/>
            <w:vAlign w:val="bottom"/>
            <w:tcBorders>
              <w:top w:val="single" w:sz="8" w:color="EAF1CE"/>
              <w:right w:val="single" w:sz="8" w:color="EAF1CE"/>
            </w:tcBorders>
            <w:shd w:val="clear" w:color="auto" w:fill="EAF1CE"/>
          </w:tcPr>
          <w:p>
            <w:pPr>
              <w:spacing w:after="0"/>
              <w:rPr>
                <w:sz w:val="9"/>
                <w:szCs w:val="9"/>
                <w:color w:val="auto"/>
              </w:rPr>
            </w:pPr>
          </w:p>
        </w:tc>
        <w:tc>
          <w:tcPr>
            <w:tcW w:w="280" w:type="dxa"/>
            <w:vAlign w:val="bottom"/>
            <w:tcBorders>
              <w:top w:val="single" w:sz="8" w:color="EAF1CE"/>
              <w:right w:val="single" w:sz="8" w:color="EAF1CE"/>
            </w:tcBorders>
            <w:shd w:val="clear" w:color="auto" w:fill="EAF1CE"/>
          </w:tcPr>
          <w:p>
            <w:pPr>
              <w:spacing w:after="0"/>
              <w:rPr>
                <w:sz w:val="9"/>
                <w:szCs w:val="9"/>
                <w:color w:val="auto"/>
              </w:rPr>
            </w:pPr>
          </w:p>
        </w:tc>
        <w:tc>
          <w:tcPr>
            <w:tcW w:w="100" w:type="dxa"/>
            <w:vAlign w:val="bottom"/>
            <w:tcBorders>
              <w:top w:val="single" w:sz="8" w:color="EAF1CE"/>
              <w:right w:val="single" w:sz="8" w:color="EAF1CE"/>
            </w:tcBorders>
            <w:shd w:val="clear" w:color="auto" w:fill="EAF1CE"/>
          </w:tcPr>
          <w:p>
            <w:pPr>
              <w:spacing w:after="0"/>
              <w:rPr>
                <w:sz w:val="9"/>
                <w:szCs w:val="9"/>
                <w:color w:val="auto"/>
              </w:rPr>
            </w:pPr>
          </w:p>
        </w:tc>
        <w:tc>
          <w:tcPr>
            <w:tcW w:w="400" w:type="dxa"/>
            <w:vAlign w:val="bottom"/>
            <w:tcBorders>
              <w:top w:val="single" w:sz="8" w:color="EAF1CE"/>
            </w:tcBorders>
            <w:gridSpan w:val="4"/>
            <w:vMerge w:val="restart"/>
            <w:shd w:val="clear" w:color="auto" w:fill="EAF1CE"/>
          </w:tcPr>
          <w:p>
            <w:pPr>
              <w:jc w:val="right"/>
              <w:ind w:right="34"/>
              <w:spacing w:after="0"/>
              <w:rPr>
                <w:sz w:val="20"/>
                <w:szCs w:val="20"/>
                <w:color w:val="auto"/>
              </w:rPr>
            </w:pPr>
            <w:r>
              <w:rPr>
                <w:rFonts w:ascii="Arial" w:cs="Arial" w:eastAsia="Arial" w:hAnsi="Arial"/>
                <w:sz w:val="13"/>
                <w:szCs w:val="13"/>
                <w:b w:val="1"/>
                <w:bCs w:val="1"/>
                <w:color w:val="262626"/>
              </w:rPr>
              <w:t>2018</w:t>
            </w:r>
          </w:p>
        </w:tc>
        <w:tc>
          <w:tcPr>
            <w:tcW w:w="40" w:type="dxa"/>
            <w:vAlign w:val="bottom"/>
            <w:tcBorders>
              <w:top w:val="single" w:sz="8" w:color="EAF1CE"/>
            </w:tcBorders>
            <w:vMerge w:val="restart"/>
            <w:shd w:val="clear" w:color="auto" w:fill="EAF1CE"/>
          </w:tcPr>
          <w:p>
            <w:pPr>
              <w:spacing w:after="0"/>
              <w:rPr>
                <w:sz w:val="9"/>
                <w:szCs w:val="9"/>
                <w:color w:val="auto"/>
              </w:rPr>
            </w:pPr>
          </w:p>
        </w:tc>
        <w:tc>
          <w:tcPr>
            <w:tcW w:w="40" w:type="dxa"/>
            <w:vAlign w:val="bottom"/>
            <w:tcBorders>
              <w:top w:val="single" w:sz="8" w:color="EAF1CE"/>
            </w:tcBorders>
            <w:vMerge w:val="restart"/>
            <w:shd w:val="clear" w:color="auto" w:fill="EAF1CE"/>
          </w:tcPr>
          <w:p>
            <w:pPr>
              <w:spacing w:after="0"/>
              <w:rPr>
                <w:sz w:val="9"/>
                <w:szCs w:val="9"/>
                <w:color w:val="auto"/>
              </w:rPr>
            </w:pPr>
          </w:p>
        </w:tc>
        <w:tc>
          <w:tcPr>
            <w:tcW w:w="200" w:type="dxa"/>
            <w:vAlign w:val="bottom"/>
            <w:tcBorders>
              <w:top w:val="single" w:sz="8" w:color="EAF1CE"/>
              <w:left w:val="single" w:sz="8" w:color="EAF1CE"/>
              <w:right w:val="single" w:sz="8" w:color="EAF1CE"/>
            </w:tcBorders>
            <w:shd w:val="clear" w:color="auto" w:fill="EAF1CE"/>
          </w:tcPr>
          <w:p>
            <w:pPr>
              <w:spacing w:after="0"/>
              <w:rPr>
                <w:sz w:val="9"/>
                <w:szCs w:val="9"/>
                <w:color w:val="auto"/>
              </w:rPr>
            </w:pPr>
          </w:p>
        </w:tc>
        <w:tc>
          <w:tcPr>
            <w:tcW w:w="380" w:type="dxa"/>
            <w:vAlign w:val="bottom"/>
            <w:tcBorders>
              <w:top w:val="single" w:sz="8" w:color="EAF1CE"/>
            </w:tcBorders>
            <w:gridSpan w:val="3"/>
            <w:vMerge w:val="restart"/>
            <w:shd w:val="clear" w:color="auto" w:fill="EAF1CE"/>
          </w:tcPr>
          <w:p>
            <w:pPr>
              <w:jc w:val="right"/>
              <w:ind w:right="102"/>
              <w:spacing w:after="0"/>
              <w:rPr>
                <w:sz w:val="20"/>
                <w:szCs w:val="20"/>
                <w:color w:val="auto"/>
              </w:rPr>
            </w:pPr>
            <w:r>
              <w:rPr>
                <w:rFonts w:ascii="Arial" w:cs="Arial" w:eastAsia="Arial" w:hAnsi="Arial"/>
                <w:sz w:val="13"/>
                <w:szCs w:val="13"/>
                <w:b w:val="1"/>
                <w:bCs w:val="1"/>
                <w:color w:val="262626"/>
                <w:w w:val="75"/>
              </w:rPr>
              <w:t>2019</w:t>
            </w:r>
          </w:p>
        </w:tc>
        <w:tc>
          <w:tcPr>
            <w:tcW w:w="80" w:type="dxa"/>
            <w:vAlign w:val="bottom"/>
            <w:tcBorders>
              <w:top w:val="single" w:sz="8" w:color="EAF1CE"/>
            </w:tcBorders>
            <w:gridSpan w:val="2"/>
            <w:vMerge w:val="restart"/>
            <w:shd w:val="clear" w:color="auto" w:fill="EAF1CE"/>
          </w:tcPr>
          <w:p>
            <w:pPr>
              <w:jc w:val="center"/>
              <w:spacing w:after="0"/>
              <w:rPr>
                <w:sz w:val="20"/>
                <w:szCs w:val="20"/>
                <w:color w:val="auto"/>
              </w:rPr>
            </w:pPr>
            <w:r>
              <w:rPr>
                <w:rFonts w:ascii="Arial" w:cs="Arial" w:eastAsia="Arial" w:hAnsi="Arial"/>
                <w:sz w:val="8"/>
                <w:szCs w:val="8"/>
                <w:color w:val="262626"/>
                <w:w w:val="74"/>
              </w:rPr>
              <w:t>X</w:t>
            </w:r>
          </w:p>
        </w:tc>
        <w:tc>
          <w:tcPr>
            <w:tcW w:w="380" w:type="dxa"/>
            <w:vAlign w:val="bottom"/>
            <w:tcBorders>
              <w:top w:val="single" w:sz="8" w:color="EAF1CE"/>
            </w:tcBorders>
            <w:gridSpan w:val="5"/>
            <w:vMerge w:val="restart"/>
            <w:shd w:val="clear" w:color="auto" w:fill="EAF1CE"/>
          </w:tcPr>
          <w:p>
            <w:pPr>
              <w:jc w:val="right"/>
              <w:ind w:right="20"/>
              <w:spacing w:after="0"/>
              <w:rPr>
                <w:sz w:val="20"/>
                <w:szCs w:val="20"/>
                <w:color w:val="auto"/>
              </w:rPr>
            </w:pPr>
            <w:r>
              <w:rPr>
                <w:rFonts w:ascii="Arial" w:cs="Arial" w:eastAsia="Arial" w:hAnsi="Arial"/>
                <w:sz w:val="13"/>
                <w:szCs w:val="13"/>
                <w:b w:val="1"/>
                <w:bCs w:val="1"/>
                <w:color w:val="262626"/>
              </w:rPr>
              <w:t>2020</w:t>
            </w:r>
          </w:p>
        </w:tc>
        <w:tc>
          <w:tcPr>
            <w:tcW w:w="60" w:type="dxa"/>
            <w:vAlign w:val="bottom"/>
            <w:tcBorders>
              <w:top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40" w:type="dxa"/>
            <w:vAlign w:val="bottom"/>
            <w:tcBorders>
              <w:top w:val="single" w:sz="8" w:color="EAF1CE"/>
              <w:right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120" w:type="dxa"/>
            <w:vAlign w:val="bottom"/>
            <w:tcBorders>
              <w:top w:val="single" w:sz="8" w:color="EAF1CE"/>
            </w:tcBorders>
            <w:shd w:val="clear" w:color="auto" w:fill="EAF1CE"/>
          </w:tcPr>
          <w:p>
            <w:pPr>
              <w:spacing w:after="0"/>
              <w:rPr>
                <w:sz w:val="9"/>
                <w:szCs w:val="9"/>
                <w:color w:val="auto"/>
              </w:rPr>
            </w:pPr>
          </w:p>
        </w:tc>
        <w:tc>
          <w:tcPr>
            <w:tcW w:w="40" w:type="dxa"/>
            <w:vAlign w:val="bottom"/>
            <w:tcBorders>
              <w:top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60" w:type="dxa"/>
            <w:vAlign w:val="bottom"/>
            <w:tcBorders>
              <w:top w:val="single" w:sz="8" w:color="EAF1CE"/>
            </w:tcBorders>
            <w:shd w:val="clear" w:color="auto" w:fill="EAF1CE"/>
          </w:tcPr>
          <w:p>
            <w:pPr>
              <w:spacing w:after="0"/>
              <w:rPr>
                <w:sz w:val="9"/>
                <w:szCs w:val="9"/>
                <w:color w:val="auto"/>
              </w:rPr>
            </w:pPr>
          </w:p>
        </w:tc>
        <w:tc>
          <w:tcPr>
            <w:tcW w:w="180" w:type="dxa"/>
            <w:vAlign w:val="bottom"/>
            <w:tcBorders>
              <w:top w:val="single" w:sz="8" w:color="EAF1CE"/>
              <w:right w:val="single" w:sz="8" w:color="EAF1CE"/>
            </w:tcBorders>
            <w:shd w:val="clear" w:color="auto" w:fill="EAF1CE"/>
          </w:tcPr>
          <w:p>
            <w:pPr>
              <w:spacing w:after="0"/>
              <w:rPr>
                <w:sz w:val="9"/>
                <w:szCs w:val="9"/>
                <w:color w:val="auto"/>
              </w:rPr>
            </w:pPr>
          </w:p>
        </w:tc>
        <w:tc>
          <w:tcPr>
            <w:tcW w:w="20" w:type="dxa"/>
            <w:vAlign w:val="bottom"/>
            <w:tcBorders>
              <w:top w:val="single" w:sz="8" w:color="EAF1CE"/>
            </w:tcBorders>
            <w:shd w:val="clear" w:color="auto" w:fill="EAF1CE"/>
          </w:tcPr>
          <w:p>
            <w:pPr>
              <w:spacing w:after="0"/>
              <w:rPr>
                <w:sz w:val="9"/>
                <w:szCs w:val="9"/>
                <w:color w:val="auto"/>
              </w:rPr>
            </w:pPr>
          </w:p>
        </w:tc>
        <w:tc>
          <w:tcPr>
            <w:tcW w:w="60" w:type="dxa"/>
            <w:vAlign w:val="bottom"/>
            <w:tcBorders>
              <w:top w:val="single" w:sz="8" w:color="EAF1CE"/>
            </w:tcBorders>
            <w:shd w:val="clear" w:color="auto" w:fill="EAF1CE"/>
          </w:tcPr>
          <w:p>
            <w:pPr>
              <w:spacing w:after="0"/>
              <w:rPr>
                <w:sz w:val="9"/>
                <w:szCs w:val="9"/>
                <w:color w:val="auto"/>
              </w:rPr>
            </w:pPr>
          </w:p>
        </w:tc>
        <w:tc>
          <w:tcPr>
            <w:tcW w:w="20" w:type="dxa"/>
            <w:vAlign w:val="bottom"/>
            <w:tcBorders>
              <w:top w:val="single" w:sz="8" w:color="EAF1CE"/>
            </w:tcBorders>
            <w:shd w:val="clear" w:color="auto" w:fill="EAF1CE"/>
          </w:tcPr>
          <w:p>
            <w:pPr>
              <w:spacing w:after="0"/>
              <w:rPr>
                <w:sz w:val="9"/>
                <w:szCs w:val="9"/>
                <w:color w:val="auto"/>
              </w:rPr>
            </w:pPr>
          </w:p>
        </w:tc>
        <w:tc>
          <w:tcPr>
            <w:tcW w:w="220" w:type="dxa"/>
            <w:vAlign w:val="bottom"/>
            <w:tcBorders>
              <w:top w:val="single" w:sz="8" w:color="EAF1CE"/>
              <w:right w:val="single" w:sz="8" w:color="EAF1CE"/>
            </w:tcBorders>
            <w:shd w:val="clear" w:color="auto" w:fill="EAF1CE"/>
          </w:tcPr>
          <w:p>
            <w:pPr>
              <w:spacing w:after="0"/>
              <w:rPr>
                <w:sz w:val="9"/>
                <w:szCs w:val="9"/>
                <w:color w:val="auto"/>
              </w:rPr>
            </w:pPr>
          </w:p>
        </w:tc>
        <w:tc>
          <w:tcPr>
            <w:tcW w:w="100" w:type="dxa"/>
            <w:vAlign w:val="bottom"/>
            <w:tcBorders>
              <w:top w:val="single" w:sz="8" w:color="EAF1CE"/>
              <w:right w:val="single" w:sz="8" w:color="EAF1CE"/>
            </w:tcBorders>
            <w:shd w:val="clear" w:color="auto" w:fill="EAF1CE"/>
          </w:tcPr>
          <w:p>
            <w:pPr>
              <w:spacing w:after="0"/>
              <w:rPr>
                <w:sz w:val="9"/>
                <w:szCs w:val="9"/>
                <w:color w:val="auto"/>
              </w:rPr>
            </w:pPr>
          </w:p>
        </w:tc>
        <w:tc>
          <w:tcPr>
            <w:tcW w:w="80" w:type="dxa"/>
            <w:vAlign w:val="bottom"/>
            <w:tcBorders>
              <w:top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120" w:type="dxa"/>
            <w:vAlign w:val="bottom"/>
            <w:tcBorders>
              <w:top w:val="single" w:sz="8" w:color="EAF1CE"/>
              <w:right w:val="single" w:sz="8" w:color="EAF1CE"/>
            </w:tcBorders>
            <w:shd w:val="clear" w:color="auto" w:fill="EAF1CE"/>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80" w:type="dxa"/>
            <w:vAlign w:val="bottom"/>
            <w:tcBorders>
              <w:left w:val="single" w:sz="8" w:color="98B82F"/>
              <w:bottom w:val="single" w:sz="8" w:color="98B82F"/>
              <w:right w:val="single" w:sz="8" w:color="EAF1CE"/>
            </w:tcBorders>
            <w:gridSpan w:val="5"/>
            <w:vMerge w:val="continue"/>
            <w:shd w:val="clear" w:color="auto" w:fill="EAF1CE"/>
          </w:tcPr>
          <w:p>
            <w:pPr>
              <w:spacing w:after="0"/>
              <w:rPr>
                <w:sz w:val="8"/>
                <w:szCs w:val="8"/>
                <w:color w:val="auto"/>
              </w:rPr>
            </w:pPr>
          </w:p>
        </w:tc>
        <w:tc>
          <w:tcPr>
            <w:tcW w:w="320" w:type="dxa"/>
            <w:vAlign w:val="bottom"/>
            <w:tcBorders>
              <w:bottom w:val="single" w:sz="8" w:color="EAF1CE"/>
              <w:right w:val="single" w:sz="8" w:color="EAF1CE"/>
            </w:tcBorders>
            <w:shd w:val="clear" w:color="auto" w:fill="EAF1CE"/>
          </w:tcPr>
          <w:p>
            <w:pPr>
              <w:spacing w:after="0"/>
              <w:rPr>
                <w:sz w:val="8"/>
                <w:szCs w:val="8"/>
                <w:color w:val="auto"/>
              </w:rPr>
            </w:pPr>
          </w:p>
        </w:tc>
        <w:tc>
          <w:tcPr>
            <w:tcW w:w="80" w:type="dxa"/>
            <w:vAlign w:val="bottom"/>
            <w:tcBorders>
              <w:bottom w:val="single" w:sz="8" w:color="EAF1CE"/>
            </w:tcBorders>
            <w:shd w:val="clear" w:color="auto" w:fill="EAF1CE"/>
          </w:tcPr>
          <w:p>
            <w:pPr>
              <w:spacing w:after="0"/>
              <w:rPr>
                <w:sz w:val="8"/>
                <w:szCs w:val="8"/>
                <w:color w:val="auto"/>
              </w:rPr>
            </w:pPr>
          </w:p>
        </w:tc>
        <w:tc>
          <w:tcPr>
            <w:tcW w:w="260" w:type="dxa"/>
            <w:vAlign w:val="bottom"/>
            <w:tcBorders>
              <w:bottom w:val="single" w:sz="8" w:color="EAF1CE"/>
            </w:tcBorders>
            <w:gridSpan w:val="2"/>
            <w:vMerge w:val="continue"/>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120" w:type="dxa"/>
            <w:vAlign w:val="bottom"/>
            <w:tcBorders>
              <w:bottom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140" w:type="dxa"/>
            <w:vAlign w:val="bottom"/>
            <w:tcBorders>
              <w:bottom w:val="single" w:sz="8" w:color="EAF1CE"/>
            </w:tcBorders>
            <w:shd w:val="clear" w:color="auto" w:fill="EAF1CE"/>
          </w:tcPr>
          <w:p>
            <w:pPr>
              <w:spacing w:after="0"/>
              <w:rPr>
                <w:sz w:val="8"/>
                <w:szCs w:val="8"/>
                <w:color w:val="auto"/>
              </w:rPr>
            </w:pPr>
          </w:p>
        </w:tc>
        <w:tc>
          <w:tcPr>
            <w:tcW w:w="260" w:type="dxa"/>
            <w:vAlign w:val="bottom"/>
            <w:tcBorders>
              <w:bottom w:val="single" w:sz="8" w:color="EAF1CE"/>
              <w:right w:val="single" w:sz="8" w:color="EAF1CE"/>
            </w:tcBorders>
            <w:shd w:val="clear" w:color="auto" w:fill="EAF1CE"/>
          </w:tcPr>
          <w:p>
            <w:pPr>
              <w:spacing w:after="0"/>
              <w:rPr>
                <w:sz w:val="8"/>
                <w:szCs w:val="8"/>
                <w:color w:val="auto"/>
              </w:rPr>
            </w:pPr>
          </w:p>
        </w:tc>
        <w:tc>
          <w:tcPr>
            <w:tcW w:w="280" w:type="dxa"/>
            <w:vAlign w:val="bottom"/>
            <w:tcBorders>
              <w:bottom w:val="single" w:sz="8" w:color="EAF1CE"/>
              <w:right w:val="single" w:sz="8" w:color="EAF1CE"/>
            </w:tcBorders>
            <w:shd w:val="clear" w:color="auto" w:fill="EAF1CE"/>
          </w:tcPr>
          <w:p>
            <w:pPr>
              <w:spacing w:after="0"/>
              <w:rPr>
                <w:sz w:val="8"/>
                <w:szCs w:val="8"/>
                <w:color w:val="auto"/>
              </w:rPr>
            </w:pPr>
          </w:p>
        </w:tc>
        <w:tc>
          <w:tcPr>
            <w:tcW w:w="100" w:type="dxa"/>
            <w:vAlign w:val="bottom"/>
            <w:tcBorders>
              <w:bottom w:val="single" w:sz="8" w:color="273D86"/>
              <w:right w:val="single" w:sz="8" w:color="273D86"/>
            </w:tcBorders>
            <w:shd w:val="clear" w:color="auto" w:fill="273D86"/>
          </w:tcPr>
          <w:p>
            <w:pPr>
              <w:spacing w:after="0"/>
              <w:rPr>
                <w:sz w:val="8"/>
                <w:szCs w:val="8"/>
                <w:color w:val="auto"/>
              </w:rPr>
            </w:pPr>
          </w:p>
        </w:tc>
        <w:tc>
          <w:tcPr>
            <w:tcW w:w="400" w:type="dxa"/>
            <w:vAlign w:val="bottom"/>
            <w:tcBorders>
              <w:bottom w:val="single" w:sz="8" w:color="EAF1CE"/>
            </w:tcBorders>
            <w:gridSpan w:val="4"/>
            <w:vMerge w:val="continue"/>
            <w:shd w:val="clear" w:color="auto" w:fill="EAF1CE"/>
          </w:tcPr>
          <w:p>
            <w:pPr>
              <w:spacing w:after="0"/>
              <w:rPr>
                <w:sz w:val="8"/>
                <w:szCs w:val="8"/>
                <w:color w:val="auto"/>
              </w:rPr>
            </w:pPr>
          </w:p>
        </w:tc>
        <w:tc>
          <w:tcPr>
            <w:tcW w:w="40" w:type="dxa"/>
            <w:vAlign w:val="bottom"/>
            <w:tcBorders>
              <w:bottom w:val="single" w:sz="8" w:color="EAF1CE"/>
            </w:tcBorders>
            <w:vMerge w:val="continue"/>
            <w:shd w:val="clear" w:color="auto" w:fill="EAF1CE"/>
          </w:tcPr>
          <w:p>
            <w:pPr>
              <w:spacing w:after="0"/>
              <w:rPr>
                <w:sz w:val="8"/>
                <w:szCs w:val="8"/>
                <w:color w:val="auto"/>
              </w:rPr>
            </w:pPr>
          </w:p>
        </w:tc>
        <w:tc>
          <w:tcPr>
            <w:tcW w:w="40" w:type="dxa"/>
            <w:vAlign w:val="bottom"/>
            <w:tcBorders>
              <w:bottom w:val="single" w:sz="8" w:color="EAF1CE"/>
            </w:tcBorders>
            <w:vMerge w:val="continue"/>
            <w:shd w:val="clear" w:color="auto" w:fill="EAF1CE"/>
          </w:tcPr>
          <w:p>
            <w:pPr>
              <w:spacing w:after="0"/>
              <w:rPr>
                <w:sz w:val="8"/>
                <w:szCs w:val="8"/>
                <w:color w:val="auto"/>
              </w:rPr>
            </w:pPr>
          </w:p>
        </w:tc>
        <w:tc>
          <w:tcPr>
            <w:tcW w:w="200" w:type="dxa"/>
            <w:vAlign w:val="bottom"/>
            <w:tcBorders>
              <w:left w:val="single" w:sz="8" w:color="98B82F"/>
              <w:bottom w:val="single" w:sz="8" w:color="98B82F"/>
              <w:right w:val="single" w:sz="8" w:color="EAF1CE"/>
            </w:tcBorders>
            <w:shd w:val="clear" w:color="auto" w:fill="98B82F"/>
          </w:tcPr>
          <w:p>
            <w:pPr>
              <w:spacing w:after="0"/>
              <w:rPr>
                <w:sz w:val="8"/>
                <w:szCs w:val="8"/>
                <w:color w:val="auto"/>
              </w:rPr>
            </w:pPr>
          </w:p>
        </w:tc>
        <w:tc>
          <w:tcPr>
            <w:tcW w:w="380" w:type="dxa"/>
            <w:vAlign w:val="bottom"/>
            <w:tcBorders>
              <w:bottom w:val="single" w:sz="8" w:color="EAF1CE"/>
            </w:tcBorders>
            <w:gridSpan w:val="3"/>
            <w:vMerge w:val="continue"/>
            <w:shd w:val="clear" w:color="auto" w:fill="EAF1CE"/>
          </w:tcPr>
          <w:p>
            <w:pPr>
              <w:spacing w:after="0"/>
              <w:rPr>
                <w:sz w:val="8"/>
                <w:szCs w:val="8"/>
                <w:color w:val="auto"/>
              </w:rPr>
            </w:pPr>
          </w:p>
        </w:tc>
        <w:tc>
          <w:tcPr>
            <w:tcW w:w="80" w:type="dxa"/>
            <w:vAlign w:val="bottom"/>
            <w:tcBorders>
              <w:bottom w:val="single" w:sz="8" w:color="EAF1CE"/>
            </w:tcBorders>
            <w:gridSpan w:val="2"/>
            <w:vMerge w:val="continue"/>
            <w:shd w:val="clear" w:color="auto" w:fill="EAF1CE"/>
          </w:tcPr>
          <w:p>
            <w:pPr>
              <w:spacing w:after="0"/>
              <w:rPr>
                <w:sz w:val="8"/>
                <w:szCs w:val="8"/>
                <w:color w:val="auto"/>
              </w:rPr>
            </w:pPr>
          </w:p>
        </w:tc>
        <w:tc>
          <w:tcPr>
            <w:tcW w:w="380" w:type="dxa"/>
            <w:vAlign w:val="bottom"/>
            <w:tcBorders>
              <w:bottom w:val="single" w:sz="8" w:color="EAF1CE"/>
            </w:tcBorders>
            <w:gridSpan w:val="5"/>
            <w:vMerge w:val="continue"/>
            <w:shd w:val="clear" w:color="auto" w:fill="EAF1CE"/>
          </w:tcPr>
          <w:p>
            <w:pPr>
              <w:spacing w:after="0"/>
              <w:rPr>
                <w:sz w:val="8"/>
                <w:szCs w:val="8"/>
                <w:color w:val="auto"/>
              </w:rPr>
            </w:pPr>
          </w:p>
        </w:tc>
        <w:tc>
          <w:tcPr>
            <w:tcW w:w="60" w:type="dxa"/>
            <w:vAlign w:val="bottom"/>
            <w:tcBorders>
              <w:bottom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right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12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60" w:type="dxa"/>
            <w:vAlign w:val="bottom"/>
            <w:tcBorders>
              <w:bottom w:val="single" w:sz="8" w:color="EAF1CE"/>
            </w:tcBorders>
            <w:shd w:val="clear" w:color="auto" w:fill="EAF1CE"/>
          </w:tcPr>
          <w:p>
            <w:pPr>
              <w:spacing w:after="0"/>
              <w:rPr>
                <w:sz w:val="8"/>
                <w:szCs w:val="8"/>
                <w:color w:val="auto"/>
              </w:rPr>
            </w:pPr>
          </w:p>
        </w:tc>
        <w:tc>
          <w:tcPr>
            <w:tcW w:w="180" w:type="dxa"/>
            <w:vAlign w:val="bottom"/>
            <w:tcBorders>
              <w:bottom w:val="single" w:sz="8" w:color="EAF1CE"/>
              <w:right w:val="single" w:sz="8" w:color="EAF1CE"/>
            </w:tcBorders>
            <w:shd w:val="clear" w:color="auto" w:fill="EAF1CE"/>
          </w:tcPr>
          <w:p>
            <w:pPr>
              <w:spacing w:after="0"/>
              <w:rPr>
                <w:sz w:val="8"/>
                <w:szCs w:val="8"/>
                <w:color w:val="auto"/>
              </w:rPr>
            </w:pPr>
          </w:p>
        </w:tc>
        <w:tc>
          <w:tcPr>
            <w:tcW w:w="20" w:type="dxa"/>
            <w:vAlign w:val="bottom"/>
            <w:tcBorders>
              <w:bottom w:val="single" w:sz="8" w:color="EAF1CE"/>
            </w:tcBorders>
            <w:shd w:val="clear" w:color="auto" w:fill="EAF1CE"/>
          </w:tcPr>
          <w:p>
            <w:pPr>
              <w:spacing w:after="0"/>
              <w:rPr>
                <w:sz w:val="8"/>
                <w:szCs w:val="8"/>
                <w:color w:val="auto"/>
              </w:rPr>
            </w:pPr>
          </w:p>
        </w:tc>
        <w:tc>
          <w:tcPr>
            <w:tcW w:w="60" w:type="dxa"/>
            <w:vAlign w:val="bottom"/>
            <w:tcBorders>
              <w:bottom w:val="single" w:sz="8" w:color="EAF1CE"/>
            </w:tcBorders>
            <w:shd w:val="clear" w:color="auto" w:fill="EAF1CE"/>
          </w:tcPr>
          <w:p>
            <w:pPr>
              <w:spacing w:after="0"/>
              <w:rPr>
                <w:sz w:val="8"/>
                <w:szCs w:val="8"/>
                <w:color w:val="auto"/>
              </w:rPr>
            </w:pPr>
          </w:p>
        </w:tc>
        <w:tc>
          <w:tcPr>
            <w:tcW w:w="20" w:type="dxa"/>
            <w:vAlign w:val="bottom"/>
            <w:tcBorders>
              <w:bottom w:val="single" w:sz="8" w:color="EAF1CE"/>
            </w:tcBorders>
            <w:shd w:val="clear" w:color="auto" w:fill="EAF1CE"/>
          </w:tcPr>
          <w:p>
            <w:pPr>
              <w:spacing w:after="0"/>
              <w:rPr>
                <w:sz w:val="8"/>
                <w:szCs w:val="8"/>
                <w:color w:val="auto"/>
              </w:rPr>
            </w:pPr>
          </w:p>
        </w:tc>
        <w:tc>
          <w:tcPr>
            <w:tcW w:w="220" w:type="dxa"/>
            <w:vAlign w:val="bottom"/>
            <w:tcBorders>
              <w:bottom w:val="single" w:sz="8" w:color="EAF1CE"/>
              <w:right w:val="single" w:sz="8" w:color="EAF1CE"/>
            </w:tcBorders>
            <w:shd w:val="clear" w:color="auto" w:fill="EAF1CE"/>
          </w:tcPr>
          <w:p>
            <w:pPr>
              <w:spacing w:after="0"/>
              <w:rPr>
                <w:sz w:val="8"/>
                <w:szCs w:val="8"/>
                <w:color w:val="auto"/>
              </w:rPr>
            </w:pPr>
          </w:p>
        </w:tc>
        <w:tc>
          <w:tcPr>
            <w:tcW w:w="100" w:type="dxa"/>
            <w:vAlign w:val="bottom"/>
            <w:tcBorders>
              <w:bottom w:val="single" w:sz="8" w:color="EAF1CE"/>
              <w:right w:val="single" w:sz="8" w:color="EAF1CE"/>
            </w:tcBorders>
            <w:shd w:val="clear" w:color="auto" w:fill="EAF1CE"/>
          </w:tcPr>
          <w:p>
            <w:pPr>
              <w:spacing w:after="0"/>
              <w:rPr>
                <w:sz w:val="8"/>
                <w:szCs w:val="8"/>
                <w:color w:val="auto"/>
              </w:rPr>
            </w:pPr>
          </w:p>
        </w:tc>
        <w:tc>
          <w:tcPr>
            <w:tcW w:w="80" w:type="dxa"/>
            <w:vAlign w:val="bottom"/>
            <w:tcBorders>
              <w:bottom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120" w:type="dxa"/>
            <w:vAlign w:val="bottom"/>
            <w:tcBorders>
              <w:bottom w:val="single" w:sz="8" w:color="EAF1CE"/>
              <w:right w:val="single" w:sz="8" w:color="EAF1CE"/>
            </w:tcBorders>
            <w:shd w:val="clear" w:color="auto" w:fill="EAF1C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80" w:type="dxa"/>
            <w:vAlign w:val="bottom"/>
            <w:tcBorders>
              <w:top w:val="single" w:sz="8" w:color="EAF1CE"/>
              <w:left w:val="single" w:sz="8" w:color="98B82F"/>
              <w:right w:val="single" w:sz="8" w:color="EAF1CE"/>
            </w:tcBorders>
            <w:gridSpan w:val="5"/>
            <w:vMerge w:val="restart"/>
            <w:shd w:val="clear" w:color="auto" w:fill="EAF1CE"/>
          </w:tcPr>
          <w:p>
            <w:pPr>
              <w:ind w:left="100"/>
              <w:spacing w:after="0"/>
              <w:rPr>
                <w:sz w:val="20"/>
                <w:szCs w:val="20"/>
                <w:color w:val="auto"/>
              </w:rPr>
            </w:pPr>
            <w:r>
              <w:rPr>
                <w:rFonts w:ascii="Arial" w:cs="Arial" w:eastAsia="Arial" w:hAnsi="Arial"/>
                <w:sz w:val="8"/>
                <w:szCs w:val="8"/>
                <w:color w:val="262626"/>
                <w:w w:val="91"/>
              </w:rPr>
              <w:t>Birmingham, United</w:t>
            </w:r>
          </w:p>
        </w:tc>
        <w:tc>
          <w:tcPr>
            <w:tcW w:w="400" w:type="dxa"/>
            <w:vAlign w:val="bottom"/>
            <w:tcBorders>
              <w:top w:val="single" w:sz="8" w:color="EAF1CE"/>
            </w:tcBorders>
            <w:gridSpan w:val="2"/>
            <w:vMerge w:val="restart"/>
            <w:shd w:val="clear" w:color="auto" w:fill="EAF1CE"/>
          </w:tcPr>
          <w:p>
            <w:pPr>
              <w:ind w:left="80"/>
              <w:spacing w:after="0"/>
              <w:rPr>
                <w:sz w:val="20"/>
                <w:szCs w:val="20"/>
                <w:color w:val="auto"/>
              </w:rPr>
            </w:pPr>
            <w:r>
              <w:rPr>
                <w:rFonts w:ascii="Arial" w:cs="Arial" w:eastAsia="Arial" w:hAnsi="Arial"/>
                <w:sz w:val="8"/>
                <w:szCs w:val="8"/>
                <w:color w:val="262626"/>
                <w:w w:val="94"/>
              </w:rPr>
              <w:t>Kingdom</w:t>
            </w:r>
          </w:p>
        </w:tc>
        <w:tc>
          <w:tcPr>
            <w:tcW w:w="260" w:type="dxa"/>
            <w:vAlign w:val="bottom"/>
            <w:tcBorders>
              <w:top w:val="single" w:sz="8" w:color="EAF1CE"/>
            </w:tcBorders>
            <w:gridSpan w:val="2"/>
            <w:vMerge w:val="continue"/>
            <w:shd w:val="clear" w:color="auto" w:fill="EAF1CE"/>
          </w:tcPr>
          <w:p>
            <w:pPr>
              <w:spacing w:after="0"/>
              <w:rPr>
                <w:sz w:val="8"/>
                <w:szCs w:val="8"/>
                <w:color w:val="auto"/>
              </w:rPr>
            </w:pPr>
          </w:p>
        </w:tc>
        <w:tc>
          <w:tcPr>
            <w:tcW w:w="100" w:type="dxa"/>
            <w:vAlign w:val="bottom"/>
            <w:tcBorders>
              <w:top w:val="single" w:sz="8" w:color="EAF1CE"/>
            </w:tcBorders>
            <w:shd w:val="clear" w:color="auto" w:fill="EAF1CE"/>
          </w:tcPr>
          <w:p>
            <w:pPr>
              <w:spacing w:after="0"/>
              <w:rPr>
                <w:sz w:val="8"/>
                <w:szCs w:val="8"/>
                <w:color w:val="auto"/>
              </w:rPr>
            </w:pPr>
          </w:p>
        </w:tc>
        <w:tc>
          <w:tcPr>
            <w:tcW w:w="120" w:type="dxa"/>
            <w:vAlign w:val="bottom"/>
            <w:tcBorders>
              <w:top w:val="single" w:sz="8" w:color="EAF1CE"/>
            </w:tcBorders>
            <w:shd w:val="clear" w:color="auto" w:fill="EAF1CE"/>
          </w:tcPr>
          <w:p>
            <w:pPr>
              <w:spacing w:after="0"/>
              <w:rPr>
                <w:sz w:val="8"/>
                <w:szCs w:val="8"/>
                <w:color w:val="auto"/>
              </w:rPr>
            </w:pPr>
          </w:p>
        </w:tc>
        <w:tc>
          <w:tcPr>
            <w:tcW w:w="100" w:type="dxa"/>
            <w:vAlign w:val="bottom"/>
            <w:tcBorders>
              <w:top w:val="single" w:sz="8" w:color="EAF1CE"/>
            </w:tcBorders>
            <w:shd w:val="clear" w:color="auto" w:fill="EAF1CE"/>
          </w:tcPr>
          <w:p>
            <w:pPr>
              <w:spacing w:after="0"/>
              <w:rPr>
                <w:sz w:val="8"/>
                <w:szCs w:val="8"/>
                <w:color w:val="auto"/>
              </w:rPr>
            </w:pPr>
          </w:p>
        </w:tc>
        <w:tc>
          <w:tcPr>
            <w:tcW w:w="140" w:type="dxa"/>
            <w:vAlign w:val="bottom"/>
            <w:tcBorders>
              <w:top w:val="single" w:sz="8" w:color="EAF1CE"/>
            </w:tcBorders>
            <w:shd w:val="clear" w:color="auto" w:fill="EAF1CE"/>
          </w:tcPr>
          <w:p>
            <w:pPr>
              <w:spacing w:after="0"/>
              <w:rPr>
                <w:sz w:val="8"/>
                <w:szCs w:val="8"/>
                <w:color w:val="auto"/>
              </w:rPr>
            </w:pPr>
          </w:p>
        </w:tc>
        <w:tc>
          <w:tcPr>
            <w:tcW w:w="260" w:type="dxa"/>
            <w:vAlign w:val="bottom"/>
            <w:tcBorders>
              <w:top w:val="single" w:sz="8" w:color="EAF1CE"/>
              <w:right w:val="single" w:sz="8" w:color="EAF1CE"/>
            </w:tcBorders>
            <w:shd w:val="clear" w:color="auto" w:fill="EAF1CE"/>
          </w:tcPr>
          <w:p>
            <w:pPr>
              <w:spacing w:after="0"/>
              <w:rPr>
                <w:sz w:val="8"/>
                <w:szCs w:val="8"/>
                <w:color w:val="auto"/>
              </w:rPr>
            </w:pPr>
          </w:p>
        </w:tc>
        <w:tc>
          <w:tcPr>
            <w:tcW w:w="280" w:type="dxa"/>
            <w:vAlign w:val="bottom"/>
            <w:tcBorders>
              <w:top w:val="single" w:sz="8" w:color="EAF1CE"/>
              <w:right w:val="single" w:sz="8" w:color="EAF1CE"/>
            </w:tcBorders>
            <w:shd w:val="clear" w:color="auto" w:fill="EAF1CE"/>
          </w:tcPr>
          <w:p>
            <w:pPr>
              <w:spacing w:after="0"/>
              <w:rPr>
                <w:sz w:val="8"/>
                <w:szCs w:val="8"/>
                <w:color w:val="auto"/>
              </w:rPr>
            </w:pPr>
          </w:p>
        </w:tc>
        <w:tc>
          <w:tcPr>
            <w:tcW w:w="100" w:type="dxa"/>
            <w:vAlign w:val="bottom"/>
            <w:tcBorders>
              <w:top w:val="single" w:sz="8" w:color="273D86"/>
              <w:right w:val="single" w:sz="8" w:color="EAF1CE"/>
            </w:tcBorders>
            <w:shd w:val="clear" w:color="auto" w:fill="EAF1CE"/>
          </w:tcPr>
          <w:p>
            <w:pPr>
              <w:spacing w:after="0"/>
              <w:rPr>
                <w:sz w:val="8"/>
                <w:szCs w:val="8"/>
                <w:color w:val="auto"/>
              </w:rPr>
            </w:pPr>
          </w:p>
        </w:tc>
        <w:tc>
          <w:tcPr>
            <w:tcW w:w="180" w:type="dxa"/>
            <w:vAlign w:val="bottom"/>
            <w:tcBorders>
              <w:top w:val="single" w:sz="8" w:color="EAF1CE"/>
            </w:tcBorders>
            <w:shd w:val="clear" w:color="auto" w:fill="EAF1CE"/>
          </w:tcPr>
          <w:p>
            <w:pPr>
              <w:spacing w:after="0"/>
              <w:rPr>
                <w:sz w:val="8"/>
                <w:szCs w:val="8"/>
                <w:color w:val="auto"/>
              </w:rPr>
            </w:pPr>
          </w:p>
        </w:tc>
        <w:tc>
          <w:tcPr>
            <w:tcW w:w="40" w:type="dxa"/>
            <w:vAlign w:val="bottom"/>
            <w:tcBorders>
              <w:top w:val="single" w:sz="8" w:color="EAF1CE"/>
            </w:tcBorders>
            <w:shd w:val="clear" w:color="auto" w:fill="EAF1CE"/>
          </w:tcPr>
          <w:p>
            <w:pPr>
              <w:spacing w:after="0"/>
              <w:rPr>
                <w:sz w:val="8"/>
                <w:szCs w:val="8"/>
                <w:color w:val="auto"/>
              </w:rPr>
            </w:pPr>
          </w:p>
        </w:tc>
        <w:tc>
          <w:tcPr>
            <w:tcW w:w="60" w:type="dxa"/>
            <w:vAlign w:val="bottom"/>
            <w:tcBorders>
              <w:top w:val="single" w:sz="8" w:color="EAF1CE"/>
            </w:tcBorders>
            <w:shd w:val="clear" w:color="auto" w:fill="EAF1CE"/>
          </w:tcPr>
          <w:p>
            <w:pPr>
              <w:spacing w:after="0"/>
              <w:rPr>
                <w:sz w:val="8"/>
                <w:szCs w:val="8"/>
                <w:color w:val="auto"/>
              </w:rPr>
            </w:pPr>
          </w:p>
        </w:tc>
        <w:tc>
          <w:tcPr>
            <w:tcW w:w="120" w:type="dxa"/>
            <w:vAlign w:val="bottom"/>
            <w:tcBorders>
              <w:top w:val="single" w:sz="8" w:color="EAF1CE"/>
            </w:tcBorders>
            <w:shd w:val="clear" w:color="auto" w:fill="EAF1CE"/>
          </w:tcPr>
          <w:p>
            <w:pPr>
              <w:spacing w:after="0"/>
              <w:rPr>
                <w:sz w:val="8"/>
                <w:szCs w:val="8"/>
                <w:color w:val="auto"/>
              </w:rPr>
            </w:pPr>
          </w:p>
        </w:tc>
        <w:tc>
          <w:tcPr>
            <w:tcW w:w="40" w:type="dxa"/>
            <w:vAlign w:val="bottom"/>
            <w:tcBorders>
              <w:top w:val="single" w:sz="8" w:color="EAF1CE"/>
            </w:tcBorders>
            <w:shd w:val="clear" w:color="auto" w:fill="EAF1CE"/>
          </w:tcPr>
          <w:p>
            <w:pPr>
              <w:spacing w:after="0"/>
              <w:rPr>
                <w:sz w:val="8"/>
                <w:szCs w:val="8"/>
                <w:color w:val="auto"/>
              </w:rPr>
            </w:pPr>
          </w:p>
        </w:tc>
        <w:tc>
          <w:tcPr>
            <w:tcW w:w="40" w:type="dxa"/>
            <w:vAlign w:val="bottom"/>
            <w:tcBorders>
              <w:top w:val="single" w:sz="8" w:color="EAF1CE"/>
            </w:tcBorders>
            <w:shd w:val="clear" w:color="auto" w:fill="EAF1CE"/>
          </w:tcPr>
          <w:p>
            <w:pPr>
              <w:spacing w:after="0"/>
              <w:rPr>
                <w:sz w:val="8"/>
                <w:szCs w:val="8"/>
                <w:color w:val="auto"/>
              </w:rPr>
            </w:pPr>
          </w:p>
        </w:tc>
        <w:tc>
          <w:tcPr>
            <w:tcW w:w="200" w:type="dxa"/>
            <w:vAlign w:val="bottom"/>
            <w:tcBorders>
              <w:top w:val="single" w:sz="8" w:color="98B82F"/>
              <w:left w:val="single" w:sz="8" w:color="EAF1CE"/>
              <w:right w:val="single" w:sz="8" w:color="EAF1CE"/>
            </w:tcBorders>
            <w:shd w:val="clear" w:color="auto" w:fill="EAF1CE"/>
          </w:tcPr>
          <w:p>
            <w:pPr>
              <w:spacing w:after="0"/>
              <w:rPr>
                <w:sz w:val="8"/>
                <w:szCs w:val="8"/>
                <w:color w:val="auto"/>
              </w:rPr>
            </w:pPr>
          </w:p>
        </w:tc>
        <w:tc>
          <w:tcPr>
            <w:tcW w:w="40" w:type="dxa"/>
            <w:vAlign w:val="bottom"/>
            <w:tcBorders>
              <w:top w:val="single" w:sz="8" w:color="EAF1CE"/>
            </w:tcBorders>
            <w:shd w:val="clear" w:color="auto" w:fill="EAF1CE"/>
          </w:tcPr>
          <w:p>
            <w:pPr>
              <w:spacing w:after="0"/>
              <w:rPr>
                <w:sz w:val="8"/>
                <w:szCs w:val="8"/>
                <w:color w:val="auto"/>
              </w:rPr>
            </w:pPr>
          </w:p>
        </w:tc>
        <w:tc>
          <w:tcPr>
            <w:tcW w:w="120" w:type="dxa"/>
            <w:vAlign w:val="bottom"/>
            <w:tcBorders>
              <w:top w:val="single" w:sz="8" w:color="EAF1CE"/>
            </w:tcBorders>
            <w:shd w:val="clear" w:color="auto" w:fill="EAF1CE"/>
          </w:tcPr>
          <w:p>
            <w:pPr>
              <w:spacing w:after="0"/>
              <w:rPr>
                <w:sz w:val="8"/>
                <w:szCs w:val="8"/>
                <w:color w:val="auto"/>
              </w:rPr>
            </w:pPr>
          </w:p>
        </w:tc>
        <w:tc>
          <w:tcPr>
            <w:tcW w:w="220" w:type="dxa"/>
            <w:vAlign w:val="bottom"/>
            <w:tcBorders>
              <w:top w:val="single" w:sz="8" w:color="EAF1CE"/>
            </w:tcBorders>
            <w:shd w:val="clear" w:color="auto" w:fill="EAF1CE"/>
          </w:tcPr>
          <w:p>
            <w:pPr>
              <w:spacing w:after="0"/>
              <w:rPr>
                <w:sz w:val="8"/>
                <w:szCs w:val="8"/>
                <w:color w:val="auto"/>
              </w:rPr>
            </w:pPr>
          </w:p>
        </w:tc>
        <w:tc>
          <w:tcPr>
            <w:tcW w:w="340" w:type="dxa"/>
            <w:vAlign w:val="bottom"/>
            <w:tcBorders>
              <w:top w:val="single" w:sz="8" w:color="EAF1CE"/>
              <w:right w:val="single" w:sz="8" w:color="EAF1CE"/>
            </w:tcBorders>
            <w:gridSpan w:val="5"/>
            <w:shd w:val="clear" w:color="auto" w:fill="EAF1CE"/>
          </w:tcPr>
          <w:p>
            <w:pPr>
              <w:jc w:val="center"/>
              <w:ind w:right="300"/>
              <w:spacing w:after="0" w:line="74" w:lineRule="exact"/>
              <w:rPr>
                <w:sz w:val="20"/>
                <w:szCs w:val="20"/>
                <w:color w:val="auto"/>
              </w:rPr>
            </w:pPr>
            <w:r>
              <w:rPr>
                <w:rFonts w:ascii="Arial" w:cs="Arial" w:eastAsia="Arial" w:hAnsi="Arial"/>
                <w:sz w:val="8"/>
                <w:szCs w:val="8"/>
                <w:color w:val="262626"/>
                <w:w w:val="74"/>
              </w:rPr>
              <w:t>X</w:t>
            </w:r>
          </w:p>
        </w:tc>
        <w:tc>
          <w:tcPr>
            <w:tcW w:w="100" w:type="dxa"/>
            <w:vAlign w:val="bottom"/>
            <w:tcBorders>
              <w:top w:val="single" w:sz="8" w:color="EAF1CE"/>
              <w:right w:val="single" w:sz="8" w:color="EAF1CE"/>
            </w:tcBorders>
            <w:shd w:val="clear" w:color="auto" w:fill="EAF1CE"/>
          </w:tcPr>
          <w:p>
            <w:pPr>
              <w:spacing w:after="0"/>
              <w:rPr>
                <w:sz w:val="8"/>
                <w:szCs w:val="8"/>
                <w:color w:val="auto"/>
              </w:rPr>
            </w:pPr>
          </w:p>
        </w:tc>
        <w:tc>
          <w:tcPr>
            <w:tcW w:w="20" w:type="dxa"/>
            <w:vAlign w:val="bottom"/>
            <w:tcBorders>
              <w:top w:val="single" w:sz="8" w:color="EAF1CE"/>
            </w:tcBorders>
            <w:shd w:val="clear" w:color="auto" w:fill="EAF1CE"/>
          </w:tcPr>
          <w:p>
            <w:pPr>
              <w:spacing w:after="0"/>
              <w:rPr>
                <w:sz w:val="8"/>
                <w:szCs w:val="8"/>
                <w:color w:val="auto"/>
              </w:rPr>
            </w:pPr>
          </w:p>
        </w:tc>
        <w:tc>
          <w:tcPr>
            <w:tcW w:w="60" w:type="dxa"/>
            <w:vAlign w:val="bottom"/>
            <w:tcBorders>
              <w:top w:val="single" w:sz="8" w:color="EAF1CE"/>
            </w:tcBorders>
            <w:shd w:val="clear" w:color="auto" w:fill="EAF1CE"/>
          </w:tcPr>
          <w:p>
            <w:pPr>
              <w:spacing w:after="0"/>
              <w:rPr>
                <w:sz w:val="8"/>
                <w:szCs w:val="8"/>
                <w:color w:val="auto"/>
              </w:rPr>
            </w:pPr>
          </w:p>
        </w:tc>
        <w:tc>
          <w:tcPr>
            <w:tcW w:w="100" w:type="dxa"/>
            <w:vAlign w:val="bottom"/>
            <w:tcBorders>
              <w:top w:val="single" w:sz="8" w:color="EAF1CE"/>
            </w:tcBorders>
            <w:shd w:val="clear" w:color="auto" w:fill="EAF1CE"/>
          </w:tcPr>
          <w:p>
            <w:pPr>
              <w:spacing w:after="0"/>
              <w:rPr>
                <w:sz w:val="8"/>
                <w:szCs w:val="8"/>
                <w:color w:val="auto"/>
              </w:rPr>
            </w:pPr>
          </w:p>
        </w:tc>
        <w:tc>
          <w:tcPr>
            <w:tcW w:w="40" w:type="dxa"/>
            <w:vAlign w:val="bottom"/>
            <w:tcBorders>
              <w:top w:val="single" w:sz="8" w:color="EAF1CE"/>
              <w:right w:val="single" w:sz="8" w:color="EAF1CE"/>
            </w:tcBorders>
            <w:shd w:val="clear" w:color="auto" w:fill="EAF1CE"/>
          </w:tcPr>
          <w:p>
            <w:pPr>
              <w:spacing w:after="0"/>
              <w:rPr>
                <w:sz w:val="8"/>
                <w:szCs w:val="8"/>
                <w:color w:val="auto"/>
              </w:rPr>
            </w:pPr>
          </w:p>
        </w:tc>
        <w:tc>
          <w:tcPr>
            <w:tcW w:w="100" w:type="dxa"/>
            <w:vAlign w:val="bottom"/>
            <w:tcBorders>
              <w:top w:val="single" w:sz="8" w:color="EAF1CE"/>
            </w:tcBorders>
            <w:shd w:val="clear" w:color="auto" w:fill="EAF1CE"/>
          </w:tcPr>
          <w:p>
            <w:pPr>
              <w:spacing w:after="0"/>
              <w:rPr>
                <w:sz w:val="8"/>
                <w:szCs w:val="8"/>
                <w:color w:val="auto"/>
              </w:rPr>
            </w:pPr>
          </w:p>
        </w:tc>
        <w:tc>
          <w:tcPr>
            <w:tcW w:w="120" w:type="dxa"/>
            <w:vAlign w:val="bottom"/>
            <w:tcBorders>
              <w:top w:val="single" w:sz="8" w:color="EAF1CE"/>
            </w:tcBorders>
            <w:shd w:val="clear" w:color="auto" w:fill="EAF1CE"/>
          </w:tcPr>
          <w:p>
            <w:pPr>
              <w:spacing w:after="0"/>
              <w:rPr>
                <w:sz w:val="8"/>
                <w:szCs w:val="8"/>
                <w:color w:val="auto"/>
              </w:rPr>
            </w:pPr>
          </w:p>
        </w:tc>
        <w:tc>
          <w:tcPr>
            <w:tcW w:w="40" w:type="dxa"/>
            <w:vAlign w:val="bottom"/>
            <w:tcBorders>
              <w:top w:val="single" w:sz="8" w:color="EAF1CE"/>
            </w:tcBorders>
            <w:shd w:val="clear" w:color="auto" w:fill="EAF1CE"/>
          </w:tcPr>
          <w:p>
            <w:pPr>
              <w:spacing w:after="0"/>
              <w:rPr>
                <w:sz w:val="8"/>
                <w:szCs w:val="8"/>
                <w:color w:val="auto"/>
              </w:rPr>
            </w:pPr>
          </w:p>
        </w:tc>
        <w:tc>
          <w:tcPr>
            <w:tcW w:w="100" w:type="dxa"/>
            <w:vAlign w:val="bottom"/>
            <w:tcBorders>
              <w:top w:val="single" w:sz="8" w:color="EAF1CE"/>
            </w:tcBorders>
            <w:shd w:val="clear" w:color="auto" w:fill="EAF1CE"/>
          </w:tcPr>
          <w:p>
            <w:pPr>
              <w:spacing w:after="0"/>
              <w:rPr>
                <w:sz w:val="8"/>
                <w:szCs w:val="8"/>
                <w:color w:val="auto"/>
              </w:rPr>
            </w:pPr>
          </w:p>
        </w:tc>
        <w:tc>
          <w:tcPr>
            <w:tcW w:w="60" w:type="dxa"/>
            <w:vAlign w:val="bottom"/>
            <w:tcBorders>
              <w:top w:val="single" w:sz="8" w:color="EAF1CE"/>
            </w:tcBorders>
            <w:shd w:val="clear" w:color="auto" w:fill="EAF1CE"/>
          </w:tcPr>
          <w:p>
            <w:pPr>
              <w:spacing w:after="0"/>
              <w:rPr>
                <w:sz w:val="8"/>
                <w:szCs w:val="8"/>
                <w:color w:val="auto"/>
              </w:rPr>
            </w:pPr>
          </w:p>
        </w:tc>
        <w:tc>
          <w:tcPr>
            <w:tcW w:w="180" w:type="dxa"/>
            <w:vAlign w:val="bottom"/>
            <w:tcBorders>
              <w:top w:val="single" w:sz="8" w:color="EAF1CE"/>
              <w:right w:val="single" w:sz="8" w:color="EAF1CE"/>
            </w:tcBorders>
            <w:shd w:val="clear" w:color="auto" w:fill="EAF1CE"/>
          </w:tcPr>
          <w:p>
            <w:pPr>
              <w:spacing w:after="0"/>
              <w:rPr>
                <w:sz w:val="8"/>
                <w:szCs w:val="8"/>
                <w:color w:val="auto"/>
              </w:rPr>
            </w:pPr>
          </w:p>
        </w:tc>
        <w:tc>
          <w:tcPr>
            <w:tcW w:w="20" w:type="dxa"/>
            <w:vAlign w:val="bottom"/>
            <w:tcBorders>
              <w:top w:val="single" w:sz="8" w:color="EAF1CE"/>
            </w:tcBorders>
            <w:shd w:val="clear" w:color="auto" w:fill="EAF1CE"/>
          </w:tcPr>
          <w:p>
            <w:pPr>
              <w:spacing w:after="0"/>
              <w:rPr>
                <w:sz w:val="8"/>
                <w:szCs w:val="8"/>
                <w:color w:val="auto"/>
              </w:rPr>
            </w:pPr>
          </w:p>
        </w:tc>
        <w:tc>
          <w:tcPr>
            <w:tcW w:w="60" w:type="dxa"/>
            <w:vAlign w:val="bottom"/>
            <w:tcBorders>
              <w:top w:val="single" w:sz="8" w:color="EAF1CE"/>
            </w:tcBorders>
            <w:shd w:val="clear" w:color="auto" w:fill="EAF1CE"/>
          </w:tcPr>
          <w:p>
            <w:pPr>
              <w:spacing w:after="0"/>
              <w:rPr>
                <w:sz w:val="8"/>
                <w:szCs w:val="8"/>
                <w:color w:val="auto"/>
              </w:rPr>
            </w:pPr>
          </w:p>
        </w:tc>
        <w:tc>
          <w:tcPr>
            <w:tcW w:w="20" w:type="dxa"/>
            <w:vAlign w:val="bottom"/>
            <w:tcBorders>
              <w:top w:val="single" w:sz="8" w:color="EAF1CE"/>
            </w:tcBorders>
            <w:shd w:val="clear" w:color="auto" w:fill="EAF1CE"/>
          </w:tcPr>
          <w:p>
            <w:pPr>
              <w:spacing w:after="0"/>
              <w:rPr>
                <w:sz w:val="8"/>
                <w:szCs w:val="8"/>
                <w:color w:val="auto"/>
              </w:rPr>
            </w:pPr>
          </w:p>
        </w:tc>
        <w:tc>
          <w:tcPr>
            <w:tcW w:w="220" w:type="dxa"/>
            <w:vAlign w:val="bottom"/>
            <w:tcBorders>
              <w:top w:val="single" w:sz="8" w:color="EAF1CE"/>
              <w:right w:val="single" w:sz="8" w:color="EAF1CE"/>
            </w:tcBorders>
            <w:shd w:val="clear" w:color="auto" w:fill="EAF1CE"/>
          </w:tcPr>
          <w:p>
            <w:pPr>
              <w:spacing w:after="0"/>
              <w:rPr>
                <w:sz w:val="8"/>
                <w:szCs w:val="8"/>
                <w:color w:val="auto"/>
              </w:rPr>
            </w:pPr>
          </w:p>
        </w:tc>
        <w:tc>
          <w:tcPr>
            <w:tcW w:w="280" w:type="dxa"/>
            <w:vAlign w:val="bottom"/>
            <w:tcBorders>
              <w:top w:val="single" w:sz="8" w:color="EAF1CE"/>
            </w:tcBorders>
            <w:gridSpan w:val="3"/>
            <w:shd w:val="clear" w:color="auto" w:fill="EAF1CE"/>
          </w:tcPr>
          <w:p>
            <w:pPr>
              <w:ind w:left="20"/>
              <w:spacing w:after="0" w:line="74" w:lineRule="exact"/>
              <w:rPr>
                <w:sz w:val="20"/>
                <w:szCs w:val="20"/>
                <w:color w:val="auto"/>
              </w:rPr>
            </w:pPr>
            <w:r>
              <w:rPr>
                <w:rFonts w:ascii="Arial" w:cs="Arial" w:eastAsia="Arial" w:hAnsi="Arial"/>
                <w:sz w:val="8"/>
                <w:szCs w:val="8"/>
                <w:color w:val="262626"/>
              </w:rPr>
              <w:t>X</w:t>
            </w:r>
          </w:p>
        </w:tc>
        <w:tc>
          <w:tcPr>
            <w:tcW w:w="120" w:type="dxa"/>
            <w:vAlign w:val="bottom"/>
            <w:tcBorders>
              <w:top w:val="single" w:sz="8" w:color="EAF1CE"/>
              <w:right w:val="single" w:sz="8" w:color="EAF1CE"/>
            </w:tcBorders>
            <w:shd w:val="clear" w:color="auto" w:fill="EAF1C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780" w:type="dxa"/>
            <w:vAlign w:val="bottom"/>
            <w:tcBorders>
              <w:left w:val="single" w:sz="8" w:color="98B82F"/>
              <w:bottom w:val="single" w:sz="8" w:color="EAF1CE"/>
              <w:right w:val="single" w:sz="8" w:color="EAF1CE"/>
            </w:tcBorders>
            <w:gridSpan w:val="5"/>
            <w:vMerge w:val="continue"/>
            <w:shd w:val="clear" w:color="auto" w:fill="EAF1CE"/>
          </w:tcPr>
          <w:p>
            <w:pPr>
              <w:spacing w:after="0"/>
              <w:rPr>
                <w:sz w:val="4"/>
                <w:szCs w:val="4"/>
                <w:color w:val="auto"/>
              </w:rPr>
            </w:pPr>
          </w:p>
        </w:tc>
        <w:tc>
          <w:tcPr>
            <w:tcW w:w="400" w:type="dxa"/>
            <w:vAlign w:val="bottom"/>
            <w:tcBorders>
              <w:bottom w:val="single" w:sz="8" w:color="EAF1CE"/>
            </w:tcBorders>
            <w:gridSpan w:val="2"/>
            <w:vMerge w:val="continue"/>
            <w:shd w:val="clear" w:color="auto" w:fill="EAF1CE"/>
          </w:tcPr>
          <w:p>
            <w:pPr>
              <w:spacing w:after="0"/>
              <w:rPr>
                <w:sz w:val="4"/>
                <w:szCs w:val="4"/>
                <w:color w:val="auto"/>
              </w:rPr>
            </w:pPr>
          </w:p>
        </w:tc>
        <w:tc>
          <w:tcPr>
            <w:tcW w:w="260" w:type="dxa"/>
            <w:vAlign w:val="bottom"/>
            <w:tcBorders>
              <w:bottom w:val="single" w:sz="8" w:color="EAF1CE"/>
            </w:tcBorders>
            <w:gridSpan w:val="2"/>
            <w:vMerge w:val="continue"/>
            <w:shd w:val="clear" w:color="auto" w:fill="EAF1CE"/>
          </w:tcPr>
          <w:p>
            <w:pPr>
              <w:spacing w:after="0"/>
              <w:rPr>
                <w:sz w:val="4"/>
                <w:szCs w:val="4"/>
                <w:color w:val="auto"/>
              </w:rPr>
            </w:pPr>
          </w:p>
        </w:tc>
        <w:tc>
          <w:tcPr>
            <w:tcW w:w="100" w:type="dxa"/>
            <w:vAlign w:val="bottom"/>
            <w:tcBorders>
              <w:bottom w:val="single" w:sz="8" w:color="EAF1CE"/>
            </w:tcBorders>
            <w:shd w:val="clear" w:color="auto" w:fill="EAF1CE"/>
          </w:tcPr>
          <w:p>
            <w:pPr>
              <w:spacing w:after="0"/>
              <w:rPr>
                <w:sz w:val="4"/>
                <w:szCs w:val="4"/>
                <w:color w:val="auto"/>
              </w:rPr>
            </w:pPr>
          </w:p>
        </w:tc>
        <w:tc>
          <w:tcPr>
            <w:tcW w:w="120" w:type="dxa"/>
            <w:vAlign w:val="bottom"/>
            <w:tcBorders>
              <w:bottom w:val="single" w:sz="8" w:color="EAF1CE"/>
            </w:tcBorders>
            <w:shd w:val="clear" w:color="auto" w:fill="EAF1CE"/>
          </w:tcPr>
          <w:p>
            <w:pPr>
              <w:spacing w:after="0"/>
              <w:rPr>
                <w:sz w:val="4"/>
                <w:szCs w:val="4"/>
                <w:color w:val="auto"/>
              </w:rPr>
            </w:pPr>
          </w:p>
        </w:tc>
        <w:tc>
          <w:tcPr>
            <w:tcW w:w="100" w:type="dxa"/>
            <w:vAlign w:val="bottom"/>
            <w:tcBorders>
              <w:bottom w:val="single" w:sz="8" w:color="EAF1CE"/>
            </w:tcBorders>
            <w:shd w:val="clear" w:color="auto" w:fill="EAF1CE"/>
          </w:tcPr>
          <w:p>
            <w:pPr>
              <w:spacing w:after="0"/>
              <w:rPr>
                <w:sz w:val="4"/>
                <w:szCs w:val="4"/>
                <w:color w:val="auto"/>
              </w:rPr>
            </w:pPr>
          </w:p>
        </w:tc>
        <w:tc>
          <w:tcPr>
            <w:tcW w:w="140" w:type="dxa"/>
            <w:vAlign w:val="bottom"/>
            <w:tcBorders>
              <w:bottom w:val="single" w:sz="8" w:color="EAF1CE"/>
            </w:tcBorders>
            <w:shd w:val="clear" w:color="auto" w:fill="EAF1CE"/>
          </w:tcPr>
          <w:p>
            <w:pPr>
              <w:spacing w:after="0"/>
              <w:rPr>
                <w:sz w:val="4"/>
                <w:szCs w:val="4"/>
                <w:color w:val="auto"/>
              </w:rPr>
            </w:pPr>
          </w:p>
        </w:tc>
        <w:tc>
          <w:tcPr>
            <w:tcW w:w="260" w:type="dxa"/>
            <w:vAlign w:val="bottom"/>
            <w:tcBorders>
              <w:bottom w:val="single" w:sz="8" w:color="EAF1CE"/>
              <w:right w:val="single" w:sz="8" w:color="EAF1CE"/>
            </w:tcBorders>
            <w:shd w:val="clear" w:color="auto" w:fill="EAF1CE"/>
          </w:tcPr>
          <w:p>
            <w:pPr>
              <w:spacing w:after="0"/>
              <w:rPr>
                <w:sz w:val="4"/>
                <w:szCs w:val="4"/>
                <w:color w:val="auto"/>
              </w:rPr>
            </w:pPr>
          </w:p>
        </w:tc>
        <w:tc>
          <w:tcPr>
            <w:tcW w:w="280" w:type="dxa"/>
            <w:vAlign w:val="bottom"/>
            <w:tcBorders>
              <w:bottom w:val="single" w:sz="8" w:color="EAF1CE"/>
            </w:tcBorders>
            <w:shd w:val="clear" w:color="auto" w:fill="EAF1C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320" w:type="dxa"/>
            <w:vAlign w:val="bottom"/>
            <w:gridSpan w:val="26"/>
            <w:vMerge w:val="restart"/>
          </w:tcPr>
          <w:p>
            <w:pPr>
              <w:jc w:val="center"/>
              <w:ind w:right="74"/>
              <w:spacing w:after="0" w:line="126" w:lineRule="exact"/>
              <w:rPr>
                <w:sz w:val="20"/>
                <w:szCs w:val="20"/>
                <w:color w:val="auto"/>
              </w:rPr>
            </w:pPr>
            <w:r>
              <w:rPr>
                <w:rFonts w:ascii="Arial" w:cs="Arial" w:eastAsia="Arial" w:hAnsi="Arial"/>
                <w:sz w:val="13"/>
                <w:szCs w:val="13"/>
                <w:b w:val="1"/>
                <w:bCs w:val="1"/>
                <w:color w:val="273D86"/>
              </w:rPr>
              <w:t>Water Usage in USA Manufacturing</w:t>
            </w:r>
          </w:p>
        </w:tc>
        <w:tc>
          <w:tcPr>
            <w:tcW w:w="960" w:type="dxa"/>
            <w:vAlign w:val="bottom"/>
            <w:gridSpan w:val="10"/>
            <w:vMerge w:val="restart"/>
          </w:tcPr>
          <w:p>
            <w:pPr>
              <w:jc w:val="right"/>
              <w:ind w:right="100"/>
              <w:spacing w:after="0" w:line="126" w:lineRule="exact"/>
              <w:rPr>
                <w:sz w:val="20"/>
                <w:szCs w:val="20"/>
                <w:color w:val="auto"/>
              </w:rPr>
            </w:pPr>
            <w:r>
              <w:rPr>
                <w:rFonts w:ascii="Arial" w:cs="Arial" w:eastAsia="Arial" w:hAnsi="Arial"/>
                <w:sz w:val="13"/>
                <w:szCs w:val="13"/>
                <w:b w:val="1"/>
                <w:bCs w:val="1"/>
                <w:color w:val="273D86"/>
                <w:w w:val="87"/>
              </w:rPr>
              <w:t>Facilities (cu-ft)</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98B82F"/>
            </w:tcBorders>
            <w:shd w:val="clear" w:color="auto" w:fill="98B82F"/>
          </w:tcPr>
          <w:p>
            <w:pPr>
              <w:spacing w:after="0" w:line="20" w:lineRule="exact"/>
              <w:rPr>
                <w:sz w:val="1"/>
                <w:szCs w:val="1"/>
                <w:color w:val="auto"/>
              </w:rPr>
            </w:pPr>
          </w:p>
        </w:tc>
        <w:tc>
          <w:tcPr>
            <w:tcW w:w="20" w:type="dxa"/>
            <w:vAlign w:val="bottom"/>
            <w:shd w:val="clear" w:color="auto" w:fill="98B82F"/>
          </w:tcPr>
          <w:p>
            <w:pPr>
              <w:spacing w:after="0" w:line="20" w:lineRule="exact"/>
              <w:rPr>
                <w:sz w:val="1"/>
                <w:szCs w:val="1"/>
                <w:color w:val="auto"/>
              </w:rPr>
            </w:pPr>
          </w:p>
        </w:tc>
        <w:tc>
          <w:tcPr>
            <w:tcW w:w="300" w:type="dxa"/>
            <w:vAlign w:val="bottom"/>
            <w:tcBorders>
              <w:right w:val="single" w:sz="8" w:color="98B82F"/>
            </w:tcBorders>
            <w:shd w:val="clear" w:color="auto" w:fill="98B82F"/>
          </w:tcPr>
          <w:p>
            <w:pPr>
              <w:spacing w:after="0" w:line="20" w:lineRule="exact"/>
              <w:rPr>
                <w:sz w:val="1"/>
                <w:szCs w:val="1"/>
                <w:color w:val="auto"/>
              </w:rPr>
            </w:pPr>
          </w:p>
        </w:tc>
        <w:tc>
          <w:tcPr>
            <w:tcW w:w="20" w:type="dxa"/>
            <w:vAlign w:val="bottom"/>
            <w:shd w:val="clear" w:color="auto" w:fill="98B82F"/>
          </w:tcPr>
          <w:p>
            <w:pPr>
              <w:spacing w:after="0" w:line="20" w:lineRule="exact"/>
              <w:rPr>
                <w:sz w:val="1"/>
                <w:szCs w:val="1"/>
                <w:color w:val="auto"/>
              </w:rPr>
            </w:pPr>
          </w:p>
        </w:tc>
        <w:tc>
          <w:tcPr>
            <w:tcW w:w="120" w:type="dxa"/>
            <w:vAlign w:val="bottom"/>
            <w:tcBorders>
              <w:right w:val="single" w:sz="8" w:color="98B82F"/>
            </w:tcBorders>
            <w:shd w:val="clear" w:color="auto" w:fill="98B82F"/>
          </w:tcPr>
          <w:p>
            <w:pPr>
              <w:spacing w:after="0" w:line="20" w:lineRule="exact"/>
              <w:rPr>
                <w:sz w:val="1"/>
                <w:szCs w:val="1"/>
                <w:color w:val="auto"/>
              </w:rPr>
            </w:pPr>
          </w:p>
        </w:tc>
        <w:tc>
          <w:tcPr>
            <w:tcW w:w="320" w:type="dxa"/>
            <w:vAlign w:val="bottom"/>
            <w:tcBorders>
              <w:right w:val="single" w:sz="8" w:color="EAF1CE"/>
            </w:tcBorders>
            <w:shd w:val="clear" w:color="auto" w:fill="EAF1CE"/>
          </w:tcPr>
          <w:p>
            <w:pPr>
              <w:spacing w:after="0" w:line="20" w:lineRule="exact"/>
              <w:rPr>
                <w:sz w:val="1"/>
                <w:szCs w:val="1"/>
                <w:color w:val="auto"/>
              </w:rPr>
            </w:pPr>
          </w:p>
        </w:tc>
        <w:tc>
          <w:tcPr>
            <w:tcW w:w="80" w:type="dxa"/>
            <w:vAlign w:val="bottom"/>
            <w:shd w:val="clear" w:color="auto" w:fill="EAF1CE"/>
          </w:tcPr>
          <w:p>
            <w:pPr>
              <w:spacing w:after="0" w:line="20" w:lineRule="exact"/>
              <w:rPr>
                <w:sz w:val="1"/>
                <w:szCs w:val="1"/>
                <w:color w:val="auto"/>
              </w:rPr>
            </w:pPr>
          </w:p>
        </w:tc>
        <w:tc>
          <w:tcPr>
            <w:tcW w:w="260" w:type="dxa"/>
            <w:vAlign w:val="bottom"/>
            <w:gridSpan w:val="2"/>
            <w:vMerge w:val="continue"/>
            <w:shd w:val="clear" w:color="auto" w:fill="EAF1CE"/>
          </w:tcPr>
          <w:p>
            <w:pPr>
              <w:spacing w:after="0" w:line="20" w:lineRule="exact"/>
              <w:rPr>
                <w:sz w:val="1"/>
                <w:szCs w:val="1"/>
                <w:color w:val="auto"/>
              </w:rPr>
            </w:pPr>
          </w:p>
        </w:tc>
        <w:tc>
          <w:tcPr>
            <w:tcW w:w="100" w:type="dxa"/>
            <w:vAlign w:val="bottom"/>
            <w:vMerge w:val="restart"/>
            <w:shd w:val="clear" w:color="auto" w:fill="EAF1CE"/>
          </w:tcPr>
          <w:p>
            <w:pPr>
              <w:spacing w:after="0" w:line="20" w:lineRule="exact"/>
              <w:rPr>
                <w:sz w:val="1"/>
                <w:szCs w:val="1"/>
                <w:color w:val="auto"/>
              </w:rPr>
            </w:pPr>
          </w:p>
        </w:tc>
        <w:tc>
          <w:tcPr>
            <w:tcW w:w="120" w:type="dxa"/>
            <w:vAlign w:val="bottom"/>
            <w:vMerge w:val="restart"/>
            <w:shd w:val="clear" w:color="auto" w:fill="EAF1CE"/>
          </w:tcPr>
          <w:p>
            <w:pPr>
              <w:spacing w:after="0" w:line="20" w:lineRule="exact"/>
              <w:rPr>
                <w:sz w:val="1"/>
                <w:szCs w:val="1"/>
                <w:color w:val="auto"/>
              </w:rPr>
            </w:pPr>
          </w:p>
        </w:tc>
        <w:tc>
          <w:tcPr>
            <w:tcW w:w="100" w:type="dxa"/>
            <w:vAlign w:val="bottom"/>
            <w:shd w:val="clear" w:color="auto" w:fill="EAF1CE"/>
          </w:tcPr>
          <w:p>
            <w:pPr>
              <w:spacing w:after="0" w:line="20" w:lineRule="exact"/>
              <w:rPr>
                <w:sz w:val="1"/>
                <w:szCs w:val="1"/>
                <w:color w:val="auto"/>
              </w:rPr>
            </w:pPr>
          </w:p>
        </w:tc>
        <w:tc>
          <w:tcPr>
            <w:tcW w:w="140" w:type="dxa"/>
            <w:vAlign w:val="bottom"/>
            <w:shd w:val="clear" w:color="auto" w:fill="EAF1CE"/>
          </w:tcPr>
          <w:p>
            <w:pPr>
              <w:spacing w:after="0" w:line="20" w:lineRule="exact"/>
              <w:rPr>
                <w:sz w:val="1"/>
                <w:szCs w:val="1"/>
                <w:color w:val="auto"/>
              </w:rPr>
            </w:pPr>
          </w:p>
        </w:tc>
        <w:tc>
          <w:tcPr>
            <w:tcW w:w="260" w:type="dxa"/>
            <w:vAlign w:val="bottom"/>
            <w:tcBorders>
              <w:right w:val="single" w:sz="8" w:color="EAF1CE"/>
            </w:tcBorders>
            <w:shd w:val="clear" w:color="auto" w:fill="EAF1CE"/>
          </w:tcPr>
          <w:p>
            <w:pPr>
              <w:spacing w:after="0" w:line="20" w:lineRule="exact"/>
              <w:rPr>
                <w:sz w:val="1"/>
                <w:szCs w:val="1"/>
                <w:color w:val="auto"/>
              </w:rPr>
            </w:pPr>
          </w:p>
        </w:tc>
        <w:tc>
          <w:tcPr>
            <w:tcW w:w="280" w:type="dxa"/>
            <w:vAlign w:val="bottom"/>
            <w:shd w:val="clear" w:color="auto" w:fill="EAF1C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26"/>
            <w:vMerge w:val="continue"/>
          </w:tcPr>
          <w:p>
            <w:pPr>
              <w:spacing w:after="0" w:line="20" w:lineRule="exact"/>
              <w:rPr>
                <w:sz w:val="1"/>
                <w:szCs w:val="1"/>
                <w:color w:val="auto"/>
              </w:rPr>
            </w:pPr>
          </w:p>
        </w:tc>
        <w:tc>
          <w:tcPr>
            <w:tcW w:w="960" w:type="dxa"/>
            <w:vAlign w:val="bottom"/>
            <w:gridSpan w:val="10"/>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1180" w:type="dxa"/>
            <w:vAlign w:val="bottom"/>
            <w:tcBorders>
              <w:left w:val="single" w:sz="8" w:color="98B82F"/>
            </w:tcBorders>
            <w:gridSpan w:val="7"/>
            <w:vMerge w:val="restart"/>
            <w:shd w:val="clear" w:color="auto" w:fill="EAF1CE"/>
          </w:tcPr>
          <w:p>
            <w:pPr>
              <w:ind w:left="100"/>
              <w:spacing w:after="0"/>
              <w:rPr>
                <w:sz w:val="20"/>
                <w:szCs w:val="20"/>
                <w:color w:val="auto"/>
              </w:rPr>
            </w:pPr>
            <w:r>
              <w:rPr>
                <w:rFonts w:ascii="Arial" w:cs="Arial" w:eastAsia="Arial" w:hAnsi="Arial"/>
                <w:sz w:val="8"/>
                <w:szCs w:val="8"/>
                <w:color w:val="262626"/>
              </w:rPr>
              <w:t>Nunspeet, Netherlands</w:t>
            </w:r>
          </w:p>
        </w:tc>
        <w:tc>
          <w:tcPr>
            <w:tcW w:w="260" w:type="dxa"/>
            <w:vAlign w:val="bottom"/>
            <w:gridSpan w:val="2"/>
            <w:vMerge w:val="continue"/>
            <w:shd w:val="clear" w:color="auto" w:fill="EAF1CE"/>
          </w:tcPr>
          <w:p>
            <w:pPr>
              <w:spacing w:after="0"/>
              <w:rPr>
                <w:sz w:val="3"/>
                <w:szCs w:val="3"/>
                <w:color w:val="auto"/>
              </w:rPr>
            </w:pPr>
          </w:p>
        </w:tc>
        <w:tc>
          <w:tcPr>
            <w:tcW w:w="100" w:type="dxa"/>
            <w:vAlign w:val="bottom"/>
            <w:vMerge w:val="continue"/>
            <w:shd w:val="clear" w:color="auto" w:fill="EAF1CE"/>
          </w:tcPr>
          <w:p>
            <w:pPr>
              <w:spacing w:after="0"/>
              <w:rPr>
                <w:sz w:val="3"/>
                <w:szCs w:val="3"/>
                <w:color w:val="auto"/>
              </w:rPr>
            </w:pPr>
          </w:p>
        </w:tc>
        <w:tc>
          <w:tcPr>
            <w:tcW w:w="120" w:type="dxa"/>
            <w:vAlign w:val="bottom"/>
            <w:vMerge w:val="continue"/>
            <w:shd w:val="clear" w:color="auto" w:fill="EAF1CE"/>
          </w:tcPr>
          <w:p>
            <w:pPr>
              <w:spacing w:after="0"/>
              <w:rPr>
                <w:sz w:val="3"/>
                <w:szCs w:val="3"/>
                <w:color w:val="auto"/>
              </w:rPr>
            </w:pPr>
          </w:p>
        </w:tc>
        <w:tc>
          <w:tcPr>
            <w:tcW w:w="100" w:type="dxa"/>
            <w:vAlign w:val="bottom"/>
            <w:shd w:val="clear" w:color="auto" w:fill="EAF1CE"/>
          </w:tcPr>
          <w:p>
            <w:pPr>
              <w:spacing w:after="0"/>
              <w:rPr>
                <w:sz w:val="3"/>
                <w:szCs w:val="3"/>
                <w:color w:val="auto"/>
              </w:rPr>
            </w:pPr>
          </w:p>
        </w:tc>
        <w:tc>
          <w:tcPr>
            <w:tcW w:w="140" w:type="dxa"/>
            <w:vAlign w:val="bottom"/>
            <w:shd w:val="clear" w:color="auto" w:fill="EAF1CE"/>
          </w:tcPr>
          <w:p>
            <w:pPr>
              <w:spacing w:after="0"/>
              <w:rPr>
                <w:sz w:val="3"/>
                <w:szCs w:val="3"/>
                <w:color w:val="auto"/>
              </w:rPr>
            </w:pPr>
          </w:p>
        </w:tc>
        <w:tc>
          <w:tcPr>
            <w:tcW w:w="260" w:type="dxa"/>
            <w:vAlign w:val="bottom"/>
            <w:tcBorders>
              <w:right w:val="single" w:sz="8" w:color="EAF1CE"/>
            </w:tcBorders>
            <w:shd w:val="clear" w:color="auto" w:fill="EAF1CE"/>
          </w:tcPr>
          <w:p>
            <w:pPr>
              <w:spacing w:after="0"/>
              <w:rPr>
                <w:sz w:val="3"/>
                <w:szCs w:val="3"/>
                <w:color w:val="auto"/>
              </w:rPr>
            </w:pPr>
          </w:p>
        </w:tc>
        <w:tc>
          <w:tcPr>
            <w:tcW w:w="280" w:type="dxa"/>
            <w:vAlign w:val="bottom"/>
            <w:shd w:val="clear" w:color="auto" w:fill="EAF1CE"/>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320" w:type="dxa"/>
            <w:vAlign w:val="bottom"/>
            <w:gridSpan w:val="26"/>
            <w:vMerge w:val="continue"/>
          </w:tcPr>
          <w:p>
            <w:pPr>
              <w:spacing w:after="0"/>
              <w:rPr>
                <w:sz w:val="3"/>
                <w:szCs w:val="3"/>
                <w:color w:val="auto"/>
              </w:rPr>
            </w:pPr>
          </w:p>
        </w:tc>
        <w:tc>
          <w:tcPr>
            <w:tcW w:w="960" w:type="dxa"/>
            <w:vAlign w:val="bottom"/>
            <w:gridSpan w:val="10"/>
            <w:vMerge w:val="continue"/>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2"/>
        </w:trPr>
        <w:tc>
          <w:tcPr>
            <w:tcW w:w="1180" w:type="dxa"/>
            <w:vAlign w:val="bottom"/>
            <w:tcBorders>
              <w:left w:val="single" w:sz="8" w:color="98B82F"/>
              <w:bottom w:val="single" w:sz="8" w:color="EAF1CE"/>
            </w:tcBorders>
            <w:gridSpan w:val="7"/>
            <w:vMerge w:val="continue"/>
            <w:shd w:val="clear" w:color="auto" w:fill="EAF1CE"/>
          </w:tcPr>
          <w:p>
            <w:pPr>
              <w:spacing w:after="0"/>
              <w:rPr>
                <w:sz w:val="12"/>
                <w:szCs w:val="12"/>
                <w:color w:val="auto"/>
              </w:rPr>
            </w:pPr>
          </w:p>
        </w:tc>
        <w:tc>
          <w:tcPr>
            <w:tcW w:w="14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120" w:type="dxa"/>
            <w:vAlign w:val="bottom"/>
            <w:tcBorders>
              <w:bottom w:val="single" w:sz="8" w:color="EAF1CE"/>
            </w:tcBorders>
            <w:shd w:val="clear" w:color="auto" w:fill="EAF1CE"/>
          </w:tcPr>
          <w:p>
            <w:pPr>
              <w:spacing w:after="0"/>
              <w:rPr>
                <w:sz w:val="12"/>
                <w:szCs w:val="12"/>
                <w:color w:val="auto"/>
              </w:rPr>
            </w:pPr>
          </w:p>
        </w:tc>
        <w:tc>
          <w:tcPr>
            <w:tcW w:w="100" w:type="dxa"/>
            <w:vAlign w:val="bottom"/>
            <w:tcBorders>
              <w:bottom w:val="single" w:sz="8" w:color="EAF1CE"/>
            </w:tcBorders>
            <w:shd w:val="clear" w:color="auto" w:fill="EAF1CE"/>
          </w:tcPr>
          <w:p>
            <w:pPr>
              <w:spacing w:after="0"/>
              <w:rPr>
                <w:sz w:val="12"/>
                <w:szCs w:val="12"/>
                <w:color w:val="auto"/>
              </w:rPr>
            </w:pPr>
          </w:p>
        </w:tc>
        <w:tc>
          <w:tcPr>
            <w:tcW w:w="140" w:type="dxa"/>
            <w:vAlign w:val="bottom"/>
            <w:tcBorders>
              <w:bottom w:val="single" w:sz="8" w:color="EAF1CE"/>
            </w:tcBorders>
            <w:shd w:val="clear" w:color="auto" w:fill="EAF1CE"/>
          </w:tcPr>
          <w:p>
            <w:pPr>
              <w:spacing w:after="0"/>
              <w:rPr>
                <w:sz w:val="12"/>
                <w:szCs w:val="12"/>
                <w:color w:val="auto"/>
              </w:rPr>
            </w:pPr>
          </w:p>
        </w:tc>
        <w:tc>
          <w:tcPr>
            <w:tcW w:w="260" w:type="dxa"/>
            <w:vAlign w:val="bottom"/>
            <w:tcBorders>
              <w:bottom w:val="single" w:sz="8" w:color="EAF1CE"/>
              <w:right w:val="single" w:sz="8" w:color="EAF1CE"/>
            </w:tcBorders>
            <w:shd w:val="clear" w:color="auto" w:fill="EAF1CE"/>
          </w:tcPr>
          <w:p>
            <w:pPr>
              <w:spacing w:after="0"/>
              <w:rPr>
                <w:sz w:val="12"/>
                <w:szCs w:val="12"/>
                <w:color w:val="auto"/>
              </w:rPr>
            </w:pPr>
          </w:p>
        </w:tc>
        <w:tc>
          <w:tcPr>
            <w:tcW w:w="280" w:type="dxa"/>
            <w:vAlign w:val="bottom"/>
            <w:tcBorders>
              <w:bottom w:val="single" w:sz="8" w:color="EAF1CE"/>
            </w:tcBorders>
            <w:shd w:val="clear" w:color="auto" w:fill="EAF1C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5"/>
          </w:tcPr>
          <w:p>
            <w:pPr>
              <w:jc w:val="center"/>
              <w:ind w:right="300"/>
              <w:spacing w:after="0" w:line="87" w:lineRule="exact"/>
              <w:rPr>
                <w:sz w:val="20"/>
                <w:szCs w:val="20"/>
                <w:color w:val="auto"/>
              </w:rPr>
            </w:pPr>
            <w:r>
              <w:rPr>
                <w:rFonts w:ascii="Arial" w:cs="Arial" w:eastAsia="Arial" w:hAnsi="Arial"/>
                <w:sz w:val="8"/>
                <w:szCs w:val="8"/>
                <w:color w:val="262626"/>
                <w:w w:val="74"/>
              </w:rPr>
              <w:t>X</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Borders>
              <w:top w:val="single" w:sz="8" w:color="98B82F"/>
              <w:left w:val="single" w:sz="8" w:color="98B82F"/>
              <w:bottom w:val="single" w:sz="8" w:color="EAF1CE"/>
              <w:right w:val="single" w:sz="8" w:color="EAF1CE"/>
            </w:tcBorders>
            <w:gridSpan w:val="5"/>
            <w:shd w:val="clear" w:color="auto" w:fill="EAF1CE"/>
          </w:tcPr>
          <w:p>
            <w:pPr>
              <w:ind w:left="100"/>
              <w:spacing w:after="0"/>
              <w:rPr>
                <w:sz w:val="20"/>
                <w:szCs w:val="20"/>
                <w:color w:val="auto"/>
              </w:rPr>
            </w:pPr>
            <w:r>
              <w:rPr>
                <w:rFonts w:ascii="Arial" w:cs="Arial" w:eastAsia="Arial" w:hAnsi="Arial"/>
                <w:sz w:val="8"/>
                <w:szCs w:val="8"/>
                <w:color w:val="262626"/>
              </w:rPr>
              <w:t>Elma, New York</w:t>
            </w:r>
          </w:p>
        </w:tc>
        <w:tc>
          <w:tcPr>
            <w:tcW w:w="320" w:type="dxa"/>
            <w:vAlign w:val="bottom"/>
            <w:tcBorders>
              <w:top w:val="single" w:sz="8" w:color="EAF1CE"/>
              <w:bottom w:val="single" w:sz="8" w:color="EAF1CE"/>
              <w:right w:val="single" w:sz="8" w:color="EAF1CE"/>
            </w:tcBorders>
            <w:shd w:val="clear" w:color="auto" w:fill="EAF1CE"/>
          </w:tcPr>
          <w:p>
            <w:pPr>
              <w:spacing w:after="0"/>
              <w:rPr>
                <w:sz w:val="15"/>
                <w:szCs w:val="15"/>
                <w:color w:val="auto"/>
              </w:rPr>
            </w:pPr>
          </w:p>
        </w:tc>
        <w:tc>
          <w:tcPr>
            <w:tcW w:w="220" w:type="dxa"/>
            <w:vAlign w:val="bottom"/>
            <w:tcBorders>
              <w:top w:val="single" w:sz="8" w:color="EAF1CE"/>
              <w:bottom w:val="single" w:sz="8" w:color="EAF1CE"/>
            </w:tcBorders>
            <w:gridSpan w:val="2"/>
            <w:shd w:val="clear" w:color="auto" w:fill="EAF1CE"/>
          </w:tcPr>
          <w:p>
            <w:pPr>
              <w:spacing w:after="0"/>
              <w:rPr>
                <w:sz w:val="15"/>
                <w:szCs w:val="15"/>
                <w:color w:val="auto"/>
              </w:rPr>
            </w:pPr>
          </w:p>
        </w:tc>
        <w:tc>
          <w:tcPr>
            <w:tcW w:w="120" w:type="dxa"/>
            <w:vAlign w:val="bottom"/>
            <w:tcBorders>
              <w:top w:val="single" w:sz="8" w:color="EAF1CE"/>
              <w:bottom w:val="single" w:sz="8" w:color="273D86"/>
            </w:tcBorders>
            <w:shd w:val="clear" w:color="auto" w:fill="EAF1CE"/>
          </w:tcPr>
          <w:p>
            <w:pPr>
              <w:spacing w:after="0"/>
              <w:rPr>
                <w:sz w:val="15"/>
                <w:szCs w:val="15"/>
                <w:color w:val="auto"/>
              </w:rPr>
            </w:pPr>
          </w:p>
        </w:tc>
        <w:tc>
          <w:tcPr>
            <w:tcW w:w="720" w:type="dxa"/>
            <w:vAlign w:val="bottom"/>
            <w:tcBorders>
              <w:top w:val="single" w:sz="8" w:color="EAF1CE"/>
              <w:bottom w:val="single" w:sz="8" w:color="EAF1CE"/>
              <w:right w:val="single" w:sz="8" w:color="262626"/>
            </w:tcBorders>
            <w:gridSpan w:val="5"/>
            <w:shd w:val="clear" w:color="auto" w:fill="EAF1CE"/>
          </w:tcPr>
          <w:p>
            <w:pPr>
              <w:spacing w:after="0"/>
              <w:rPr>
                <w:sz w:val="15"/>
                <w:szCs w:val="15"/>
                <w:color w:val="auto"/>
              </w:rPr>
            </w:pPr>
          </w:p>
        </w:tc>
        <w:tc>
          <w:tcPr>
            <w:tcW w:w="280" w:type="dxa"/>
            <w:vAlign w:val="bottom"/>
            <w:tcBorders>
              <w:top w:val="single" w:sz="8" w:color="EAF1CE"/>
              <w:bottom w:val="single" w:sz="8" w:color="EAF1CE"/>
            </w:tcBorders>
            <w:shd w:val="clear" w:color="auto" w:fill="EAF1CE"/>
          </w:tcPr>
          <w:p>
            <w:pPr>
              <w:spacing w:after="0"/>
              <w:rPr>
                <w:sz w:val="15"/>
                <w:szCs w:val="15"/>
                <w:color w:val="auto"/>
              </w:rPr>
            </w:pPr>
          </w:p>
        </w:tc>
        <w:tc>
          <w:tcPr>
            <w:tcW w:w="4880" w:type="dxa"/>
            <w:vAlign w:val="bottom"/>
            <w:gridSpan w:val="49"/>
          </w:tcPr>
          <w:p>
            <w:pPr>
              <w:spacing w:after="0"/>
              <w:rPr>
                <w:sz w:val="20"/>
                <w:szCs w:val="20"/>
                <w:color w:val="auto"/>
              </w:rPr>
            </w:pPr>
            <w:r>
              <w:rPr>
                <w:rFonts w:ascii="Arial" w:cs="Arial" w:eastAsia="Arial" w:hAnsi="Arial"/>
                <w:sz w:val="8"/>
                <w:szCs w:val="8"/>
                <w:color w:val="262626"/>
              </w:rPr>
              <w:t>X</w:t>
            </w:r>
          </w:p>
        </w:tc>
        <w:tc>
          <w:tcPr>
            <w:tcW w:w="0" w:type="dxa"/>
            <w:vAlign w:val="bottom"/>
          </w:tcPr>
          <w:p>
            <w:pPr>
              <w:spacing w:after="0"/>
              <w:rPr>
                <w:sz w:val="1"/>
                <w:szCs w:val="1"/>
                <w:color w:val="auto"/>
              </w:rPr>
            </w:pPr>
          </w:p>
        </w:tc>
      </w:tr>
      <w:tr>
        <w:trPr>
          <w:trHeight w:val="90"/>
        </w:trPr>
        <w:tc>
          <w:tcPr>
            <w:tcW w:w="780" w:type="dxa"/>
            <w:vAlign w:val="bottom"/>
            <w:tcBorders>
              <w:top w:val="single" w:sz="8" w:color="98B82F"/>
              <w:left w:val="single" w:sz="8" w:color="98B82F"/>
              <w:right w:val="single" w:sz="8" w:color="EAF1CE"/>
            </w:tcBorders>
            <w:gridSpan w:val="5"/>
            <w:vMerge w:val="restart"/>
            <w:shd w:val="clear" w:color="auto" w:fill="EAF1CE"/>
          </w:tcPr>
          <w:p>
            <w:pPr>
              <w:ind w:left="100"/>
              <w:spacing w:after="0"/>
              <w:rPr>
                <w:sz w:val="20"/>
                <w:szCs w:val="20"/>
                <w:color w:val="auto"/>
              </w:rPr>
            </w:pPr>
            <w:r>
              <w:rPr>
                <w:rFonts w:ascii="Arial" w:cs="Arial" w:eastAsia="Arial" w:hAnsi="Arial"/>
                <w:sz w:val="8"/>
                <w:szCs w:val="8"/>
                <w:color w:val="262626"/>
                <w:w w:val="95"/>
              </w:rPr>
              <w:t>Guangzhou, China</w:t>
            </w:r>
          </w:p>
        </w:tc>
        <w:tc>
          <w:tcPr>
            <w:tcW w:w="400" w:type="dxa"/>
            <w:vAlign w:val="bottom"/>
            <w:tcBorders>
              <w:top w:val="single" w:sz="8" w:color="EAF1CE"/>
            </w:tcBorders>
            <w:gridSpan w:val="2"/>
            <w:vMerge w:val="restart"/>
            <w:shd w:val="clear" w:color="auto" w:fill="EAF1CE"/>
          </w:tcPr>
          <w:p>
            <w:pPr>
              <w:spacing w:after="0"/>
              <w:rPr>
                <w:sz w:val="7"/>
                <w:szCs w:val="7"/>
                <w:color w:val="auto"/>
              </w:rPr>
            </w:pPr>
          </w:p>
        </w:tc>
        <w:tc>
          <w:tcPr>
            <w:tcW w:w="140" w:type="dxa"/>
            <w:vAlign w:val="bottom"/>
            <w:tcBorders>
              <w:top w:val="single" w:sz="8" w:color="EAF1CE"/>
            </w:tcBorders>
            <w:shd w:val="clear" w:color="auto" w:fill="EAF1CE"/>
          </w:tcPr>
          <w:p>
            <w:pPr>
              <w:spacing w:after="0"/>
              <w:rPr>
                <w:sz w:val="7"/>
                <w:szCs w:val="7"/>
                <w:color w:val="auto"/>
              </w:rPr>
            </w:pPr>
          </w:p>
        </w:tc>
        <w:tc>
          <w:tcPr>
            <w:tcW w:w="120" w:type="dxa"/>
            <w:vAlign w:val="bottom"/>
            <w:tcBorders>
              <w:top w:val="single" w:sz="8" w:color="273D86"/>
            </w:tcBorders>
            <w:shd w:val="clear" w:color="auto" w:fill="273D86"/>
          </w:tcPr>
          <w:p>
            <w:pPr>
              <w:spacing w:after="0"/>
              <w:rPr>
                <w:sz w:val="7"/>
                <w:szCs w:val="7"/>
                <w:color w:val="auto"/>
              </w:rPr>
            </w:pPr>
          </w:p>
        </w:tc>
        <w:tc>
          <w:tcPr>
            <w:tcW w:w="100" w:type="dxa"/>
            <w:vAlign w:val="bottom"/>
            <w:tcBorders>
              <w:top w:val="single" w:sz="8" w:color="EAF1CE"/>
            </w:tcBorders>
            <w:shd w:val="clear" w:color="auto" w:fill="EAF1CE"/>
          </w:tcPr>
          <w:p>
            <w:pPr>
              <w:spacing w:after="0"/>
              <w:rPr>
                <w:sz w:val="7"/>
                <w:szCs w:val="7"/>
                <w:color w:val="auto"/>
              </w:rPr>
            </w:pPr>
          </w:p>
        </w:tc>
        <w:tc>
          <w:tcPr>
            <w:tcW w:w="120" w:type="dxa"/>
            <w:vAlign w:val="bottom"/>
            <w:tcBorders>
              <w:top w:val="single" w:sz="8" w:color="EAF1CE"/>
            </w:tcBorders>
            <w:shd w:val="clear" w:color="auto" w:fill="EAF1CE"/>
          </w:tcPr>
          <w:p>
            <w:pPr>
              <w:spacing w:after="0"/>
              <w:rPr>
                <w:sz w:val="7"/>
                <w:szCs w:val="7"/>
                <w:color w:val="auto"/>
              </w:rPr>
            </w:pPr>
          </w:p>
        </w:tc>
        <w:tc>
          <w:tcPr>
            <w:tcW w:w="100" w:type="dxa"/>
            <w:vAlign w:val="bottom"/>
            <w:tcBorders>
              <w:top w:val="single" w:sz="8" w:color="EAF1CE"/>
            </w:tcBorders>
            <w:shd w:val="clear" w:color="auto" w:fill="EAF1CE"/>
          </w:tcPr>
          <w:p>
            <w:pPr>
              <w:spacing w:after="0"/>
              <w:rPr>
                <w:sz w:val="7"/>
                <w:szCs w:val="7"/>
                <w:color w:val="auto"/>
              </w:rPr>
            </w:pPr>
          </w:p>
        </w:tc>
        <w:tc>
          <w:tcPr>
            <w:tcW w:w="140" w:type="dxa"/>
            <w:vAlign w:val="bottom"/>
            <w:tcBorders>
              <w:top w:val="single" w:sz="8" w:color="EAF1CE"/>
            </w:tcBorders>
            <w:shd w:val="clear" w:color="auto" w:fill="EAF1CE"/>
          </w:tcPr>
          <w:p>
            <w:pPr>
              <w:spacing w:after="0"/>
              <w:rPr>
                <w:sz w:val="7"/>
                <w:szCs w:val="7"/>
                <w:color w:val="auto"/>
              </w:rPr>
            </w:pPr>
          </w:p>
        </w:tc>
        <w:tc>
          <w:tcPr>
            <w:tcW w:w="260" w:type="dxa"/>
            <w:vAlign w:val="bottom"/>
            <w:tcBorders>
              <w:top w:val="single" w:sz="8" w:color="EAF1CE"/>
              <w:right w:val="single" w:sz="8" w:color="262626"/>
            </w:tcBorders>
            <w:shd w:val="clear" w:color="auto" w:fill="EAF1CE"/>
          </w:tcPr>
          <w:p>
            <w:pPr>
              <w:spacing w:after="0"/>
              <w:rPr>
                <w:sz w:val="7"/>
                <w:szCs w:val="7"/>
                <w:color w:val="auto"/>
              </w:rPr>
            </w:pPr>
          </w:p>
        </w:tc>
        <w:tc>
          <w:tcPr>
            <w:tcW w:w="280" w:type="dxa"/>
            <w:vAlign w:val="bottom"/>
            <w:tcBorders>
              <w:top w:val="single" w:sz="8" w:color="EAF1CE"/>
            </w:tcBorders>
            <w:shd w:val="clear" w:color="auto" w:fill="EAF1C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gridSpan w:val="3"/>
            <w:textDirection w:val="btLr"/>
          </w:tcPr>
          <w:p>
            <w:pPr>
              <w:spacing w:after="0"/>
              <w:rPr>
                <w:sz w:val="20"/>
                <w:szCs w:val="20"/>
                <w:color w:val="auto"/>
              </w:rPr>
            </w:pPr>
            <w:r>
              <w:rPr>
                <w:rFonts w:ascii="Arial" w:cs="Arial" w:eastAsia="Arial" w:hAnsi="Arial"/>
                <w:sz w:val="3"/>
                <w:szCs w:val="3"/>
                <w:color w:val="262626"/>
              </w:rPr>
              <w:t>9,564</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gridSpan w:val="5"/>
            <w:vMerge w:val="restart"/>
          </w:tcPr>
          <w:p>
            <w:pPr>
              <w:jc w:val="center"/>
              <w:ind w:right="300"/>
              <w:spacing w:after="0"/>
              <w:rPr>
                <w:sz w:val="20"/>
                <w:szCs w:val="20"/>
                <w:color w:val="auto"/>
              </w:rPr>
            </w:pPr>
            <w:r>
              <w:rPr>
                <w:rFonts w:ascii="Arial" w:cs="Arial" w:eastAsia="Arial" w:hAnsi="Arial"/>
                <w:sz w:val="8"/>
                <w:szCs w:val="8"/>
                <w:color w:val="262626"/>
                <w:w w:val="74"/>
              </w:rPr>
              <w:t>X</w:t>
            </w:r>
          </w:p>
        </w:tc>
        <w:tc>
          <w:tcPr>
            <w:tcW w:w="100" w:type="dxa"/>
            <w:vAlign w:val="bottom"/>
            <w:tcBorders>
              <w:right w:val="single" w:sz="8" w:color="273D86"/>
            </w:tcBorders>
            <w:shd w:val="clear" w:color="auto" w:fill="273D86"/>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gridSpan w:val="5"/>
            <w:vMerge w:val="restart"/>
          </w:tcPr>
          <w:p>
            <w:pPr>
              <w:jc w:val="right"/>
              <w:ind w:right="56"/>
              <w:spacing w:after="0" w:line="136" w:lineRule="exact"/>
              <w:rPr>
                <w:sz w:val="20"/>
                <w:szCs w:val="20"/>
                <w:color w:val="auto"/>
              </w:rPr>
            </w:pPr>
            <w:r>
              <w:rPr>
                <w:rFonts w:ascii="Arial" w:cs="Arial" w:eastAsia="Arial" w:hAnsi="Arial"/>
                <w:sz w:val="13"/>
                <w:szCs w:val="13"/>
                <w:b w:val="1"/>
                <w:bCs w:val="1"/>
                <w:color w:val="262626"/>
              </w:rPr>
              <w:t>2018</w:t>
            </w:r>
          </w:p>
        </w:tc>
        <w:tc>
          <w:tcPr>
            <w:tcW w:w="40" w:type="dxa"/>
            <w:vAlign w:val="bottom"/>
          </w:tcPr>
          <w:p>
            <w:pPr>
              <w:spacing w:after="0"/>
              <w:rPr>
                <w:sz w:val="7"/>
                <w:szCs w:val="7"/>
                <w:color w:val="auto"/>
              </w:rPr>
            </w:pPr>
          </w:p>
        </w:tc>
        <w:tc>
          <w:tcPr>
            <w:tcW w:w="100" w:type="dxa"/>
            <w:vAlign w:val="bottom"/>
            <w:shd w:val="clear" w:color="auto" w:fill="98B82F"/>
          </w:tcPr>
          <w:p>
            <w:pPr>
              <w:spacing w:after="0"/>
              <w:rPr>
                <w:sz w:val="7"/>
                <w:szCs w:val="7"/>
                <w:color w:val="auto"/>
              </w:rPr>
            </w:pPr>
          </w:p>
        </w:tc>
        <w:tc>
          <w:tcPr>
            <w:tcW w:w="340" w:type="dxa"/>
            <w:vAlign w:val="bottom"/>
            <w:gridSpan w:val="5"/>
            <w:vMerge w:val="restart"/>
          </w:tcPr>
          <w:p>
            <w:pPr>
              <w:jc w:val="right"/>
              <w:spacing w:after="0" w:line="136" w:lineRule="exact"/>
              <w:rPr>
                <w:sz w:val="20"/>
                <w:szCs w:val="20"/>
                <w:color w:val="auto"/>
              </w:rPr>
            </w:pPr>
            <w:r>
              <w:rPr>
                <w:rFonts w:ascii="Arial" w:cs="Arial" w:eastAsia="Arial" w:hAnsi="Arial"/>
                <w:sz w:val="13"/>
                <w:szCs w:val="13"/>
                <w:b w:val="1"/>
                <w:bCs w:val="1"/>
                <w:color w:val="262626"/>
              </w:rPr>
              <w:t>2019</w:t>
            </w:r>
          </w:p>
        </w:tc>
        <w:tc>
          <w:tcPr>
            <w:tcW w:w="220" w:type="dxa"/>
            <w:vAlign w:val="bottom"/>
            <w:tcBorders>
              <w:right w:val="single" w:sz="8" w:color="88A2C0"/>
            </w:tcBorders>
          </w:tcPr>
          <w:p>
            <w:pPr>
              <w:spacing w:after="0"/>
              <w:rPr>
                <w:sz w:val="7"/>
                <w:szCs w:val="7"/>
                <w:color w:val="auto"/>
              </w:rPr>
            </w:pPr>
          </w:p>
        </w:tc>
        <w:tc>
          <w:tcPr>
            <w:tcW w:w="400" w:type="dxa"/>
            <w:vAlign w:val="bottom"/>
            <w:gridSpan w:val="4"/>
            <w:vMerge w:val="restart"/>
          </w:tcPr>
          <w:p>
            <w:pPr>
              <w:jc w:val="right"/>
              <w:spacing w:after="0" w:line="136" w:lineRule="exact"/>
              <w:rPr>
                <w:sz w:val="20"/>
                <w:szCs w:val="20"/>
                <w:color w:val="auto"/>
              </w:rPr>
            </w:pPr>
            <w:r>
              <w:rPr>
                <w:rFonts w:ascii="Arial" w:cs="Arial" w:eastAsia="Arial" w:hAnsi="Arial"/>
                <w:sz w:val="13"/>
                <w:szCs w:val="13"/>
                <w:b w:val="1"/>
                <w:bCs w:val="1"/>
                <w:color w:val="262626"/>
              </w:rPr>
              <w:t>2020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780" w:type="dxa"/>
            <w:vAlign w:val="bottom"/>
            <w:tcBorders>
              <w:left w:val="single" w:sz="8" w:color="98B82F"/>
              <w:right w:val="single" w:sz="8" w:color="EAF1CE"/>
            </w:tcBorders>
            <w:gridSpan w:val="5"/>
            <w:vMerge w:val="continue"/>
            <w:shd w:val="clear" w:color="auto" w:fill="EAF1CE"/>
          </w:tcPr>
          <w:p>
            <w:pPr>
              <w:spacing w:after="0"/>
              <w:rPr>
                <w:sz w:val="4"/>
                <w:szCs w:val="4"/>
                <w:color w:val="auto"/>
              </w:rPr>
            </w:pPr>
          </w:p>
        </w:tc>
        <w:tc>
          <w:tcPr>
            <w:tcW w:w="400" w:type="dxa"/>
            <w:vAlign w:val="bottom"/>
            <w:gridSpan w:val="2"/>
            <w:vMerge w:val="continue"/>
            <w:shd w:val="clear" w:color="auto" w:fill="EAF1CE"/>
          </w:tcPr>
          <w:p>
            <w:pPr>
              <w:spacing w:after="0"/>
              <w:rPr>
                <w:sz w:val="4"/>
                <w:szCs w:val="4"/>
                <w:color w:val="auto"/>
              </w:rPr>
            </w:pPr>
          </w:p>
        </w:tc>
        <w:tc>
          <w:tcPr>
            <w:tcW w:w="140" w:type="dxa"/>
            <w:vAlign w:val="bottom"/>
            <w:shd w:val="clear" w:color="auto" w:fill="EAF1CE"/>
          </w:tcPr>
          <w:p>
            <w:pPr>
              <w:spacing w:after="0"/>
              <w:rPr>
                <w:sz w:val="4"/>
                <w:szCs w:val="4"/>
                <w:color w:val="auto"/>
              </w:rPr>
            </w:pPr>
          </w:p>
        </w:tc>
        <w:tc>
          <w:tcPr>
            <w:tcW w:w="120" w:type="dxa"/>
            <w:vAlign w:val="bottom"/>
            <w:shd w:val="clear" w:color="auto" w:fill="273D86"/>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120" w:type="dxa"/>
            <w:vAlign w:val="bottom"/>
            <w:shd w:val="clear" w:color="auto" w:fill="EAF1CE"/>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140" w:type="dxa"/>
            <w:vAlign w:val="bottom"/>
            <w:shd w:val="clear" w:color="auto" w:fill="EAF1CE"/>
          </w:tcPr>
          <w:p>
            <w:pPr>
              <w:spacing w:after="0"/>
              <w:rPr>
                <w:sz w:val="4"/>
                <w:szCs w:val="4"/>
                <w:color w:val="auto"/>
              </w:rPr>
            </w:pPr>
          </w:p>
        </w:tc>
        <w:tc>
          <w:tcPr>
            <w:tcW w:w="260" w:type="dxa"/>
            <w:vAlign w:val="bottom"/>
            <w:tcBorders>
              <w:right w:val="single" w:sz="8" w:color="262626"/>
            </w:tcBorders>
            <w:shd w:val="clear" w:color="auto" w:fill="EAF1CE"/>
          </w:tcPr>
          <w:p>
            <w:pPr>
              <w:spacing w:after="0"/>
              <w:rPr>
                <w:sz w:val="4"/>
                <w:szCs w:val="4"/>
                <w:color w:val="auto"/>
              </w:rPr>
            </w:pPr>
          </w:p>
        </w:tc>
        <w:tc>
          <w:tcPr>
            <w:tcW w:w="280" w:type="dxa"/>
            <w:vAlign w:val="bottom"/>
            <w:shd w:val="clear" w:color="auto" w:fill="EAF1C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40" w:type="dxa"/>
            <w:vAlign w:val="bottom"/>
            <w:tcBorders>
              <w:left w:val="single" w:sz="8" w:color="98B82F"/>
              <w:bottom w:val="single" w:sz="8" w:color="98B82F"/>
              <w:right w:val="single" w:sz="8" w:color="EAF1CE"/>
            </w:tcBorders>
            <w:gridSpan w:val="3"/>
            <w:shd w:val="clear" w:color="auto" w:fill="EAF1CE"/>
          </w:tcPr>
          <w:p>
            <w:pPr>
              <w:spacing w:after="0"/>
              <w:rPr>
                <w:sz w:val="7"/>
                <w:szCs w:val="7"/>
                <w:color w:val="auto"/>
              </w:rPr>
            </w:pPr>
          </w:p>
        </w:tc>
        <w:tc>
          <w:tcPr>
            <w:tcW w:w="140" w:type="dxa"/>
            <w:vAlign w:val="bottom"/>
            <w:tcBorders>
              <w:bottom w:val="single" w:sz="8" w:color="98B82F"/>
              <w:right w:val="single" w:sz="8" w:color="EAF1CE"/>
            </w:tcBorders>
            <w:gridSpan w:val="2"/>
            <w:shd w:val="clear" w:color="auto" w:fill="EAF1CE"/>
          </w:tcPr>
          <w:p>
            <w:pPr>
              <w:spacing w:after="0"/>
              <w:rPr>
                <w:sz w:val="7"/>
                <w:szCs w:val="7"/>
                <w:color w:val="auto"/>
              </w:rPr>
            </w:pPr>
          </w:p>
        </w:tc>
        <w:tc>
          <w:tcPr>
            <w:tcW w:w="320" w:type="dxa"/>
            <w:vAlign w:val="bottom"/>
            <w:tcBorders>
              <w:bottom w:val="single" w:sz="8" w:color="EAF1CE"/>
              <w:right w:val="single" w:sz="8" w:color="EAF1CE"/>
            </w:tcBorders>
            <w:shd w:val="clear" w:color="auto" w:fill="EAF1CE"/>
          </w:tcPr>
          <w:p>
            <w:pPr>
              <w:spacing w:after="0"/>
              <w:rPr>
                <w:sz w:val="7"/>
                <w:szCs w:val="7"/>
                <w:color w:val="auto"/>
              </w:rPr>
            </w:pPr>
          </w:p>
        </w:tc>
        <w:tc>
          <w:tcPr>
            <w:tcW w:w="220" w:type="dxa"/>
            <w:vAlign w:val="bottom"/>
            <w:tcBorders>
              <w:bottom w:val="single" w:sz="8" w:color="EAF1CE"/>
            </w:tcBorders>
            <w:gridSpan w:val="2"/>
            <w:shd w:val="clear" w:color="auto" w:fill="EAF1CE"/>
          </w:tcPr>
          <w:p>
            <w:pPr>
              <w:spacing w:after="0"/>
              <w:rPr>
                <w:sz w:val="7"/>
                <w:szCs w:val="7"/>
                <w:color w:val="auto"/>
              </w:rPr>
            </w:pPr>
          </w:p>
        </w:tc>
        <w:tc>
          <w:tcPr>
            <w:tcW w:w="120" w:type="dxa"/>
            <w:vAlign w:val="bottom"/>
            <w:tcBorders>
              <w:bottom w:val="single" w:sz="8" w:color="273D86"/>
            </w:tcBorders>
            <w:shd w:val="clear" w:color="auto" w:fill="273D86"/>
          </w:tcPr>
          <w:p>
            <w:pPr>
              <w:spacing w:after="0"/>
              <w:rPr>
                <w:sz w:val="7"/>
                <w:szCs w:val="7"/>
                <w:color w:val="auto"/>
              </w:rPr>
            </w:pPr>
          </w:p>
        </w:tc>
        <w:tc>
          <w:tcPr>
            <w:tcW w:w="720" w:type="dxa"/>
            <w:vAlign w:val="bottom"/>
            <w:tcBorders>
              <w:bottom w:val="single" w:sz="8" w:color="EAF1CE"/>
              <w:right w:val="single" w:sz="8" w:color="262626"/>
            </w:tcBorders>
            <w:gridSpan w:val="5"/>
            <w:shd w:val="clear" w:color="auto" w:fill="EAF1CE"/>
          </w:tcPr>
          <w:p>
            <w:pPr>
              <w:spacing w:after="0"/>
              <w:rPr>
                <w:sz w:val="7"/>
                <w:szCs w:val="7"/>
                <w:color w:val="auto"/>
              </w:rPr>
            </w:pPr>
          </w:p>
        </w:tc>
        <w:tc>
          <w:tcPr>
            <w:tcW w:w="280" w:type="dxa"/>
            <w:vAlign w:val="bottom"/>
            <w:tcBorders>
              <w:bottom w:val="single" w:sz="8" w:color="EAF1CE"/>
            </w:tcBorders>
            <w:shd w:val="clear" w:color="auto" w:fill="EAF1CE"/>
          </w:tcPr>
          <w:p>
            <w:pPr>
              <w:spacing w:after="0"/>
              <w:rPr>
                <w:sz w:val="7"/>
                <w:szCs w:val="7"/>
                <w:color w:val="auto"/>
              </w:rPr>
            </w:pPr>
          </w:p>
        </w:tc>
        <w:tc>
          <w:tcPr>
            <w:tcW w:w="4880" w:type="dxa"/>
            <w:vAlign w:val="bottom"/>
            <w:gridSpan w:val="49"/>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273D86"/>
          </w:tcPr>
          <w:p>
            <w:pPr>
              <w:spacing w:after="0"/>
              <w:rPr>
                <w:sz w:val="5"/>
                <w:szCs w:val="5"/>
                <w:color w:val="auto"/>
              </w:rPr>
            </w:pPr>
          </w:p>
        </w:tc>
        <w:tc>
          <w:tcPr>
            <w:tcW w:w="220" w:type="dxa"/>
            <w:vAlign w:val="bottom"/>
            <w:gridSpan w:val="2"/>
            <w:textDirection w:val="btLr"/>
          </w:tcPr>
          <w:p>
            <w:pPr>
              <w:spacing w:after="0"/>
              <w:rPr>
                <w:sz w:val="20"/>
                <w:szCs w:val="20"/>
                <w:color w:val="auto"/>
              </w:rPr>
            </w:pPr>
            <w:r>
              <w:rPr>
                <w:rFonts w:ascii="Arial" w:cs="Arial" w:eastAsia="Arial" w:hAnsi="Arial"/>
                <w:sz w:val="2"/>
                <w:szCs w:val="2"/>
                <w:color w:val="262626"/>
                <w:w w:val="82"/>
              </w:rPr>
              <w:t>582,000</w:t>
            </w:r>
          </w:p>
        </w:tc>
        <w:tc>
          <w:tcPr>
            <w:tcW w:w="240" w:type="dxa"/>
            <w:vAlign w:val="bottom"/>
            <w:gridSpan w:val="2"/>
            <w:textDirection w:val="btLr"/>
          </w:tcPr>
          <w:p>
            <w:pPr>
              <w:ind w:left="210"/>
              <w:spacing w:after="0"/>
              <w:rPr>
                <w:sz w:val="20"/>
                <w:szCs w:val="20"/>
                <w:color w:val="auto"/>
              </w:rPr>
            </w:pPr>
            <w:r>
              <w:rPr>
                <w:rFonts w:ascii="Arial" w:cs="Arial" w:eastAsia="Arial" w:hAnsi="Arial"/>
                <w:sz w:val="2"/>
                <w:szCs w:val="2"/>
                <w:color w:val="262626"/>
                <w:w w:val="82"/>
              </w:rPr>
              <w:t>576,600</w:t>
            </w:r>
          </w:p>
        </w:tc>
        <w:tc>
          <w:tcPr>
            <w:tcW w:w="260" w:type="dxa"/>
            <w:vAlign w:val="bottom"/>
            <w:tcBorders>
              <w:right w:val="single" w:sz="8" w:color="262626"/>
            </w:tcBorders>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extDirection w:val="btLr"/>
          </w:tcPr>
          <w:p>
            <w:pPr>
              <w:ind w:left="57"/>
              <w:spacing w:after="0"/>
              <w:rPr>
                <w:sz w:val="20"/>
                <w:szCs w:val="20"/>
                <w:color w:val="auto"/>
              </w:rPr>
            </w:pPr>
            <w:r>
              <w:rPr>
                <w:rFonts w:ascii="Arial" w:cs="Arial" w:eastAsia="Arial" w:hAnsi="Arial"/>
                <w:sz w:val="2"/>
                <w:szCs w:val="2"/>
                <w:color w:val="auto"/>
                <w:w w:val="82"/>
              </w:rPr>
              <w:t>254,096</w:t>
            </w:r>
          </w:p>
        </w:tc>
        <w:tc>
          <w:tcPr>
            <w:tcW w:w="180" w:type="dxa"/>
            <w:vAlign w:val="bottom"/>
            <w:textDirection w:val="btLr"/>
          </w:tcPr>
          <w:p>
            <w:pPr>
              <w:spacing w:after="0"/>
              <w:rPr>
                <w:sz w:val="20"/>
                <w:szCs w:val="20"/>
                <w:color w:val="auto"/>
              </w:rPr>
            </w:pPr>
            <w:r>
              <w:rPr>
                <w:rFonts w:ascii="Arial" w:cs="Arial" w:eastAsia="Arial" w:hAnsi="Arial"/>
                <w:sz w:val="2"/>
                <w:szCs w:val="2"/>
                <w:color w:val="auto"/>
                <w:w w:val="82"/>
              </w:rPr>
              <w:t>239,800</w:t>
            </w:r>
          </w:p>
        </w:tc>
        <w:tc>
          <w:tcPr>
            <w:tcW w:w="260" w:type="dxa"/>
            <w:vAlign w:val="bottom"/>
            <w:gridSpan w:val="4"/>
            <w:textDirection w:val="btLr"/>
          </w:tcPr>
          <w:p>
            <w:pPr>
              <w:ind w:left="235"/>
              <w:spacing w:after="0"/>
              <w:rPr>
                <w:sz w:val="20"/>
                <w:szCs w:val="20"/>
                <w:color w:val="auto"/>
              </w:rPr>
            </w:pPr>
            <w:r>
              <w:rPr>
                <w:rFonts w:ascii="Arial" w:cs="Arial" w:eastAsia="Arial" w:hAnsi="Arial"/>
                <w:sz w:val="2"/>
                <w:szCs w:val="2"/>
                <w:color w:val="auto"/>
                <w:w w:val="82"/>
              </w:rPr>
              <w:t>219,000</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extDirection w:val="btLr"/>
          </w:tcPr>
          <w:p>
            <w:pPr>
              <w:ind w:left="147"/>
              <w:spacing w:after="0"/>
              <w:rPr>
                <w:sz w:val="20"/>
                <w:szCs w:val="20"/>
                <w:color w:val="auto"/>
              </w:rPr>
            </w:pPr>
            <w:r>
              <w:rPr>
                <w:rFonts w:ascii="Arial" w:cs="Arial" w:eastAsia="Arial" w:hAnsi="Arial"/>
                <w:sz w:val="3"/>
                <w:szCs w:val="3"/>
                <w:color w:val="auto"/>
                <w:w w:val="79"/>
              </w:rPr>
              <w:t>4,040</w:t>
            </w:r>
          </w:p>
        </w:tc>
        <w:tc>
          <w:tcPr>
            <w:tcW w:w="240" w:type="dxa"/>
            <w:vAlign w:val="bottom"/>
            <w:gridSpan w:val="4"/>
            <w:textDirection w:val="btLr"/>
          </w:tcPr>
          <w:p>
            <w:pPr>
              <w:spacing w:after="0"/>
              <w:rPr>
                <w:sz w:val="20"/>
                <w:szCs w:val="20"/>
                <w:color w:val="auto"/>
              </w:rPr>
            </w:pPr>
            <w:r>
              <w:rPr>
                <w:rFonts w:ascii="Arial" w:cs="Arial" w:eastAsia="Arial" w:hAnsi="Arial"/>
                <w:sz w:val="2"/>
                <w:szCs w:val="2"/>
                <w:color w:val="auto"/>
                <w:w w:val="82"/>
              </w:rPr>
              <w:t>365,900</w:t>
            </w:r>
          </w:p>
        </w:tc>
        <w:tc>
          <w:tcPr>
            <w:tcW w:w="100" w:type="dxa"/>
            <w:vAlign w:val="bottom"/>
          </w:tcPr>
          <w:p>
            <w:pPr>
              <w:spacing w:after="0"/>
              <w:rPr>
                <w:sz w:val="5"/>
                <w:szCs w:val="5"/>
                <w:color w:val="auto"/>
              </w:rPr>
            </w:pPr>
          </w:p>
        </w:tc>
        <w:tc>
          <w:tcPr>
            <w:tcW w:w="120" w:type="dxa"/>
            <w:vAlign w:val="bottom"/>
            <w:gridSpan w:val="2"/>
            <w:textDirection w:val="btLr"/>
          </w:tcPr>
          <w:p>
            <w:pPr>
              <w:spacing w:after="0"/>
              <w:rPr>
                <w:sz w:val="20"/>
                <w:szCs w:val="20"/>
                <w:color w:val="auto"/>
              </w:rPr>
            </w:pPr>
            <w:r>
              <w:rPr>
                <w:rFonts w:ascii="Arial" w:cs="Arial" w:eastAsia="Arial" w:hAnsi="Arial"/>
                <w:sz w:val="2"/>
                <w:szCs w:val="2"/>
                <w:color w:val="auto"/>
                <w:w w:val="82"/>
              </w:rPr>
              <w:t>316,800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gridSpan w:val="2"/>
            <w:textDirection w:val="btLr"/>
          </w:tcPr>
          <w:p>
            <w:pPr>
              <w:spacing w:after="0"/>
              <w:rPr>
                <w:sz w:val="20"/>
                <w:szCs w:val="20"/>
                <w:color w:val="auto"/>
              </w:rPr>
            </w:pPr>
            <w:r>
              <w:rPr>
                <w:rFonts w:ascii="Arial" w:cs="Arial" w:eastAsia="Arial" w:hAnsi="Arial"/>
                <w:sz w:val="2"/>
                <w:szCs w:val="2"/>
                <w:color w:val="auto"/>
                <w:w w:val="82"/>
              </w:rPr>
              <w:t>234,200</w:t>
            </w:r>
          </w:p>
        </w:tc>
        <w:tc>
          <w:tcPr>
            <w:tcW w:w="260" w:type="dxa"/>
            <w:vAlign w:val="bottom"/>
            <w:gridSpan w:val="3"/>
            <w:textDirection w:val="btLr"/>
          </w:tcPr>
          <w:p>
            <w:pPr>
              <w:spacing w:after="0"/>
              <w:rPr>
                <w:sz w:val="20"/>
                <w:szCs w:val="20"/>
                <w:color w:val="auto"/>
              </w:rPr>
            </w:pPr>
            <w:r>
              <w:rPr>
                <w:rFonts w:ascii="Arial" w:cs="Arial" w:eastAsia="Arial" w:hAnsi="Arial"/>
                <w:sz w:val="2"/>
                <w:szCs w:val="2"/>
                <w:color w:val="auto"/>
                <w:w w:val="82"/>
              </w:rPr>
              <w:t>374,200</w:t>
            </w:r>
          </w:p>
        </w:tc>
        <w:tc>
          <w:tcPr>
            <w:tcW w:w="20" w:type="dxa"/>
            <w:vAlign w:val="bottom"/>
          </w:tcPr>
          <w:p>
            <w:pPr>
              <w:spacing w:after="0"/>
              <w:rPr>
                <w:sz w:val="5"/>
                <w:szCs w:val="5"/>
                <w:color w:val="auto"/>
              </w:rPr>
            </w:pPr>
          </w:p>
        </w:tc>
        <w:tc>
          <w:tcPr>
            <w:tcW w:w="220" w:type="dxa"/>
            <w:vAlign w:val="bottom"/>
            <w:textDirection w:val="btLr"/>
          </w:tcPr>
          <w:p>
            <w:pPr>
              <w:ind w:right="38"/>
              <w:spacing w:after="0"/>
              <w:rPr>
                <w:sz w:val="20"/>
                <w:szCs w:val="20"/>
                <w:color w:val="auto"/>
              </w:rPr>
            </w:pPr>
            <w:r>
              <w:rPr>
                <w:rFonts w:ascii="Arial" w:cs="Arial" w:eastAsia="Arial" w:hAnsi="Arial"/>
                <w:sz w:val="3"/>
                <w:szCs w:val="3"/>
                <w:color w:val="262626"/>
                <w:w w:val="79"/>
              </w:rPr>
              <w:t>4,112</w:t>
            </w:r>
          </w:p>
        </w:tc>
        <w:tc>
          <w:tcPr>
            <w:tcW w:w="180" w:type="dxa"/>
            <w:vAlign w:val="bottom"/>
            <w:gridSpan w:val="2"/>
            <w:textDirection w:val="btLr"/>
          </w:tcPr>
          <w:p>
            <w:pPr>
              <w:spacing w:after="0"/>
              <w:rPr>
                <w:sz w:val="20"/>
                <w:szCs w:val="20"/>
                <w:color w:val="auto"/>
              </w:rPr>
            </w:pPr>
            <w:r>
              <w:rPr>
                <w:rFonts w:ascii="Arial" w:cs="Arial" w:eastAsia="Arial" w:hAnsi="Arial"/>
                <w:sz w:val="3"/>
                <w:szCs w:val="3"/>
                <w:color w:val="262626"/>
                <w:w w:val="79"/>
              </w:rPr>
              <w:t>3,279</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160" w:type="dxa"/>
            <w:vAlign w:val="bottom"/>
            <w:tcBorders>
              <w:right w:val="single" w:sz="8" w:color="262626"/>
            </w:tcBorders>
            <w:gridSpan w:val="14"/>
          </w:tcPr>
          <w:p>
            <w:pPr>
              <w:spacing w:after="0"/>
              <w:rPr>
                <w:sz w:val="9"/>
                <w:szCs w:val="9"/>
                <w:color w:val="auto"/>
              </w:rPr>
            </w:pPr>
          </w:p>
        </w:tc>
        <w:tc>
          <w:tcPr>
            <w:tcW w:w="860" w:type="dxa"/>
            <w:vAlign w:val="bottom"/>
            <w:gridSpan w:val="8"/>
          </w:tcPr>
          <w:p>
            <w:pPr>
              <w:spacing w:after="0"/>
              <w:rPr>
                <w:sz w:val="9"/>
                <w:szCs w:val="9"/>
                <w:color w:val="auto"/>
              </w:rPr>
            </w:pPr>
          </w:p>
        </w:tc>
        <w:tc>
          <w:tcPr>
            <w:tcW w:w="200" w:type="dxa"/>
            <w:vAlign w:val="bottom"/>
            <w:vMerge w:val="restart"/>
            <w:textDirection w:val="btLr"/>
          </w:tcPr>
          <w:p>
            <w:pPr>
              <w:ind w:right="31"/>
              <w:spacing w:after="0"/>
              <w:rPr>
                <w:sz w:val="20"/>
                <w:szCs w:val="20"/>
                <w:color w:val="auto"/>
              </w:rPr>
            </w:pPr>
            <w:r>
              <w:rPr>
                <w:rFonts w:ascii="Arial" w:cs="Arial" w:eastAsia="Arial" w:hAnsi="Arial"/>
                <w:sz w:val="9"/>
                <w:szCs w:val="9"/>
                <w:color w:val="262626"/>
              </w:rPr>
              <w:t>6,264</w:t>
            </w:r>
          </w:p>
        </w:tc>
        <w:tc>
          <w:tcPr>
            <w:tcW w:w="160" w:type="dxa"/>
            <w:vAlign w:val="bottom"/>
            <w:gridSpan w:val="2"/>
            <w:vMerge w:val="restart"/>
            <w:textDirection w:val="btLr"/>
          </w:tcPr>
          <w:p>
            <w:pPr>
              <w:spacing w:after="0"/>
              <w:rPr>
                <w:sz w:val="20"/>
                <w:szCs w:val="20"/>
                <w:color w:val="auto"/>
              </w:rPr>
            </w:pPr>
            <w:r>
              <w:rPr>
                <w:rFonts w:ascii="Arial" w:cs="Arial" w:eastAsia="Arial" w:hAnsi="Arial"/>
                <w:sz w:val="9"/>
                <w:szCs w:val="9"/>
                <w:color w:val="262626"/>
                <w:w w:val="97"/>
              </w:rPr>
              <w:t>2,576</w:t>
            </w:r>
          </w:p>
        </w:tc>
        <w:tc>
          <w:tcPr>
            <w:tcW w:w="560" w:type="dxa"/>
            <w:vAlign w:val="bottom"/>
            <w:gridSpan w:val="6"/>
          </w:tcPr>
          <w:p>
            <w:pPr>
              <w:spacing w:after="0"/>
              <w:rPr>
                <w:sz w:val="9"/>
                <w:szCs w:val="9"/>
                <w:color w:val="auto"/>
              </w:rPr>
            </w:pPr>
          </w:p>
        </w:tc>
        <w:tc>
          <w:tcPr>
            <w:tcW w:w="100" w:type="dxa"/>
            <w:vAlign w:val="bottom"/>
            <w:vMerge w:val="restart"/>
            <w:textDirection w:val="btLr"/>
          </w:tcPr>
          <w:p>
            <w:pPr>
              <w:spacing w:after="0"/>
              <w:rPr>
                <w:sz w:val="20"/>
                <w:szCs w:val="20"/>
                <w:color w:val="auto"/>
              </w:rPr>
            </w:pPr>
            <w:r>
              <w:rPr>
                <w:rFonts w:ascii="Arial" w:cs="Arial" w:eastAsia="Arial" w:hAnsi="Arial"/>
                <w:sz w:val="9"/>
                <w:szCs w:val="9"/>
                <w:color w:val="262626"/>
                <w:w w:val="97"/>
              </w:rPr>
              <w:t>2,632</w:t>
            </w:r>
          </w:p>
        </w:tc>
        <w:tc>
          <w:tcPr>
            <w:tcW w:w="20" w:type="dxa"/>
            <w:vAlign w:val="bottom"/>
          </w:tcPr>
          <w:p>
            <w:pPr>
              <w:spacing w:after="0"/>
              <w:rPr>
                <w:sz w:val="9"/>
                <w:szCs w:val="9"/>
                <w:color w:val="auto"/>
              </w:rPr>
            </w:pPr>
          </w:p>
        </w:tc>
        <w:tc>
          <w:tcPr>
            <w:tcW w:w="160" w:type="dxa"/>
            <w:vAlign w:val="bottom"/>
            <w:gridSpan w:val="2"/>
            <w:vMerge w:val="restart"/>
            <w:textDirection w:val="btLr"/>
          </w:tcPr>
          <w:p>
            <w:pPr>
              <w:spacing w:after="0"/>
              <w:rPr>
                <w:sz w:val="20"/>
                <w:szCs w:val="20"/>
                <w:color w:val="auto"/>
              </w:rPr>
            </w:pPr>
            <w:r>
              <w:rPr>
                <w:rFonts w:ascii="Arial" w:cs="Arial" w:eastAsia="Arial" w:hAnsi="Arial"/>
                <w:sz w:val="9"/>
                <w:szCs w:val="9"/>
                <w:color w:val="262626"/>
                <w:w w:val="97"/>
              </w:rPr>
              <w:t>3,300</w:t>
            </w:r>
          </w:p>
        </w:tc>
        <w:tc>
          <w:tcPr>
            <w:tcW w:w="260" w:type="dxa"/>
            <w:vAlign w:val="bottom"/>
            <w:gridSpan w:val="3"/>
            <w:vMerge w:val="restart"/>
            <w:textDirection w:val="btLr"/>
          </w:tcPr>
          <w:p>
            <w:pPr>
              <w:ind w:left="111"/>
              <w:spacing w:after="0"/>
              <w:rPr>
                <w:sz w:val="20"/>
                <w:szCs w:val="20"/>
                <w:color w:val="auto"/>
              </w:rPr>
            </w:pPr>
            <w:r>
              <w:rPr>
                <w:rFonts w:ascii="Arial" w:cs="Arial" w:eastAsia="Arial" w:hAnsi="Arial"/>
                <w:sz w:val="9"/>
                <w:szCs w:val="9"/>
                <w:color w:val="262626"/>
              </w:rPr>
              <w:t>4,068</w:t>
            </w:r>
          </w:p>
        </w:tc>
        <w:tc>
          <w:tcPr>
            <w:tcW w:w="480" w:type="dxa"/>
            <w:vAlign w:val="bottom"/>
            <w:gridSpan w:val="7"/>
          </w:tcPr>
          <w:p>
            <w:pPr>
              <w:spacing w:after="0"/>
              <w:rPr>
                <w:sz w:val="9"/>
                <w:szCs w:val="9"/>
                <w:color w:val="auto"/>
              </w:rPr>
            </w:pPr>
          </w:p>
        </w:tc>
        <w:tc>
          <w:tcPr>
            <w:tcW w:w="220" w:type="dxa"/>
            <w:vAlign w:val="bottom"/>
            <w:vMerge w:val="restart"/>
            <w:textDirection w:val="btLr"/>
          </w:tcPr>
          <w:p>
            <w:pPr>
              <w:ind w:left="73"/>
              <w:spacing w:after="0"/>
              <w:rPr>
                <w:sz w:val="20"/>
                <w:szCs w:val="20"/>
                <w:color w:val="auto"/>
              </w:rPr>
            </w:pPr>
            <w:r>
              <w:rPr>
                <w:rFonts w:ascii="Arial" w:cs="Arial" w:eastAsia="Arial" w:hAnsi="Arial"/>
                <w:sz w:val="9"/>
                <w:szCs w:val="9"/>
                <w:color w:val="auto"/>
              </w:rPr>
              <w:t>393,200</w:t>
            </w:r>
          </w:p>
        </w:tc>
        <w:tc>
          <w:tcPr>
            <w:tcW w:w="280" w:type="dxa"/>
            <w:vAlign w:val="bottom"/>
            <w:gridSpan w:val="3"/>
          </w:tcPr>
          <w:p>
            <w:pPr>
              <w:spacing w:after="0"/>
              <w:rPr>
                <w:sz w:val="9"/>
                <w:szCs w:val="9"/>
                <w:color w:val="auto"/>
              </w:rPr>
            </w:pPr>
          </w:p>
        </w:tc>
        <w:tc>
          <w:tcPr>
            <w:tcW w:w="120" w:type="dxa"/>
            <w:vAlign w:val="bottom"/>
            <w:vMerge w:val="restart"/>
            <w:textDirection w:val="btLr"/>
          </w:tcPr>
          <w:p>
            <w:pPr>
              <w:spacing w:after="0"/>
              <w:rPr>
                <w:sz w:val="20"/>
                <w:szCs w:val="20"/>
                <w:color w:val="auto"/>
              </w:rPr>
            </w:pPr>
            <w:r>
              <w:rPr>
                <w:rFonts w:ascii="Arial" w:cs="Arial" w:eastAsia="Arial" w:hAnsi="Arial"/>
                <w:sz w:val="9"/>
                <w:szCs w:val="9"/>
                <w:color w:val="262626"/>
                <w:w w:val="97"/>
              </w:rPr>
              <w:t>2,214</w:t>
            </w:r>
          </w:p>
        </w:tc>
        <w:tc>
          <w:tcPr>
            <w:tcW w:w="320" w:type="dxa"/>
            <w:vAlign w:val="bottom"/>
            <w:gridSpan w:val="4"/>
          </w:tcPr>
          <w:p>
            <w:pPr>
              <w:spacing w:after="0"/>
              <w:rPr>
                <w:sz w:val="9"/>
                <w:szCs w:val="9"/>
                <w:color w:val="auto"/>
              </w:rPr>
            </w:pPr>
          </w:p>
        </w:tc>
        <w:tc>
          <w:tcPr>
            <w:tcW w:w="320" w:type="dxa"/>
            <w:vAlign w:val="bottom"/>
            <w:gridSpan w:val="3"/>
            <w:vMerge w:val="restart"/>
            <w:textDirection w:val="btLr"/>
          </w:tcPr>
          <w:p>
            <w:pPr>
              <w:ind w:right="21"/>
              <w:spacing w:after="0"/>
              <w:rPr>
                <w:sz w:val="20"/>
                <w:szCs w:val="20"/>
                <w:color w:val="auto"/>
              </w:rPr>
            </w:pPr>
            <w:r>
              <w:rPr>
                <w:rFonts w:ascii="Arial" w:cs="Arial" w:eastAsia="Arial" w:hAnsi="Arial"/>
                <w:sz w:val="9"/>
                <w:szCs w:val="9"/>
                <w:color w:val="262626"/>
                <w:w w:val="97"/>
              </w:rPr>
              <w:t>5,423</w:t>
            </w:r>
          </w:p>
        </w:tc>
        <w:tc>
          <w:tcPr>
            <w:tcW w:w="220" w:type="dxa"/>
            <w:vAlign w:val="bottom"/>
            <w:gridSpan w:val="2"/>
            <w:vMerge w:val="restart"/>
            <w:textDirection w:val="btLr"/>
          </w:tcPr>
          <w:p>
            <w:pPr>
              <w:spacing w:after="0"/>
              <w:rPr>
                <w:sz w:val="20"/>
                <w:szCs w:val="20"/>
                <w:color w:val="auto"/>
              </w:rPr>
            </w:pPr>
            <w:r>
              <w:rPr>
                <w:rFonts w:ascii="Arial" w:cs="Arial" w:eastAsia="Arial" w:hAnsi="Arial"/>
                <w:sz w:val="9"/>
                <w:szCs w:val="9"/>
                <w:color w:val="262626"/>
                <w:w w:val="97"/>
              </w:rPr>
              <w:t>4,416</w:t>
            </w:r>
          </w:p>
        </w:tc>
        <w:tc>
          <w:tcPr>
            <w:tcW w:w="100" w:type="dxa"/>
            <w:vAlign w:val="bottom"/>
          </w:tcPr>
          <w:p>
            <w:pPr>
              <w:spacing w:after="0"/>
              <w:rPr>
                <w:sz w:val="9"/>
                <w:szCs w:val="9"/>
                <w:color w:val="auto"/>
              </w:rPr>
            </w:pPr>
          </w:p>
        </w:tc>
        <w:tc>
          <w:tcPr>
            <w:tcW w:w="120" w:type="dxa"/>
            <w:vAlign w:val="bottom"/>
            <w:vMerge w:val="restart"/>
            <w:textDirection w:val="btLr"/>
          </w:tcPr>
          <w:p>
            <w:pPr>
              <w:spacing w:after="0"/>
              <w:rPr>
                <w:sz w:val="20"/>
                <w:szCs w:val="20"/>
                <w:color w:val="auto"/>
              </w:rPr>
            </w:pPr>
            <w:r>
              <w:rPr>
                <w:rFonts w:ascii="Arial" w:cs="Arial" w:eastAsia="Arial" w:hAnsi="Arial"/>
                <w:sz w:val="9"/>
                <w:szCs w:val="9"/>
                <w:color w:val="262626"/>
                <w:w w:val="97"/>
              </w:rPr>
              <w:t>3,092</w:t>
            </w:r>
          </w:p>
        </w:tc>
        <w:tc>
          <w:tcPr>
            <w:tcW w:w="6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160" w:type="dxa"/>
            <w:vAlign w:val="bottom"/>
            <w:tcBorders>
              <w:right w:val="single" w:sz="8" w:color="262626"/>
            </w:tcBorders>
            <w:gridSpan w:val="14"/>
          </w:tcPr>
          <w:p>
            <w:pPr>
              <w:spacing w:after="0"/>
              <w:rPr>
                <w:sz w:val="11"/>
                <w:szCs w:val="11"/>
                <w:color w:val="auto"/>
              </w:rPr>
            </w:pPr>
          </w:p>
        </w:tc>
        <w:tc>
          <w:tcPr>
            <w:tcW w:w="860" w:type="dxa"/>
            <w:vAlign w:val="bottom"/>
            <w:gridSpan w:val="8"/>
          </w:tcPr>
          <w:p>
            <w:pPr>
              <w:spacing w:after="0"/>
              <w:rPr>
                <w:sz w:val="11"/>
                <w:szCs w:val="11"/>
                <w:color w:val="auto"/>
              </w:rPr>
            </w:pPr>
          </w:p>
        </w:tc>
        <w:tc>
          <w:tcPr>
            <w:tcW w:w="20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560" w:type="dxa"/>
            <w:vAlign w:val="bottom"/>
            <w:gridSpan w:val="6"/>
          </w:tcPr>
          <w:p>
            <w:pPr>
              <w:spacing w:after="0"/>
              <w:rPr>
                <w:sz w:val="11"/>
                <w:szCs w:val="11"/>
                <w:color w:val="auto"/>
              </w:rPr>
            </w:pPr>
          </w:p>
        </w:tc>
        <w:tc>
          <w:tcPr>
            <w:tcW w:w="1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480" w:type="dxa"/>
            <w:vAlign w:val="bottom"/>
            <w:gridSpan w:val="7"/>
          </w:tcPr>
          <w:p>
            <w:pPr>
              <w:spacing w:after="0"/>
              <w:rPr>
                <w:sz w:val="11"/>
                <w:szCs w:val="11"/>
                <w:color w:val="auto"/>
              </w:rPr>
            </w:pPr>
          </w:p>
        </w:tc>
        <w:tc>
          <w:tcPr>
            <w:tcW w:w="220" w:type="dxa"/>
            <w:vAlign w:val="bottom"/>
            <w:vMerge w:val="continue"/>
          </w:tcPr>
          <w:p>
            <w:pPr>
              <w:spacing w:after="0"/>
              <w:rPr>
                <w:sz w:val="11"/>
                <w:szCs w:val="11"/>
                <w:color w:val="auto"/>
              </w:rPr>
            </w:pPr>
          </w:p>
        </w:tc>
        <w:tc>
          <w:tcPr>
            <w:tcW w:w="280" w:type="dxa"/>
            <w:vAlign w:val="bottom"/>
            <w:gridSpan w:val="3"/>
          </w:tcPr>
          <w:p>
            <w:pPr>
              <w:spacing w:after="0"/>
              <w:rPr>
                <w:sz w:val="11"/>
                <w:szCs w:val="11"/>
                <w:color w:val="auto"/>
              </w:rPr>
            </w:pPr>
          </w:p>
        </w:tc>
        <w:tc>
          <w:tcPr>
            <w:tcW w:w="120" w:type="dxa"/>
            <w:vAlign w:val="bottom"/>
            <w:vMerge w:val="continue"/>
          </w:tcPr>
          <w:p>
            <w:pPr>
              <w:spacing w:after="0"/>
              <w:rPr>
                <w:sz w:val="11"/>
                <w:szCs w:val="11"/>
                <w:color w:val="auto"/>
              </w:rPr>
            </w:pPr>
          </w:p>
        </w:tc>
        <w:tc>
          <w:tcPr>
            <w:tcW w:w="280" w:type="dxa"/>
            <w:vAlign w:val="bottom"/>
            <w:tcBorders>
              <w:right w:val="single" w:sz="8" w:color="262626"/>
            </w:tcBorders>
            <w:gridSpan w:val="3"/>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gridSpan w:val="3"/>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60" w:type="dxa"/>
            <w:vAlign w:val="bottom"/>
            <w:tcBorders>
              <w:right w:val="single" w:sz="8" w:color="262626"/>
            </w:tcBorders>
            <w:gridSpan w:val="14"/>
          </w:tcPr>
          <w:p>
            <w:pPr>
              <w:spacing w:after="0"/>
              <w:rPr>
                <w:sz w:val="9"/>
                <w:szCs w:val="9"/>
                <w:color w:val="auto"/>
              </w:rPr>
            </w:pPr>
          </w:p>
        </w:tc>
        <w:tc>
          <w:tcPr>
            <w:tcW w:w="860" w:type="dxa"/>
            <w:vAlign w:val="bottom"/>
            <w:gridSpan w:val="8"/>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60" w:type="dxa"/>
            <w:vAlign w:val="bottom"/>
            <w:gridSpan w:val="6"/>
          </w:tcPr>
          <w:p>
            <w:pPr>
              <w:spacing w:after="0"/>
              <w:rPr>
                <w:sz w:val="9"/>
                <w:szCs w:val="9"/>
                <w:color w:val="auto"/>
              </w:rPr>
            </w:pPr>
          </w:p>
        </w:tc>
        <w:tc>
          <w:tcPr>
            <w:tcW w:w="1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60" w:type="dxa"/>
            <w:vAlign w:val="bottom"/>
            <w:gridSpan w:val="3"/>
            <w:vMerge w:val="continue"/>
          </w:tcPr>
          <w:p>
            <w:pPr>
              <w:spacing w:after="0"/>
              <w:rPr>
                <w:sz w:val="9"/>
                <w:szCs w:val="9"/>
                <w:color w:val="auto"/>
              </w:rPr>
            </w:pPr>
          </w:p>
        </w:tc>
        <w:tc>
          <w:tcPr>
            <w:tcW w:w="480" w:type="dxa"/>
            <w:vAlign w:val="bottom"/>
            <w:gridSpan w:val="7"/>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gridSpan w:val="3"/>
          </w:tcPr>
          <w:p>
            <w:pPr>
              <w:spacing w:after="0"/>
              <w:rPr>
                <w:sz w:val="9"/>
                <w:szCs w:val="9"/>
                <w:color w:val="auto"/>
              </w:rPr>
            </w:pPr>
          </w:p>
        </w:tc>
        <w:tc>
          <w:tcPr>
            <w:tcW w:w="120" w:type="dxa"/>
            <w:vAlign w:val="bottom"/>
            <w:vMerge w:val="continue"/>
          </w:tcPr>
          <w:p>
            <w:pPr>
              <w:spacing w:after="0"/>
              <w:rPr>
                <w:sz w:val="9"/>
                <w:szCs w:val="9"/>
                <w:color w:val="auto"/>
              </w:rPr>
            </w:pPr>
          </w:p>
        </w:tc>
        <w:tc>
          <w:tcPr>
            <w:tcW w:w="280" w:type="dxa"/>
            <w:vAlign w:val="bottom"/>
            <w:tcBorders>
              <w:right w:val="single" w:sz="8" w:color="262626"/>
            </w:tcBorders>
            <w:gridSpan w:val="3"/>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160" w:type="dxa"/>
            <w:vAlign w:val="bottom"/>
            <w:tcBorders>
              <w:right w:val="single" w:sz="8" w:color="262626"/>
            </w:tcBorders>
            <w:gridSpan w:val="14"/>
          </w:tcPr>
          <w:p>
            <w:pPr>
              <w:spacing w:after="0"/>
              <w:rPr>
                <w:sz w:val="10"/>
                <w:szCs w:val="10"/>
                <w:color w:val="auto"/>
              </w:rPr>
            </w:pPr>
          </w:p>
        </w:tc>
        <w:tc>
          <w:tcPr>
            <w:tcW w:w="860" w:type="dxa"/>
            <w:vAlign w:val="bottom"/>
            <w:gridSpan w:val="8"/>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560" w:type="dxa"/>
            <w:vAlign w:val="bottom"/>
            <w:gridSpan w:val="6"/>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980" w:type="dxa"/>
            <w:vAlign w:val="bottom"/>
            <w:gridSpan w:val="11"/>
          </w:tcPr>
          <w:p>
            <w:pPr>
              <w:spacing w:after="0"/>
              <w:rPr>
                <w:sz w:val="10"/>
                <w:szCs w:val="10"/>
                <w:color w:val="auto"/>
              </w:rPr>
            </w:pPr>
          </w:p>
        </w:tc>
        <w:tc>
          <w:tcPr>
            <w:tcW w:w="120" w:type="dxa"/>
            <w:vAlign w:val="bottom"/>
            <w:vMerge w:val="continue"/>
          </w:tcPr>
          <w:p>
            <w:pPr>
              <w:spacing w:after="0"/>
              <w:rPr>
                <w:sz w:val="10"/>
                <w:szCs w:val="10"/>
                <w:color w:val="auto"/>
              </w:rPr>
            </w:pPr>
          </w:p>
        </w:tc>
        <w:tc>
          <w:tcPr>
            <w:tcW w:w="280" w:type="dxa"/>
            <w:vAlign w:val="bottom"/>
            <w:tcBorders>
              <w:right w:val="single" w:sz="8" w:color="262626"/>
            </w:tcBorders>
            <w:gridSpan w:val="3"/>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6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320" w:type="dxa"/>
            <w:vAlign w:val="bottom"/>
            <w:gridSpan w:val="8"/>
          </w:tcPr>
          <w:p>
            <w:pPr>
              <w:spacing w:after="0"/>
              <w:rPr>
                <w:sz w:val="9"/>
                <w:szCs w:val="9"/>
                <w:color w:val="auto"/>
              </w:rPr>
            </w:pPr>
          </w:p>
        </w:tc>
        <w:tc>
          <w:tcPr>
            <w:tcW w:w="120" w:type="dxa"/>
            <w:vAlign w:val="bottom"/>
            <w:tcBorders>
              <w:bottom w:val="single" w:sz="8" w:color="273D86"/>
            </w:tcBorders>
            <w:shd w:val="clear" w:color="auto" w:fill="273D86"/>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98B82F"/>
            </w:tcBorders>
            <w:shd w:val="clear" w:color="auto" w:fill="98B82F"/>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8A2C0"/>
            </w:tcBorders>
            <w:shd w:val="clear" w:color="auto" w:fill="88A2C0"/>
          </w:tcPr>
          <w:p>
            <w:pPr>
              <w:spacing w:after="0"/>
              <w:rPr>
                <w:sz w:val="9"/>
                <w:szCs w:val="9"/>
                <w:color w:val="auto"/>
              </w:rPr>
            </w:pPr>
          </w:p>
        </w:tc>
        <w:tc>
          <w:tcPr>
            <w:tcW w:w="260" w:type="dxa"/>
            <w:vAlign w:val="bottom"/>
            <w:tcBorders>
              <w:right w:val="single" w:sz="8" w:color="262626"/>
            </w:tcBorders>
          </w:tcPr>
          <w:p>
            <w:pPr>
              <w:spacing w:after="0"/>
              <w:rPr>
                <w:sz w:val="9"/>
                <w:szCs w:val="9"/>
                <w:color w:val="auto"/>
              </w:rPr>
            </w:pPr>
          </w:p>
        </w:tc>
        <w:tc>
          <w:tcPr>
            <w:tcW w:w="860" w:type="dxa"/>
            <w:vAlign w:val="bottom"/>
            <w:gridSpan w:val="8"/>
          </w:tcPr>
          <w:p>
            <w:pPr>
              <w:spacing w:after="0"/>
              <w:rPr>
                <w:sz w:val="9"/>
                <w:szCs w:val="9"/>
                <w:color w:val="auto"/>
              </w:rPr>
            </w:pPr>
          </w:p>
        </w:tc>
        <w:tc>
          <w:tcPr>
            <w:tcW w:w="200" w:type="dxa"/>
            <w:vAlign w:val="bottom"/>
            <w:tcBorders>
              <w:bottom w:val="single" w:sz="8" w:color="98B82F"/>
            </w:tcBorders>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60" w:type="dxa"/>
            <w:vAlign w:val="bottom"/>
            <w:gridSpan w:val="6"/>
          </w:tcPr>
          <w:p>
            <w:pPr>
              <w:spacing w:after="0"/>
              <w:rPr>
                <w:sz w:val="9"/>
                <w:szCs w:val="9"/>
                <w:color w:val="auto"/>
              </w:rPr>
            </w:pPr>
          </w:p>
        </w:tc>
        <w:tc>
          <w:tcPr>
            <w:tcW w:w="1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260" w:type="dxa"/>
            <w:vAlign w:val="bottom"/>
            <w:gridSpan w:val="3"/>
            <w:vMerge w:val="continue"/>
          </w:tcPr>
          <w:p>
            <w:pPr>
              <w:spacing w:after="0"/>
              <w:rPr>
                <w:sz w:val="9"/>
                <w:szCs w:val="9"/>
                <w:color w:val="auto"/>
              </w:rPr>
            </w:pPr>
          </w:p>
        </w:tc>
        <w:tc>
          <w:tcPr>
            <w:tcW w:w="980" w:type="dxa"/>
            <w:vAlign w:val="bottom"/>
            <w:gridSpan w:val="11"/>
          </w:tcPr>
          <w:p>
            <w:pPr>
              <w:spacing w:after="0"/>
              <w:rPr>
                <w:sz w:val="9"/>
                <w:szCs w:val="9"/>
                <w:color w:val="auto"/>
              </w:rPr>
            </w:pPr>
          </w:p>
        </w:tc>
        <w:tc>
          <w:tcPr>
            <w:tcW w:w="120" w:type="dxa"/>
            <w:vAlign w:val="bottom"/>
            <w:vMerge w:val="continue"/>
          </w:tcPr>
          <w:p>
            <w:pPr>
              <w:spacing w:after="0"/>
              <w:rPr>
                <w:sz w:val="9"/>
                <w:szCs w:val="9"/>
                <w:color w:val="auto"/>
              </w:rPr>
            </w:pPr>
          </w:p>
        </w:tc>
        <w:tc>
          <w:tcPr>
            <w:tcW w:w="280" w:type="dxa"/>
            <w:vAlign w:val="bottom"/>
            <w:tcBorders>
              <w:right w:val="single" w:sz="8" w:color="262626"/>
            </w:tcBorders>
            <w:gridSpan w:val="3"/>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gridSpan w:val="3"/>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20" w:type="dxa"/>
            <w:vAlign w:val="bottom"/>
            <w:vMerge w:val="continue"/>
          </w:tcPr>
          <w:p>
            <w:pPr>
              <w:spacing w:after="0"/>
              <w:rPr>
                <w:sz w:val="9"/>
                <w:szCs w:val="9"/>
                <w:color w:val="auto"/>
              </w:rPr>
            </w:pPr>
          </w:p>
        </w:tc>
        <w:tc>
          <w:tcPr>
            <w:tcW w:w="6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160" w:type="dxa"/>
            <w:vAlign w:val="bottom"/>
            <w:tcBorders>
              <w:right w:val="single" w:sz="8" w:color="262626"/>
            </w:tcBorders>
            <w:gridSpan w:val="14"/>
          </w:tcPr>
          <w:p>
            <w:pPr>
              <w:spacing w:after="0"/>
              <w:rPr>
                <w:sz w:val="6"/>
                <w:szCs w:val="6"/>
                <w:color w:val="auto"/>
              </w:rPr>
            </w:pPr>
          </w:p>
        </w:tc>
        <w:tc>
          <w:tcPr>
            <w:tcW w:w="1060" w:type="dxa"/>
            <w:vAlign w:val="bottom"/>
            <w:tcBorders>
              <w:right w:val="single" w:sz="8" w:color="98B82F"/>
            </w:tcBorders>
            <w:gridSpan w:val="9"/>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60" w:type="dxa"/>
            <w:vAlign w:val="bottom"/>
            <w:gridSpan w:val="6"/>
          </w:tcPr>
          <w:p>
            <w:pPr>
              <w:spacing w:after="0"/>
              <w:rPr>
                <w:sz w:val="6"/>
                <w:szCs w:val="6"/>
                <w:color w:val="auto"/>
              </w:rPr>
            </w:pPr>
          </w:p>
        </w:tc>
        <w:tc>
          <w:tcPr>
            <w:tcW w:w="1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260" w:type="dxa"/>
            <w:vAlign w:val="bottom"/>
            <w:gridSpan w:val="3"/>
            <w:vMerge w:val="continue"/>
          </w:tcPr>
          <w:p>
            <w:pPr>
              <w:spacing w:after="0"/>
              <w:rPr>
                <w:sz w:val="6"/>
                <w:szCs w:val="6"/>
                <w:color w:val="auto"/>
              </w:rPr>
            </w:pPr>
          </w:p>
        </w:tc>
        <w:tc>
          <w:tcPr>
            <w:tcW w:w="40" w:type="dxa"/>
            <w:vAlign w:val="bottom"/>
            <w:vMerge w:val="restart"/>
          </w:tcPr>
          <w:p>
            <w:pPr>
              <w:spacing w:after="0"/>
              <w:rPr>
                <w:sz w:val="6"/>
                <w:szCs w:val="6"/>
                <w:color w:val="auto"/>
              </w:rPr>
            </w:pPr>
          </w:p>
        </w:tc>
        <w:tc>
          <w:tcPr>
            <w:tcW w:w="940" w:type="dxa"/>
            <w:vAlign w:val="bottom"/>
            <w:gridSpan w:val="10"/>
          </w:tcPr>
          <w:p>
            <w:pPr>
              <w:spacing w:after="0"/>
              <w:rPr>
                <w:sz w:val="6"/>
                <w:szCs w:val="6"/>
                <w:color w:val="auto"/>
              </w:rPr>
            </w:pPr>
          </w:p>
        </w:tc>
        <w:tc>
          <w:tcPr>
            <w:tcW w:w="120" w:type="dxa"/>
            <w:vAlign w:val="bottom"/>
            <w:vMerge w:val="continue"/>
          </w:tcPr>
          <w:p>
            <w:pPr>
              <w:spacing w:after="0"/>
              <w:rPr>
                <w:sz w:val="6"/>
                <w:szCs w:val="6"/>
                <w:color w:val="auto"/>
              </w:rPr>
            </w:pPr>
          </w:p>
        </w:tc>
        <w:tc>
          <w:tcPr>
            <w:tcW w:w="280" w:type="dxa"/>
            <w:vAlign w:val="bottom"/>
            <w:tcBorders>
              <w:right w:val="single" w:sz="8" w:color="262626"/>
            </w:tcBorders>
            <w:gridSpan w:val="3"/>
          </w:tcPr>
          <w:p>
            <w:pPr>
              <w:spacing w:after="0"/>
              <w:rPr>
                <w:sz w:val="6"/>
                <w:szCs w:val="6"/>
                <w:color w:val="auto"/>
              </w:rPr>
            </w:pPr>
          </w:p>
        </w:tc>
        <w:tc>
          <w:tcPr>
            <w:tcW w:w="360" w:type="dxa"/>
            <w:vAlign w:val="bottom"/>
            <w:gridSpan w:val="4"/>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160" w:type="dxa"/>
            <w:vAlign w:val="bottom"/>
            <w:tcBorders>
              <w:right w:val="single" w:sz="8" w:color="262626"/>
            </w:tcBorders>
            <w:gridSpan w:val="14"/>
          </w:tcPr>
          <w:p>
            <w:pPr>
              <w:spacing w:after="0"/>
              <w:rPr>
                <w:sz w:val="15"/>
                <w:szCs w:val="15"/>
                <w:color w:val="auto"/>
              </w:rPr>
            </w:pPr>
          </w:p>
        </w:tc>
        <w:tc>
          <w:tcPr>
            <w:tcW w:w="1060" w:type="dxa"/>
            <w:vAlign w:val="bottom"/>
            <w:tcBorders>
              <w:right w:val="single" w:sz="8" w:color="98B82F"/>
            </w:tcBorders>
            <w:gridSpan w:val="9"/>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60" w:type="dxa"/>
            <w:vAlign w:val="bottom"/>
            <w:gridSpan w:val="6"/>
          </w:tcPr>
          <w:p>
            <w:pPr>
              <w:spacing w:after="0"/>
              <w:rPr>
                <w:sz w:val="15"/>
                <w:szCs w:val="15"/>
                <w:color w:val="auto"/>
              </w:rPr>
            </w:pPr>
          </w:p>
        </w:tc>
        <w:tc>
          <w:tcPr>
            <w:tcW w:w="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40" w:type="dxa"/>
            <w:vAlign w:val="bottom"/>
            <w:gridSpan w:val="10"/>
          </w:tcPr>
          <w:p>
            <w:pPr>
              <w:spacing w:after="0"/>
              <w:rPr>
                <w:sz w:val="15"/>
                <w:szCs w:val="15"/>
                <w:color w:val="auto"/>
              </w:rPr>
            </w:pPr>
          </w:p>
        </w:tc>
        <w:tc>
          <w:tcPr>
            <w:tcW w:w="120" w:type="dxa"/>
            <w:vAlign w:val="bottom"/>
            <w:vMerge w:val="continue"/>
          </w:tcPr>
          <w:p>
            <w:pPr>
              <w:spacing w:after="0"/>
              <w:rPr>
                <w:sz w:val="15"/>
                <w:szCs w:val="15"/>
                <w:color w:val="auto"/>
              </w:rPr>
            </w:pPr>
          </w:p>
        </w:tc>
        <w:tc>
          <w:tcPr>
            <w:tcW w:w="280" w:type="dxa"/>
            <w:vAlign w:val="bottom"/>
            <w:tcBorders>
              <w:right w:val="single" w:sz="8" w:color="262626"/>
            </w:tcBorders>
            <w:gridSpan w:val="3"/>
          </w:tcPr>
          <w:p>
            <w:pPr>
              <w:spacing w:after="0"/>
              <w:rPr>
                <w:sz w:val="15"/>
                <w:szCs w:val="15"/>
                <w:color w:val="auto"/>
              </w:rPr>
            </w:pPr>
          </w:p>
        </w:tc>
        <w:tc>
          <w:tcPr>
            <w:tcW w:w="360" w:type="dxa"/>
            <w:vAlign w:val="bottom"/>
            <w:tcBorders>
              <w:right w:val="single" w:sz="8" w:color="273D86"/>
            </w:tcBorders>
            <w:gridSpan w:val="4"/>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8"/>
          </w:tcPr>
          <w:p>
            <w:pPr>
              <w:jc w:val="center"/>
              <w:ind w:right="420"/>
              <w:spacing w:after="0"/>
              <w:rPr>
                <w:sz w:val="20"/>
                <w:szCs w:val="20"/>
                <w:color w:val="auto"/>
              </w:rPr>
            </w:pPr>
            <w:r>
              <w:rPr>
                <w:rFonts w:ascii="Arial" w:cs="Arial" w:eastAsia="Arial" w:hAnsi="Arial"/>
                <w:sz w:val="9"/>
                <w:szCs w:val="9"/>
                <w:color w:val="262626"/>
              </w:rPr>
              <w:t>Indianapolis, IN</w:t>
            </w:r>
          </w:p>
        </w:tc>
        <w:tc>
          <w:tcPr>
            <w:tcW w:w="380" w:type="dxa"/>
            <w:vAlign w:val="bottom"/>
            <w:gridSpan w:val="4"/>
          </w:tcPr>
          <w:p>
            <w:pPr>
              <w:spacing w:after="0"/>
              <w:rPr>
                <w:sz w:val="20"/>
                <w:szCs w:val="20"/>
                <w:color w:val="auto"/>
              </w:rPr>
            </w:pPr>
            <w:r>
              <w:rPr>
                <w:rFonts w:ascii="Arial" w:cs="Arial" w:eastAsia="Arial" w:hAnsi="Arial"/>
                <w:sz w:val="9"/>
                <w:szCs w:val="9"/>
                <w:color w:val="auto"/>
                <w:w w:val="88"/>
              </w:rPr>
              <w:t>Columbia,</w:t>
            </w:r>
          </w:p>
        </w:tc>
        <w:tc>
          <w:tcPr>
            <w:tcW w:w="200" w:type="dxa"/>
            <w:vAlign w:val="bottom"/>
            <w:gridSpan w:val="3"/>
          </w:tcPr>
          <w:p>
            <w:pPr>
              <w:ind w:left="40"/>
              <w:spacing w:after="0"/>
              <w:rPr>
                <w:sz w:val="20"/>
                <w:szCs w:val="20"/>
                <w:color w:val="auto"/>
              </w:rPr>
            </w:pPr>
            <w:r>
              <w:rPr>
                <w:rFonts w:ascii="Arial" w:cs="Arial" w:eastAsia="Arial" w:hAnsi="Arial"/>
                <w:sz w:val="9"/>
                <w:szCs w:val="9"/>
                <w:color w:val="auto"/>
                <w:w w:val="99"/>
              </w:rPr>
              <w:t>TN</w:t>
            </w:r>
          </w:p>
        </w:tc>
        <w:tc>
          <w:tcPr>
            <w:tcW w:w="200" w:type="dxa"/>
            <w:vAlign w:val="bottom"/>
            <w:tcBorders>
              <w:top w:val="single" w:sz="8" w:color="98B82F"/>
              <w:right w:val="single" w:sz="8" w:color="98B82F"/>
            </w:tcBorders>
            <w:shd w:val="clear" w:color="auto" w:fill="98B82F"/>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8"/>
          </w:tcPr>
          <w:p>
            <w:pPr>
              <w:jc w:val="right"/>
              <w:ind w:right="20"/>
              <w:spacing w:after="0"/>
              <w:rPr>
                <w:sz w:val="20"/>
                <w:szCs w:val="20"/>
                <w:color w:val="auto"/>
              </w:rPr>
            </w:pPr>
            <w:r>
              <w:rPr>
                <w:rFonts w:ascii="Arial" w:cs="Arial" w:eastAsia="Arial" w:hAnsi="Arial"/>
                <w:sz w:val="9"/>
                <w:szCs w:val="9"/>
                <w:color w:val="auto"/>
              </w:rPr>
              <w:t>Telford, PA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88A2C0"/>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right w:val="single" w:sz="8" w:color="273D86"/>
            </w:tcBorders>
            <w:gridSpan w:val="7"/>
          </w:tcPr>
          <w:p>
            <w:pPr>
              <w:jc w:val="right"/>
              <w:ind w:right="138"/>
              <w:spacing w:after="0"/>
              <w:rPr>
                <w:sz w:val="20"/>
                <w:szCs w:val="20"/>
                <w:color w:val="auto"/>
              </w:rPr>
            </w:pPr>
            <w:r>
              <w:rPr>
                <w:rFonts w:ascii="Arial" w:cs="Arial" w:eastAsia="Arial" w:hAnsi="Arial"/>
                <w:sz w:val="9"/>
                <w:szCs w:val="9"/>
                <w:color w:val="auto"/>
                <w:w w:val="91"/>
              </w:rPr>
              <w:t>Greesnboro,</w:t>
            </w:r>
          </w:p>
        </w:tc>
        <w:tc>
          <w:tcPr>
            <w:tcW w:w="280" w:type="dxa"/>
            <w:vAlign w:val="bottom"/>
            <w:gridSpan w:val="3"/>
          </w:tcPr>
          <w:p>
            <w:pPr>
              <w:spacing w:after="0"/>
              <w:rPr>
                <w:sz w:val="20"/>
                <w:szCs w:val="20"/>
                <w:color w:val="auto"/>
              </w:rPr>
            </w:pPr>
            <w:r>
              <w:rPr>
                <w:rFonts w:ascii="Arial" w:cs="Arial" w:eastAsia="Arial" w:hAnsi="Arial"/>
                <w:sz w:val="9"/>
                <w:szCs w:val="9"/>
                <w:color w:val="auto"/>
              </w:rPr>
              <w:t>NC</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right w:val="single" w:sz="8" w:color="262626"/>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273D86"/>
              <w:right w:val="single" w:sz="8" w:color="273D86"/>
            </w:tcBorders>
            <w:shd w:val="clear" w:color="auto" w:fill="273D86"/>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98B82F"/>
            </w:tcBorders>
            <w:shd w:val="clear" w:color="auto" w:fill="98B82F"/>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3020" w:type="dxa"/>
            <w:vAlign w:val="bottom"/>
            <w:gridSpan w:val="22"/>
          </w:tcPr>
          <w:p>
            <w:pPr>
              <w:spacing w:after="0"/>
              <w:rPr>
                <w:sz w:val="6"/>
                <w:szCs w:val="6"/>
                <w:color w:val="auto"/>
              </w:rPr>
            </w:pPr>
          </w:p>
        </w:tc>
        <w:tc>
          <w:tcPr>
            <w:tcW w:w="200" w:type="dxa"/>
            <w:vAlign w:val="bottom"/>
            <w:tcBorders>
              <w:top w:val="single" w:sz="8" w:color="98B82F"/>
              <w:right w:val="single" w:sz="8" w:color="98B82F"/>
            </w:tcBorders>
            <w:shd w:val="clear" w:color="auto" w:fill="98B82F"/>
          </w:tcPr>
          <w:p>
            <w:pPr>
              <w:spacing w:after="0"/>
              <w:rPr>
                <w:sz w:val="6"/>
                <w:szCs w:val="6"/>
                <w:color w:val="auto"/>
              </w:rPr>
            </w:pPr>
          </w:p>
        </w:tc>
        <w:tc>
          <w:tcPr>
            <w:tcW w:w="900" w:type="dxa"/>
            <w:vAlign w:val="bottom"/>
            <w:gridSpan w:val="11"/>
          </w:tcPr>
          <w:p>
            <w:pPr>
              <w:spacing w:after="0"/>
              <w:rPr>
                <w:sz w:val="6"/>
                <w:szCs w:val="6"/>
                <w:color w:val="auto"/>
              </w:rPr>
            </w:pPr>
          </w:p>
        </w:tc>
        <w:tc>
          <w:tcPr>
            <w:tcW w:w="140" w:type="dxa"/>
            <w:vAlign w:val="bottom"/>
            <w:tcBorders>
              <w:top w:val="single" w:sz="8" w:color="98B82F"/>
              <w:right w:val="single" w:sz="8" w:color="98B82F"/>
            </w:tcBorders>
            <w:gridSpan w:val="2"/>
            <w:shd w:val="clear" w:color="auto" w:fill="98B82F"/>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top w:val="single" w:sz="8" w:color="88A2C0"/>
            </w:tcBorders>
            <w:shd w:val="clear" w:color="auto" w:fill="88A2C0"/>
          </w:tcPr>
          <w:p>
            <w:pPr>
              <w:spacing w:after="0"/>
              <w:rPr>
                <w:sz w:val="6"/>
                <w:szCs w:val="6"/>
                <w:color w:val="auto"/>
              </w:rPr>
            </w:pPr>
          </w:p>
        </w:tc>
        <w:tc>
          <w:tcPr>
            <w:tcW w:w="700" w:type="dxa"/>
            <w:vAlign w:val="bottom"/>
            <w:tcBorders>
              <w:right w:val="single" w:sz="8" w:color="273D86"/>
            </w:tcBorders>
            <w:gridSpan w:val="8"/>
          </w:tcPr>
          <w:p>
            <w:pPr>
              <w:spacing w:after="0"/>
              <w:rPr>
                <w:sz w:val="6"/>
                <w:szCs w:val="6"/>
                <w:color w:val="auto"/>
              </w:rPr>
            </w:pPr>
          </w:p>
        </w:tc>
        <w:tc>
          <w:tcPr>
            <w:tcW w:w="100" w:type="dxa"/>
            <w:vAlign w:val="bottom"/>
            <w:tcBorders>
              <w:right w:val="single" w:sz="8" w:color="98B82F"/>
            </w:tcBorders>
          </w:tcPr>
          <w:p>
            <w:pPr>
              <w:spacing w:after="0"/>
              <w:rPr>
                <w:sz w:val="6"/>
                <w:szCs w:val="6"/>
                <w:color w:val="auto"/>
              </w:rPr>
            </w:pPr>
          </w:p>
        </w:tc>
        <w:tc>
          <w:tcPr>
            <w:tcW w:w="80" w:type="dxa"/>
            <w:vAlign w:val="bottom"/>
            <w:tcBorders>
              <w:top w:val="single" w:sz="8" w:color="98B82F"/>
            </w:tcBorders>
            <w:shd w:val="clear" w:color="auto" w:fill="98B82F"/>
          </w:tcPr>
          <w:p>
            <w:pPr>
              <w:spacing w:after="0"/>
              <w:rPr>
                <w:sz w:val="6"/>
                <w:szCs w:val="6"/>
                <w:color w:val="auto"/>
              </w:rPr>
            </w:pPr>
          </w:p>
        </w:tc>
        <w:tc>
          <w:tcPr>
            <w:tcW w:w="500" w:type="dxa"/>
            <w:vAlign w:val="bottom"/>
            <w:tcBorders>
              <w:right w:val="single" w:sz="8" w:color="262626"/>
            </w:tcBorders>
            <w:gridSpan w:val="5"/>
          </w:tcPr>
          <w:p>
            <w:pPr>
              <w:spacing w:after="0"/>
              <w:rPr>
                <w:sz w:val="6"/>
                <w:szCs w:val="6"/>
                <w:color w:val="auto"/>
              </w:rPr>
            </w:pPr>
          </w:p>
        </w:tc>
        <w:tc>
          <w:tcPr>
            <w:tcW w:w="240" w:type="dxa"/>
            <w:vAlign w:val="bottom"/>
            <w:gridSpan w:val="3"/>
          </w:tcPr>
          <w:p>
            <w:pPr>
              <w:spacing w:after="0"/>
              <w:rPr>
                <w:sz w:val="6"/>
                <w:szCs w:val="6"/>
                <w:color w:val="auto"/>
              </w:rPr>
            </w:pPr>
          </w:p>
        </w:tc>
        <w:tc>
          <w:tcPr>
            <w:tcW w:w="120" w:type="dxa"/>
            <w:vAlign w:val="bottom"/>
            <w:tcBorders>
              <w:top w:val="single" w:sz="8" w:color="273D86"/>
              <w:right w:val="single" w:sz="8" w:color="273D86"/>
            </w:tcBorders>
            <w:shd w:val="clear" w:color="auto" w:fill="273D86"/>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98B82F"/>
            </w:tcBorders>
            <w:shd w:val="clear" w:color="auto" w:fill="98B82F"/>
          </w:tcPr>
          <w:p>
            <w:pPr>
              <w:spacing w:after="0"/>
              <w:rPr>
                <w:sz w:val="6"/>
                <w:szCs w:val="6"/>
                <w:color w:val="auto"/>
              </w:rPr>
            </w:pPr>
          </w:p>
        </w:tc>
        <w:tc>
          <w:tcPr>
            <w:tcW w:w="220" w:type="dxa"/>
            <w:vAlign w:val="bottom"/>
            <w:tcBorders>
              <w:right w:val="single" w:sz="8" w:color="88A2C0"/>
            </w:tcBorders>
            <w:gridSpan w:val="2"/>
          </w:tcPr>
          <w:p>
            <w:pPr>
              <w:spacing w:after="0"/>
              <w:rPr>
                <w:sz w:val="6"/>
                <w:szCs w:val="6"/>
                <w:color w:val="auto"/>
              </w:rPr>
            </w:pPr>
          </w:p>
        </w:tc>
        <w:tc>
          <w:tcPr>
            <w:tcW w:w="660" w:type="dxa"/>
            <w:vAlign w:val="bottom"/>
            <w:gridSpan w:val="3"/>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3220" w:type="dxa"/>
            <w:vAlign w:val="bottom"/>
            <w:tcBorders>
              <w:right w:val="single" w:sz="8" w:color="98B82F"/>
            </w:tcBorders>
            <w:gridSpan w:val="23"/>
          </w:tcPr>
          <w:p>
            <w:pPr>
              <w:spacing w:after="0"/>
              <w:rPr>
                <w:sz w:val="5"/>
                <w:szCs w:val="5"/>
                <w:color w:val="auto"/>
              </w:rPr>
            </w:pPr>
          </w:p>
        </w:tc>
        <w:tc>
          <w:tcPr>
            <w:tcW w:w="720" w:type="dxa"/>
            <w:vAlign w:val="bottom"/>
            <w:tcBorders>
              <w:right w:val="single" w:sz="8" w:color="273D86"/>
            </w:tcBorders>
            <w:gridSpan w:val="8"/>
          </w:tcPr>
          <w:p>
            <w:pPr>
              <w:spacing w:after="0"/>
              <w:rPr>
                <w:sz w:val="5"/>
                <w:szCs w:val="5"/>
                <w:color w:val="auto"/>
              </w:rPr>
            </w:pPr>
          </w:p>
        </w:tc>
        <w:tc>
          <w:tcPr>
            <w:tcW w:w="100" w:type="dxa"/>
            <w:vAlign w:val="bottom"/>
            <w:tcBorders>
              <w:right w:val="single" w:sz="8" w:color="273D86"/>
            </w:tcBorders>
            <w:shd w:val="clear" w:color="auto" w:fill="273D86"/>
          </w:tcPr>
          <w:p>
            <w:pPr>
              <w:spacing w:after="0"/>
              <w:rPr>
                <w:sz w:val="5"/>
                <w:szCs w:val="5"/>
                <w:color w:val="auto"/>
              </w:rPr>
            </w:pPr>
          </w:p>
        </w:tc>
        <w:tc>
          <w:tcPr>
            <w:tcW w:w="220" w:type="dxa"/>
            <w:vAlign w:val="bottom"/>
            <w:tcBorders>
              <w:right w:val="single" w:sz="8" w:color="98B82F"/>
            </w:tcBorders>
            <w:gridSpan w:val="4"/>
          </w:tcPr>
          <w:p>
            <w:pPr>
              <w:spacing w:after="0"/>
              <w:rPr>
                <w:sz w:val="5"/>
                <w:szCs w:val="5"/>
                <w:color w:val="auto"/>
              </w:rPr>
            </w:pPr>
          </w:p>
        </w:tc>
        <w:tc>
          <w:tcPr>
            <w:tcW w:w="920" w:type="dxa"/>
            <w:vAlign w:val="bottom"/>
            <w:tcBorders>
              <w:right w:val="single" w:sz="8" w:color="273D86"/>
            </w:tcBorders>
            <w:gridSpan w:val="10"/>
          </w:tcPr>
          <w:p>
            <w:pPr>
              <w:spacing w:after="0"/>
              <w:rPr>
                <w:sz w:val="5"/>
                <w:szCs w:val="5"/>
                <w:color w:val="auto"/>
              </w:rPr>
            </w:pPr>
          </w:p>
        </w:tc>
        <w:tc>
          <w:tcPr>
            <w:tcW w:w="100" w:type="dxa"/>
            <w:vAlign w:val="bottom"/>
            <w:tcBorders>
              <w:right w:val="single" w:sz="8" w:color="98B82F"/>
            </w:tcBorders>
          </w:tcPr>
          <w:p>
            <w:pPr>
              <w:spacing w:after="0"/>
              <w:rPr>
                <w:sz w:val="5"/>
                <w:szCs w:val="5"/>
                <w:color w:val="auto"/>
              </w:rPr>
            </w:pPr>
          </w:p>
        </w:tc>
        <w:tc>
          <w:tcPr>
            <w:tcW w:w="580" w:type="dxa"/>
            <w:vAlign w:val="bottom"/>
            <w:tcBorders>
              <w:right w:val="single" w:sz="8" w:color="262626"/>
            </w:tcBorders>
            <w:gridSpan w:val="6"/>
            <w:shd w:val="clear" w:color="auto" w:fill="98B82F"/>
          </w:tcPr>
          <w:p>
            <w:pPr>
              <w:spacing w:after="0"/>
              <w:rPr>
                <w:sz w:val="5"/>
                <w:szCs w:val="5"/>
                <w:color w:val="auto"/>
              </w:rPr>
            </w:pPr>
          </w:p>
        </w:tc>
        <w:tc>
          <w:tcPr>
            <w:tcW w:w="360" w:type="dxa"/>
            <w:vAlign w:val="bottom"/>
            <w:tcBorders>
              <w:right w:val="single" w:sz="8" w:color="273D86"/>
            </w:tcBorders>
            <w:gridSpan w:val="4"/>
          </w:tcPr>
          <w:p>
            <w:pPr>
              <w:spacing w:after="0"/>
              <w:rPr>
                <w:sz w:val="5"/>
                <w:szCs w:val="5"/>
                <w:color w:val="auto"/>
              </w:rPr>
            </w:pPr>
          </w:p>
        </w:tc>
        <w:tc>
          <w:tcPr>
            <w:tcW w:w="440" w:type="dxa"/>
            <w:vAlign w:val="bottom"/>
            <w:tcBorders>
              <w:right w:val="single" w:sz="8" w:color="88A2C0"/>
            </w:tcBorders>
            <w:gridSpan w:val="4"/>
          </w:tcPr>
          <w:p>
            <w:pPr>
              <w:spacing w:after="0"/>
              <w:rPr>
                <w:sz w:val="5"/>
                <w:szCs w:val="5"/>
                <w:color w:val="auto"/>
              </w:rPr>
            </w:pPr>
          </w:p>
        </w:tc>
        <w:tc>
          <w:tcPr>
            <w:tcW w:w="6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3220" w:type="dxa"/>
            <w:vAlign w:val="bottom"/>
            <w:tcBorders>
              <w:right w:val="single" w:sz="8" w:color="98B82F"/>
            </w:tcBorders>
            <w:gridSpan w:val="23"/>
          </w:tcPr>
          <w:p>
            <w:pPr>
              <w:spacing w:after="0"/>
              <w:rPr>
                <w:sz w:val="24"/>
                <w:szCs w:val="24"/>
                <w:color w:val="auto"/>
              </w:rPr>
            </w:pPr>
          </w:p>
        </w:tc>
        <w:tc>
          <w:tcPr>
            <w:tcW w:w="720" w:type="dxa"/>
            <w:vAlign w:val="bottom"/>
            <w:tcBorders>
              <w:right w:val="single" w:sz="8" w:color="273D86"/>
            </w:tcBorders>
            <w:gridSpan w:val="8"/>
          </w:tcPr>
          <w:p>
            <w:pPr>
              <w:spacing w:after="0"/>
              <w:rPr>
                <w:sz w:val="24"/>
                <w:szCs w:val="24"/>
                <w:color w:val="auto"/>
              </w:rPr>
            </w:pPr>
          </w:p>
        </w:tc>
        <w:tc>
          <w:tcPr>
            <w:tcW w:w="100" w:type="dxa"/>
            <w:vAlign w:val="bottom"/>
            <w:tcBorders>
              <w:right w:val="single" w:sz="8" w:color="273D86"/>
            </w:tcBorders>
            <w:shd w:val="clear" w:color="auto" w:fill="273D86"/>
          </w:tcPr>
          <w:p>
            <w:pPr>
              <w:spacing w:after="0"/>
              <w:rPr>
                <w:sz w:val="24"/>
                <w:szCs w:val="24"/>
                <w:color w:val="auto"/>
              </w:rPr>
            </w:pPr>
          </w:p>
        </w:tc>
        <w:tc>
          <w:tcPr>
            <w:tcW w:w="220" w:type="dxa"/>
            <w:vAlign w:val="bottom"/>
            <w:tcBorders>
              <w:right w:val="single" w:sz="8" w:color="98B82F"/>
            </w:tcBorders>
            <w:gridSpan w:val="4"/>
          </w:tcPr>
          <w:p>
            <w:pPr>
              <w:spacing w:after="0"/>
              <w:rPr>
                <w:sz w:val="24"/>
                <w:szCs w:val="24"/>
                <w:color w:val="auto"/>
              </w:rPr>
            </w:pPr>
          </w:p>
        </w:tc>
        <w:tc>
          <w:tcPr>
            <w:tcW w:w="920" w:type="dxa"/>
            <w:vAlign w:val="bottom"/>
            <w:tcBorders>
              <w:right w:val="single" w:sz="8" w:color="273D86"/>
            </w:tcBorders>
            <w:gridSpan w:val="10"/>
          </w:tcPr>
          <w:p>
            <w:pPr>
              <w:spacing w:after="0"/>
              <w:rPr>
                <w:sz w:val="24"/>
                <w:szCs w:val="24"/>
                <w:color w:val="auto"/>
              </w:rPr>
            </w:pPr>
          </w:p>
        </w:tc>
        <w:tc>
          <w:tcPr>
            <w:tcW w:w="100" w:type="dxa"/>
            <w:vAlign w:val="bottom"/>
            <w:tcBorders>
              <w:right w:val="single" w:sz="8" w:color="98B82F"/>
            </w:tcBorders>
          </w:tcPr>
          <w:p>
            <w:pPr>
              <w:spacing w:after="0"/>
              <w:rPr>
                <w:sz w:val="24"/>
                <w:szCs w:val="24"/>
                <w:color w:val="auto"/>
              </w:rPr>
            </w:pPr>
          </w:p>
        </w:tc>
        <w:tc>
          <w:tcPr>
            <w:tcW w:w="300" w:type="dxa"/>
            <w:vAlign w:val="bottom"/>
            <w:tcBorders>
              <w:right w:val="single" w:sz="8" w:color="88A2C0"/>
            </w:tcBorders>
            <w:gridSpan w:val="3"/>
            <w:shd w:val="clear" w:color="auto" w:fill="98B82F"/>
          </w:tcPr>
          <w:p>
            <w:pPr>
              <w:spacing w:after="0"/>
              <w:rPr>
                <w:sz w:val="24"/>
                <w:szCs w:val="24"/>
                <w:color w:val="auto"/>
              </w:rPr>
            </w:pPr>
          </w:p>
        </w:tc>
        <w:tc>
          <w:tcPr>
            <w:tcW w:w="280" w:type="dxa"/>
            <w:vAlign w:val="bottom"/>
            <w:tcBorders>
              <w:right w:val="single" w:sz="8" w:color="262626"/>
            </w:tcBorders>
            <w:gridSpan w:val="3"/>
          </w:tcPr>
          <w:p>
            <w:pPr>
              <w:spacing w:after="0"/>
              <w:rPr>
                <w:sz w:val="24"/>
                <w:szCs w:val="24"/>
                <w:color w:val="auto"/>
              </w:rPr>
            </w:pPr>
          </w:p>
        </w:tc>
        <w:tc>
          <w:tcPr>
            <w:tcW w:w="360" w:type="dxa"/>
            <w:vAlign w:val="bottom"/>
            <w:tcBorders>
              <w:right w:val="single" w:sz="8" w:color="273D86"/>
            </w:tcBorders>
            <w:gridSpan w:val="4"/>
          </w:tcPr>
          <w:p>
            <w:pPr>
              <w:spacing w:after="0"/>
              <w:rPr>
                <w:sz w:val="24"/>
                <w:szCs w:val="24"/>
                <w:color w:val="auto"/>
              </w:rPr>
            </w:pPr>
          </w:p>
        </w:tc>
        <w:tc>
          <w:tcPr>
            <w:tcW w:w="440" w:type="dxa"/>
            <w:vAlign w:val="bottom"/>
            <w:tcBorders>
              <w:right w:val="single" w:sz="8" w:color="88A2C0"/>
            </w:tcBorders>
            <w:gridSpan w:val="4"/>
          </w:tcPr>
          <w:p>
            <w:pPr>
              <w:spacing w:after="0"/>
              <w:rPr>
                <w:sz w:val="24"/>
                <w:szCs w:val="24"/>
                <w:color w:val="auto"/>
              </w:rPr>
            </w:pPr>
          </w:p>
        </w:tc>
        <w:tc>
          <w:tcPr>
            <w:tcW w:w="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8"/>
          </w:tcPr>
          <w:p>
            <w:pPr>
              <w:jc w:val="center"/>
              <w:ind w:right="122"/>
              <w:spacing w:after="0"/>
              <w:rPr>
                <w:sz w:val="20"/>
                <w:szCs w:val="20"/>
                <w:color w:val="auto"/>
              </w:rPr>
            </w:pPr>
            <w:r>
              <w:rPr>
                <w:rFonts w:ascii="Arial" w:cs="Arial" w:eastAsia="Arial" w:hAnsi="Arial"/>
                <w:sz w:val="9"/>
                <w:szCs w:val="9"/>
                <w:color w:val="262626"/>
              </w:rPr>
              <w:t>Indianapolis, IN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8"/>
          </w:tcPr>
          <w:p>
            <w:pPr>
              <w:spacing w:after="0"/>
              <w:rPr>
                <w:sz w:val="20"/>
                <w:szCs w:val="20"/>
                <w:color w:val="auto"/>
              </w:rPr>
            </w:pPr>
            <w:r>
              <w:rPr>
                <w:rFonts w:ascii="Arial" w:cs="Arial" w:eastAsia="Arial" w:hAnsi="Arial"/>
                <w:sz w:val="9"/>
                <w:szCs w:val="9"/>
                <w:color w:val="262626"/>
              </w:rPr>
              <w:t>Columbia, TN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4"/>
          </w:tcPr>
          <w:p>
            <w:pPr>
              <w:jc w:val="center"/>
              <w:ind w:right="14"/>
              <w:spacing w:after="0"/>
              <w:rPr>
                <w:sz w:val="20"/>
                <w:szCs w:val="20"/>
                <w:color w:val="auto"/>
              </w:rPr>
            </w:pPr>
            <w:r>
              <w:rPr>
                <w:rFonts w:ascii="Arial" w:cs="Arial" w:eastAsia="Arial" w:hAnsi="Arial"/>
                <w:sz w:val="9"/>
                <w:szCs w:val="9"/>
                <w:color w:val="262626"/>
                <w:w w:val="75"/>
              </w:rPr>
              <w:t>Telford, PA</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9"/>
          </w:tcPr>
          <w:p>
            <w:pPr>
              <w:ind w:left="60"/>
              <w:spacing w:after="0"/>
              <w:rPr>
                <w:sz w:val="20"/>
                <w:szCs w:val="20"/>
                <w:color w:val="auto"/>
              </w:rPr>
            </w:pPr>
            <w:r>
              <w:rPr>
                <w:rFonts w:ascii="Arial" w:cs="Arial" w:eastAsia="Arial" w:hAnsi="Arial"/>
                <w:sz w:val="9"/>
                <w:szCs w:val="9"/>
                <w:color w:val="262626"/>
              </w:rPr>
              <w:t>Greesnboro, NC</w:t>
            </w:r>
          </w:p>
        </w:tc>
        <w:tc>
          <w:tcPr>
            <w:tcW w:w="0" w:type="dxa"/>
            <w:vAlign w:val="bottom"/>
          </w:tcPr>
          <w:p>
            <w:pPr>
              <w:spacing w:after="0"/>
              <w:rPr>
                <w:sz w:val="1"/>
                <w:szCs w:val="1"/>
                <w:color w:val="auto"/>
              </w:rPr>
            </w:pPr>
          </w:p>
        </w:tc>
      </w:tr>
      <w:tr>
        <w:trPr>
          <w:trHeight w:val="193"/>
        </w:trPr>
        <w:tc>
          <w:tcPr>
            <w:tcW w:w="7320" w:type="dxa"/>
            <w:vAlign w:val="bottom"/>
            <w:gridSpan w:val="64"/>
          </w:tcPr>
          <w:p>
            <w:pPr>
              <w:spacing w:after="0"/>
              <w:rPr>
                <w:sz w:val="16"/>
                <w:szCs w:val="16"/>
                <w:color w:val="auto"/>
              </w:rPr>
            </w:pPr>
          </w:p>
        </w:tc>
        <w:tc>
          <w:tcPr>
            <w:tcW w:w="0" w:type="dxa"/>
            <w:vAlign w:val="bottom"/>
          </w:tcPr>
          <w:p>
            <w:pPr>
              <w:spacing w:after="0"/>
              <w:rPr>
                <w:sz w:val="1"/>
                <w:szCs w:val="1"/>
                <w:color w:val="auto"/>
              </w:rPr>
            </w:pPr>
          </w:p>
        </w:tc>
      </w:tr>
      <w:tr>
        <w:trPr>
          <w:trHeight w:val="657"/>
        </w:trPr>
        <w:tc>
          <w:tcPr>
            <w:tcW w:w="7320" w:type="dxa"/>
            <w:vAlign w:val="bottom"/>
            <w:gridSpan w:val="64"/>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660" w:type="dxa"/>
            <w:vAlign w:val="bottom"/>
            <w:tcBorders>
              <w:left w:val="single" w:sz="8" w:color="98B82F"/>
            </w:tcBorders>
            <w:gridSpan w:val="11"/>
            <w:shd w:val="clear" w:color="auto" w:fill="98B82F"/>
          </w:tcPr>
          <w:p>
            <w:pPr>
              <w:ind w:left="120"/>
              <w:spacing w:after="0"/>
              <w:rPr>
                <w:sz w:val="20"/>
                <w:szCs w:val="20"/>
                <w:color w:val="auto"/>
              </w:rPr>
            </w:pPr>
            <w:r>
              <w:rPr>
                <w:rFonts w:ascii="Arial" w:cs="Arial" w:eastAsia="Arial" w:hAnsi="Arial"/>
                <w:sz w:val="8"/>
                <w:szCs w:val="8"/>
                <w:b w:val="1"/>
                <w:bCs w:val="1"/>
                <w:color w:val="FFFFFF"/>
              </w:rPr>
              <w:t>U.S. Health And Safety Metrics</w:t>
            </w:r>
          </w:p>
        </w:tc>
        <w:tc>
          <w:tcPr>
            <w:tcW w:w="100" w:type="dxa"/>
            <w:vAlign w:val="bottom"/>
            <w:shd w:val="clear" w:color="auto" w:fill="98B82F"/>
          </w:tcPr>
          <w:p>
            <w:pPr>
              <w:spacing w:after="0"/>
              <w:rPr>
                <w:sz w:val="15"/>
                <w:szCs w:val="15"/>
                <w:color w:val="auto"/>
              </w:rPr>
            </w:pPr>
          </w:p>
        </w:tc>
        <w:tc>
          <w:tcPr>
            <w:tcW w:w="140" w:type="dxa"/>
            <w:vAlign w:val="bottom"/>
            <w:shd w:val="clear" w:color="auto" w:fill="98B82F"/>
          </w:tcPr>
          <w:p>
            <w:pPr>
              <w:spacing w:after="0"/>
              <w:rPr>
                <w:sz w:val="15"/>
                <w:szCs w:val="15"/>
                <w:color w:val="auto"/>
              </w:rPr>
            </w:pPr>
          </w:p>
        </w:tc>
        <w:tc>
          <w:tcPr>
            <w:tcW w:w="260" w:type="dxa"/>
            <w:vAlign w:val="bottom"/>
            <w:tcBorders>
              <w:right w:val="single" w:sz="8" w:color="98B82F"/>
            </w:tcBorders>
            <w:shd w:val="clear" w:color="auto" w:fill="98B82F"/>
          </w:tcPr>
          <w:p>
            <w:pPr>
              <w:spacing w:after="0"/>
              <w:rPr>
                <w:sz w:val="15"/>
                <w:szCs w:val="15"/>
                <w:color w:val="auto"/>
              </w:rPr>
            </w:pPr>
          </w:p>
        </w:tc>
        <w:tc>
          <w:tcPr>
            <w:tcW w:w="280" w:type="dxa"/>
            <w:vAlign w:val="bottom"/>
            <w:tcBorders>
              <w:right w:val="single" w:sz="8" w:color="98B82F"/>
            </w:tcBorders>
            <w:shd w:val="clear" w:color="auto" w:fill="98B82F"/>
          </w:tcPr>
          <w:p>
            <w:pPr>
              <w:spacing w:after="0"/>
              <w:rPr>
                <w:sz w:val="15"/>
                <w:szCs w:val="15"/>
                <w:color w:val="auto"/>
              </w:rPr>
            </w:pPr>
          </w:p>
        </w:tc>
        <w:tc>
          <w:tcPr>
            <w:tcW w:w="100" w:type="dxa"/>
            <w:vAlign w:val="bottom"/>
            <w:tcBorders>
              <w:right w:val="single" w:sz="8" w:color="98B82F"/>
            </w:tcBorders>
            <w:shd w:val="clear" w:color="auto" w:fill="98B82F"/>
          </w:tcPr>
          <w:p>
            <w:pPr>
              <w:spacing w:after="0"/>
              <w:rPr>
                <w:sz w:val="15"/>
                <w:szCs w:val="15"/>
                <w:color w:val="auto"/>
              </w:rPr>
            </w:pPr>
          </w:p>
        </w:tc>
        <w:tc>
          <w:tcPr>
            <w:tcW w:w="180" w:type="dxa"/>
            <w:vAlign w:val="bottom"/>
            <w:shd w:val="clear" w:color="auto" w:fill="98B82F"/>
          </w:tcPr>
          <w:p>
            <w:pPr>
              <w:spacing w:after="0"/>
              <w:rPr>
                <w:sz w:val="15"/>
                <w:szCs w:val="15"/>
                <w:color w:val="auto"/>
              </w:rPr>
            </w:pPr>
          </w:p>
        </w:tc>
        <w:tc>
          <w:tcPr>
            <w:tcW w:w="40" w:type="dxa"/>
            <w:vAlign w:val="bottom"/>
            <w:shd w:val="clear" w:color="auto" w:fill="98B82F"/>
          </w:tcPr>
          <w:p>
            <w:pPr>
              <w:spacing w:after="0"/>
              <w:rPr>
                <w:sz w:val="15"/>
                <w:szCs w:val="15"/>
                <w:color w:val="auto"/>
              </w:rPr>
            </w:pPr>
          </w:p>
        </w:tc>
        <w:tc>
          <w:tcPr>
            <w:tcW w:w="60" w:type="dxa"/>
            <w:vAlign w:val="bottom"/>
            <w:shd w:val="clear" w:color="auto" w:fill="98B82F"/>
          </w:tcPr>
          <w:p>
            <w:pPr>
              <w:spacing w:after="0"/>
              <w:rPr>
                <w:sz w:val="15"/>
                <w:szCs w:val="15"/>
                <w:color w:val="auto"/>
              </w:rPr>
            </w:pPr>
          </w:p>
        </w:tc>
        <w:tc>
          <w:tcPr>
            <w:tcW w:w="120" w:type="dxa"/>
            <w:vAlign w:val="bottom"/>
            <w:shd w:val="clear" w:color="auto" w:fill="98B82F"/>
          </w:tcPr>
          <w:p>
            <w:pPr>
              <w:spacing w:after="0"/>
              <w:rPr>
                <w:sz w:val="15"/>
                <w:szCs w:val="15"/>
                <w:color w:val="auto"/>
              </w:rPr>
            </w:pPr>
          </w:p>
        </w:tc>
        <w:tc>
          <w:tcPr>
            <w:tcW w:w="40" w:type="dxa"/>
            <w:vAlign w:val="bottom"/>
            <w:shd w:val="clear" w:color="auto" w:fill="98B82F"/>
          </w:tcPr>
          <w:p>
            <w:pPr>
              <w:spacing w:after="0"/>
              <w:rPr>
                <w:sz w:val="15"/>
                <w:szCs w:val="15"/>
                <w:color w:val="auto"/>
              </w:rPr>
            </w:pPr>
          </w:p>
        </w:tc>
        <w:tc>
          <w:tcPr>
            <w:tcW w:w="40" w:type="dxa"/>
            <w:vAlign w:val="bottom"/>
            <w:shd w:val="clear" w:color="auto" w:fill="98B82F"/>
          </w:tcPr>
          <w:p>
            <w:pPr>
              <w:spacing w:after="0"/>
              <w:rPr>
                <w:sz w:val="15"/>
                <w:szCs w:val="15"/>
                <w:color w:val="auto"/>
              </w:rPr>
            </w:pPr>
          </w:p>
        </w:tc>
        <w:tc>
          <w:tcPr>
            <w:tcW w:w="200" w:type="dxa"/>
            <w:vAlign w:val="bottom"/>
            <w:tcBorders>
              <w:left w:val="single" w:sz="8" w:color="98B82F"/>
              <w:right w:val="single" w:sz="8" w:color="98B82F"/>
            </w:tcBorders>
            <w:shd w:val="clear" w:color="auto" w:fill="98B82F"/>
          </w:tcPr>
          <w:p>
            <w:pPr>
              <w:spacing w:after="0"/>
              <w:rPr>
                <w:sz w:val="15"/>
                <w:szCs w:val="15"/>
                <w:color w:val="auto"/>
              </w:rPr>
            </w:pPr>
          </w:p>
        </w:tc>
        <w:tc>
          <w:tcPr>
            <w:tcW w:w="40" w:type="dxa"/>
            <w:vAlign w:val="bottom"/>
            <w:shd w:val="clear" w:color="auto" w:fill="98B82F"/>
          </w:tcPr>
          <w:p>
            <w:pPr>
              <w:spacing w:after="0"/>
              <w:rPr>
                <w:sz w:val="15"/>
                <w:szCs w:val="15"/>
                <w:color w:val="auto"/>
              </w:rPr>
            </w:pPr>
          </w:p>
        </w:tc>
        <w:tc>
          <w:tcPr>
            <w:tcW w:w="120" w:type="dxa"/>
            <w:vAlign w:val="bottom"/>
            <w:shd w:val="clear" w:color="auto" w:fill="98B82F"/>
          </w:tcPr>
          <w:p>
            <w:pPr>
              <w:spacing w:after="0"/>
              <w:rPr>
                <w:sz w:val="15"/>
                <w:szCs w:val="15"/>
                <w:color w:val="auto"/>
              </w:rPr>
            </w:pPr>
          </w:p>
        </w:tc>
        <w:tc>
          <w:tcPr>
            <w:tcW w:w="220" w:type="dxa"/>
            <w:vAlign w:val="bottom"/>
            <w:shd w:val="clear" w:color="auto" w:fill="98B82F"/>
          </w:tcPr>
          <w:p>
            <w:pPr>
              <w:spacing w:after="0"/>
              <w:rPr>
                <w:sz w:val="15"/>
                <w:szCs w:val="15"/>
                <w:color w:val="auto"/>
              </w:rPr>
            </w:pPr>
          </w:p>
        </w:tc>
        <w:tc>
          <w:tcPr>
            <w:tcW w:w="240" w:type="dxa"/>
            <w:vAlign w:val="bottom"/>
            <w:gridSpan w:val="4"/>
            <w:shd w:val="clear" w:color="auto" w:fill="98B82F"/>
          </w:tcPr>
          <w:p>
            <w:pPr>
              <w:jc w:val="center"/>
              <w:spacing w:after="0"/>
              <w:rPr>
                <w:sz w:val="20"/>
                <w:szCs w:val="20"/>
                <w:color w:val="auto"/>
              </w:rPr>
            </w:pPr>
            <w:r>
              <w:rPr>
                <w:rFonts w:ascii="Arial" w:cs="Arial" w:eastAsia="Arial" w:hAnsi="Arial"/>
                <w:sz w:val="8"/>
                <w:szCs w:val="8"/>
                <w:b w:val="1"/>
                <w:bCs w:val="1"/>
                <w:color w:val="FFFFFF"/>
              </w:rPr>
              <w:t>2018</w:t>
            </w:r>
          </w:p>
        </w:tc>
        <w:tc>
          <w:tcPr>
            <w:tcW w:w="100" w:type="dxa"/>
            <w:vAlign w:val="bottom"/>
            <w:tcBorders>
              <w:right w:val="single" w:sz="8" w:color="98B82F"/>
            </w:tcBorders>
            <w:shd w:val="clear" w:color="auto" w:fill="98B82F"/>
          </w:tcPr>
          <w:p>
            <w:pPr>
              <w:spacing w:after="0"/>
              <w:rPr>
                <w:sz w:val="15"/>
                <w:szCs w:val="15"/>
                <w:color w:val="auto"/>
              </w:rPr>
            </w:pPr>
          </w:p>
        </w:tc>
        <w:tc>
          <w:tcPr>
            <w:tcW w:w="100" w:type="dxa"/>
            <w:vAlign w:val="bottom"/>
            <w:tcBorders>
              <w:right w:val="single" w:sz="8" w:color="98B82F"/>
            </w:tcBorders>
            <w:shd w:val="clear" w:color="auto" w:fill="98B82F"/>
          </w:tcPr>
          <w:p>
            <w:pPr>
              <w:spacing w:after="0"/>
              <w:rPr>
                <w:sz w:val="15"/>
                <w:szCs w:val="15"/>
                <w:color w:val="auto"/>
              </w:rPr>
            </w:pPr>
          </w:p>
        </w:tc>
        <w:tc>
          <w:tcPr>
            <w:tcW w:w="20" w:type="dxa"/>
            <w:vAlign w:val="bottom"/>
            <w:shd w:val="clear" w:color="auto" w:fill="98B82F"/>
          </w:tcPr>
          <w:p>
            <w:pPr>
              <w:spacing w:after="0"/>
              <w:rPr>
                <w:sz w:val="15"/>
                <w:szCs w:val="15"/>
                <w:color w:val="auto"/>
              </w:rPr>
            </w:pPr>
          </w:p>
        </w:tc>
        <w:tc>
          <w:tcPr>
            <w:tcW w:w="60" w:type="dxa"/>
            <w:vAlign w:val="bottom"/>
            <w:shd w:val="clear" w:color="auto" w:fill="98B82F"/>
          </w:tcPr>
          <w:p>
            <w:pPr>
              <w:spacing w:after="0"/>
              <w:rPr>
                <w:sz w:val="15"/>
                <w:szCs w:val="15"/>
                <w:color w:val="auto"/>
              </w:rPr>
            </w:pPr>
          </w:p>
        </w:tc>
        <w:tc>
          <w:tcPr>
            <w:tcW w:w="100" w:type="dxa"/>
            <w:vAlign w:val="bottom"/>
            <w:shd w:val="clear" w:color="auto" w:fill="98B82F"/>
          </w:tcPr>
          <w:p>
            <w:pPr>
              <w:spacing w:after="0"/>
              <w:rPr>
                <w:sz w:val="15"/>
                <w:szCs w:val="15"/>
                <w:color w:val="auto"/>
              </w:rPr>
            </w:pPr>
          </w:p>
        </w:tc>
        <w:tc>
          <w:tcPr>
            <w:tcW w:w="40" w:type="dxa"/>
            <w:vAlign w:val="bottom"/>
            <w:tcBorders>
              <w:right w:val="single" w:sz="8" w:color="98B82F"/>
            </w:tcBorders>
            <w:shd w:val="clear" w:color="auto" w:fill="98B82F"/>
          </w:tcPr>
          <w:p>
            <w:pPr>
              <w:spacing w:after="0"/>
              <w:rPr>
                <w:sz w:val="15"/>
                <w:szCs w:val="15"/>
                <w:color w:val="auto"/>
              </w:rPr>
            </w:pPr>
          </w:p>
        </w:tc>
        <w:tc>
          <w:tcPr>
            <w:tcW w:w="100" w:type="dxa"/>
            <w:vAlign w:val="bottom"/>
            <w:shd w:val="clear" w:color="auto" w:fill="98B82F"/>
          </w:tcPr>
          <w:p>
            <w:pPr>
              <w:spacing w:after="0"/>
              <w:rPr>
                <w:sz w:val="15"/>
                <w:szCs w:val="15"/>
                <w:color w:val="auto"/>
              </w:rPr>
            </w:pPr>
          </w:p>
        </w:tc>
        <w:tc>
          <w:tcPr>
            <w:tcW w:w="120" w:type="dxa"/>
            <w:vAlign w:val="bottom"/>
            <w:shd w:val="clear" w:color="auto" w:fill="98B82F"/>
          </w:tcPr>
          <w:p>
            <w:pPr>
              <w:spacing w:after="0"/>
              <w:rPr>
                <w:sz w:val="15"/>
                <w:szCs w:val="15"/>
                <w:color w:val="auto"/>
              </w:rPr>
            </w:pPr>
          </w:p>
        </w:tc>
        <w:tc>
          <w:tcPr>
            <w:tcW w:w="40" w:type="dxa"/>
            <w:vAlign w:val="bottom"/>
            <w:shd w:val="clear" w:color="auto" w:fill="98B82F"/>
          </w:tcPr>
          <w:p>
            <w:pPr>
              <w:spacing w:after="0"/>
              <w:rPr>
                <w:sz w:val="15"/>
                <w:szCs w:val="15"/>
                <w:color w:val="auto"/>
              </w:rPr>
            </w:pPr>
          </w:p>
        </w:tc>
        <w:tc>
          <w:tcPr>
            <w:tcW w:w="360" w:type="dxa"/>
            <w:vAlign w:val="bottom"/>
            <w:gridSpan w:val="4"/>
            <w:shd w:val="clear" w:color="auto" w:fill="98B82F"/>
          </w:tcPr>
          <w:p>
            <w:pPr>
              <w:jc w:val="center"/>
              <w:ind w:left="82"/>
              <w:spacing w:after="0"/>
              <w:rPr>
                <w:sz w:val="20"/>
                <w:szCs w:val="20"/>
                <w:color w:val="auto"/>
              </w:rPr>
            </w:pPr>
            <w:r>
              <w:rPr>
                <w:rFonts w:ascii="Arial" w:cs="Arial" w:eastAsia="Arial" w:hAnsi="Arial"/>
                <w:sz w:val="8"/>
                <w:szCs w:val="8"/>
                <w:b w:val="1"/>
                <w:bCs w:val="1"/>
                <w:color w:val="FFFFFF"/>
              </w:rPr>
              <w:t>2019</w:t>
            </w:r>
          </w:p>
        </w:tc>
        <w:tc>
          <w:tcPr>
            <w:tcW w:w="60" w:type="dxa"/>
            <w:vAlign w:val="bottom"/>
            <w:shd w:val="clear" w:color="auto" w:fill="98B82F"/>
          </w:tcPr>
          <w:p>
            <w:pPr>
              <w:spacing w:after="0"/>
              <w:rPr>
                <w:sz w:val="15"/>
                <w:szCs w:val="15"/>
                <w:color w:val="auto"/>
              </w:rPr>
            </w:pPr>
          </w:p>
        </w:tc>
        <w:tc>
          <w:tcPr>
            <w:tcW w:w="20" w:type="dxa"/>
            <w:vAlign w:val="bottom"/>
            <w:shd w:val="clear" w:color="auto" w:fill="98B82F"/>
          </w:tcPr>
          <w:p>
            <w:pPr>
              <w:spacing w:after="0"/>
              <w:rPr>
                <w:sz w:val="15"/>
                <w:szCs w:val="15"/>
                <w:color w:val="auto"/>
              </w:rPr>
            </w:pPr>
          </w:p>
        </w:tc>
        <w:tc>
          <w:tcPr>
            <w:tcW w:w="220" w:type="dxa"/>
            <w:vAlign w:val="bottom"/>
            <w:tcBorders>
              <w:right w:val="single" w:sz="8" w:color="98B82F"/>
            </w:tcBorders>
            <w:shd w:val="clear" w:color="auto" w:fill="98B82F"/>
          </w:tcPr>
          <w:p>
            <w:pPr>
              <w:spacing w:after="0"/>
              <w:rPr>
                <w:sz w:val="15"/>
                <w:szCs w:val="15"/>
                <w:color w:val="auto"/>
              </w:rPr>
            </w:pPr>
          </w:p>
        </w:tc>
        <w:tc>
          <w:tcPr>
            <w:tcW w:w="100" w:type="dxa"/>
            <w:vAlign w:val="bottom"/>
            <w:tcBorders>
              <w:right w:val="single" w:sz="8" w:color="98B82F"/>
            </w:tcBorders>
            <w:shd w:val="clear" w:color="auto" w:fill="98B82F"/>
          </w:tcPr>
          <w:p>
            <w:pPr>
              <w:spacing w:after="0"/>
              <w:rPr>
                <w:sz w:val="15"/>
                <w:szCs w:val="15"/>
                <w:color w:val="auto"/>
              </w:rPr>
            </w:pPr>
          </w:p>
        </w:tc>
        <w:tc>
          <w:tcPr>
            <w:tcW w:w="80" w:type="dxa"/>
            <w:vAlign w:val="bottom"/>
            <w:shd w:val="clear" w:color="auto" w:fill="98B82F"/>
          </w:tcPr>
          <w:p>
            <w:pPr>
              <w:spacing w:after="0"/>
              <w:rPr>
                <w:sz w:val="15"/>
                <w:szCs w:val="15"/>
                <w:color w:val="auto"/>
              </w:rPr>
            </w:pPr>
          </w:p>
        </w:tc>
        <w:tc>
          <w:tcPr>
            <w:tcW w:w="100" w:type="dxa"/>
            <w:vAlign w:val="bottom"/>
            <w:shd w:val="clear" w:color="auto" w:fill="98B82F"/>
          </w:tcPr>
          <w:p>
            <w:pPr>
              <w:spacing w:after="0"/>
              <w:rPr>
                <w:sz w:val="15"/>
                <w:szCs w:val="15"/>
                <w:color w:val="auto"/>
              </w:rPr>
            </w:pPr>
          </w:p>
        </w:tc>
        <w:tc>
          <w:tcPr>
            <w:tcW w:w="120" w:type="dxa"/>
            <w:vAlign w:val="bottom"/>
            <w:tcBorders>
              <w:right w:val="single" w:sz="8" w:color="98B82F"/>
            </w:tcBorders>
            <w:shd w:val="clear" w:color="auto" w:fill="98B82F"/>
          </w:tcPr>
          <w:p>
            <w:pPr>
              <w:spacing w:after="0"/>
              <w:rPr>
                <w:sz w:val="15"/>
                <w:szCs w:val="15"/>
                <w:color w:val="auto"/>
              </w:rPr>
            </w:pPr>
          </w:p>
        </w:tc>
        <w:tc>
          <w:tcPr>
            <w:tcW w:w="160" w:type="dxa"/>
            <w:vAlign w:val="bottom"/>
            <w:tcBorders>
              <w:right w:val="single" w:sz="8" w:color="98B82F"/>
            </w:tcBorders>
            <w:shd w:val="clear" w:color="auto" w:fill="98B82F"/>
          </w:tcPr>
          <w:p>
            <w:pPr>
              <w:spacing w:after="0"/>
              <w:rPr>
                <w:sz w:val="15"/>
                <w:szCs w:val="15"/>
                <w:color w:val="auto"/>
              </w:rPr>
            </w:pPr>
          </w:p>
        </w:tc>
        <w:tc>
          <w:tcPr>
            <w:tcW w:w="160" w:type="dxa"/>
            <w:vAlign w:val="bottom"/>
            <w:gridSpan w:val="3"/>
            <w:shd w:val="clear" w:color="auto" w:fill="98B82F"/>
          </w:tcPr>
          <w:p>
            <w:pPr>
              <w:jc w:val="right"/>
              <w:spacing w:after="0"/>
              <w:rPr>
                <w:sz w:val="20"/>
                <w:szCs w:val="20"/>
                <w:color w:val="auto"/>
              </w:rPr>
            </w:pPr>
            <w:r>
              <w:rPr>
                <w:rFonts w:ascii="Arial" w:cs="Arial" w:eastAsia="Arial" w:hAnsi="Arial"/>
                <w:sz w:val="7"/>
                <w:szCs w:val="7"/>
                <w:b w:val="1"/>
                <w:bCs w:val="1"/>
                <w:color w:val="FFFFFF"/>
                <w:w w:val="76"/>
              </w:rPr>
              <w:t>2020</w:t>
            </w:r>
          </w:p>
        </w:tc>
        <w:tc>
          <w:tcPr>
            <w:tcW w:w="80" w:type="dxa"/>
            <w:vAlign w:val="bottom"/>
            <w:tcBorders>
              <w:right w:val="single" w:sz="8" w:color="98B82F"/>
            </w:tcBorders>
            <w:shd w:val="clear" w:color="auto" w:fill="98B82F"/>
          </w:tcPr>
          <w:p>
            <w:pPr>
              <w:spacing w:after="0"/>
              <w:rPr>
                <w:sz w:val="15"/>
                <w:szCs w:val="15"/>
                <w:color w:val="auto"/>
              </w:rPr>
            </w:pPr>
          </w:p>
        </w:tc>
        <w:tc>
          <w:tcPr>
            <w:tcW w:w="120" w:type="dxa"/>
            <w:vAlign w:val="bottom"/>
            <w:shd w:val="clear" w:color="auto" w:fill="98B82F"/>
          </w:tcPr>
          <w:p>
            <w:pPr>
              <w:spacing w:after="0"/>
              <w:rPr>
                <w:sz w:val="15"/>
                <w:szCs w:val="15"/>
                <w:color w:val="auto"/>
              </w:rPr>
            </w:pPr>
          </w:p>
        </w:tc>
        <w:tc>
          <w:tcPr>
            <w:tcW w:w="120" w:type="dxa"/>
            <w:vAlign w:val="bottom"/>
            <w:tcBorders>
              <w:right w:val="single" w:sz="8" w:color="98B82F"/>
            </w:tcBorders>
            <w:shd w:val="clear" w:color="auto" w:fill="98B82F"/>
          </w:tcPr>
          <w:p>
            <w:pPr>
              <w:spacing w:after="0"/>
              <w:rPr>
                <w:sz w:val="15"/>
                <w:szCs w:val="15"/>
                <w:color w:val="auto"/>
              </w:rPr>
            </w:pPr>
          </w:p>
        </w:tc>
        <w:tc>
          <w:tcPr>
            <w:tcW w:w="120" w:type="dxa"/>
            <w:vAlign w:val="bottom"/>
            <w:tcBorders>
              <w:right w:val="single" w:sz="8" w:color="98B82F"/>
            </w:tcBorders>
            <w:shd w:val="clear" w:color="auto" w:fill="98B82F"/>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640" w:type="dxa"/>
            <w:vAlign w:val="bottom"/>
            <w:tcBorders>
              <w:left w:val="single" w:sz="8" w:color="98B82F"/>
              <w:right w:val="single" w:sz="8" w:color="98B82F"/>
            </w:tcBorders>
            <w:gridSpan w:val="3"/>
            <w:shd w:val="clear" w:color="auto" w:fill="98B82F"/>
          </w:tcPr>
          <w:p>
            <w:pPr>
              <w:spacing w:after="0"/>
              <w:rPr>
                <w:sz w:val="7"/>
                <w:szCs w:val="7"/>
                <w:color w:val="auto"/>
              </w:rPr>
            </w:pPr>
          </w:p>
        </w:tc>
        <w:tc>
          <w:tcPr>
            <w:tcW w:w="140" w:type="dxa"/>
            <w:vAlign w:val="bottom"/>
            <w:tcBorders>
              <w:right w:val="single" w:sz="8" w:color="98B82F"/>
            </w:tcBorders>
            <w:gridSpan w:val="2"/>
            <w:shd w:val="clear" w:color="auto" w:fill="98B82F"/>
          </w:tcPr>
          <w:p>
            <w:pPr>
              <w:spacing w:after="0"/>
              <w:rPr>
                <w:sz w:val="7"/>
                <w:szCs w:val="7"/>
                <w:color w:val="auto"/>
              </w:rPr>
            </w:pPr>
          </w:p>
        </w:tc>
        <w:tc>
          <w:tcPr>
            <w:tcW w:w="320" w:type="dxa"/>
            <w:vAlign w:val="bottom"/>
            <w:tcBorders>
              <w:right w:val="single" w:sz="8" w:color="98B82F"/>
            </w:tcBorders>
            <w:shd w:val="clear" w:color="auto" w:fill="98B82F"/>
          </w:tcPr>
          <w:p>
            <w:pPr>
              <w:spacing w:after="0"/>
              <w:rPr>
                <w:sz w:val="7"/>
                <w:szCs w:val="7"/>
                <w:color w:val="auto"/>
              </w:rPr>
            </w:pPr>
          </w:p>
        </w:tc>
        <w:tc>
          <w:tcPr>
            <w:tcW w:w="1060" w:type="dxa"/>
            <w:vAlign w:val="bottom"/>
            <w:tcBorders>
              <w:right w:val="single" w:sz="8" w:color="98B82F"/>
            </w:tcBorders>
            <w:gridSpan w:val="8"/>
            <w:shd w:val="clear" w:color="auto" w:fill="98B82F"/>
          </w:tcPr>
          <w:p>
            <w:pPr>
              <w:spacing w:after="0"/>
              <w:rPr>
                <w:sz w:val="7"/>
                <w:szCs w:val="7"/>
                <w:color w:val="auto"/>
              </w:rPr>
            </w:pPr>
          </w:p>
        </w:tc>
        <w:tc>
          <w:tcPr>
            <w:tcW w:w="280" w:type="dxa"/>
            <w:vAlign w:val="bottom"/>
            <w:tcBorders>
              <w:right w:val="single" w:sz="8" w:color="98B82F"/>
            </w:tcBorders>
            <w:shd w:val="clear" w:color="auto" w:fill="98B82F"/>
          </w:tcPr>
          <w:p>
            <w:pPr>
              <w:spacing w:after="0"/>
              <w:rPr>
                <w:sz w:val="7"/>
                <w:szCs w:val="7"/>
                <w:color w:val="auto"/>
              </w:rPr>
            </w:pPr>
          </w:p>
        </w:tc>
        <w:tc>
          <w:tcPr>
            <w:tcW w:w="100" w:type="dxa"/>
            <w:vAlign w:val="bottom"/>
            <w:tcBorders>
              <w:right w:val="single" w:sz="8" w:color="98B82F"/>
            </w:tcBorders>
            <w:shd w:val="clear" w:color="auto" w:fill="98B82F"/>
          </w:tcPr>
          <w:p>
            <w:pPr>
              <w:spacing w:after="0"/>
              <w:rPr>
                <w:sz w:val="7"/>
                <w:szCs w:val="7"/>
                <w:color w:val="auto"/>
              </w:rPr>
            </w:pPr>
          </w:p>
        </w:tc>
        <w:tc>
          <w:tcPr>
            <w:tcW w:w="480" w:type="dxa"/>
            <w:vAlign w:val="bottom"/>
            <w:gridSpan w:val="6"/>
            <w:shd w:val="clear" w:color="auto" w:fill="98B82F"/>
          </w:tcPr>
          <w:p>
            <w:pPr>
              <w:spacing w:after="0"/>
              <w:rPr>
                <w:sz w:val="7"/>
                <w:szCs w:val="7"/>
                <w:color w:val="auto"/>
              </w:rPr>
            </w:pPr>
          </w:p>
        </w:tc>
        <w:tc>
          <w:tcPr>
            <w:tcW w:w="200" w:type="dxa"/>
            <w:vAlign w:val="bottom"/>
            <w:tcBorders>
              <w:left w:val="single" w:sz="8" w:color="98B82F"/>
              <w:right w:val="single" w:sz="8" w:color="98B82F"/>
            </w:tcBorders>
            <w:shd w:val="clear" w:color="auto" w:fill="98B82F"/>
          </w:tcPr>
          <w:p>
            <w:pPr>
              <w:spacing w:after="0"/>
              <w:rPr>
                <w:sz w:val="7"/>
                <w:szCs w:val="7"/>
                <w:color w:val="auto"/>
              </w:rPr>
            </w:pPr>
          </w:p>
        </w:tc>
        <w:tc>
          <w:tcPr>
            <w:tcW w:w="600" w:type="dxa"/>
            <w:vAlign w:val="bottom"/>
            <w:tcBorders>
              <w:right w:val="single" w:sz="8" w:color="98B82F"/>
            </w:tcBorders>
            <w:gridSpan w:val="6"/>
            <w:shd w:val="clear" w:color="auto" w:fill="98B82F"/>
          </w:tcPr>
          <w:p>
            <w:pPr>
              <w:spacing w:after="0"/>
              <w:rPr>
                <w:sz w:val="7"/>
                <w:szCs w:val="7"/>
                <w:color w:val="auto"/>
              </w:rPr>
            </w:pPr>
          </w:p>
        </w:tc>
        <w:tc>
          <w:tcPr>
            <w:tcW w:w="120" w:type="dxa"/>
            <w:vAlign w:val="bottom"/>
            <w:tcBorders>
              <w:right w:val="single" w:sz="8" w:color="98B82F"/>
            </w:tcBorders>
            <w:gridSpan w:val="2"/>
            <w:shd w:val="clear" w:color="auto" w:fill="98B82F"/>
          </w:tcPr>
          <w:p>
            <w:pPr>
              <w:spacing w:after="0"/>
              <w:rPr>
                <w:sz w:val="7"/>
                <w:szCs w:val="7"/>
                <w:color w:val="auto"/>
              </w:rPr>
            </w:pPr>
          </w:p>
        </w:tc>
        <w:tc>
          <w:tcPr>
            <w:tcW w:w="100" w:type="dxa"/>
            <w:vAlign w:val="bottom"/>
            <w:tcBorders>
              <w:right w:val="single" w:sz="8" w:color="98B82F"/>
            </w:tcBorders>
            <w:shd w:val="clear" w:color="auto" w:fill="98B82F"/>
          </w:tcPr>
          <w:p>
            <w:pPr>
              <w:spacing w:after="0"/>
              <w:rPr>
                <w:sz w:val="7"/>
                <w:szCs w:val="7"/>
                <w:color w:val="auto"/>
              </w:rPr>
            </w:pPr>
          </w:p>
        </w:tc>
        <w:tc>
          <w:tcPr>
            <w:tcW w:w="220" w:type="dxa"/>
            <w:vAlign w:val="bottom"/>
            <w:tcBorders>
              <w:right w:val="single" w:sz="8" w:color="98B82F"/>
            </w:tcBorders>
            <w:gridSpan w:val="4"/>
            <w:shd w:val="clear" w:color="auto" w:fill="98B82F"/>
          </w:tcPr>
          <w:p>
            <w:pPr>
              <w:spacing w:after="0"/>
              <w:rPr>
                <w:sz w:val="7"/>
                <w:szCs w:val="7"/>
                <w:color w:val="auto"/>
              </w:rPr>
            </w:pPr>
          </w:p>
        </w:tc>
        <w:tc>
          <w:tcPr>
            <w:tcW w:w="600" w:type="dxa"/>
            <w:vAlign w:val="bottom"/>
            <w:tcBorders>
              <w:right w:val="single" w:sz="8" w:color="98B82F"/>
            </w:tcBorders>
            <w:gridSpan w:val="6"/>
            <w:shd w:val="clear" w:color="auto" w:fill="98B82F"/>
          </w:tcPr>
          <w:p>
            <w:pPr>
              <w:spacing w:after="0"/>
              <w:rPr>
                <w:sz w:val="7"/>
                <w:szCs w:val="7"/>
                <w:color w:val="auto"/>
              </w:rPr>
            </w:pPr>
          </w:p>
        </w:tc>
        <w:tc>
          <w:tcPr>
            <w:tcW w:w="320" w:type="dxa"/>
            <w:vAlign w:val="bottom"/>
            <w:tcBorders>
              <w:right w:val="single" w:sz="8" w:color="98B82F"/>
            </w:tcBorders>
            <w:gridSpan w:val="4"/>
            <w:shd w:val="clear" w:color="auto" w:fill="98B82F"/>
          </w:tcPr>
          <w:p>
            <w:pPr>
              <w:spacing w:after="0"/>
              <w:rPr>
                <w:sz w:val="7"/>
                <w:szCs w:val="7"/>
                <w:color w:val="auto"/>
              </w:rPr>
            </w:pPr>
          </w:p>
        </w:tc>
        <w:tc>
          <w:tcPr>
            <w:tcW w:w="100" w:type="dxa"/>
            <w:vAlign w:val="bottom"/>
            <w:tcBorders>
              <w:right w:val="single" w:sz="8" w:color="98B82F"/>
            </w:tcBorders>
            <w:shd w:val="clear" w:color="auto" w:fill="98B82F"/>
          </w:tcPr>
          <w:p>
            <w:pPr>
              <w:spacing w:after="0"/>
              <w:rPr>
                <w:sz w:val="7"/>
                <w:szCs w:val="7"/>
                <w:color w:val="auto"/>
              </w:rPr>
            </w:pPr>
          </w:p>
        </w:tc>
        <w:tc>
          <w:tcPr>
            <w:tcW w:w="300" w:type="dxa"/>
            <w:vAlign w:val="bottom"/>
            <w:tcBorders>
              <w:right w:val="single" w:sz="8" w:color="98B82F"/>
            </w:tcBorders>
            <w:gridSpan w:val="3"/>
            <w:shd w:val="clear" w:color="auto" w:fill="98B82F"/>
          </w:tcPr>
          <w:p>
            <w:pPr>
              <w:spacing w:after="0"/>
              <w:rPr>
                <w:sz w:val="7"/>
                <w:szCs w:val="7"/>
                <w:color w:val="auto"/>
              </w:rPr>
            </w:pPr>
          </w:p>
        </w:tc>
        <w:tc>
          <w:tcPr>
            <w:tcW w:w="160" w:type="dxa"/>
            <w:vAlign w:val="bottom"/>
            <w:tcBorders>
              <w:right w:val="single" w:sz="8" w:color="98B82F"/>
            </w:tcBorders>
            <w:shd w:val="clear" w:color="auto" w:fill="98B82F"/>
          </w:tcPr>
          <w:p>
            <w:pPr>
              <w:spacing w:after="0"/>
              <w:rPr>
                <w:sz w:val="7"/>
                <w:szCs w:val="7"/>
                <w:color w:val="auto"/>
              </w:rPr>
            </w:pPr>
          </w:p>
        </w:tc>
        <w:tc>
          <w:tcPr>
            <w:tcW w:w="120" w:type="dxa"/>
            <w:vAlign w:val="bottom"/>
            <w:tcBorders>
              <w:right w:val="single" w:sz="8" w:color="98B82F"/>
            </w:tcBorders>
            <w:gridSpan w:val="2"/>
            <w:shd w:val="clear" w:color="auto" w:fill="98B82F"/>
          </w:tcPr>
          <w:p>
            <w:pPr>
              <w:spacing w:after="0"/>
              <w:rPr>
                <w:sz w:val="7"/>
                <w:szCs w:val="7"/>
                <w:color w:val="auto"/>
              </w:rPr>
            </w:pPr>
          </w:p>
        </w:tc>
        <w:tc>
          <w:tcPr>
            <w:tcW w:w="120" w:type="dxa"/>
            <w:vAlign w:val="bottom"/>
            <w:tcBorders>
              <w:right w:val="single" w:sz="8" w:color="98B82F"/>
            </w:tcBorders>
            <w:gridSpan w:val="2"/>
            <w:shd w:val="clear" w:color="auto" w:fill="98B82F"/>
          </w:tcPr>
          <w:p>
            <w:pPr>
              <w:spacing w:after="0"/>
              <w:rPr>
                <w:sz w:val="7"/>
                <w:szCs w:val="7"/>
                <w:color w:val="auto"/>
              </w:rPr>
            </w:pPr>
          </w:p>
        </w:tc>
        <w:tc>
          <w:tcPr>
            <w:tcW w:w="240" w:type="dxa"/>
            <w:vAlign w:val="bottom"/>
            <w:tcBorders>
              <w:right w:val="single" w:sz="8" w:color="98B82F"/>
            </w:tcBorders>
            <w:gridSpan w:val="2"/>
            <w:shd w:val="clear" w:color="auto" w:fill="98B82F"/>
          </w:tcPr>
          <w:p>
            <w:pPr>
              <w:spacing w:after="0"/>
              <w:rPr>
                <w:sz w:val="7"/>
                <w:szCs w:val="7"/>
                <w:color w:val="auto"/>
              </w:rPr>
            </w:pPr>
          </w:p>
        </w:tc>
        <w:tc>
          <w:tcPr>
            <w:tcW w:w="120" w:type="dxa"/>
            <w:vAlign w:val="bottom"/>
            <w:tcBorders>
              <w:right w:val="single" w:sz="8" w:color="98B82F"/>
            </w:tcBorders>
            <w:shd w:val="clear" w:color="auto" w:fill="98B82F"/>
          </w:tcPr>
          <w:p>
            <w:pPr>
              <w:spacing w:after="0"/>
              <w:rPr>
                <w:sz w:val="7"/>
                <w:szCs w:val="7"/>
                <w:color w:val="auto"/>
              </w:rPr>
            </w:pPr>
          </w:p>
        </w:tc>
        <w:tc>
          <w:tcPr>
            <w:tcW w:w="980" w:type="dxa"/>
            <w:vAlign w:val="bottom"/>
            <w:gridSpan w:val="6"/>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180" w:type="dxa"/>
            <w:vAlign w:val="bottom"/>
            <w:tcBorders>
              <w:left w:val="single" w:sz="8" w:color="98B82F"/>
            </w:tcBorders>
            <w:gridSpan w:val="7"/>
          </w:tcPr>
          <w:p>
            <w:pPr>
              <w:ind w:left="120"/>
              <w:spacing w:after="0"/>
              <w:rPr>
                <w:sz w:val="20"/>
                <w:szCs w:val="20"/>
                <w:color w:val="auto"/>
              </w:rPr>
            </w:pPr>
            <w:r>
              <w:rPr>
                <w:rFonts w:ascii="Arial" w:cs="Arial" w:eastAsia="Arial" w:hAnsi="Arial"/>
                <w:sz w:val="8"/>
                <w:szCs w:val="8"/>
                <w:color w:val="auto"/>
              </w:rPr>
              <w:t>Total Recordable Injuries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right w:val="single" w:sz="8" w:color="98B82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gridSpan w:val="3"/>
          </w:tcPr>
          <w:p>
            <w:pPr>
              <w:jc w:val="center"/>
              <w:ind w:left="2"/>
              <w:spacing w:after="0"/>
              <w:rPr>
                <w:sz w:val="20"/>
                <w:szCs w:val="20"/>
                <w:color w:val="auto"/>
              </w:rPr>
            </w:pPr>
            <w:r>
              <w:rPr>
                <w:rFonts w:ascii="Arial" w:cs="Arial" w:eastAsia="Arial" w:hAnsi="Arial"/>
                <w:sz w:val="8"/>
                <w:szCs w:val="8"/>
                <w:color w:val="auto"/>
              </w:rPr>
              <w:t>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right w:val="single" w:sz="8" w:color="98B82F"/>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center"/>
              <w:spacing w:after="0"/>
              <w:rPr>
                <w:sz w:val="20"/>
                <w:szCs w:val="20"/>
                <w:color w:val="auto"/>
              </w:rPr>
            </w:pPr>
            <w:r>
              <w:rPr>
                <w:rFonts w:ascii="Arial" w:cs="Arial" w:eastAsia="Arial" w:hAnsi="Arial"/>
                <w:sz w:val="8"/>
                <w:szCs w:val="8"/>
                <w:color w:val="auto"/>
                <w:w w:val="88"/>
              </w:rPr>
              <w:t>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right w:val="single" w:sz="8" w:color="98B82F"/>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gridSpan w:val="3"/>
          </w:tcPr>
          <w:p>
            <w:pPr>
              <w:spacing w:after="0"/>
              <w:rPr>
                <w:sz w:val="20"/>
                <w:szCs w:val="20"/>
                <w:color w:val="auto"/>
              </w:rPr>
            </w:pPr>
            <w:r>
              <w:rPr>
                <w:rFonts w:ascii="Arial" w:cs="Arial" w:eastAsia="Arial" w:hAnsi="Arial"/>
                <w:sz w:val="8"/>
                <w:szCs w:val="8"/>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98B82F"/>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3220" w:type="dxa"/>
            <w:vAlign w:val="bottom"/>
            <w:tcBorders>
              <w:left w:val="single" w:sz="8" w:color="98B82F"/>
              <w:bottom w:val="single" w:sz="8" w:color="98B82F"/>
              <w:right w:val="single" w:sz="8" w:color="98B82F"/>
            </w:tcBorders>
            <w:gridSpan w:val="23"/>
          </w:tcPr>
          <w:p>
            <w:pPr>
              <w:spacing w:after="0"/>
              <w:rPr>
                <w:sz w:val="3"/>
                <w:szCs w:val="3"/>
                <w:color w:val="auto"/>
              </w:rPr>
            </w:pPr>
          </w:p>
        </w:tc>
        <w:tc>
          <w:tcPr>
            <w:tcW w:w="1040" w:type="dxa"/>
            <w:vAlign w:val="bottom"/>
            <w:tcBorders>
              <w:bottom w:val="single" w:sz="8" w:color="98B82F"/>
              <w:right w:val="single" w:sz="8" w:color="98B82F"/>
            </w:tcBorders>
            <w:gridSpan w:val="13"/>
          </w:tcPr>
          <w:p>
            <w:pPr>
              <w:spacing w:after="0"/>
              <w:rPr>
                <w:sz w:val="3"/>
                <w:szCs w:val="3"/>
                <w:color w:val="auto"/>
              </w:rPr>
            </w:pPr>
          </w:p>
        </w:tc>
        <w:tc>
          <w:tcPr>
            <w:tcW w:w="1020" w:type="dxa"/>
            <w:vAlign w:val="bottom"/>
            <w:tcBorders>
              <w:bottom w:val="single" w:sz="8" w:color="98B82F"/>
              <w:right w:val="single" w:sz="8" w:color="98B82F"/>
            </w:tcBorders>
            <w:gridSpan w:val="11"/>
          </w:tcPr>
          <w:p>
            <w:pPr>
              <w:spacing w:after="0"/>
              <w:rPr>
                <w:sz w:val="3"/>
                <w:szCs w:val="3"/>
                <w:color w:val="auto"/>
              </w:rPr>
            </w:pPr>
          </w:p>
        </w:tc>
        <w:tc>
          <w:tcPr>
            <w:tcW w:w="1060" w:type="dxa"/>
            <w:vAlign w:val="bottom"/>
            <w:tcBorders>
              <w:bottom w:val="single" w:sz="8" w:color="98B82F"/>
              <w:right w:val="single" w:sz="8" w:color="98B82F"/>
            </w:tcBorders>
            <w:gridSpan w:val="11"/>
          </w:tcPr>
          <w:p>
            <w:pPr>
              <w:spacing w:after="0"/>
              <w:rPr>
                <w:sz w:val="3"/>
                <w:szCs w:val="3"/>
                <w:color w:val="auto"/>
              </w:rPr>
            </w:pPr>
          </w:p>
        </w:tc>
        <w:tc>
          <w:tcPr>
            <w:tcW w:w="980" w:type="dxa"/>
            <w:vAlign w:val="bottom"/>
            <w:gridSpan w:val="6"/>
          </w:tcPr>
          <w:p>
            <w:pPr>
              <w:spacing w:after="0"/>
              <w:rPr>
                <w:sz w:val="3"/>
                <w:szCs w:val="3"/>
                <w:color w:val="auto"/>
              </w:rPr>
            </w:pPr>
          </w:p>
        </w:tc>
        <w:tc>
          <w:tcPr>
            <w:tcW w:w="0" w:type="dxa"/>
            <w:vAlign w:val="bottom"/>
          </w:tcPr>
          <w:p>
            <w:pPr>
              <w:spacing w:after="0"/>
              <w:rPr>
                <w:sz w:val="1"/>
                <w:szCs w:val="1"/>
                <w:color w:val="auto"/>
              </w:rPr>
            </w:pPr>
          </w:p>
        </w:tc>
      </w:tr>
      <w:tr>
        <w:trPr>
          <w:trHeight w:val="29"/>
        </w:trPr>
        <w:tc>
          <w:tcPr>
            <w:tcW w:w="3220" w:type="dxa"/>
            <w:vAlign w:val="bottom"/>
            <w:tcBorders>
              <w:left w:val="single" w:sz="8" w:color="98B82F"/>
              <w:right w:val="single" w:sz="8" w:color="98B82F"/>
            </w:tcBorders>
            <w:gridSpan w:val="23"/>
          </w:tcPr>
          <w:p>
            <w:pPr>
              <w:spacing w:after="0"/>
              <w:rPr>
                <w:sz w:val="2"/>
                <w:szCs w:val="2"/>
                <w:color w:val="auto"/>
              </w:rPr>
            </w:pPr>
          </w:p>
        </w:tc>
        <w:tc>
          <w:tcPr>
            <w:tcW w:w="1040" w:type="dxa"/>
            <w:vAlign w:val="bottom"/>
            <w:tcBorders>
              <w:right w:val="single" w:sz="8" w:color="98B82F"/>
            </w:tcBorders>
            <w:gridSpan w:val="13"/>
          </w:tcPr>
          <w:p>
            <w:pPr>
              <w:spacing w:after="0"/>
              <w:rPr>
                <w:sz w:val="2"/>
                <w:szCs w:val="2"/>
                <w:color w:val="auto"/>
              </w:rPr>
            </w:pPr>
          </w:p>
        </w:tc>
        <w:tc>
          <w:tcPr>
            <w:tcW w:w="1020" w:type="dxa"/>
            <w:vAlign w:val="bottom"/>
            <w:tcBorders>
              <w:right w:val="single" w:sz="8" w:color="98B82F"/>
            </w:tcBorders>
            <w:gridSpan w:val="11"/>
          </w:tcPr>
          <w:p>
            <w:pPr>
              <w:spacing w:after="0"/>
              <w:rPr>
                <w:sz w:val="2"/>
                <w:szCs w:val="2"/>
                <w:color w:val="auto"/>
              </w:rPr>
            </w:pPr>
          </w:p>
        </w:tc>
        <w:tc>
          <w:tcPr>
            <w:tcW w:w="1060" w:type="dxa"/>
            <w:vAlign w:val="bottom"/>
            <w:tcBorders>
              <w:right w:val="single" w:sz="8" w:color="98B82F"/>
            </w:tcBorders>
            <w:gridSpan w:val="11"/>
          </w:tcPr>
          <w:p>
            <w:pPr>
              <w:spacing w:after="0"/>
              <w:rPr>
                <w:sz w:val="2"/>
                <w:szCs w:val="2"/>
                <w:color w:val="auto"/>
              </w:rPr>
            </w:pPr>
          </w:p>
        </w:tc>
        <w:tc>
          <w:tcPr>
            <w:tcW w:w="980" w:type="dxa"/>
            <w:vAlign w:val="bottom"/>
            <w:gridSpan w:val="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1100" w:type="dxa"/>
            <w:vAlign w:val="bottom"/>
            <w:tcBorders>
              <w:left w:val="single" w:sz="8" w:color="98B82F"/>
              <w:bottom w:val="single" w:sz="8" w:color="98B82F"/>
              <w:right w:val="single" w:sz="8" w:color="98B82F"/>
            </w:tcBorders>
            <w:gridSpan w:val="6"/>
          </w:tcPr>
          <w:p>
            <w:pPr>
              <w:ind w:left="120"/>
              <w:spacing w:after="0"/>
              <w:rPr>
                <w:sz w:val="20"/>
                <w:szCs w:val="20"/>
                <w:color w:val="auto"/>
              </w:rPr>
            </w:pPr>
            <w:r>
              <w:rPr>
                <w:rFonts w:ascii="Arial" w:cs="Arial" w:eastAsia="Arial" w:hAnsi="Arial"/>
                <w:sz w:val="8"/>
                <w:szCs w:val="8"/>
                <w:color w:val="auto"/>
              </w:rPr>
              <w:t>Total Hours Worked</w:t>
            </w:r>
          </w:p>
        </w:tc>
        <w:tc>
          <w:tcPr>
            <w:tcW w:w="80" w:type="dxa"/>
            <w:vAlign w:val="bottom"/>
            <w:tcBorders>
              <w:bottom w:val="single" w:sz="8" w:color="98B82F"/>
            </w:tcBorders>
            <w:shd w:val="clear" w:color="auto" w:fill="98B82F"/>
          </w:tcPr>
          <w:p>
            <w:pPr>
              <w:spacing w:after="0"/>
              <w:rPr>
                <w:sz w:val="18"/>
                <w:szCs w:val="18"/>
                <w:color w:val="auto"/>
              </w:rPr>
            </w:pPr>
          </w:p>
        </w:tc>
        <w:tc>
          <w:tcPr>
            <w:tcW w:w="14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tcBorders>
            <w:shd w:val="clear" w:color="auto" w:fill="98B82F"/>
          </w:tcPr>
          <w:p>
            <w:pPr>
              <w:spacing w:after="0"/>
              <w:rPr>
                <w:sz w:val="18"/>
                <w:szCs w:val="18"/>
                <w:color w:val="auto"/>
              </w:rPr>
            </w:pPr>
          </w:p>
        </w:tc>
        <w:tc>
          <w:tcPr>
            <w:tcW w:w="10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tcBorders>
            <w:shd w:val="clear" w:color="auto" w:fill="98B82F"/>
          </w:tcPr>
          <w:p>
            <w:pPr>
              <w:spacing w:after="0"/>
              <w:rPr>
                <w:sz w:val="18"/>
                <w:szCs w:val="18"/>
                <w:color w:val="auto"/>
              </w:rPr>
            </w:pPr>
          </w:p>
        </w:tc>
        <w:tc>
          <w:tcPr>
            <w:tcW w:w="100" w:type="dxa"/>
            <w:vAlign w:val="bottom"/>
            <w:tcBorders>
              <w:bottom w:val="single" w:sz="8" w:color="98B82F"/>
            </w:tcBorders>
            <w:shd w:val="clear" w:color="auto" w:fill="98B82F"/>
          </w:tcPr>
          <w:p>
            <w:pPr>
              <w:spacing w:after="0"/>
              <w:rPr>
                <w:sz w:val="18"/>
                <w:szCs w:val="18"/>
                <w:color w:val="auto"/>
              </w:rPr>
            </w:pPr>
          </w:p>
        </w:tc>
        <w:tc>
          <w:tcPr>
            <w:tcW w:w="140" w:type="dxa"/>
            <w:vAlign w:val="bottom"/>
            <w:tcBorders>
              <w:bottom w:val="single" w:sz="8" w:color="98B82F"/>
            </w:tcBorders>
            <w:shd w:val="clear" w:color="auto" w:fill="98B82F"/>
          </w:tcPr>
          <w:p>
            <w:pPr>
              <w:spacing w:after="0"/>
              <w:rPr>
                <w:sz w:val="18"/>
                <w:szCs w:val="18"/>
                <w:color w:val="auto"/>
              </w:rPr>
            </w:pPr>
          </w:p>
        </w:tc>
        <w:tc>
          <w:tcPr>
            <w:tcW w:w="260" w:type="dxa"/>
            <w:vAlign w:val="bottom"/>
            <w:tcBorders>
              <w:bottom w:val="single" w:sz="8" w:color="98B82F"/>
              <w:right w:val="single" w:sz="8" w:color="98B82F"/>
            </w:tcBorders>
            <w:shd w:val="clear" w:color="auto" w:fill="98B82F"/>
          </w:tcPr>
          <w:p>
            <w:pPr>
              <w:spacing w:after="0"/>
              <w:rPr>
                <w:sz w:val="18"/>
                <w:szCs w:val="18"/>
                <w:color w:val="auto"/>
              </w:rPr>
            </w:pPr>
          </w:p>
        </w:tc>
        <w:tc>
          <w:tcPr>
            <w:tcW w:w="280" w:type="dxa"/>
            <w:vAlign w:val="bottom"/>
            <w:tcBorders>
              <w:bottom w:val="single" w:sz="8" w:color="98B82F"/>
              <w:right w:val="single" w:sz="8" w:color="98B82F"/>
            </w:tcBorders>
            <w:shd w:val="clear" w:color="auto" w:fill="98B82F"/>
          </w:tcPr>
          <w:p>
            <w:pPr>
              <w:spacing w:after="0"/>
              <w:rPr>
                <w:sz w:val="18"/>
                <w:szCs w:val="18"/>
                <w:color w:val="auto"/>
              </w:rPr>
            </w:pPr>
          </w:p>
        </w:tc>
        <w:tc>
          <w:tcPr>
            <w:tcW w:w="100" w:type="dxa"/>
            <w:vAlign w:val="bottom"/>
            <w:tcBorders>
              <w:bottom w:val="single" w:sz="8" w:color="98B82F"/>
              <w:right w:val="single" w:sz="8" w:color="98B82F"/>
            </w:tcBorders>
            <w:shd w:val="clear" w:color="auto" w:fill="98B82F"/>
          </w:tcPr>
          <w:p>
            <w:pPr>
              <w:spacing w:after="0"/>
              <w:rPr>
                <w:sz w:val="18"/>
                <w:szCs w:val="18"/>
                <w:color w:val="auto"/>
              </w:rPr>
            </w:pPr>
          </w:p>
        </w:tc>
        <w:tc>
          <w:tcPr>
            <w:tcW w:w="180" w:type="dxa"/>
            <w:vAlign w:val="bottom"/>
            <w:tcBorders>
              <w:bottom w:val="single" w:sz="8" w:color="98B82F"/>
            </w:tcBorders>
            <w:shd w:val="clear" w:color="auto" w:fill="98B82F"/>
          </w:tcPr>
          <w:p>
            <w:pPr>
              <w:spacing w:after="0"/>
              <w:rPr>
                <w:sz w:val="18"/>
                <w:szCs w:val="18"/>
                <w:color w:val="auto"/>
              </w:rPr>
            </w:pPr>
          </w:p>
        </w:tc>
        <w:tc>
          <w:tcPr>
            <w:tcW w:w="40" w:type="dxa"/>
            <w:vAlign w:val="bottom"/>
            <w:tcBorders>
              <w:bottom w:val="single" w:sz="8" w:color="98B82F"/>
            </w:tcBorders>
            <w:shd w:val="clear" w:color="auto" w:fill="98B82F"/>
          </w:tcPr>
          <w:p>
            <w:pPr>
              <w:spacing w:after="0"/>
              <w:rPr>
                <w:sz w:val="18"/>
                <w:szCs w:val="18"/>
                <w:color w:val="auto"/>
              </w:rPr>
            </w:pPr>
          </w:p>
        </w:tc>
        <w:tc>
          <w:tcPr>
            <w:tcW w:w="6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tcBorders>
            <w:shd w:val="clear" w:color="auto" w:fill="98B82F"/>
          </w:tcPr>
          <w:p>
            <w:pPr>
              <w:spacing w:after="0"/>
              <w:rPr>
                <w:sz w:val="18"/>
                <w:szCs w:val="18"/>
                <w:color w:val="auto"/>
              </w:rPr>
            </w:pPr>
          </w:p>
        </w:tc>
        <w:tc>
          <w:tcPr>
            <w:tcW w:w="40" w:type="dxa"/>
            <w:vAlign w:val="bottom"/>
            <w:tcBorders>
              <w:bottom w:val="single" w:sz="8" w:color="98B82F"/>
            </w:tcBorders>
            <w:shd w:val="clear" w:color="auto" w:fill="98B82F"/>
          </w:tcPr>
          <w:p>
            <w:pPr>
              <w:spacing w:after="0"/>
              <w:rPr>
                <w:sz w:val="18"/>
                <w:szCs w:val="18"/>
                <w:color w:val="auto"/>
              </w:rPr>
            </w:pPr>
          </w:p>
        </w:tc>
        <w:tc>
          <w:tcPr>
            <w:tcW w:w="40" w:type="dxa"/>
            <w:vAlign w:val="bottom"/>
            <w:tcBorders>
              <w:bottom w:val="single" w:sz="8" w:color="98B82F"/>
            </w:tcBorders>
            <w:shd w:val="clear" w:color="auto" w:fill="98B82F"/>
          </w:tcPr>
          <w:p>
            <w:pPr>
              <w:spacing w:after="0"/>
              <w:rPr>
                <w:sz w:val="18"/>
                <w:szCs w:val="18"/>
                <w:color w:val="auto"/>
              </w:rPr>
            </w:pPr>
          </w:p>
        </w:tc>
        <w:tc>
          <w:tcPr>
            <w:tcW w:w="200" w:type="dxa"/>
            <w:vAlign w:val="bottom"/>
            <w:tcBorders>
              <w:left w:val="single" w:sz="8" w:color="98B82F"/>
              <w:bottom w:val="single" w:sz="8" w:color="98B82F"/>
              <w:right w:val="single" w:sz="8" w:color="98B82F"/>
            </w:tcBorders>
            <w:shd w:val="clear" w:color="auto" w:fill="98B82F"/>
          </w:tcPr>
          <w:p>
            <w:pPr>
              <w:spacing w:after="0"/>
              <w:rPr>
                <w:sz w:val="18"/>
                <w:szCs w:val="18"/>
                <w:color w:val="auto"/>
              </w:rPr>
            </w:pPr>
          </w:p>
        </w:tc>
        <w:tc>
          <w:tcPr>
            <w:tcW w:w="4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tcBorders>
            <w:shd w:val="clear" w:color="auto" w:fill="98B82F"/>
          </w:tcPr>
          <w:p>
            <w:pPr>
              <w:spacing w:after="0"/>
              <w:rPr>
                <w:sz w:val="18"/>
                <w:szCs w:val="18"/>
                <w:color w:val="auto"/>
              </w:rPr>
            </w:pPr>
          </w:p>
        </w:tc>
        <w:tc>
          <w:tcPr>
            <w:tcW w:w="560" w:type="dxa"/>
            <w:vAlign w:val="bottom"/>
            <w:tcBorders>
              <w:bottom w:val="single" w:sz="8" w:color="98B82F"/>
              <w:right w:val="single" w:sz="8" w:color="98B82F"/>
            </w:tcBorders>
            <w:gridSpan w:val="6"/>
            <w:shd w:val="clear" w:color="auto" w:fill="98B82F"/>
          </w:tcPr>
          <w:p>
            <w:pPr>
              <w:jc w:val="center"/>
              <w:ind w:left="102"/>
              <w:spacing w:after="0"/>
              <w:rPr>
                <w:sz w:val="20"/>
                <w:szCs w:val="20"/>
                <w:color w:val="auto"/>
              </w:rPr>
            </w:pPr>
            <w:r>
              <w:rPr>
                <w:rFonts w:ascii="Arial" w:cs="Arial" w:eastAsia="Arial" w:hAnsi="Arial"/>
                <w:sz w:val="8"/>
                <w:szCs w:val="8"/>
                <w:color w:val="auto"/>
              </w:rPr>
              <w:t>1,190,670</w:t>
            </w:r>
          </w:p>
        </w:tc>
        <w:tc>
          <w:tcPr>
            <w:tcW w:w="100" w:type="dxa"/>
            <w:vAlign w:val="bottom"/>
            <w:tcBorders>
              <w:bottom w:val="single" w:sz="8" w:color="98B82F"/>
              <w:right w:val="single" w:sz="8" w:color="98B82F"/>
            </w:tcBorders>
            <w:shd w:val="clear" w:color="auto" w:fill="98B82F"/>
          </w:tcPr>
          <w:p>
            <w:pPr>
              <w:spacing w:after="0"/>
              <w:rPr>
                <w:sz w:val="18"/>
                <w:szCs w:val="18"/>
                <w:color w:val="auto"/>
              </w:rPr>
            </w:pPr>
          </w:p>
        </w:tc>
        <w:tc>
          <w:tcPr>
            <w:tcW w:w="20" w:type="dxa"/>
            <w:vAlign w:val="bottom"/>
            <w:tcBorders>
              <w:bottom w:val="single" w:sz="8" w:color="98B82F"/>
            </w:tcBorders>
            <w:shd w:val="clear" w:color="auto" w:fill="98B82F"/>
          </w:tcPr>
          <w:p>
            <w:pPr>
              <w:spacing w:after="0"/>
              <w:rPr>
                <w:sz w:val="18"/>
                <w:szCs w:val="18"/>
                <w:color w:val="auto"/>
              </w:rPr>
            </w:pPr>
          </w:p>
        </w:tc>
        <w:tc>
          <w:tcPr>
            <w:tcW w:w="60" w:type="dxa"/>
            <w:vAlign w:val="bottom"/>
            <w:tcBorders>
              <w:bottom w:val="single" w:sz="8" w:color="98B82F"/>
            </w:tcBorders>
            <w:shd w:val="clear" w:color="auto" w:fill="98B82F"/>
          </w:tcPr>
          <w:p>
            <w:pPr>
              <w:spacing w:after="0"/>
              <w:rPr>
                <w:sz w:val="18"/>
                <w:szCs w:val="18"/>
                <w:color w:val="auto"/>
              </w:rPr>
            </w:pPr>
          </w:p>
        </w:tc>
        <w:tc>
          <w:tcPr>
            <w:tcW w:w="100" w:type="dxa"/>
            <w:vAlign w:val="bottom"/>
            <w:tcBorders>
              <w:bottom w:val="single" w:sz="8" w:color="98B82F"/>
            </w:tcBorders>
            <w:shd w:val="clear" w:color="auto" w:fill="98B82F"/>
          </w:tcPr>
          <w:p>
            <w:pPr>
              <w:spacing w:after="0"/>
              <w:rPr>
                <w:sz w:val="18"/>
                <w:szCs w:val="18"/>
                <w:color w:val="auto"/>
              </w:rPr>
            </w:pPr>
          </w:p>
        </w:tc>
        <w:tc>
          <w:tcPr>
            <w:tcW w:w="40" w:type="dxa"/>
            <w:vAlign w:val="bottom"/>
            <w:tcBorders>
              <w:bottom w:val="single" w:sz="8" w:color="98B82F"/>
              <w:right w:val="single" w:sz="8" w:color="98B82F"/>
            </w:tcBorders>
            <w:shd w:val="clear" w:color="auto" w:fill="98B82F"/>
          </w:tcPr>
          <w:p>
            <w:pPr>
              <w:spacing w:after="0"/>
              <w:rPr>
                <w:sz w:val="18"/>
                <w:szCs w:val="18"/>
                <w:color w:val="auto"/>
              </w:rPr>
            </w:pPr>
          </w:p>
        </w:tc>
        <w:tc>
          <w:tcPr>
            <w:tcW w:w="10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tcBorders>
            <w:shd w:val="clear" w:color="auto" w:fill="98B82F"/>
          </w:tcPr>
          <w:p>
            <w:pPr>
              <w:spacing w:after="0"/>
              <w:rPr>
                <w:sz w:val="18"/>
                <w:szCs w:val="18"/>
                <w:color w:val="auto"/>
              </w:rPr>
            </w:pPr>
          </w:p>
        </w:tc>
        <w:tc>
          <w:tcPr>
            <w:tcW w:w="40" w:type="dxa"/>
            <w:vAlign w:val="bottom"/>
            <w:tcBorders>
              <w:bottom w:val="single" w:sz="8" w:color="98B82F"/>
            </w:tcBorders>
            <w:shd w:val="clear" w:color="auto" w:fill="98B82F"/>
          </w:tcPr>
          <w:p>
            <w:pPr>
              <w:spacing w:after="0"/>
              <w:rPr>
                <w:sz w:val="18"/>
                <w:szCs w:val="18"/>
                <w:color w:val="auto"/>
              </w:rPr>
            </w:pPr>
          </w:p>
        </w:tc>
        <w:tc>
          <w:tcPr>
            <w:tcW w:w="440" w:type="dxa"/>
            <w:vAlign w:val="bottom"/>
            <w:tcBorders>
              <w:bottom w:val="single" w:sz="8" w:color="98B82F"/>
            </w:tcBorders>
            <w:gridSpan w:val="6"/>
            <w:shd w:val="clear" w:color="auto" w:fill="98B82F"/>
          </w:tcPr>
          <w:p>
            <w:pPr>
              <w:jc w:val="center"/>
              <w:spacing w:after="0"/>
              <w:rPr>
                <w:sz w:val="20"/>
                <w:szCs w:val="20"/>
                <w:color w:val="auto"/>
              </w:rPr>
            </w:pPr>
            <w:r>
              <w:rPr>
                <w:rFonts w:ascii="Arial" w:cs="Arial" w:eastAsia="Arial" w:hAnsi="Arial"/>
                <w:sz w:val="8"/>
                <w:szCs w:val="8"/>
                <w:color w:val="auto"/>
              </w:rPr>
              <w:t>1,554,931</w:t>
            </w:r>
          </w:p>
        </w:tc>
        <w:tc>
          <w:tcPr>
            <w:tcW w:w="220" w:type="dxa"/>
            <w:vAlign w:val="bottom"/>
            <w:tcBorders>
              <w:bottom w:val="single" w:sz="8" w:color="98B82F"/>
              <w:right w:val="single" w:sz="8" w:color="98B82F"/>
            </w:tcBorders>
            <w:shd w:val="clear" w:color="auto" w:fill="98B82F"/>
          </w:tcPr>
          <w:p>
            <w:pPr>
              <w:spacing w:after="0"/>
              <w:rPr>
                <w:sz w:val="18"/>
                <w:szCs w:val="18"/>
                <w:color w:val="auto"/>
              </w:rPr>
            </w:pPr>
          </w:p>
        </w:tc>
        <w:tc>
          <w:tcPr>
            <w:tcW w:w="280" w:type="dxa"/>
            <w:vAlign w:val="bottom"/>
            <w:tcBorders>
              <w:bottom w:val="single" w:sz="8" w:color="98B82F"/>
            </w:tcBorders>
            <w:gridSpan w:val="3"/>
            <w:shd w:val="clear" w:color="auto" w:fill="98B82F"/>
          </w:tcPr>
          <w:p>
            <w:pPr>
              <w:jc w:val="center"/>
              <w:ind w:right="80"/>
              <w:spacing w:after="0"/>
              <w:rPr>
                <w:sz w:val="20"/>
                <w:szCs w:val="20"/>
                <w:color w:val="auto"/>
              </w:rPr>
            </w:pPr>
            <w:r>
              <w:rPr>
                <w:rFonts w:ascii="Arial" w:cs="Arial" w:eastAsia="Arial" w:hAnsi="Arial"/>
                <w:sz w:val="10"/>
                <w:szCs w:val="10"/>
                <w:b w:val="1"/>
                <w:bCs w:val="1"/>
                <w:color w:val="FFFFFF"/>
                <w:w w:val="89"/>
              </w:rPr>
              <w:t>2019</w:t>
            </w:r>
          </w:p>
        </w:tc>
        <w:tc>
          <w:tcPr>
            <w:tcW w:w="120" w:type="dxa"/>
            <w:vAlign w:val="bottom"/>
            <w:tcBorders>
              <w:bottom w:val="single" w:sz="8" w:color="98B82F"/>
              <w:right w:val="single" w:sz="8" w:color="98B82F"/>
            </w:tcBorders>
            <w:shd w:val="clear" w:color="auto" w:fill="98B82F"/>
          </w:tcPr>
          <w:p>
            <w:pPr>
              <w:spacing w:after="0"/>
              <w:rPr>
                <w:sz w:val="18"/>
                <w:szCs w:val="18"/>
                <w:color w:val="auto"/>
              </w:rPr>
            </w:pPr>
          </w:p>
        </w:tc>
        <w:tc>
          <w:tcPr>
            <w:tcW w:w="760" w:type="dxa"/>
            <w:vAlign w:val="bottom"/>
            <w:tcBorders>
              <w:bottom w:val="single" w:sz="8" w:color="98B82F"/>
              <w:right w:val="single" w:sz="8" w:color="98B82F"/>
            </w:tcBorders>
            <w:gridSpan w:val="8"/>
            <w:shd w:val="clear" w:color="auto" w:fill="98B82F"/>
          </w:tcPr>
          <w:p>
            <w:pPr>
              <w:jc w:val="right"/>
              <w:spacing w:after="0" w:line="180" w:lineRule="exact"/>
              <w:rPr>
                <w:sz w:val="20"/>
                <w:szCs w:val="20"/>
                <w:color w:val="auto"/>
              </w:rPr>
            </w:pPr>
            <w:r>
              <w:rPr>
                <w:rFonts w:ascii="Arial" w:cs="Arial" w:eastAsia="Arial" w:hAnsi="Arial"/>
                <w:sz w:val="8"/>
                <w:szCs w:val="8"/>
                <w:color w:val="auto"/>
              </w:rPr>
              <w:t xml:space="preserve">1,030,040  </w:t>
            </w:r>
            <w:r>
              <w:rPr>
                <w:rFonts w:ascii="Arial" w:cs="Arial" w:eastAsia="Arial" w:hAnsi="Arial"/>
                <w:sz w:val="20"/>
                <w:szCs w:val="20"/>
                <w:b w:val="1"/>
                <w:bCs w:val="1"/>
                <w:color w:val="FFFFFF"/>
                <w:vertAlign w:val="subscript"/>
              </w:rPr>
              <w:t>2020</w:t>
            </w:r>
          </w:p>
        </w:tc>
        <w:tc>
          <w:tcPr>
            <w:tcW w:w="100" w:type="dxa"/>
            <w:vAlign w:val="bottom"/>
            <w:tcBorders>
              <w:bottom w:val="single" w:sz="8" w:color="98B82F"/>
            </w:tcBorders>
            <w:shd w:val="clear" w:color="auto" w:fill="98B82F"/>
          </w:tcPr>
          <w:p>
            <w:pPr>
              <w:spacing w:after="0"/>
              <w:rPr>
                <w:sz w:val="18"/>
                <w:szCs w:val="18"/>
                <w:color w:val="auto"/>
              </w:rPr>
            </w:pPr>
          </w:p>
        </w:tc>
        <w:tc>
          <w:tcPr>
            <w:tcW w:w="100" w:type="dxa"/>
            <w:vAlign w:val="bottom"/>
            <w:tcBorders>
              <w:bottom w:val="single" w:sz="8" w:color="98B82F"/>
            </w:tcBorders>
            <w:shd w:val="clear" w:color="auto" w:fill="98B82F"/>
          </w:tcPr>
          <w:p>
            <w:pPr>
              <w:spacing w:after="0"/>
              <w:rPr>
                <w:sz w:val="18"/>
                <w:szCs w:val="18"/>
                <w:color w:val="auto"/>
              </w:rPr>
            </w:pPr>
          </w:p>
        </w:tc>
        <w:tc>
          <w:tcPr>
            <w:tcW w:w="120" w:type="dxa"/>
            <w:vAlign w:val="bottom"/>
            <w:tcBorders>
              <w:bottom w:val="single" w:sz="8" w:color="98B82F"/>
              <w:right w:val="single" w:sz="8" w:color="98B82F"/>
            </w:tcBorders>
            <w:shd w:val="clear" w:color="auto" w:fill="98B82F"/>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1100" w:type="dxa"/>
            <w:vAlign w:val="bottom"/>
            <w:tcBorders>
              <w:left w:val="single" w:sz="8" w:color="98B82F"/>
              <w:right w:val="single" w:sz="8" w:color="98B82F"/>
            </w:tcBorders>
            <w:gridSpan w:val="6"/>
          </w:tcPr>
          <w:p>
            <w:pPr>
              <w:ind w:left="120"/>
              <w:spacing w:after="0"/>
              <w:rPr>
                <w:sz w:val="20"/>
                <w:szCs w:val="20"/>
                <w:color w:val="auto"/>
              </w:rPr>
            </w:pPr>
            <w:r>
              <w:rPr>
                <w:rFonts w:ascii="Arial" w:cs="Arial" w:eastAsia="Arial" w:hAnsi="Arial"/>
                <w:sz w:val="8"/>
                <w:szCs w:val="8"/>
                <w:color w:val="auto"/>
              </w:rPr>
              <w:t>Total Recordable Incident</w:t>
            </w:r>
          </w:p>
        </w:tc>
        <w:tc>
          <w:tcPr>
            <w:tcW w:w="560" w:type="dxa"/>
            <w:vAlign w:val="bottom"/>
            <w:gridSpan w:val="5"/>
            <w:shd w:val="clear" w:color="auto" w:fill="EAF1CE"/>
          </w:tcPr>
          <w:p>
            <w:pPr>
              <w:ind w:left="60"/>
              <w:spacing w:after="0"/>
              <w:rPr>
                <w:sz w:val="20"/>
                <w:szCs w:val="20"/>
                <w:color w:val="auto"/>
              </w:rPr>
            </w:pPr>
            <w:r>
              <w:rPr>
                <w:rFonts w:ascii="Arial" w:cs="Arial" w:eastAsia="Arial" w:hAnsi="Arial"/>
                <w:sz w:val="8"/>
                <w:szCs w:val="8"/>
                <w:color w:val="auto"/>
              </w:rPr>
              <w:t>Rate</w:t>
            </w:r>
          </w:p>
        </w:tc>
        <w:tc>
          <w:tcPr>
            <w:tcW w:w="100" w:type="dxa"/>
            <w:vAlign w:val="bottom"/>
            <w:shd w:val="clear" w:color="auto" w:fill="EAF1CE"/>
          </w:tcPr>
          <w:p>
            <w:pPr>
              <w:spacing w:after="0"/>
              <w:rPr>
                <w:sz w:val="8"/>
                <w:szCs w:val="8"/>
                <w:color w:val="auto"/>
              </w:rPr>
            </w:pPr>
          </w:p>
        </w:tc>
        <w:tc>
          <w:tcPr>
            <w:tcW w:w="140" w:type="dxa"/>
            <w:vAlign w:val="bottom"/>
            <w:shd w:val="clear" w:color="auto" w:fill="EAF1CE"/>
          </w:tcPr>
          <w:p>
            <w:pPr>
              <w:spacing w:after="0"/>
              <w:rPr>
                <w:sz w:val="8"/>
                <w:szCs w:val="8"/>
                <w:color w:val="auto"/>
              </w:rPr>
            </w:pPr>
          </w:p>
        </w:tc>
        <w:tc>
          <w:tcPr>
            <w:tcW w:w="260" w:type="dxa"/>
            <w:vAlign w:val="bottom"/>
            <w:tcBorders>
              <w:right w:val="single" w:sz="8" w:color="EAF1CE"/>
            </w:tcBorders>
            <w:shd w:val="clear" w:color="auto" w:fill="EAF1CE"/>
          </w:tcPr>
          <w:p>
            <w:pPr>
              <w:spacing w:after="0"/>
              <w:rPr>
                <w:sz w:val="8"/>
                <w:szCs w:val="8"/>
                <w:color w:val="auto"/>
              </w:rPr>
            </w:pPr>
          </w:p>
        </w:tc>
        <w:tc>
          <w:tcPr>
            <w:tcW w:w="280" w:type="dxa"/>
            <w:vAlign w:val="bottom"/>
            <w:tcBorders>
              <w:right w:val="single" w:sz="8" w:color="EAF1CE"/>
            </w:tcBorders>
            <w:shd w:val="clear" w:color="auto" w:fill="EAF1CE"/>
          </w:tcPr>
          <w:p>
            <w:pPr>
              <w:spacing w:after="0"/>
              <w:rPr>
                <w:sz w:val="8"/>
                <w:szCs w:val="8"/>
                <w:color w:val="auto"/>
              </w:rPr>
            </w:pPr>
          </w:p>
        </w:tc>
        <w:tc>
          <w:tcPr>
            <w:tcW w:w="100" w:type="dxa"/>
            <w:vAlign w:val="bottom"/>
            <w:tcBorders>
              <w:right w:val="single" w:sz="8" w:color="EAF1CE"/>
            </w:tcBorders>
            <w:shd w:val="clear" w:color="auto" w:fill="EAF1CE"/>
          </w:tcPr>
          <w:p>
            <w:pPr>
              <w:spacing w:after="0"/>
              <w:rPr>
                <w:sz w:val="8"/>
                <w:szCs w:val="8"/>
                <w:color w:val="auto"/>
              </w:rPr>
            </w:pPr>
          </w:p>
        </w:tc>
        <w:tc>
          <w:tcPr>
            <w:tcW w:w="180" w:type="dxa"/>
            <w:vAlign w:val="bottom"/>
            <w:shd w:val="clear" w:color="auto" w:fill="EAF1CE"/>
          </w:tcPr>
          <w:p>
            <w:pPr>
              <w:spacing w:after="0"/>
              <w:rPr>
                <w:sz w:val="8"/>
                <w:szCs w:val="8"/>
                <w:color w:val="auto"/>
              </w:rPr>
            </w:pPr>
          </w:p>
        </w:tc>
        <w:tc>
          <w:tcPr>
            <w:tcW w:w="40" w:type="dxa"/>
            <w:vAlign w:val="bottom"/>
            <w:shd w:val="clear" w:color="auto" w:fill="EAF1CE"/>
          </w:tcPr>
          <w:p>
            <w:pPr>
              <w:spacing w:after="0"/>
              <w:rPr>
                <w:sz w:val="8"/>
                <w:szCs w:val="8"/>
                <w:color w:val="auto"/>
              </w:rPr>
            </w:pPr>
          </w:p>
        </w:tc>
        <w:tc>
          <w:tcPr>
            <w:tcW w:w="60" w:type="dxa"/>
            <w:vAlign w:val="bottom"/>
            <w:shd w:val="clear" w:color="auto" w:fill="EAF1CE"/>
          </w:tcPr>
          <w:p>
            <w:pPr>
              <w:spacing w:after="0"/>
              <w:rPr>
                <w:sz w:val="8"/>
                <w:szCs w:val="8"/>
                <w:color w:val="auto"/>
              </w:rPr>
            </w:pPr>
          </w:p>
        </w:tc>
        <w:tc>
          <w:tcPr>
            <w:tcW w:w="120" w:type="dxa"/>
            <w:vAlign w:val="bottom"/>
            <w:shd w:val="clear" w:color="auto" w:fill="EAF1CE"/>
          </w:tcPr>
          <w:p>
            <w:pPr>
              <w:spacing w:after="0"/>
              <w:rPr>
                <w:sz w:val="8"/>
                <w:szCs w:val="8"/>
                <w:color w:val="auto"/>
              </w:rPr>
            </w:pPr>
          </w:p>
        </w:tc>
        <w:tc>
          <w:tcPr>
            <w:tcW w:w="40" w:type="dxa"/>
            <w:vAlign w:val="bottom"/>
            <w:shd w:val="clear" w:color="auto" w:fill="EAF1CE"/>
          </w:tcPr>
          <w:p>
            <w:pPr>
              <w:spacing w:after="0"/>
              <w:rPr>
                <w:sz w:val="8"/>
                <w:szCs w:val="8"/>
                <w:color w:val="auto"/>
              </w:rPr>
            </w:pPr>
          </w:p>
        </w:tc>
        <w:tc>
          <w:tcPr>
            <w:tcW w:w="40" w:type="dxa"/>
            <w:vAlign w:val="bottom"/>
            <w:shd w:val="clear" w:color="auto" w:fill="EAF1CE"/>
          </w:tcPr>
          <w:p>
            <w:pPr>
              <w:spacing w:after="0"/>
              <w:rPr>
                <w:sz w:val="8"/>
                <w:szCs w:val="8"/>
                <w:color w:val="auto"/>
              </w:rPr>
            </w:pPr>
          </w:p>
        </w:tc>
        <w:tc>
          <w:tcPr>
            <w:tcW w:w="200" w:type="dxa"/>
            <w:vAlign w:val="bottom"/>
            <w:tcBorders>
              <w:left w:val="single" w:sz="8" w:color="EAF1CE"/>
              <w:right w:val="single" w:sz="8" w:color="EAF1CE"/>
            </w:tcBorders>
            <w:shd w:val="clear" w:color="auto" w:fill="EAF1CE"/>
          </w:tcPr>
          <w:p>
            <w:pPr>
              <w:spacing w:after="0"/>
              <w:rPr>
                <w:sz w:val="8"/>
                <w:szCs w:val="8"/>
                <w:color w:val="auto"/>
              </w:rPr>
            </w:pPr>
          </w:p>
        </w:tc>
        <w:tc>
          <w:tcPr>
            <w:tcW w:w="40" w:type="dxa"/>
            <w:vAlign w:val="bottom"/>
            <w:shd w:val="clear" w:color="auto" w:fill="EAF1CE"/>
          </w:tcPr>
          <w:p>
            <w:pPr>
              <w:spacing w:after="0"/>
              <w:rPr>
                <w:sz w:val="8"/>
                <w:szCs w:val="8"/>
                <w:color w:val="auto"/>
              </w:rPr>
            </w:pPr>
          </w:p>
        </w:tc>
        <w:tc>
          <w:tcPr>
            <w:tcW w:w="120" w:type="dxa"/>
            <w:vAlign w:val="bottom"/>
            <w:shd w:val="clear" w:color="auto" w:fill="EAF1CE"/>
          </w:tcPr>
          <w:p>
            <w:pPr>
              <w:spacing w:after="0"/>
              <w:rPr>
                <w:sz w:val="8"/>
                <w:szCs w:val="8"/>
                <w:color w:val="auto"/>
              </w:rPr>
            </w:pPr>
          </w:p>
        </w:tc>
        <w:tc>
          <w:tcPr>
            <w:tcW w:w="220" w:type="dxa"/>
            <w:vAlign w:val="bottom"/>
            <w:shd w:val="clear" w:color="auto" w:fill="EAF1CE"/>
          </w:tcPr>
          <w:p>
            <w:pPr>
              <w:spacing w:after="0"/>
              <w:rPr>
                <w:sz w:val="8"/>
                <w:szCs w:val="8"/>
                <w:color w:val="auto"/>
              </w:rPr>
            </w:pPr>
          </w:p>
        </w:tc>
        <w:tc>
          <w:tcPr>
            <w:tcW w:w="240" w:type="dxa"/>
            <w:vAlign w:val="bottom"/>
            <w:gridSpan w:val="4"/>
            <w:shd w:val="clear" w:color="auto" w:fill="EAF1CE"/>
          </w:tcPr>
          <w:p>
            <w:pPr>
              <w:jc w:val="center"/>
              <w:spacing w:after="0"/>
              <w:rPr>
                <w:sz w:val="20"/>
                <w:szCs w:val="20"/>
                <w:color w:val="auto"/>
              </w:rPr>
            </w:pPr>
            <w:r>
              <w:rPr>
                <w:rFonts w:ascii="Arial" w:cs="Arial" w:eastAsia="Arial" w:hAnsi="Arial"/>
                <w:sz w:val="8"/>
                <w:szCs w:val="8"/>
                <w:color w:val="auto"/>
              </w:rPr>
              <w:t>0.33</w:t>
            </w:r>
          </w:p>
        </w:tc>
        <w:tc>
          <w:tcPr>
            <w:tcW w:w="100" w:type="dxa"/>
            <w:vAlign w:val="bottom"/>
            <w:tcBorders>
              <w:right w:val="single" w:sz="8" w:color="EAF1CE"/>
            </w:tcBorders>
            <w:shd w:val="clear" w:color="auto" w:fill="EAF1CE"/>
          </w:tcPr>
          <w:p>
            <w:pPr>
              <w:spacing w:after="0"/>
              <w:rPr>
                <w:sz w:val="8"/>
                <w:szCs w:val="8"/>
                <w:color w:val="auto"/>
              </w:rPr>
            </w:pPr>
          </w:p>
        </w:tc>
        <w:tc>
          <w:tcPr>
            <w:tcW w:w="100" w:type="dxa"/>
            <w:vAlign w:val="bottom"/>
            <w:tcBorders>
              <w:right w:val="single" w:sz="8" w:color="EAF1CE"/>
            </w:tcBorders>
            <w:shd w:val="clear" w:color="auto" w:fill="EAF1CE"/>
          </w:tcPr>
          <w:p>
            <w:pPr>
              <w:spacing w:after="0"/>
              <w:rPr>
                <w:sz w:val="8"/>
                <w:szCs w:val="8"/>
                <w:color w:val="auto"/>
              </w:rPr>
            </w:pPr>
          </w:p>
        </w:tc>
        <w:tc>
          <w:tcPr>
            <w:tcW w:w="20" w:type="dxa"/>
            <w:vAlign w:val="bottom"/>
            <w:shd w:val="clear" w:color="auto" w:fill="EAF1CE"/>
          </w:tcPr>
          <w:p>
            <w:pPr>
              <w:spacing w:after="0"/>
              <w:rPr>
                <w:sz w:val="8"/>
                <w:szCs w:val="8"/>
                <w:color w:val="auto"/>
              </w:rPr>
            </w:pPr>
          </w:p>
        </w:tc>
        <w:tc>
          <w:tcPr>
            <w:tcW w:w="60" w:type="dxa"/>
            <w:vAlign w:val="bottom"/>
            <w:shd w:val="clear" w:color="auto" w:fill="EAF1CE"/>
          </w:tcPr>
          <w:p>
            <w:pPr>
              <w:spacing w:after="0"/>
              <w:rPr>
                <w:sz w:val="8"/>
                <w:szCs w:val="8"/>
                <w:color w:val="auto"/>
              </w:rPr>
            </w:pPr>
          </w:p>
        </w:tc>
        <w:tc>
          <w:tcPr>
            <w:tcW w:w="100" w:type="dxa"/>
            <w:vAlign w:val="bottom"/>
            <w:shd w:val="clear" w:color="auto" w:fill="EAF1CE"/>
          </w:tcPr>
          <w:p>
            <w:pPr>
              <w:spacing w:after="0"/>
              <w:rPr>
                <w:sz w:val="8"/>
                <w:szCs w:val="8"/>
                <w:color w:val="auto"/>
              </w:rPr>
            </w:pPr>
          </w:p>
        </w:tc>
        <w:tc>
          <w:tcPr>
            <w:tcW w:w="260" w:type="dxa"/>
            <w:vAlign w:val="bottom"/>
            <w:gridSpan w:val="3"/>
            <w:vMerge w:val="restart"/>
            <w:shd w:val="clear" w:color="auto" w:fill="EAF1CE"/>
          </w:tcPr>
          <w:p>
            <w:pPr>
              <w:jc w:val="center"/>
              <w:ind w:left="15"/>
              <w:spacing w:after="0" w:line="120" w:lineRule="exact"/>
              <w:rPr>
                <w:sz w:val="20"/>
                <w:szCs w:val="20"/>
                <w:color w:val="auto"/>
              </w:rPr>
            </w:pPr>
            <w:r>
              <w:rPr>
                <w:rFonts w:ascii="PMingLiU" w:cs="PMingLiU" w:eastAsia="PMingLiU" w:hAnsi="PMingLiU"/>
                <w:sz w:val="10"/>
                <w:szCs w:val="10"/>
                <w:color w:val="262626"/>
              </w:rPr>
              <w:t/>
            </w:r>
          </w:p>
        </w:tc>
        <w:tc>
          <w:tcPr>
            <w:tcW w:w="40" w:type="dxa"/>
            <w:vAlign w:val="bottom"/>
            <w:shd w:val="clear" w:color="auto" w:fill="EAF1CE"/>
          </w:tcPr>
          <w:p>
            <w:pPr>
              <w:spacing w:after="0"/>
              <w:rPr>
                <w:sz w:val="8"/>
                <w:szCs w:val="8"/>
                <w:color w:val="auto"/>
              </w:rPr>
            </w:pPr>
          </w:p>
        </w:tc>
        <w:tc>
          <w:tcPr>
            <w:tcW w:w="340" w:type="dxa"/>
            <w:vAlign w:val="bottom"/>
            <w:tcBorders>
              <w:right w:val="single" w:sz="8" w:color="98B82F"/>
            </w:tcBorders>
            <w:gridSpan w:val="3"/>
            <w:shd w:val="clear" w:color="auto" w:fill="EAF1CE"/>
          </w:tcPr>
          <w:p>
            <w:pPr>
              <w:ind w:left="160"/>
              <w:spacing w:after="0"/>
              <w:rPr>
                <w:sz w:val="20"/>
                <w:szCs w:val="20"/>
                <w:color w:val="auto"/>
              </w:rPr>
            </w:pPr>
            <w:r>
              <w:rPr>
                <w:rFonts w:ascii="Arial" w:cs="Arial" w:eastAsia="Arial" w:hAnsi="Arial"/>
                <w:sz w:val="8"/>
                <w:szCs w:val="8"/>
                <w:color w:val="auto"/>
                <w:w w:val="89"/>
              </w:rPr>
              <w:t>0.64</w:t>
            </w:r>
          </w:p>
        </w:tc>
        <w:tc>
          <w:tcPr>
            <w:tcW w:w="20" w:type="dxa"/>
            <w:vAlign w:val="bottom"/>
            <w:shd w:val="clear" w:color="auto" w:fill="EAF1CE"/>
          </w:tcPr>
          <w:p>
            <w:pPr>
              <w:spacing w:after="0"/>
              <w:rPr>
                <w:sz w:val="8"/>
                <w:szCs w:val="8"/>
                <w:color w:val="auto"/>
              </w:rPr>
            </w:pPr>
          </w:p>
        </w:tc>
        <w:tc>
          <w:tcPr>
            <w:tcW w:w="60" w:type="dxa"/>
            <w:vAlign w:val="bottom"/>
            <w:shd w:val="clear" w:color="auto" w:fill="EAF1CE"/>
          </w:tcPr>
          <w:p>
            <w:pPr>
              <w:spacing w:after="0"/>
              <w:rPr>
                <w:sz w:val="8"/>
                <w:szCs w:val="8"/>
                <w:color w:val="auto"/>
              </w:rPr>
            </w:pPr>
          </w:p>
        </w:tc>
        <w:tc>
          <w:tcPr>
            <w:tcW w:w="20" w:type="dxa"/>
            <w:vAlign w:val="bottom"/>
            <w:shd w:val="clear" w:color="auto" w:fill="EAF1CE"/>
          </w:tcPr>
          <w:p>
            <w:pPr>
              <w:spacing w:after="0"/>
              <w:rPr>
                <w:sz w:val="8"/>
                <w:szCs w:val="8"/>
                <w:color w:val="auto"/>
              </w:rPr>
            </w:pPr>
          </w:p>
        </w:tc>
        <w:tc>
          <w:tcPr>
            <w:tcW w:w="220" w:type="dxa"/>
            <w:vAlign w:val="bottom"/>
            <w:tcBorders>
              <w:right w:val="single" w:sz="8" w:color="EAF1CE"/>
            </w:tcBorders>
            <w:shd w:val="clear" w:color="auto" w:fill="EAF1CE"/>
          </w:tcPr>
          <w:p>
            <w:pPr>
              <w:spacing w:after="0"/>
              <w:rPr>
                <w:sz w:val="8"/>
                <w:szCs w:val="8"/>
                <w:color w:val="auto"/>
              </w:rPr>
            </w:pPr>
          </w:p>
        </w:tc>
        <w:tc>
          <w:tcPr>
            <w:tcW w:w="280" w:type="dxa"/>
            <w:vAlign w:val="bottom"/>
            <w:gridSpan w:val="3"/>
            <w:vMerge w:val="restart"/>
            <w:shd w:val="clear" w:color="auto" w:fill="EAF1CE"/>
          </w:tcPr>
          <w:p>
            <w:pPr>
              <w:jc w:val="center"/>
              <w:ind w:right="80"/>
              <w:spacing w:after="0" w:line="122" w:lineRule="exact"/>
              <w:rPr>
                <w:sz w:val="20"/>
                <w:szCs w:val="20"/>
                <w:color w:val="auto"/>
              </w:rPr>
            </w:pPr>
            <w:r>
              <w:rPr>
                <w:rFonts w:ascii="Arial" w:cs="Arial" w:eastAsia="Arial" w:hAnsi="Arial"/>
                <w:sz w:val="10"/>
                <w:szCs w:val="10"/>
                <w:color w:val="262626"/>
              </w:rPr>
              <w:t>Çn£</w:t>
            </w:r>
            <w:r>
              <w:rPr>
                <w:rFonts w:ascii="PMingLiU" w:cs="PMingLiU" w:eastAsia="PMingLiU" w:hAnsi="PMingLiU"/>
                <w:sz w:val="10"/>
                <w:szCs w:val="10"/>
                <w:color w:val="262626"/>
              </w:rPr>
              <w:t/>
            </w:r>
          </w:p>
        </w:tc>
        <w:tc>
          <w:tcPr>
            <w:tcW w:w="120" w:type="dxa"/>
            <w:vAlign w:val="bottom"/>
            <w:tcBorders>
              <w:right w:val="single" w:sz="8" w:color="EAF1CE"/>
            </w:tcBorders>
            <w:shd w:val="clear" w:color="auto" w:fill="EAF1CE"/>
          </w:tcPr>
          <w:p>
            <w:pPr>
              <w:spacing w:after="0"/>
              <w:rPr>
                <w:sz w:val="8"/>
                <w:szCs w:val="8"/>
                <w:color w:val="auto"/>
              </w:rPr>
            </w:pPr>
          </w:p>
        </w:tc>
        <w:tc>
          <w:tcPr>
            <w:tcW w:w="160" w:type="dxa"/>
            <w:vAlign w:val="bottom"/>
            <w:tcBorders>
              <w:right w:val="single" w:sz="8" w:color="98B82F"/>
            </w:tcBorders>
            <w:shd w:val="clear" w:color="auto" w:fill="EAF1CE"/>
          </w:tcPr>
          <w:p>
            <w:pPr>
              <w:spacing w:after="0"/>
              <w:rPr>
                <w:sz w:val="8"/>
                <w:szCs w:val="8"/>
                <w:color w:val="auto"/>
              </w:rPr>
            </w:pPr>
          </w:p>
        </w:tc>
        <w:tc>
          <w:tcPr>
            <w:tcW w:w="160" w:type="dxa"/>
            <w:vAlign w:val="bottom"/>
            <w:gridSpan w:val="3"/>
            <w:shd w:val="clear" w:color="auto" w:fill="EAF1CE"/>
          </w:tcPr>
          <w:p>
            <w:pPr>
              <w:spacing w:after="0"/>
              <w:rPr>
                <w:sz w:val="20"/>
                <w:szCs w:val="20"/>
                <w:color w:val="auto"/>
              </w:rPr>
            </w:pPr>
            <w:r>
              <w:rPr>
                <w:rFonts w:ascii="Arial" w:cs="Arial" w:eastAsia="Arial" w:hAnsi="Arial"/>
                <w:sz w:val="8"/>
                <w:szCs w:val="8"/>
                <w:color w:val="auto"/>
                <w:w w:val="89"/>
              </w:rPr>
              <w:t>1.94</w:t>
            </w:r>
          </w:p>
        </w:tc>
        <w:tc>
          <w:tcPr>
            <w:tcW w:w="80" w:type="dxa"/>
            <w:vAlign w:val="bottom"/>
            <w:tcBorders>
              <w:right w:val="single" w:sz="8" w:color="EAF1CE"/>
            </w:tcBorders>
            <w:shd w:val="clear" w:color="auto" w:fill="EAF1CE"/>
          </w:tcPr>
          <w:p>
            <w:pPr>
              <w:spacing w:after="0"/>
              <w:rPr>
                <w:sz w:val="8"/>
                <w:szCs w:val="8"/>
                <w:color w:val="auto"/>
              </w:rPr>
            </w:pPr>
          </w:p>
        </w:tc>
        <w:tc>
          <w:tcPr>
            <w:tcW w:w="360" w:type="dxa"/>
            <w:vAlign w:val="bottom"/>
            <w:tcBorders>
              <w:right w:val="single" w:sz="8" w:color="EAF1CE"/>
            </w:tcBorders>
            <w:gridSpan w:val="3"/>
            <w:vMerge w:val="restart"/>
            <w:shd w:val="clear" w:color="auto" w:fill="EAF1CE"/>
          </w:tcPr>
          <w:p>
            <w:pPr>
              <w:jc w:val="center"/>
              <w:spacing w:after="0"/>
              <w:rPr>
                <w:sz w:val="20"/>
                <w:szCs w:val="20"/>
                <w:color w:val="auto"/>
              </w:rPr>
            </w:pPr>
            <w:r>
              <w:rPr>
                <w:rFonts w:ascii="Arial" w:cs="Arial" w:eastAsia="Arial" w:hAnsi="Arial"/>
                <w:sz w:val="10"/>
                <w:szCs w:val="10"/>
                <w:color w:val="262626"/>
              </w:rPr>
              <w:t>nn{</w:t>
            </w:r>
          </w:p>
        </w:tc>
        <w:tc>
          <w:tcPr>
            <w:tcW w:w="100" w:type="dxa"/>
            <w:vAlign w:val="bottom"/>
            <w:shd w:val="clear" w:color="auto" w:fill="EAF1CE"/>
          </w:tcPr>
          <w:p>
            <w:pPr>
              <w:spacing w:after="0"/>
              <w:rPr>
                <w:sz w:val="8"/>
                <w:szCs w:val="8"/>
                <w:color w:val="auto"/>
              </w:rPr>
            </w:pPr>
          </w:p>
        </w:tc>
        <w:tc>
          <w:tcPr>
            <w:tcW w:w="100" w:type="dxa"/>
            <w:vAlign w:val="bottom"/>
            <w:shd w:val="clear" w:color="auto" w:fill="EAF1CE"/>
          </w:tcPr>
          <w:p>
            <w:pPr>
              <w:spacing w:after="0"/>
              <w:rPr>
                <w:sz w:val="8"/>
                <w:szCs w:val="8"/>
                <w:color w:val="auto"/>
              </w:rPr>
            </w:pPr>
          </w:p>
        </w:tc>
        <w:tc>
          <w:tcPr>
            <w:tcW w:w="120" w:type="dxa"/>
            <w:vAlign w:val="bottom"/>
            <w:tcBorders>
              <w:right w:val="single" w:sz="8" w:color="98B82F"/>
            </w:tcBorders>
            <w:shd w:val="clear" w:color="auto" w:fill="EAF1C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320" w:type="dxa"/>
            <w:vAlign w:val="bottom"/>
            <w:tcBorders>
              <w:left w:val="single" w:sz="8" w:color="98B82F"/>
              <w:bottom w:val="single" w:sz="8" w:color="98B82F"/>
            </w:tcBorders>
          </w:tcPr>
          <w:p>
            <w:pPr>
              <w:spacing w:after="0"/>
              <w:rPr>
                <w:sz w:val="10"/>
                <w:szCs w:val="10"/>
                <w:color w:val="auto"/>
              </w:rPr>
            </w:pPr>
          </w:p>
        </w:tc>
        <w:tc>
          <w:tcPr>
            <w:tcW w:w="20" w:type="dxa"/>
            <w:vAlign w:val="bottom"/>
            <w:tcBorders>
              <w:bottom w:val="single" w:sz="8" w:color="98B82F"/>
            </w:tcBorders>
          </w:tcPr>
          <w:p>
            <w:pPr>
              <w:spacing w:after="0"/>
              <w:rPr>
                <w:sz w:val="10"/>
                <w:szCs w:val="10"/>
                <w:color w:val="auto"/>
              </w:rPr>
            </w:pPr>
          </w:p>
        </w:tc>
        <w:tc>
          <w:tcPr>
            <w:tcW w:w="300" w:type="dxa"/>
            <w:vAlign w:val="bottom"/>
            <w:tcBorders>
              <w:bottom w:val="single" w:sz="8" w:color="98B82F"/>
            </w:tcBorders>
          </w:tcPr>
          <w:p>
            <w:pPr>
              <w:spacing w:after="0"/>
              <w:rPr>
                <w:sz w:val="10"/>
                <w:szCs w:val="10"/>
                <w:color w:val="auto"/>
              </w:rPr>
            </w:pPr>
          </w:p>
        </w:tc>
        <w:tc>
          <w:tcPr>
            <w:tcW w:w="20" w:type="dxa"/>
            <w:vAlign w:val="bottom"/>
            <w:tcBorders>
              <w:bottom w:val="single" w:sz="8" w:color="98B82F"/>
            </w:tcBorders>
          </w:tcPr>
          <w:p>
            <w:pPr>
              <w:spacing w:after="0"/>
              <w:rPr>
                <w:sz w:val="10"/>
                <w:szCs w:val="10"/>
                <w:color w:val="auto"/>
              </w:rPr>
            </w:pPr>
          </w:p>
        </w:tc>
        <w:tc>
          <w:tcPr>
            <w:tcW w:w="120" w:type="dxa"/>
            <w:vAlign w:val="bottom"/>
            <w:tcBorders>
              <w:bottom w:val="single" w:sz="8" w:color="98B82F"/>
            </w:tcBorders>
          </w:tcPr>
          <w:p>
            <w:pPr>
              <w:spacing w:after="0"/>
              <w:rPr>
                <w:sz w:val="10"/>
                <w:szCs w:val="10"/>
                <w:color w:val="auto"/>
              </w:rPr>
            </w:pPr>
          </w:p>
        </w:tc>
        <w:tc>
          <w:tcPr>
            <w:tcW w:w="320" w:type="dxa"/>
            <w:vAlign w:val="bottom"/>
            <w:tcBorders>
              <w:bottom w:val="single" w:sz="8" w:color="98B82F"/>
              <w:right w:val="single" w:sz="8" w:color="98B82F"/>
            </w:tcBorders>
          </w:tcPr>
          <w:p>
            <w:pPr>
              <w:spacing w:after="0"/>
              <w:rPr>
                <w:sz w:val="10"/>
                <w:szCs w:val="10"/>
                <w:color w:val="auto"/>
              </w:rPr>
            </w:pPr>
          </w:p>
        </w:tc>
        <w:tc>
          <w:tcPr>
            <w:tcW w:w="80" w:type="dxa"/>
            <w:vAlign w:val="bottom"/>
            <w:tcBorders>
              <w:bottom w:val="single" w:sz="8" w:color="EAF1CE"/>
            </w:tcBorders>
            <w:shd w:val="clear" w:color="auto" w:fill="EAF1CE"/>
          </w:tcPr>
          <w:p>
            <w:pPr>
              <w:spacing w:after="0"/>
              <w:rPr>
                <w:sz w:val="10"/>
                <w:szCs w:val="10"/>
                <w:color w:val="auto"/>
              </w:rPr>
            </w:pPr>
          </w:p>
        </w:tc>
        <w:tc>
          <w:tcPr>
            <w:tcW w:w="1260" w:type="dxa"/>
            <w:vAlign w:val="bottom"/>
            <w:tcBorders>
              <w:bottom w:val="single" w:sz="8" w:color="EAF1CE"/>
              <w:right w:val="single" w:sz="8" w:color="EAF1CE"/>
            </w:tcBorders>
            <w:gridSpan w:val="8"/>
            <w:shd w:val="clear" w:color="auto" w:fill="EAF1CE"/>
          </w:tcPr>
          <w:p>
            <w:pPr>
              <w:spacing w:after="0" w:line="73" w:lineRule="exact"/>
              <w:rPr>
                <w:sz w:val="20"/>
                <w:szCs w:val="20"/>
                <w:color w:val="auto"/>
              </w:rPr>
            </w:pPr>
            <w:r>
              <w:rPr>
                <w:rFonts w:ascii="PMingLiU" w:cs="PMingLiU" w:eastAsia="PMingLiU" w:hAnsi="PMingLiU"/>
                <w:sz w:val="7"/>
                <w:szCs w:val="7"/>
                <w:color w:val="262626"/>
              </w:rPr>
              <w:t/>
            </w:r>
            <w:r>
              <w:rPr>
                <w:rFonts w:ascii="Arial" w:cs="Arial" w:eastAsia="Arial" w:hAnsi="Arial"/>
                <w:sz w:val="7"/>
                <w:szCs w:val="7"/>
                <w:color w:val="262626"/>
              </w:rPr>
              <w:t>i&gt;`V</w:t>
            </w:r>
            <w:r>
              <w:rPr>
                <w:rFonts w:ascii="PMingLiU" w:cs="PMingLiU" w:eastAsia="PMingLiU" w:hAnsi="PMingLiU"/>
                <w:sz w:val="7"/>
                <w:szCs w:val="7"/>
                <w:color w:val="262626"/>
              </w:rPr>
              <w:t></w:t>
            </w:r>
            <w:r>
              <w:rPr>
                <w:rFonts w:ascii="Arial" w:cs="Arial" w:eastAsia="Arial" w:hAnsi="Arial"/>
                <w:sz w:val="7"/>
                <w:szCs w:val="7"/>
                <w:color w:val="262626"/>
              </w:rPr>
              <w:t>Õ</w:t>
            </w:r>
            <w:r>
              <w:rPr>
                <w:rFonts w:ascii="PMingLiU" w:cs="PMingLiU" w:eastAsia="PMingLiU" w:hAnsi="PMingLiU"/>
                <w:sz w:val="7"/>
                <w:szCs w:val="7"/>
                <w:color w:val="262626"/>
              </w:rPr>
              <w:t></w:t>
            </w:r>
            <w:r>
              <w:rPr>
                <w:rFonts w:ascii="Arial" w:cs="Arial" w:eastAsia="Arial" w:hAnsi="Arial"/>
                <w:sz w:val="7"/>
                <w:szCs w:val="7"/>
                <w:color w:val="262626"/>
              </w:rPr>
              <w:t>Ì</w:t>
            </w:r>
            <w:r>
              <w:rPr>
                <w:rFonts w:ascii="PMingLiU" w:cs="PMingLiU" w:eastAsia="PMingLiU" w:hAnsi="PMingLiU"/>
                <w:sz w:val="7"/>
                <w:szCs w:val="7"/>
                <w:color w:val="262626"/>
              </w:rPr>
              <w:t/>
            </w:r>
            <w:r>
              <w:rPr>
                <w:rFonts w:ascii="Arial" w:cs="Arial" w:eastAsia="Arial" w:hAnsi="Arial"/>
                <w:sz w:val="7"/>
                <w:szCs w:val="7"/>
                <w:color w:val="262626"/>
              </w:rPr>
              <w:t>&gt;Ã</w:t>
            </w:r>
            <w:r>
              <w:rPr>
                <w:rFonts w:ascii="PMingLiU" w:cs="PMingLiU" w:eastAsia="PMingLiU" w:hAnsi="PMingLiU"/>
                <w:sz w:val="7"/>
                <w:szCs w:val="7"/>
                <w:color w:val="262626"/>
              </w:rPr>
              <w:t></w:t>
            </w:r>
            <w:r>
              <w:rPr>
                <w:rFonts w:ascii="Arial" w:cs="Arial" w:eastAsia="Arial" w:hAnsi="Arial"/>
                <w:sz w:val="7"/>
                <w:szCs w:val="7"/>
                <w:color w:val="262626"/>
              </w:rPr>
              <w:t>v</w:t>
            </w:r>
            <w:r>
              <w:rPr>
                <w:rFonts w:ascii="PMingLiU" w:cs="PMingLiU" w:eastAsia="PMingLiU" w:hAnsi="PMingLiU"/>
                <w:sz w:val="7"/>
                <w:szCs w:val="7"/>
                <w:color w:val="262626"/>
              </w:rPr>
              <w:t/>
            </w:r>
            <w:r>
              <w:rPr>
                <w:rFonts w:ascii="Arial" w:cs="Arial" w:eastAsia="Arial" w:hAnsi="Arial"/>
                <w:sz w:val="7"/>
                <w:szCs w:val="7"/>
                <w:color w:val="262626"/>
              </w:rPr>
              <w:t>&gt;</w:t>
            </w:r>
            <w:r>
              <w:rPr>
                <w:rFonts w:ascii="PMingLiU" w:cs="PMingLiU" w:eastAsia="PMingLiU" w:hAnsi="PMingLiU"/>
                <w:sz w:val="7"/>
                <w:szCs w:val="7"/>
                <w:color w:val="262626"/>
              </w:rPr>
              <w:t></w:t>
            </w:r>
            <w:r>
              <w:rPr>
                <w:rFonts w:ascii="Arial" w:cs="Arial" w:eastAsia="Arial" w:hAnsi="Arial"/>
                <w:sz w:val="7"/>
                <w:szCs w:val="7"/>
                <w:color w:val="262626"/>
              </w:rPr>
              <w:t>Õ&gt;ÀÞ</w:t>
            </w:r>
            <w:r>
              <w:rPr>
                <w:rFonts w:ascii="PMingLiU" w:cs="PMingLiU" w:eastAsia="PMingLiU" w:hAnsi="PMingLiU"/>
                <w:sz w:val="7"/>
                <w:szCs w:val="7"/>
                <w:color w:val="262626"/>
              </w:rPr>
              <w:t/>
            </w:r>
          </w:p>
        </w:tc>
        <w:tc>
          <w:tcPr>
            <w:tcW w:w="100" w:type="dxa"/>
            <w:vAlign w:val="bottom"/>
            <w:tcBorders>
              <w:bottom w:val="single" w:sz="8" w:color="EAF1CE"/>
              <w:right w:val="single" w:sz="8" w:color="EAF1CE"/>
            </w:tcBorders>
            <w:shd w:val="clear" w:color="auto" w:fill="EAF1CE"/>
          </w:tcPr>
          <w:p>
            <w:pPr>
              <w:spacing w:after="0"/>
              <w:rPr>
                <w:sz w:val="10"/>
                <w:szCs w:val="10"/>
                <w:color w:val="auto"/>
              </w:rPr>
            </w:pPr>
          </w:p>
        </w:tc>
        <w:tc>
          <w:tcPr>
            <w:tcW w:w="180" w:type="dxa"/>
            <w:vAlign w:val="bottom"/>
            <w:tcBorders>
              <w:bottom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60" w:type="dxa"/>
            <w:vAlign w:val="bottom"/>
            <w:tcBorders>
              <w:bottom w:val="single" w:sz="8" w:color="EAF1CE"/>
            </w:tcBorders>
            <w:shd w:val="clear" w:color="auto" w:fill="EAF1CE"/>
          </w:tcPr>
          <w:p>
            <w:pPr>
              <w:spacing w:after="0"/>
              <w:rPr>
                <w:sz w:val="10"/>
                <w:szCs w:val="10"/>
                <w:color w:val="auto"/>
              </w:rPr>
            </w:pPr>
          </w:p>
        </w:tc>
        <w:tc>
          <w:tcPr>
            <w:tcW w:w="120" w:type="dxa"/>
            <w:vAlign w:val="bottom"/>
            <w:tcBorders>
              <w:bottom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200" w:type="dxa"/>
            <w:vAlign w:val="bottom"/>
            <w:tcBorders>
              <w:left w:val="single" w:sz="8" w:color="EAF1CE"/>
              <w:bottom w:val="single" w:sz="8" w:color="EAF1CE"/>
              <w:right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120" w:type="dxa"/>
            <w:vAlign w:val="bottom"/>
            <w:tcBorders>
              <w:bottom w:val="single" w:sz="8" w:color="EAF1CE"/>
            </w:tcBorders>
            <w:shd w:val="clear" w:color="auto" w:fill="EAF1CE"/>
          </w:tcPr>
          <w:p>
            <w:pPr>
              <w:spacing w:after="0"/>
              <w:rPr>
                <w:sz w:val="10"/>
                <w:szCs w:val="10"/>
                <w:color w:val="auto"/>
              </w:rPr>
            </w:pPr>
          </w:p>
        </w:tc>
        <w:tc>
          <w:tcPr>
            <w:tcW w:w="220" w:type="dxa"/>
            <w:vAlign w:val="bottom"/>
            <w:tcBorders>
              <w:bottom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140" w:type="dxa"/>
            <w:vAlign w:val="bottom"/>
            <w:tcBorders>
              <w:bottom w:val="single" w:sz="8" w:color="EAF1CE"/>
              <w:right w:val="single" w:sz="8" w:color="EAF1CE"/>
            </w:tcBorders>
            <w:shd w:val="clear" w:color="auto" w:fill="EAF1CE"/>
          </w:tcPr>
          <w:p>
            <w:pPr>
              <w:spacing w:after="0"/>
              <w:rPr>
                <w:sz w:val="10"/>
                <w:szCs w:val="10"/>
                <w:color w:val="auto"/>
              </w:rPr>
            </w:pPr>
          </w:p>
        </w:tc>
        <w:tc>
          <w:tcPr>
            <w:tcW w:w="20" w:type="dxa"/>
            <w:vAlign w:val="bottom"/>
            <w:tcBorders>
              <w:bottom w:val="single" w:sz="8" w:color="EAF1CE"/>
            </w:tcBorders>
            <w:shd w:val="clear" w:color="auto" w:fill="EAF1CE"/>
          </w:tcPr>
          <w:p>
            <w:pPr>
              <w:spacing w:after="0"/>
              <w:rPr>
                <w:sz w:val="10"/>
                <w:szCs w:val="10"/>
                <w:color w:val="auto"/>
              </w:rPr>
            </w:pPr>
          </w:p>
        </w:tc>
        <w:tc>
          <w:tcPr>
            <w:tcW w:w="100" w:type="dxa"/>
            <w:vAlign w:val="bottom"/>
            <w:tcBorders>
              <w:bottom w:val="single" w:sz="8" w:color="EAF1CE"/>
              <w:right w:val="single" w:sz="8" w:color="EAF1CE"/>
            </w:tcBorders>
            <w:shd w:val="clear" w:color="auto" w:fill="EAF1CE"/>
          </w:tcPr>
          <w:p>
            <w:pPr>
              <w:spacing w:after="0"/>
              <w:rPr>
                <w:sz w:val="10"/>
                <w:szCs w:val="10"/>
                <w:color w:val="auto"/>
              </w:rPr>
            </w:pPr>
          </w:p>
        </w:tc>
        <w:tc>
          <w:tcPr>
            <w:tcW w:w="100" w:type="dxa"/>
            <w:vAlign w:val="bottom"/>
            <w:tcBorders>
              <w:bottom w:val="single" w:sz="8" w:color="EAF1CE"/>
              <w:right w:val="single" w:sz="8" w:color="EAF1CE"/>
            </w:tcBorders>
            <w:shd w:val="clear" w:color="auto" w:fill="EAF1CE"/>
          </w:tcPr>
          <w:p>
            <w:pPr>
              <w:spacing w:after="0"/>
              <w:rPr>
                <w:sz w:val="10"/>
                <w:szCs w:val="10"/>
                <w:color w:val="auto"/>
              </w:rPr>
            </w:pPr>
          </w:p>
        </w:tc>
        <w:tc>
          <w:tcPr>
            <w:tcW w:w="20" w:type="dxa"/>
            <w:vAlign w:val="bottom"/>
            <w:tcBorders>
              <w:bottom w:val="single" w:sz="8" w:color="EAF1CE"/>
            </w:tcBorders>
            <w:shd w:val="clear" w:color="auto" w:fill="EAF1CE"/>
          </w:tcPr>
          <w:p>
            <w:pPr>
              <w:spacing w:after="0"/>
              <w:rPr>
                <w:sz w:val="10"/>
                <w:szCs w:val="10"/>
                <w:color w:val="auto"/>
              </w:rPr>
            </w:pPr>
          </w:p>
        </w:tc>
        <w:tc>
          <w:tcPr>
            <w:tcW w:w="60" w:type="dxa"/>
            <w:vAlign w:val="bottom"/>
            <w:tcBorders>
              <w:bottom w:val="single" w:sz="8" w:color="EAF1CE"/>
            </w:tcBorders>
            <w:shd w:val="clear" w:color="auto" w:fill="EAF1CE"/>
          </w:tcPr>
          <w:p>
            <w:pPr>
              <w:spacing w:after="0"/>
              <w:rPr>
                <w:sz w:val="10"/>
                <w:szCs w:val="10"/>
                <w:color w:val="auto"/>
              </w:rPr>
            </w:pPr>
          </w:p>
        </w:tc>
        <w:tc>
          <w:tcPr>
            <w:tcW w:w="100" w:type="dxa"/>
            <w:vAlign w:val="bottom"/>
            <w:tcBorders>
              <w:bottom w:val="single" w:sz="8" w:color="EAF1CE"/>
            </w:tcBorders>
            <w:shd w:val="clear" w:color="auto" w:fill="EAF1CE"/>
          </w:tcPr>
          <w:p>
            <w:pPr>
              <w:spacing w:after="0"/>
              <w:rPr>
                <w:sz w:val="10"/>
                <w:szCs w:val="10"/>
                <w:color w:val="auto"/>
              </w:rPr>
            </w:pPr>
          </w:p>
        </w:tc>
        <w:tc>
          <w:tcPr>
            <w:tcW w:w="260" w:type="dxa"/>
            <w:vAlign w:val="bottom"/>
            <w:tcBorders>
              <w:bottom w:val="single" w:sz="8" w:color="EAF1CE"/>
            </w:tcBorders>
            <w:gridSpan w:val="3"/>
            <w:vMerge w:val="continue"/>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100" w:type="dxa"/>
            <w:vAlign w:val="bottom"/>
            <w:tcBorders>
              <w:bottom w:val="single" w:sz="8" w:color="EAF1CE"/>
            </w:tcBorders>
            <w:shd w:val="clear" w:color="auto" w:fill="EAF1CE"/>
          </w:tcPr>
          <w:p>
            <w:pPr>
              <w:spacing w:after="0"/>
              <w:rPr>
                <w:sz w:val="10"/>
                <w:szCs w:val="10"/>
                <w:color w:val="auto"/>
              </w:rPr>
            </w:pPr>
          </w:p>
        </w:tc>
        <w:tc>
          <w:tcPr>
            <w:tcW w:w="60" w:type="dxa"/>
            <w:vAlign w:val="bottom"/>
            <w:tcBorders>
              <w:bottom w:val="single" w:sz="8" w:color="EAF1CE"/>
            </w:tcBorders>
            <w:shd w:val="clear" w:color="auto" w:fill="EAF1CE"/>
          </w:tcPr>
          <w:p>
            <w:pPr>
              <w:spacing w:after="0"/>
              <w:rPr>
                <w:sz w:val="10"/>
                <w:szCs w:val="10"/>
                <w:color w:val="auto"/>
              </w:rPr>
            </w:pPr>
          </w:p>
        </w:tc>
        <w:tc>
          <w:tcPr>
            <w:tcW w:w="180" w:type="dxa"/>
            <w:vAlign w:val="bottom"/>
            <w:tcBorders>
              <w:bottom w:val="single" w:sz="8" w:color="EAF1CE"/>
              <w:right w:val="single" w:sz="8" w:color="98B82F"/>
            </w:tcBorders>
            <w:shd w:val="clear" w:color="auto" w:fill="EAF1CE"/>
          </w:tcPr>
          <w:p>
            <w:pPr>
              <w:spacing w:after="0"/>
              <w:rPr>
                <w:sz w:val="10"/>
                <w:szCs w:val="10"/>
                <w:color w:val="auto"/>
              </w:rPr>
            </w:pPr>
          </w:p>
        </w:tc>
        <w:tc>
          <w:tcPr>
            <w:tcW w:w="20" w:type="dxa"/>
            <w:vAlign w:val="bottom"/>
            <w:tcBorders>
              <w:bottom w:val="single" w:sz="8" w:color="EAF1CE"/>
            </w:tcBorders>
            <w:shd w:val="clear" w:color="auto" w:fill="EAF1CE"/>
          </w:tcPr>
          <w:p>
            <w:pPr>
              <w:spacing w:after="0"/>
              <w:rPr>
                <w:sz w:val="10"/>
                <w:szCs w:val="10"/>
                <w:color w:val="auto"/>
              </w:rPr>
            </w:pPr>
          </w:p>
        </w:tc>
        <w:tc>
          <w:tcPr>
            <w:tcW w:w="60" w:type="dxa"/>
            <w:vAlign w:val="bottom"/>
            <w:tcBorders>
              <w:bottom w:val="single" w:sz="8" w:color="EAF1CE"/>
            </w:tcBorders>
            <w:shd w:val="clear" w:color="auto" w:fill="EAF1CE"/>
          </w:tcPr>
          <w:p>
            <w:pPr>
              <w:spacing w:after="0"/>
              <w:rPr>
                <w:sz w:val="10"/>
                <w:szCs w:val="10"/>
                <w:color w:val="auto"/>
              </w:rPr>
            </w:pPr>
          </w:p>
        </w:tc>
        <w:tc>
          <w:tcPr>
            <w:tcW w:w="20" w:type="dxa"/>
            <w:vAlign w:val="bottom"/>
            <w:tcBorders>
              <w:bottom w:val="single" w:sz="8" w:color="EAF1CE"/>
            </w:tcBorders>
            <w:shd w:val="clear" w:color="auto" w:fill="EAF1CE"/>
          </w:tcPr>
          <w:p>
            <w:pPr>
              <w:spacing w:after="0"/>
              <w:rPr>
                <w:sz w:val="10"/>
                <w:szCs w:val="10"/>
                <w:color w:val="auto"/>
              </w:rPr>
            </w:pPr>
          </w:p>
        </w:tc>
        <w:tc>
          <w:tcPr>
            <w:tcW w:w="220" w:type="dxa"/>
            <w:vAlign w:val="bottom"/>
            <w:tcBorders>
              <w:bottom w:val="single" w:sz="8" w:color="EAF1CE"/>
              <w:right w:val="single" w:sz="8" w:color="EAF1CE"/>
            </w:tcBorders>
            <w:shd w:val="clear" w:color="auto" w:fill="EAF1CE"/>
          </w:tcPr>
          <w:p>
            <w:pPr>
              <w:spacing w:after="0"/>
              <w:rPr>
                <w:sz w:val="10"/>
                <w:szCs w:val="10"/>
                <w:color w:val="auto"/>
              </w:rPr>
            </w:pPr>
          </w:p>
        </w:tc>
        <w:tc>
          <w:tcPr>
            <w:tcW w:w="280" w:type="dxa"/>
            <w:vAlign w:val="bottom"/>
            <w:tcBorders>
              <w:bottom w:val="single" w:sz="8" w:color="EAF1CE"/>
            </w:tcBorders>
            <w:gridSpan w:val="3"/>
            <w:vMerge w:val="continue"/>
            <w:shd w:val="clear" w:color="auto" w:fill="EAF1CE"/>
          </w:tcPr>
          <w:p>
            <w:pPr>
              <w:spacing w:after="0"/>
              <w:rPr>
                <w:sz w:val="10"/>
                <w:szCs w:val="10"/>
                <w:color w:val="auto"/>
              </w:rPr>
            </w:pPr>
          </w:p>
        </w:tc>
        <w:tc>
          <w:tcPr>
            <w:tcW w:w="120" w:type="dxa"/>
            <w:vAlign w:val="bottom"/>
            <w:tcBorders>
              <w:bottom w:val="single" w:sz="8" w:color="EAF1CE"/>
              <w:right w:val="single" w:sz="8" w:color="EAF1CE"/>
            </w:tcBorders>
            <w:shd w:val="clear" w:color="auto" w:fill="EAF1CE"/>
          </w:tcPr>
          <w:p>
            <w:pPr>
              <w:spacing w:after="0"/>
              <w:rPr>
                <w:sz w:val="10"/>
                <w:szCs w:val="10"/>
                <w:color w:val="auto"/>
              </w:rPr>
            </w:pPr>
          </w:p>
        </w:tc>
        <w:tc>
          <w:tcPr>
            <w:tcW w:w="160" w:type="dxa"/>
            <w:vAlign w:val="bottom"/>
            <w:tcBorders>
              <w:bottom w:val="single" w:sz="8" w:color="EAF1CE"/>
              <w:right w:val="single" w:sz="8" w:color="98B82F"/>
            </w:tcBorders>
            <w:shd w:val="clear" w:color="auto" w:fill="EAF1CE"/>
          </w:tcPr>
          <w:p>
            <w:pPr>
              <w:spacing w:after="0"/>
              <w:rPr>
                <w:sz w:val="10"/>
                <w:szCs w:val="10"/>
                <w:color w:val="auto"/>
              </w:rPr>
            </w:pPr>
          </w:p>
        </w:tc>
        <w:tc>
          <w:tcPr>
            <w:tcW w:w="60" w:type="dxa"/>
            <w:vAlign w:val="bottom"/>
            <w:tcBorders>
              <w:bottom w:val="single" w:sz="8" w:color="EAF1CE"/>
            </w:tcBorders>
            <w:shd w:val="clear" w:color="auto" w:fill="EAF1CE"/>
          </w:tcPr>
          <w:p>
            <w:pPr>
              <w:spacing w:after="0"/>
              <w:rPr>
                <w:sz w:val="10"/>
                <w:szCs w:val="10"/>
                <w:color w:val="auto"/>
              </w:rPr>
            </w:pPr>
          </w:p>
        </w:tc>
        <w:tc>
          <w:tcPr>
            <w:tcW w:w="60" w:type="dxa"/>
            <w:vAlign w:val="bottom"/>
            <w:tcBorders>
              <w:bottom w:val="single" w:sz="8" w:color="EAF1CE"/>
              <w:right w:val="single" w:sz="8" w:color="EAF1CE"/>
            </w:tcBorders>
            <w:shd w:val="clear" w:color="auto" w:fill="EAF1CE"/>
          </w:tcPr>
          <w:p>
            <w:pPr>
              <w:spacing w:after="0"/>
              <w:rPr>
                <w:sz w:val="10"/>
                <w:szCs w:val="10"/>
                <w:color w:val="auto"/>
              </w:rPr>
            </w:pPr>
          </w:p>
        </w:tc>
        <w:tc>
          <w:tcPr>
            <w:tcW w:w="40" w:type="dxa"/>
            <w:vAlign w:val="bottom"/>
            <w:tcBorders>
              <w:bottom w:val="single" w:sz="8" w:color="EAF1CE"/>
            </w:tcBorders>
            <w:shd w:val="clear" w:color="auto" w:fill="EAF1CE"/>
          </w:tcPr>
          <w:p>
            <w:pPr>
              <w:spacing w:after="0"/>
              <w:rPr>
                <w:sz w:val="10"/>
                <w:szCs w:val="10"/>
                <w:color w:val="auto"/>
              </w:rPr>
            </w:pPr>
          </w:p>
        </w:tc>
        <w:tc>
          <w:tcPr>
            <w:tcW w:w="80" w:type="dxa"/>
            <w:vAlign w:val="bottom"/>
            <w:tcBorders>
              <w:bottom w:val="single" w:sz="8" w:color="EAF1CE"/>
              <w:right w:val="single" w:sz="8" w:color="EAF1CE"/>
            </w:tcBorders>
            <w:shd w:val="clear" w:color="auto" w:fill="EAF1CE"/>
          </w:tcPr>
          <w:p>
            <w:pPr>
              <w:spacing w:after="0"/>
              <w:rPr>
                <w:sz w:val="10"/>
                <w:szCs w:val="10"/>
                <w:color w:val="auto"/>
              </w:rPr>
            </w:pPr>
          </w:p>
        </w:tc>
        <w:tc>
          <w:tcPr>
            <w:tcW w:w="360" w:type="dxa"/>
            <w:vAlign w:val="bottom"/>
            <w:tcBorders>
              <w:bottom w:val="single" w:sz="8" w:color="EAF1CE"/>
              <w:right w:val="single" w:sz="8" w:color="EAF1CE"/>
            </w:tcBorders>
            <w:gridSpan w:val="3"/>
            <w:vMerge w:val="continue"/>
            <w:shd w:val="clear" w:color="auto" w:fill="EAF1CE"/>
          </w:tcPr>
          <w:p>
            <w:pPr>
              <w:spacing w:after="0"/>
              <w:rPr>
                <w:sz w:val="10"/>
                <w:szCs w:val="10"/>
                <w:color w:val="auto"/>
              </w:rPr>
            </w:pPr>
          </w:p>
        </w:tc>
        <w:tc>
          <w:tcPr>
            <w:tcW w:w="100" w:type="dxa"/>
            <w:vAlign w:val="bottom"/>
            <w:tcBorders>
              <w:bottom w:val="single" w:sz="8" w:color="EAF1CE"/>
            </w:tcBorders>
            <w:shd w:val="clear" w:color="auto" w:fill="EAF1CE"/>
          </w:tcPr>
          <w:p>
            <w:pPr>
              <w:spacing w:after="0"/>
              <w:rPr>
                <w:sz w:val="10"/>
                <w:szCs w:val="10"/>
                <w:color w:val="auto"/>
              </w:rPr>
            </w:pPr>
          </w:p>
        </w:tc>
        <w:tc>
          <w:tcPr>
            <w:tcW w:w="100" w:type="dxa"/>
            <w:vAlign w:val="bottom"/>
            <w:tcBorders>
              <w:bottom w:val="single" w:sz="8" w:color="EAF1CE"/>
            </w:tcBorders>
            <w:shd w:val="clear" w:color="auto" w:fill="EAF1CE"/>
          </w:tcPr>
          <w:p>
            <w:pPr>
              <w:spacing w:after="0"/>
              <w:rPr>
                <w:sz w:val="10"/>
                <w:szCs w:val="10"/>
                <w:color w:val="auto"/>
              </w:rPr>
            </w:pPr>
          </w:p>
        </w:tc>
        <w:tc>
          <w:tcPr>
            <w:tcW w:w="120" w:type="dxa"/>
            <w:vAlign w:val="bottom"/>
            <w:tcBorders>
              <w:bottom w:val="single" w:sz="8" w:color="EAF1CE"/>
              <w:right w:val="single" w:sz="8" w:color="98B82F"/>
            </w:tcBorders>
            <w:shd w:val="clear" w:color="auto" w:fill="EAF1CE"/>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100" w:type="dxa"/>
            <w:vAlign w:val="bottom"/>
            <w:tcBorders>
              <w:left w:val="single" w:sz="8" w:color="98B82F"/>
              <w:right w:val="single" w:sz="8" w:color="98B82F"/>
            </w:tcBorders>
            <w:gridSpan w:val="6"/>
          </w:tcPr>
          <w:p>
            <w:pPr>
              <w:ind w:left="120"/>
              <w:spacing w:after="0"/>
              <w:rPr>
                <w:sz w:val="20"/>
                <w:szCs w:val="20"/>
                <w:color w:val="auto"/>
              </w:rPr>
            </w:pPr>
            <w:r>
              <w:rPr>
                <w:rFonts w:ascii="Arial" w:cs="Arial" w:eastAsia="Arial" w:hAnsi="Arial"/>
                <w:sz w:val="8"/>
                <w:szCs w:val="8"/>
                <w:color w:val="auto"/>
              </w:rPr>
              <w:t>Lost Time Injuries</w:t>
            </w:r>
          </w:p>
        </w:tc>
        <w:tc>
          <w:tcPr>
            <w:tcW w:w="80" w:type="dxa"/>
            <w:vAlign w:val="bottom"/>
            <w:tcBorders>
              <w:top w:val="single" w:sz="8" w:color="98B82F"/>
            </w:tcBorders>
            <w:shd w:val="clear" w:color="auto" w:fill="EAF1CE"/>
          </w:tcPr>
          <w:p>
            <w:pPr>
              <w:spacing w:after="0"/>
              <w:rPr>
                <w:sz w:val="8"/>
                <w:szCs w:val="8"/>
                <w:color w:val="auto"/>
              </w:rPr>
            </w:pPr>
          </w:p>
        </w:tc>
        <w:tc>
          <w:tcPr>
            <w:tcW w:w="14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tcBorders>
            <w:shd w:val="clear" w:color="auto" w:fill="EAF1CE"/>
          </w:tcPr>
          <w:p>
            <w:pPr>
              <w:spacing w:after="0"/>
              <w:rPr>
                <w:sz w:val="8"/>
                <w:szCs w:val="8"/>
                <w:color w:val="auto"/>
              </w:rPr>
            </w:pPr>
          </w:p>
        </w:tc>
        <w:tc>
          <w:tcPr>
            <w:tcW w:w="10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tcBorders>
            <w:shd w:val="clear" w:color="auto" w:fill="EAF1CE"/>
          </w:tcPr>
          <w:p>
            <w:pPr>
              <w:spacing w:after="0"/>
              <w:rPr>
                <w:sz w:val="8"/>
                <w:szCs w:val="8"/>
                <w:color w:val="auto"/>
              </w:rPr>
            </w:pPr>
          </w:p>
        </w:tc>
        <w:tc>
          <w:tcPr>
            <w:tcW w:w="100" w:type="dxa"/>
            <w:vAlign w:val="bottom"/>
            <w:tcBorders>
              <w:top w:val="single" w:sz="8" w:color="98B82F"/>
            </w:tcBorders>
            <w:shd w:val="clear" w:color="auto" w:fill="EAF1CE"/>
          </w:tcPr>
          <w:p>
            <w:pPr>
              <w:spacing w:after="0"/>
              <w:rPr>
                <w:sz w:val="8"/>
                <w:szCs w:val="8"/>
                <w:color w:val="auto"/>
              </w:rPr>
            </w:pPr>
          </w:p>
        </w:tc>
        <w:tc>
          <w:tcPr>
            <w:tcW w:w="140" w:type="dxa"/>
            <w:vAlign w:val="bottom"/>
            <w:tcBorders>
              <w:top w:val="single" w:sz="8" w:color="98B82F"/>
            </w:tcBorders>
            <w:shd w:val="clear" w:color="auto" w:fill="EAF1CE"/>
          </w:tcPr>
          <w:p>
            <w:pPr>
              <w:spacing w:after="0"/>
              <w:rPr>
                <w:sz w:val="8"/>
                <w:szCs w:val="8"/>
                <w:color w:val="auto"/>
              </w:rPr>
            </w:pPr>
          </w:p>
        </w:tc>
        <w:tc>
          <w:tcPr>
            <w:tcW w:w="260" w:type="dxa"/>
            <w:vAlign w:val="bottom"/>
            <w:tcBorders>
              <w:top w:val="single" w:sz="8" w:color="98B82F"/>
              <w:right w:val="single" w:sz="8" w:color="EAF1CE"/>
            </w:tcBorders>
            <w:shd w:val="clear" w:color="auto" w:fill="EAF1CE"/>
          </w:tcPr>
          <w:p>
            <w:pPr>
              <w:spacing w:after="0"/>
              <w:rPr>
                <w:sz w:val="8"/>
                <w:szCs w:val="8"/>
                <w:color w:val="auto"/>
              </w:rPr>
            </w:pPr>
          </w:p>
        </w:tc>
        <w:tc>
          <w:tcPr>
            <w:tcW w:w="280" w:type="dxa"/>
            <w:vAlign w:val="bottom"/>
            <w:tcBorders>
              <w:top w:val="single" w:sz="8" w:color="98B82F"/>
              <w:right w:val="single" w:sz="8" w:color="EAF1CE"/>
            </w:tcBorders>
            <w:shd w:val="clear" w:color="auto" w:fill="EAF1CE"/>
          </w:tcPr>
          <w:p>
            <w:pPr>
              <w:spacing w:after="0"/>
              <w:rPr>
                <w:sz w:val="8"/>
                <w:szCs w:val="8"/>
                <w:color w:val="auto"/>
              </w:rPr>
            </w:pPr>
          </w:p>
        </w:tc>
        <w:tc>
          <w:tcPr>
            <w:tcW w:w="100" w:type="dxa"/>
            <w:vAlign w:val="bottom"/>
            <w:tcBorders>
              <w:top w:val="single" w:sz="8" w:color="98B82F"/>
              <w:right w:val="single" w:sz="8" w:color="EAF1CE"/>
            </w:tcBorders>
            <w:shd w:val="clear" w:color="auto" w:fill="EAF1CE"/>
          </w:tcPr>
          <w:p>
            <w:pPr>
              <w:spacing w:after="0"/>
              <w:rPr>
                <w:sz w:val="8"/>
                <w:szCs w:val="8"/>
                <w:color w:val="auto"/>
              </w:rPr>
            </w:pPr>
          </w:p>
        </w:tc>
        <w:tc>
          <w:tcPr>
            <w:tcW w:w="180" w:type="dxa"/>
            <w:vAlign w:val="bottom"/>
            <w:tcBorders>
              <w:top w:val="single" w:sz="8" w:color="98B82F"/>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6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200" w:type="dxa"/>
            <w:vAlign w:val="bottom"/>
            <w:tcBorders>
              <w:top w:val="single" w:sz="8" w:color="98B82F"/>
              <w:left w:val="single" w:sz="8" w:color="EAF1CE"/>
              <w:right w:val="single" w:sz="8" w:color="EAF1CE"/>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tcBorders>
            <w:shd w:val="clear" w:color="auto" w:fill="EAF1CE"/>
          </w:tcPr>
          <w:p>
            <w:pPr>
              <w:spacing w:after="0"/>
              <w:rPr>
                <w:sz w:val="8"/>
                <w:szCs w:val="8"/>
                <w:color w:val="auto"/>
              </w:rPr>
            </w:pPr>
          </w:p>
        </w:tc>
        <w:tc>
          <w:tcPr>
            <w:tcW w:w="220" w:type="dxa"/>
            <w:vAlign w:val="bottom"/>
            <w:tcBorders>
              <w:top w:val="single" w:sz="8" w:color="98B82F"/>
            </w:tcBorders>
            <w:shd w:val="clear" w:color="auto" w:fill="EAF1CE"/>
          </w:tcPr>
          <w:p>
            <w:pPr>
              <w:spacing w:after="0"/>
              <w:rPr>
                <w:sz w:val="8"/>
                <w:szCs w:val="8"/>
                <w:color w:val="auto"/>
              </w:rPr>
            </w:pPr>
          </w:p>
        </w:tc>
        <w:tc>
          <w:tcPr>
            <w:tcW w:w="220" w:type="dxa"/>
            <w:vAlign w:val="bottom"/>
            <w:tcBorders>
              <w:top w:val="single" w:sz="8" w:color="98B82F"/>
              <w:right w:val="single" w:sz="8" w:color="EAF1CE"/>
            </w:tcBorders>
            <w:gridSpan w:val="3"/>
            <w:shd w:val="clear" w:color="auto" w:fill="EAF1CE"/>
          </w:tcPr>
          <w:p>
            <w:pPr>
              <w:jc w:val="center"/>
              <w:ind w:left="2"/>
              <w:spacing w:after="0"/>
              <w:rPr>
                <w:sz w:val="20"/>
                <w:szCs w:val="20"/>
                <w:color w:val="auto"/>
              </w:rPr>
            </w:pPr>
            <w:r>
              <w:rPr>
                <w:rFonts w:ascii="Arial" w:cs="Arial" w:eastAsia="Arial" w:hAnsi="Arial"/>
                <w:sz w:val="8"/>
                <w:szCs w:val="8"/>
                <w:color w:val="auto"/>
              </w:rPr>
              <w:t>1</w:t>
            </w:r>
          </w:p>
        </w:tc>
        <w:tc>
          <w:tcPr>
            <w:tcW w:w="20" w:type="dxa"/>
            <w:vAlign w:val="bottom"/>
            <w:tcBorders>
              <w:top w:val="single" w:sz="8" w:color="98B82F"/>
            </w:tcBorders>
            <w:shd w:val="clear" w:color="auto" w:fill="EAF1CE"/>
          </w:tcPr>
          <w:p>
            <w:pPr>
              <w:spacing w:after="0"/>
              <w:rPr>
                <w:sz w:val="8"/>
                <w:szCs w:val="8"/>
                <w:color w:val="auto"/>
              </w:rPr>
            </w:pPr>
          </w:p>
        </w:tc>
        <w:tc>
          <w:tcPr>
            <w:tcW w:w="100" w:type="dxa"/>
            <w:vAlign w:val="bottom"/>
            <w:tcBorders>
              <w:top w:val="single" w:sz="8" w:color="98B82F"/>
              <w:right w:val="single" w:sz="8" w:color="EAF1CE"/>
            </w:tcBorders>
            <w:shd w:val="clear" w:color="auto" w:fill="EAF1CE"/>
          </w:tcPr>
          <w:p>
            <w:pPr>
              <w:spacing w:after="0"/>
              <w:rPr>
                <w:sz w:val="8"/>
                <w:szCs w:val="8"/>
                <w:color w:val="auto"/>
              </w:rPr>
            </w:pPr>
          </w:p>
        </w:tc>
        <w:tc>
          <w:tcPr>
            <w:tcW w:w="100" w:type="dxa"/>
            <w:vAlign w:val="bottom"/>
            <w:tcBorders>
              <w:top w:val="single" w:sz="8" w:color="98B82F"/>
              <w:right w:val="single" w:sz="8" w:color="EAF1CE"/>
            </w:tcBorders>
            <w:shd w:val="clear" w:color="auto" w:fill="EAF1CE"/>
          </w:tcPr>
          <w:p>
            <w:pPr>
              <w:spacing w:after="0"/>
              <w:rPr>
                <w:sz w:val="8"/>
                <w:szCs w:val="8"/>
                <w:color w:val="auto"/>
              </w:rPr>
            </w:pPr>
          </w:p>
        </w:tc>
        <w:tc>
          <w:tcPr>
            <w:tcW w:w="20" w:type="dxa"/>
            <w:vAlign w:val="bottom"/>
            <w:tcBorders>
              <w:top w:val="single" w:sz="8" w:color="98B82F"/>
            </w:tcBorders>
            <w:shd w:val="clear" w:color="auto" w:fill="EAF1CE"/>
          </w:tcPr>
          <w:p>
            <w:pPr>
              <w:spacing w:after="0"/>
              <w:rPr>
                <w:sz w:val="8"/>
                <w:szCs w:val="8"/>
                <w:color w:val="auto"/>
              </w:rPr>
            </w:pPr>
          </w:p>
        </w:tc>
        <w:tc>
          <w:tcPr>
            <w:tcW w:w="60" w:type="dxa"/>
            <w:vAlign w:val="bottom"/>
            <w:tcBorders>
              <w:top w:val="single" w:sz="8" w:color="98B82F"/>
            </w:tcBorders>
            <w:shd w:val="clear" w:color="auto" w:fill="EAF1CE"/>
          </w:tcPr>
          <w:p>
            <w:pPr>
              <w:spacing w:after="0"/>
              <w:rPr>
                <w:sz w:val="8"/>
                <w:szCs w:val="8"/>
                <w:color w:val="auto"/>
              </w:rPr>
            </w:pPr>
          </w:p>
        </w:tc>
        <w:tc>
          <w:tcPr>
            <w:tcW w:w="100" w:type="dxa"/>
            <w:vAlign w:val="bottom"/>
            <w:tcBorders>
              <w:top w:val="single" w:sz="8" w:color="98B82F"/>
            </w:tcBorders>
            <w:shd w:val="clear" w:color="auto" w:fill="EAF1CE"/>
          </w:tcPr>
          <w:p>
            <w:pPr>
              <w:spacing w:after="0"/>
              <w:rPr>
                <w:sz w:val="8"/>
                <w:szCs w:val="8"/>
                <w:color w:val="auto"/>
              </w:rPr>
            </w:pPr>
          </w:p>
        </w:tc>
        <w:tc>
          <w:tcPr>
            <w:tcW w:w="40" w:type="dxa"/>
            <w:vAlign w:val="bottom"/>
            <w:tcBorders>
              <w:top w:val="single" w:sz="8" w:color="98B82F"/>
              <w:right w:val="single" w:sz="8" w:color="EAF1CE"/>
            </w:tcBorders>
            <w:shd w:val="clear" w:color="auto" w:fill="EAF1CE"/>
          </w:tcPr>
          <w:p>
            <w:pPr>
              <w:spacing w:after="0"/>
              <w:rPr>
                <w:sz w:val="8"/>
                <w:szCs w:val="8"/>
                <w:color w:val="auto"/>
              </w:rPr>
            </w:pPr>
          </w:p>
        </w:tc>
        <w:tc>
          <w:tcPr>
            <w:tcW w:w="10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100" w:type="dxa"/>
            <w:vAlign w:val="bottom"/>
            <w:tcBorders>
              <w:top w:val="single" w:sz="8" w:color="98B82F"/>
            </w:tcBorders>
            <w:shd w:val="clear" w:color="auto" w:fill="EAF1CE"/>
          </w:tcPr>
          <w:p>
            <w:pPr>
              <w:spacing w:after="0"/>
              <w:rPr>
                <w:sz w:val="8"/>
                <w:szCs w:val="8"/>
                <w:color w:val="auto"/>
              </w:rPr>
            </w:pPr>
          </w:p>
        </w:tc>
        <w:tc>
          <w:tcPr>
            <w:tcW w:w="60" w:type="dxa"/>
            <w:vAlign w:val="bottom"/>
            <w:tcBorders>
              <w:top w:val="single" w:sz="8" w:color="98B82F"/>
            </w:tcBorders>
            <w:shd w:val="clear" w:color="auto" w:fill="EAF1CE"/>
          </w:tcPr>
          <w:p>
            <w:pPr>
              <w:spacing w:after="0"/>
              <w:rPr>
                <w:sz w:val="8"/>
                <w:szCs w:val="8"/>
                <w:color w:val="auto"/>
              </w:rPr>
            </w:pPr>
          </w:p>
        </w:tc>
        <w:tc>
          <w:tcPr>
            <w:tcW w:w="180" w:type="dxa"/>
            <w:vAlign w:val="bottom"/>
            <w:tcBorders>
              <w:top w:val="single" w:sz="8" w:color="98B82F"/>
              <w:right w:val="single" w:sz="8" w:color="98B82F"/>
            </w:tcBorders>
            <w:shd w:val="clear" w:color="auto" w:fill="EAF1CE"/>
          </w:tcPr>
          <w:p>
            <w:pPr>
              <w:jc w:val="center"/>
              <w:spacing w:after="0"/>
              <w:rPr>
                <w:sz w:val="20"/>
                <w:szCs w:val="20"/>
                <w:color w:val="auto"/>
              </w:rPr>
            </w:pPr>
            <w:r>
              <w:rPr>
                <w:rFonts w:ascii="Arial" w:cs="Arial" w:eastAsia="Arial" w:hAnsi="Arial"/>
                <w:sz w:val="8"/>
                <w:szCs w:val="8"/>
                <w:color w:val="auto"/>
                <w:w w:val="88"/>
              </w:rPr>
              <w:t>2</w:t>
            </w:r>
          </w:p>
        </w:tc>
        <w:tc>
          <w:tcPr>
            <w:tcW w:w="20" w:type="dxa"/>
            <w:vAlign w:val="bottom"/>
            <w:tcBorders>
              <w:top w:val="single" w:sz="8" w:color="98B82F"/>
            </w:tcBorders>
            <w:shd w:val="clear" w:color="auto" w:fill="EAF1CE"/>
          </w:tcPr>
          <w:p>
            <w:pPr>
              <w:spacing w:after="0"/>
              <w:rPr>
                <w:sz w:val="8"/>
                <w:szCs w:val="8"/>
                <w:color w:val="auto"/>
              </w:rPr>
            </w:pPr>
          </w:p>
        </w:tc>
        <w:tc>
          <w:tcPr>
            <w:tcW w:w="60" w:type="dxa"/>
            <w:vAlign w:val="bottom"/>
            <w:tcBorders>
              <w:top w:val="single" w:sz="8" w:color="98B82F"/>
            </w:tcBorders>
            <w:shd w:val="clear" w:color="auto" w:fill="EAF1CE"/>
          </w:tcPr>
          <w:p>
            <w:pPr>
              <w:spacing w:after="0"/>
              <w:rPr>
                <w:sz w:val="8"/>
                <w:szCs w:val="8"/>
                <w:color w:val="auto"/>
              </w:rPr>
            </w:pPr>
          </w:p>
        </w:tc>
        <w:tc>
          <w:tcPr>
            <w:tcW w:w="20" w:type="dxa"/>
            <w:vAlign w:val="bottom"/>
            <w:tcBorders>
              <w:top w:val="single" w:sz="8" w:color="98B82F"/>
            </w:tcBorders>
            <w:shd w:val="clear" w:color="auto" w:fill="EAF1CE"/>
          </w:tcPr>
          <w:p>
            <w:pPr>
              <w:spacing w:after="0"/>
              <w:rPr>
                <w:sz w:val="8"/>
                <w:szCs w:val="8"/>
                <w:color w:val="auto"/>
              </w:rPr>
            </w:pPr>
          </w:p>
        </w:tc>
        <w:tc>
          <w:tcPr>
            <w:tcW w:w="500" w:type="dxa"/>
            <w:vAlign w:val="bottom"/>
            <w:tcBorders>
              <w:top w:val="single" w:sz="8" w:color="98B82F"/>
            </w:tcBorders>
            <w:gridSpan w:val="4"/>
            <w:vMerge w:val="restart"/>
            <w:shd w:val="clear" w:color="auto" w:fill="EAF1CE"/>
          </w:tcPr>
          <w:p>
            <w:pPr>
              <w:jc w:val="center"/>
              <w:ind w:left="78"/>
              <w:spacing w:after="0"/>
              <w:rPr>
                <w:sz w:val="20"/>
                <w:szCs w:val="20"/>
                <w:color w:val="auto"/>
              </w:rPr>
            </w:pPr>
            <w:r>
              <w:rPr>
                <w:rFonts w:ascii="Arial" w:cs="Arial" w:eastAsia="Arial" w:hAnsi="Arial"/>
                <w:sz w:val="10"/>
                <w:szCs w:val="10"/>
                <w:color w:val="262626"/>
              </w:rPr>
              <w:t>99; 12%</w:t>
            </w:r>
          </w:p>
        </w:tc>
        <w:tc>
          <w:tcPr>
            <w:tcW w:w="120" w:type="dxa"/>
            <w:vAlign w:val="bottom"/>
            <w:tcBorders>
              <w:top w:val="single" w:sz="8" w:color="98B82F"/>
              <w:right w:val="single" w:sz="8" w:color="EAF1CE"/>
            </w:tcBorders>
            <w:shd w:val="clear" w:color="auto" w:fill="EAF1CE"/>
          </w:tcPr>
          <w:p>
            <w:pPr>
              <w:spacing w:after="0"/>
              <w:rPr>
                <w:sz w:val="8"/>
                <w:szCs w:val="8"/>
                <w:color w:val="auto"/>
              </w:rPr>
            </w:pPr>
          </w:p>
        </w:tc>
        <w:tc>
          <w:tcPr>
            <w:tcW w:w="160" w:type="dxa"/>
            <w:vAlign w:val="bottom"/>
            <w:tcBorders>
              <w:top w:val="single" w:sz="8" w:color="98B82F"/>
              <w:right w:val="single" w:sz="8" w:color="98B82F"/>
            </w:tcBorders>
            <w:shd w:val="clear" w:color="auto" w:fill="EAF1CE"/>
          </w:tcPr>
          <w:p>
            <w:pPr>
              <w:spacing w:after="0"/>
              <w:rPr>
                <w:sz w:val="8"/>
                <w:szCs w:val="8"/>
                <w:color w:val="auto"/>
              </w:rPr>
            </w:pPr>
          </w:p>
        </w:tc>
        <w:tc>
          <w:tcPr>
            <w:tcW w:w="60" w:type="dxa"/>
            <w:vAlign w:val="bottom"/>
            <w:tcBorders>
              <w:top w:val="single" w:sz="8" w:color="98B82F"/>
            </w:tcBorders>
            <w:shd w:val="clear" w:color="auto" w:fill="EAF1CE"/>
          </w:tcPr>
          <w:p>
            <w:pPr>
              <w:jc w:val="right"/>
              <w:spacing w:after="0"/>
              <w:rPr>
                <w:sz w:val="20"/>
                <w:szCs w:val="20"/>
                <w:color w:val="auto"/>
              </w:rPr>
            </w:pPr>
            <w:r>
              <w:rPr>
                <w:rFonts w:ascii="Arial" w:cs="Arial" w:eastAsia="Arial" w:hAnsi="Arial"/>
                <w:sz w:val="8"/>
                <w:szCs w:val="8"/>
                <w:color w:val="auto"/>
                <w:w w:val="88"/>
              </w:rPr>
              <w:t>6</w:t>
            </w:r>
          </w:p>
        </w:tc>
        <w:tc>
          <w:tcPr>
            <w:tcW w:w="60" w:type="dxa"/>
            <w:vAlign w:val="bottom"/>
            <w:tcBorders>
              <w:top w:val="single" w:sz="8" w:color="98B82F"/>
              <w:right w:val="single" w:sz="8" w:color="EAF1CE"/>
            </w:tcBorders>
            <w:shd w:val="clear" w:color="auto" w:fill="EAF1CE"/>
          </w:tcPr>
          <w:p>
            <w:pPr>
              <w:spacing w:after="0"/>
              <w:rPr>
                <w:sz w:val="8"/>
                <w:szCs w:val="8"/>
                <w:color w:val="auto"/>
              </w:rPr>
            </w:pPr>
          </w:p>
        </w:tc>
        <w:tc>
          <w:tcPr>
            <w:tcW w:w="40" w:type="dxa"/>
            <w:vAlign w:val="bottom"/>
            <w:tcBorders>
              <w:top w:val="single" w:sz="8" w:color="98B82F"/>
            </w:tcBorders>
            <w:shd w:val="clear" w:color="auto" w:fill="EAF1CE"/>
          </w:tcPr>
          <w:p>
            <w:pPr>
              <w:spacing w:after="0"/>
              <w:rPr>
                <w:sz w:val="8"/>
                <w:szCs w:val="8"/>
                <w:color w:val="auto"/>
              </w:rPr>
            </w:pPr>
          </w:p>
        </w:tc>
        <w:tc>
          <w:tcPr>
            <w:tcW w:w="540" w:type="dxa"/>
            <w:vAlign w:val="bottom"/>
            <w:tcBorders>
              <w:top w:val="single" w:sz="8" w:color="98B82F"/>
            </w:tcBorders>
            <w:gridSpan w:val="5"/>
            <w:vMerge w:val="restart"/>
            <w:shd w:val="clear" w:color="auto" w:fill="EAF1CE"/>
          </w:tcPr>
          <w:p>
            <w:pPr>
              <w:jc w:val="center"/>
              <w:spacing w:after="0"/>
              <w:rPr>
                <w:sz w:val="20"/>
                <w:szCs w:val="20"/>
                <w:color w:val="auto"/>
              </w:rPr>
            </w:pPr>
            <w:r>
              <w:rPr>
                <w:rFonts w:ascii="Arial" w:cs="Arial" w:eastAsia="Arial" w:hAnsi="Arial"/>
                <w:sz w:val="10"/>
                <w:szCs w:val="10"/>
                <w:color w:val="262626"/>
                <w:w w:val="94"/>
              </w:rPr>
              <w:t>116; 15%</w:t>
            </w:r>
          </w:p>
        </w:tc>
        <w:tc>
          <w:tcPr>
            <w:tcW w:w="100" w:type="dxa"/>
            <w:vAlign w:val="bottom"/>
            <w:tcBorders>
              <w:top w:val="single" w:sz="8" w:color="98B82F"/>
            </w:tcBorders>
            <w:shd w:val="clear" w:color="auto" w:fill="EAF1CE"/>
          </w:tcPr>
          <w:p>
            <w:pPr>
              <w:spacing w:after="0"/>
              <w:rPr>
                <w:sz w:val="8"/>
                <w:szCs w:val="8"/>
                <w:color w:val="auto"/>
              </w:rPr>
            </w:pPr>
          </w:p>
        </w:tc>
        <w:tc>
          <w:tcPr>
            <w:tcW w:w="120" w:type="dxa"/>
            <w:vAlign w:val="bottom"/>
            <w:tcBorders>
              <w:top w:val="single" w:sz="8" w:color="98B82F"/>
              <w:right w:val="single" w:sz="8" w:color="98B82F"/>
            </w:tcBorders>
            <w:shd w:val="clear" w:color="auto" w:fill="EAF1C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20" w:type="dxa"/>
            <w:vAlign w:val="bottom"/>
            <w:tcBorders>
              <w:left w:val="single" w:sz="8" w:color="98B82F"/>
              <w:bottom w:val="single" w:sz="8" w:color="98B82F"/>
            </w:tcBorders>
          </w:tcPr>
          <w:p>
            <w:pPr>
              <w:spacing w:after="0"/>
              <w:rPr>
                <w:sz w:val="9"/>
                <w:szCs w:val="9"/>
                <w:color w:val="auto"/>
              </w:rPr>
            </w:pPr>
          </w:p>
        </w:tc>
        <w:tc>
          <w:tcPr>
            <w:tcW w:w="20" w:type="dxa"/>
            <w:vAlign w:val="bottom"/>
            <w:tcBorders>
              <w:bottom w:val="single" w:sz="8" w:color="98B82F"/>
            </w:tcBorders>
          </w:tcPr>
          <w:p>
            <w:pPr>
              <w:spacing w:after="0"/>
              <w:rPr>
                <w:sz w:val="9"/>
                <w:szCs w:val="9"/>
                <w:color w:val="auto"/>
              </w:rPr>
            </w:pPr>
          </w:p>
        </w:tc>
        <w:tc>
          <w:tcPr>
            <w:tcW w:w="300" w:type="dxa"/>
            <w:vAlign w:val="bottom"/>
            <w:tcBorders>
              <w:bottom w:val="single" w:sz="8" w:color="98B82F"/>
            </w:tcBorders>
          </w:tcPr>
          <w:p>
            <w:pPr>
              <w:spacing w:after="0"/>
              <w:rPr>
                <w:sz w:val="9"/>
                <w:szCs w:val="9"/>
                <w:color w:val="auto"/>
              </w:rPr>
            </w:pPr>
          </w:p>
        </w:tc>
        <w:tc>
          <w:tcPr>
            <w:tcW w:w="20" w:type="dxa"/>
            <w:vAlign w:val="bottom"/>
            <w:tcBorders>
              <w:bottom w:val="single" w:sz="8" w:color="98B82F"/>
            </w:tcBorders>
          </w:tcPr>
          <w:p>
            <w:pPr>
              <w:spacing w:after="0"/>
              <w:rPr>
                <w:sz w:val="9"/>
                <w:szCs w:val="9"/>
                <w:color w:val="auto"/>
              </w:rPr>
            </w:pPr>
          </w:p>
        </w:tc>
        <w:tc>
          <w:tcPr>
            <w:tcW w:w="120" w:type="dxa"/>
            <w:vAlign w:val="bottom"/>
            <w:tcBorders>
              <w:bottom w:val="single" w:sz="8" w:color="98B82F"/>
            </w:tcBorders>
          </w:tcPr>
          <w:p>
            <w:pPr>
              <w:spacing w:after="0"/>
              <w:rPr>
                <w:sz w:val="9"/>
                <w:szCs w:val="9"/>
                <w:color w:val="auto"/>
              </w:rPr>
            </w:pPr>
          </w:p>
        </w:tc>
        <w:tc>
          <w:tcPr>
            <w:tcW w:w="320" w:type="dxa"/>
            <w:vAlign w:val="bottom"/>
            <w:tcBorders>
              <w:bottom w:val="single" w:sz="8" w:color="98B82F"/>
              <w:right w:val="single" w:sz="8" w:color="98B82F"/>
            </w:tcBorders>
          </w:tcPr>
          <w:p>
            <w:pPr>
              <w:spacing w:after="0"/>
              <w:rPr>
                <w:sz w:val="9"/>
                <w:szCs w:val="9"/>
                <w:color w:val="auto"/>
              </w:rPr>
            </w:pPr>
          </w:p>
        </w:tc>
        <w:tc>
          <w:tcPr>
            <w:tcW w:w="80" w:type="dxa"/>
            <w:vAlign w:val="bottom"/>
            <w:tcBorders>
              <w:bottom w:val="single" w:sz="8" w:color="EAF1CE"/>
            </w:tcBorders>
            <w:shd w:val="clear" w:color="auto" w:fill="EAF1CE"/>
          </w:tcPr>
          <w:p>
            <w:pPr>
              <w:spacing w:after="0"/>
              <w:rPr>
                <w:sz w:val="9"/>
                <w:szCs w:val="9"/>
                <w:color w:val="auto"/>
              </w:rPr>
            </w:pPr>
          </w:p>
        </w:tc>
        <w:tc>
          <w:tcPr>
            <w:tcW w:w="2760" w:type="dxa"/>
            <w:vAlign w:val="bottom"/>
            <w:tcBorders>
              <w:bottom w:val="single" w:sz="8" w:color="EAF1CE"/>
              <w:right w:val="single" w:sz="8" w:color="EAF1CE"/>
            </w:tcBorders>
            <w:gridSpan w:val="24"/>
            <w:shd w:val="clear" w:color="auto" w:fill="EAF1CE"/>
          </w:tcPr>
          <w:p>
            <w:pPr>
              <w:spacing w:after="0" w:line="73" w:lineRule="exact"/>
              <w:rPr>
                <w:sz w:val="20"/>
                <w:szCs w:val="20"/>
                <w:color w:val="auto"/>
              </w:rPr>
            </w:pPr>
            <w:r>
              <w:rPr>
                <w:rFonts w:ascii="Arial" w:cs="Arial" w:eastAsia="Arial" w:hAnsi="Arial"/>
                <w:sz w:val="8"/>
                <w:szCs w:val="8"/>
                <w:color w:val="262626"/>
              </w:rPr>
              <w:t>Total number and percent of voluntary employee turnover</w:t>
            </w:r>
          </w:p>
        </w:tc>
        <w:tc>
          <w:tcPr>
            <w:tcW w:w="100" w:type="dxa"/>
            <w:vAlign w:val="bottom"/>
            <w:tcBorders>
              <w:bottom w:val="single" w:sz="8" w:color="EAF1CE"/>
              <w:right w:val="single" w:sz="8" w:color="EAF1CE"/>
            </w:tcBorders>
            <w:shd w:val="clear" w:color="auto" w:fill="EAF1CE"/>
          </w:tcPr>
          <w:p>
            <w:pPr>
              <w:spacing w:after="0"/>
              <w:rPr>
                <w:sz w:val="9"/>
                <w:szCs w:val="9"/>
                <w:color w:val="auto"/>
              </w:rPr>
            </w:pPr>
          </w:p>
        </w:tc>
        <w:tc>
          <w:tcPr>
            <w:tcW w:w="20" w:type="dxa"/>
            <w:vAlign w:val="bottom"/>
            <w:tcBorders>
              <w:bottom w:val="single" w:sz="8" w:color="EAF1CE"/>
            </w:tcBorders>
            <w:shd w:val="clear" w:color="auto" w:fill="EAF1CE"/>
          </w:tcPr>
          <w:p>
            <w:pPr>
              <w:spacing w:after="0"/>
              <w:rPr>
                <w:sz w:val="9"/>
                <w:szCs w:val="9"/>
                <w:color w:val="auto"/>
              </w:rPr>
            </w:pPr>
          </w:p>
        </w:tc>
        <w:tc>
          <w:tcPr>
            <w:tcW w:w="60" w:type="dxa"/>
            <w:vAlign w:val="bottom"/>
            <w:tcBorders>
              <w:bottom w:val="single" w:sz="8" w:color="EAF1CE"/>
            </w:tcBorders>
            <w:shd w:val="clear" w:color="auto" w:fill="EAF1CE"/>
          </w:tcPr>
          <w:p>
            <w:pPr>
              <w:spacing w:after="0"/>
              <w:rPr>
                <w:sz w:val="9"/>
                <w:szCs w:val="9"/>
                <w:color w:val="auto"/>
              </w:rPr>
            </w:pPr>
          </w:p>
        </w:tc>
        <w:tc>
          <w:tcPr>
            <w:tcW w:w="100" w:type="dxa"/>
            <w:vAlign w:val="bottom"/>
            <w:tcBorders>
              <w:bottom w:val="single" w:sz="8" w:color="EAF1CE"/>
            </w:tcBorders>
            <w:shd w:val="clear" w:color="auto" w:fill="EAF1CE"/>
          </w:tcPr>
          <w:p>
            <w:pPr>
              <w:spacing w:after="0"/>
              <w:rPr>
                <w:sz w:val="9"/>
                <w:szCs w:val="9"/>
                <w:color w:val="auto"/>
              </w:rPr>
            </w:pPr>
          </w:p>
        </w:tc>
        <w:tc>
          <w:tcPr>
            <w:tcW w:w="40" w:type="dxa"/>
            <w:vAlign w:val="bottom"/>
            <w:tcBorders>
              <w:bottom w:val="single" w:sz="8" w:color="EAF1CE"/>
              <w:right w:val="single" w:sz="8" w:color="EAF1CE"/>
            </w:tcBorders>
            <w:shd w:val="clear" w:color="auto" w:fill="EAF1CE"/>
          </w:tcPr>
          <w:p>
            <w:pPr>
              <w:spacing w:after="0"/>
              <w:rPr>
                <w:sz w:val="9"/>
                <w:szCs w:val="9"/>
                <w:color w:val="auto"/>
              </w:rPr>
            </w:pPr>
          </w:p>
        </w:tc>
        <w:tc>
          <w:tcPr>
            <w:tcW w:w="100" w:type="dxa"/>
            <w:vAlign w:val="bottom"/>
            <w:tcBorders>
              <w:bottom w:val="single" w:sz="8" w:color="EAF1CE"/>
            </w:tcBorders>
            <w:shd w:val="clear" w:color="auto" w:fill="EAF1CE"/>
          </w:tcPr>
          <w:p>
            <w:pPr>
              <w:spacing w:after="0"/>
              <w:rPr>
                <w:sz w:val="9"/>
                <w:szCs w:val="9"/>
                <w:color w:val="auto"/>
              </w:rPr>
            </w:pPr>
          </w:p>
        </w:tc>
        <w:tc>
          <w:tcPr>
            <w:tcW w:w="120" w:type="dxa"/>
            <w:vAlign w:val="bottom"/>
            <w:tcBorders>
              <w:bottom w:val="single" w:sz="8" w:color="EAF1CE"/>
            </w:tcBorders>
            <w:shd w:val="clear" w:color="auto" w:fill="EAF1CE"/>
          </w:tcPr>
          <w:p>
            <w:pPr>
              <w:spacing w:after="0"/>
              <w:rPr>
                <w:sz w:val="9"/>
                <w:szCs w:val="9"/>
                <w:color w:val="auto"/>
              </w:rPr>
            </w:pPr>
          </w:p>
        </w:tc>
        <w:tc>
          <w:tcPr>
            <w:tcW w:w="40" w:type="dxa"/>
            <w:vAlign w:val="bottom"/>
            <w:tcBorders>
              <w:bottom w:val="single" w:sz="8" w:color="EAF1CE"/>
            </w:tcBorders>
            <w:shd w:val="clear" w:color="auto" w:fill="EAF1CE"/>
          </w:tcPr>
          <w:p>
            <w:pPr>
              <w:spacing w:after="0"/>
              <w:rPr>
                <w:sz w:val="9"/>
                <w:szCs w:val="9"/>
                <w:color w:val="auto"/>
              </w:rPr>
            </w:pPr>
          </w:p>
        </w:tc>
        <w:tc>
          <w:tcPr>
            <w:tcW w:w="100" w:type="dxa"/>
            <w:vAlign w:val="bottom"/>
            <w:tcBorders>
              <w:bottom w:val="single" w:sz="8" w:color="EAF1CE"/>
            </w:tcBorders>
            <w:shd w:val="clear" w:color="auto" w:fill="EAF1CE"/>
          </w:tcPr>
          <w:p>
            <w:pPr>
              <w:spacing w:after="0"/>
              <w:rPr>
                <w:sz w:val="9"/>
                <w:szCs w:val="9"/>
                <w:color w:val="auto"/>
              </w:rPr>
            </w:pPr>
          </w:p>
        </w:tc>
        <w:tc>
          <w:tcPr>
            <w:tcW w:w="60" w:type="dxa"/>
            <w:vAlign w:val="bottom"/>
            <w:tcBorders>
              <w:bottom w:val="single" w:sz="8" w:color="EAF1CE"/>
            </w:tcBorders>
            <w:shd w:val="clear" w:color="auto" w:fill="EAF1CE"/>
          </w:tcPr>
          <w:p>
            <w:pPr>
              <w:spacing w:after="0"/>
              <w:rPr>
                <w:sz w:val="9"/>
                <w:szCs w:val="9"/>
                <w:color w:val="auto"/>
              </w:rPr>
            </w:pPr>
          </w:p>
        </w:tc>
        <w:tc>
          <w:tcPr>
            <w:tcW w:w="180" w:type="dxa"/>
            <w:vAlign w:val="bottom"/>
            <w:tcBorders>
              <w:bottom w:val="single" w:sz="8" w:color="EAF1CE"/>
              <w:right w:val="single" w:sz="8" w:color="98B82F"/>
            </w:tcBorders>
            <w:shd w:val="clear" w:color="auto" w:fill="EAF1CE"/>
          </w:tcPr>
          <w:p>
            <w:pPr>
              <w:spacing w:after="0"/>
              <w:rPr>
                <w:sz w:val="9"/>
                <w:szCs w:val="9"/>
                <w:color w:val="auto"/>
              </w:rPr>
            </w:pPr>
          </w:p>
        </w:tc>
        <w:tc>
          <w:tcPr>
            <w:tcW w:w="20" w:type="dxa"/>
            <w:vAlign w:val="bottom"/>
            <w:tcBorders>
              <w:bottom w:val="single" w:sz="8" w:color="EAF1CE"/>
            </w:tcBorders>
            <w:shd w:val="clear" w:color="auto" w:fill="EAF1CE"/>
          </w:tcPr>
          <w:p>
            <w:pPr>
              <w:spacing w:after="0"/>
              <w:rPr>
                <w:sz w:val="9"/>
                <w:szCs w:val="9"/>
                <w:color w:val="auto"/>
              </w:rPr>
            </w:pPr>
          </w:p>
        </w:tc>
        <w:tc>
          <w:tcPr>
            <w:tcW w:w="60" w:type="dxa"/>
            <w:vAlign w:val="bottom"/>
            <w:tcBorders>
              <w:bottom w:val="single" w:sz="8" w:color="EAF1CE"/>
            </w:tcBorders>
            <w:shd w:val="clear" w:color="auto" w:fill="EAF1CE"/>
          </w:tcPr>
          <w:p>
            <w:pPr>
              <w:spacing w:after="0"/>
              <w:rPr>
                <w:sz w:val="9"/>
                <w:szCs w:val="9"/>
                <w:color w:val="auto"/>
              </w:rPr>
            </w:pPr>
          </w:p>
        </w:tc>
        <w:tc>
          <w:tcPr>
            <w:tcW w:w="20" w:type="dxa"/>
            <w:vAlign w:val="bottom"/>
            <w:tcBorders>
              <w:bottom w:val="single" w:sz="8" w:color="EAF1CE"/>
            </w:tcBorders>
            <w:shd w:val="clear" w:color="auto" w:fill="EAF1CE"/>
          </w:tcPr>
          <w:p>
            <w:pPr>
              <w:spacing w:after="0"/>
              <w:rPr>
                <w:sz w:val="9"/>
                <w:szCs w:val="9"/>
                <w:color w:val="auto"/>
              </w:rPr>
            </w:pPr>
          </w:p>
        </w:tc>
        <w:tc>
          <w:tcPr>
            <w:tcW w:w="500" w:type="dxa"/>
            <w:vAlign w:val="bottom"/>
            <w:tcBorders>
              <w:bottom w:val="single" w:sz="8" w:color="EAF1CE"/>
            </w:tcBorders>
            <w:gridSpan w:val="4"/>
            <w:vMerge w:val="continue"/>
            <w:shd w:val="clear" w:color="auto" w:fill="EAF1CE"/>
          </w:tcPr>
          <w:p>
            <w:pPr>
              <w:spacing w:after="0"/>
              <w:rPr>
                <w:sz w:val="9"/>
                <w:szCs w:val="9"/>
                <w:color w:val="auto"/>
              </w:rPr>
            </w:pPr>
          </w:p>
        </w:tc>
        <w:tc>
          <w:tcPr>
            <w:tcW w:w="120" w:type="dxa"/>
            <w:vAlign w:val="bottom"/>
            <w:tcBorders>
              <w:bottom w:val="single" w:sz="8" w:color="EAF1CE"/>
              <w:right w:val="single" w:sz="8" w:color="EAF1CE"/>
            </w:tcBorders>
            <w:shd w:val="clear" w:color="auto" w:fill="EAF1CE"/>
          </w:tcPr>
          <w:p>
            <w:pPr>
              <w:spacing w:after="0"/>
              <w:rPr>
                <w:sz w:val="9"/>
                <w:szCs w:val="9"/>
                <w:color w:val="auto"/>
              </w:rPr>
            </w:pPr>
          </w:p>
        </w:tc>
        <w:tc>
          <w:tcPr>
            <w:tcW w:w="160" w:type="dxa"/>
            <w:vAlign w:val="bottom"/>
            <w:tcBorders>
              <w:bottom w:val="single" w:sz="8" w:color="EAF1CE"/>
              <w:right w:val="single" w:sz="8" w:color="98B82F"/>
            </w:tcBorders>
            <w:shd w:val="clear" w:color="auto" w:fill="EAF1CE"/>
          </w:tcPr>
          <w:p>
            <w:pPr>
              <w:spacing w:after="0"/>
              <w:rPr>
                <w:sz w:val="9"/>
                <w:szCs w:val="9"/>
                <w:color w:val="auto"/>
              </w:rPr>
            </w:pPr>
          </w:p>
        </w:tc>
        <w:tc>
          <w:tcPr>
            <w:tcW w:w="60" w:type="dxa"/>
            <w:vAlign w:val="bottom"/>
            <w:tcBorders>
              <w:bottom w:val="single" w:sz="8" w:color="EAF1CE"/>
            </w:tcBorders>
            <w:shd w:val="clear" w:color="auto" w:fill="EAF1CE"/>
          </w:tcPr>
          <w:p>
            <w:pPr>
              <w:spacing w:after="0"/>
              <w:rPr>
                <w:sz w:val="9"/>
                <w:szCs w:val="9"/>
                <w:color w:val="auto"/>
              </w:rPr>
            </w:pPr>
          </w:p>
        </w:tc>
        <w:tc>
          <w:tcPr>
            <w:tcW w:w="60" w:type="dxa"/>
            <w:vAlign w:val="bottom"/>
            <w:tcBorders>
              <w:bottom w:val="single" w:sz="8" w:color="EAF1CE"/>
              <w:right w:val="single" w:sz="8" w:color="EAF1CE"/>
            </w:tcBorders>
            <w:shd w:val="clear" w:color="auto" w:fill="EAF1CE"/>
          </w:tcPr>
          <w:p>
            <w:pPr>
              <w:spacing w:after="0"/>
              <w:rPr>
                <w:sz w:val="9"/>
                <w:szCs w:val="9"/>
                <w:color w:val="auto"/>
              </w:rPr>
            </w:pPr>
          </w:p>
        </w:tc>
        <w:tc>
          <w:tcPr>
            <w:tcW w:w="40" w:type="dxa"/>
            <w:vAlign w:val="bottom"/>
            <w:tcBorders>
              <w:bottom w:val="single" w:sz="8" w:color="EAF1CE"/>
            </w:tcBorders>
            <w:shd w:val="clear" w:color="auto" w:fill="EAF1CE"/>
          </w:tcPr>
          <w:p>
            <w:pPr>
              <w:spacing w:after="0"/>
              <w:rPr>
                <w:sz w:val="9"/>
                <w:szCs w:val="9"/>
                <w:color w:val="auto"/>
              </w:rPr>
            </w:pPr>
          </w:p>
        </w:tc>
        <w:tc>
          <w:tcPr>
            <w:tcW w:w="540" w:type="dxa"/>
            <w:vAlign w:val="bottom"/>
            <w:tcBorders>
              <w:bottom w:val="single" w:sz="8" w:color="EAF1CE"/>
            </w:tcBorders>
            <w:gridSpan w:val="5"/>
            <w:vMerge w:val="continue"/>
            <w:shd w:val="clear" w:color="auto" w:fill="EAF1CE"/>
          </w:tcPr>
          <w:p>
            <w:pPr>
              <w:spacing w:after="0"/>
              <w:rPr>
                <w:sz w:val="9"/>
                <w:szCs w:val="9"/>
                <w:color w:val="auto"/>
              </w:rPr>
            </w:pPr>
          </w:p>
        </w:tc>
        <w:tc>
          <w:tcPr>
            <w:tcW w:w="100" w:type="dxa"/>
            <w:vAlign w:val="bottom"/>
            <w:tcBorders>
              <w:bottom w:val="single" w:sz="8" w:color="EAF1CE"/>
            </w:tcBorders>
            <w:shd w:val="clear" w:color="auto" w:fill="EAF1CE"/>
          </w:tcPr>
          <w:p>
            <w:pPr>
              <w:spacing w:after="0"/>
              <w:rPr>
                <w:sz w:val="9"/>
                <w:szCs w:val="9"/>
                <w:color w:val="auto"/>
              </w:rPr>
            </w:pPr>
          </w:p>
        </w:tc>
        <w:tc>
          <w:tcPr>
            <w:tcW w:w="120" w:type="dxa"/>
            <w:vAlign w:val="bottom"/>
            <w:tcBorders>
              <w:bottom w:val="single" w:sz="8" w:color="EAF1CE"/>
              <w:right w:val="single" w:sz="8" w:color="98B82F"/>
            </w:tcBorders>
            <w:shd w:val="clear" w:color="auto" w:fill="EAF1C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80" w:type="dxa"/>
            <w:vAlign w:val="bottom"/>
            <w:tcBorders>
              <w:left w:val="single" w:sz="8" w:color="98B82F"/>
            </w:tcBorders>
            <w:gridSpan w:val="5"/>
          </w:tcPr>
          <w:p>
            <w:pPr>
              <w:ind w:left="120"/>
              <w:spacing w:after="0"/>
              <w:rPr>
                <w:sz w:val="20"/>
                <w:szCs w:val="20"/>
                <w:color w:val="auto"/>
              </w:rPr>
            </w:pPr>
            <w:r>
              <w:rPr>
                <w:rFonts w:ascii="Arial" w:cs="Arial" w:eastAsia="Arial" w:hAnsi="Arial"/>
                <w:sz w:val="8"/>
                <w:szCs w:val="8"/>
                <w:color w:val="auto"/>
              </w:rPr>
              <w:t>D.A.R.T.</w:t>
            </w:r>
            <w:r>
              <w:rPr>
                <w:rFonts w:ascii="Arial" w:cs="Arial" w:eastAsia="Arial" w:hAnsi="Arial"/>
                <w:sz w:val="4"/>
                <w:szCs w:val="4"/>
                <w:color w:val="auto"/>
              </w:rPr>
              <w:t>2</w:t>
            </w:r>
          </w:p>
        </w:tc>
        <w:tc>
          <w:tcPr>
            <w:tcW w:w="320" w:type="dxa"/>
            <w:vAlign w:val="bottom"/>
            <w:tcBorders>
              <w:right w:val="single" w:sz="8" w:color="98B82F"/>
            </w:tcBorders>
          </w:tcPr>
          <w:p>
            <w:pPr>
              <w:spacing w:after="0"/>
              <w:rPr>
                <w:sz w:val="13"/>
                <w:szCs w:val="13"/>
                <w:color w:val="auto"/>
              </w:rPr>
            </w:pPr>
          </w:p>
        </w:tc>
        <w:tc>
          <w:tcPr>
            <w:tcW w:w="80" w:type="dxa"/>
            <w:vAlign w:val="bottom"/>
            <w:tcBorders>
              <w:top w:val="single" w:sz="8" w:color="98B82F"/>
              <w:bottom w:val="single" w:sz="8" w:color="98B82F"/>
            </w:tcBorders>
            <w:shd w:val="clear" w:color="auto" w:fill="EAF1CE"/>
          </w:tcPr>
          <w:p>
            <w:pPr>
              <w:spacing w:after="0"/>
              <w:rPr>
                <w:sz w:val="13"/>
                <w:szCs w:val="13"/>
                <w:color w:val="auto"/>
              </w:rPr>
            </w:pPr>
          </w:p>
        </w:tc>
        <w:tc>
          <w:tcPr>
            <w:tcW w:w="2880" w:type="dxa"/>
            <w:vAlign w:val="bottom"/>
            <w:tcBorders>
              <w:top w:val="single" w:sz="8" w:color="98B82F"/>
              <w:bottom w:val="single" w:sz="8" w:color="98B82F"/>
            </w:tcBorders>
            <w:gridSpan w:val="26"/>
            <w:shd w:val="clear" w:color="auto" w:fill="EAF1CE"/>
          </w:tcPr>
          <w:p>
            <w:pPr>
              <w:spacing w:after="0"/>
              <w:rPr>
                <w:sz w:val="20"/>
                <w:szCs w:val="20"/>
                <w:color w:val="auto"/>
              </w:rPr>
            </w:pPr>
            <w:r>
              <w:rPr>
                <w:rFonts w:ascii="Arial" w:cs="Arial" w:eastAsia="Arial" w:hAnsi="Arial"/>
                <w:sz w:val="10"/>
                <w:szCs w:val="10"/>
                <w:color w:val="262626"/>
              </w:rPr>
              <w:t>Total number and percent of involuntary employee turnover</w:t>
            </w:r>
            <w:r>
              <w:rPr>
                <w:rFonts w:ascii="Arial" w:cs="Arial" w:eastAsia="Arial" w:hAnsi="Arial"/>
                <w:sz w:val="8"/>
                <w:szCs w:val="8"/>
                <w:color w:val="000000"/>
              </w:rPr>
              <w:t>0.16</w:t>
            </w:r>
          </w:p>
        </w:tc>
        <w:tc>
          <w:tcPr>
            <w:tcW w:w="60" w:type="dxa"/>
            <w:vAlign w:val="bottom"/>
            <w:tcBorders>
              <w:top w:val="single" w:sz="8" w:color="98B82F"/>
              <w:bottom w:val="single" w:sz="8" w:color="98B82F"/>
            </w:tcBorders>
            <w:shd w:val="clear" w:color="auto" w:fill="EAF1CE"/>
          </w:tcPr>
          <w:p>
            <w:pPr>
              <w:spacing w:after="0"/>
              <w:rPr>
                <w:sz w:val="13"/>
                <w:szCs w:val="13"/>
                <w:color w:val="auto"/>
              </w:rPr>
            </w:pPr>
          </w:p>
        </w:tc>
        <w:tc>
          <w:tcPr>
            <w:tcW w:w="100" w:type="dxa"/>
            <w:vAlign w:val="bottom"/>
            <w:tcBorders>
              <w:top w:val="single" w:sz="8" w:color="98B82F"/>
              <w:bottom w:val="single" w:sz="8" w:color="98B82F"/>
            </w:tcBorders>
            <w:shd w:val="clear" w:color="auto" w:fill="EAF1CE"/>
          </w:tcPr>
          <w:p>
            <w:pPr>
              <w:spacing w:after="0"/>
              <w:rPr>
                <w:sz w:val="13"/>
                <w:szCs w:val="13"/>
                <w:color w:val="auto"/>
              </w:rPr>
            </w:pPr>
          </w:p>
        </w:tc>
        <w:tc>
          <w:tcPr>
            <w:tcW w:w="40" w:type="dxa"/>
            <w:vAlign w:val="bottom"/>
            <w:tcBorders>
              <w:top w:val="single" w:sz="8" w:color="98B82F"/>
              <w:bottom w:val="single" w:sz="8" w:color="98B82F"/>
              <w:right w:val="single" w:sz="8" w:color="EAF1CE"/>
            </w:tcBorders>
            <w:shd w:val="clear" w:color="auto" w:fill="EAF1CE"/>
          </w:tcPr>
          <w:p>
            <w:pPr>
              <w:spacing w:after="0"/>
              <w:rPr>
                <w:sz w:val="13"/>
                <w:szCs w:val="13"/>
                <w:color w:val="auto"/>
              </w:rPr>
            </w:pPr>
          </w:p>
        </w:tc>
        <w:tc>
          <w:tcPr>
            <w:tcW w:w="100" w:type="dxa"/>
            <w:vAlign w:val="bottom"/>
            <w:tcBorders>
              <w:top w:val="single" w:sz="8" w:color="98B82F"/>
              <w:bottom w:val="single" w:sz="8" w:color="98B82F"/>
            </w:tcBorders>
            <w:shd w:val="clear" w:color="auto" w:fill="EAF1CE"/>
          </w:tcPr>
          <w:p>
            <w:pPr>
              <w:spacing w:after="0"/>
              <w:rPr>
                <w:sz w:val="13"/>
                <w:szCs w:val="13"/>
                <w:color w:val="auto"/>
              </w:rPr>
            </w:pPr>
          </w:p>
        </w:tc>
        <w:tc>
          <w:tcPr>
            <w:tcW w:w="120" w:type="dxa"/>
            <w:vAlign w:val="bottom"/>
            <w:tcBorders>
              <w:top w:val="single" w:sz="8" w:color="98B82F"/>
            </w:tcBorders>
            <w:shd w:val="clear" w:color="auto" w:fill="EAF1CE"/>
          </w:tcPr>
          <w:p>
            <w:pPr>
              <w:spacing w:after="0"/>
              <w:rPr>
                <w:sz w:val="13"/>
                <w:szCs w:val="13"/>
                <w:color w:val="auto"/>
              </w:rPr>
            </w:pPr>
          </w:p>
        </w:tc>
        <w:tc>
          <w:tcPr>
            <w:tcW w:w="40" w:type="dxa"/>
            <w:vAlign w:val="bottom"/>
            <w:tcBorders>
              <w:top w:val="single" w:sz="8" w:color="98B82F"/>
            </w:tcBorders>
            <w:shd w:val="clear" w:color="auto" w:fill="EAF1CE"/>
          </w:tcPr>
          <w:p>
            <w:pPr>
              <w:spacing w:after="0"/>
              <w:rPr>
                <w:sz w:val="13"/>
                <w:szCs w:val="13"/>
                <w:color w:val="auto"/>
              </w:rPr>
            </w:pPr>
          </w:p>
        </w:tc>
        <w:tc>
          <w:tcPr>
            <w:tcW w:w="340" w:type="dxa"/>
            <w:vAlign w:val="bottom"/>
            <w:tcBorders>
              <w:top w:val="single" w:sz="8" w:color="98B82F"/>
              <w:right w:val="single" w:sz="8" w:color="98B82F"/>
            </w:tcBorders>
            <w:gridSpan w:val="3"/>
            <w:shd w:val="clear" w:color="auto" w:fill="EAF1CE"/>
          </w:tcPr>
          <w:p>
            <w:pPr>
              <w:ind w:left="160"/>
              <w:spacing w:after="0"/>
              <w:rPr>
                <w:sz w:val="20"/>
                <w:szCs w:val="20"/>
                <w:color w:val="auto"/>
              </w:rPr>
            </w:pPr>
            <w:r>
              <w:rPr>
                <w:rFonts w:ascii="Arial" w:cs="Arial" w:eastAsia="Arial" w:hAnsi="Arial"/>
                <w:sz w:val="8"/>
                <w:szCs w:val="8"/>
                <w:color w:val="auto"/>
                <w:w w:val="89"/>
              </w:rPr>
              <w:t>0.25</w:t>
            </w:r>
          </w:p>
        </w:tc>
        <w:tc>
          <w:tcPr>
            <w:tcW w:w="20" w:type="dxa"/>
            <w:vAlign w:val="bottom"/>
            <w:tcBorders>
              <w:top w:val="single" w:sz="8" w:color="98B82F"/>
            </w:tcBorders>
            <w:shd w:val="clear" w:color="auto" w:fill="EAF1CE"/>
          </w:tcPr>
          <w:p>
            <w:pPr>
              <w:spacing w:after="0"/>
              <w:rPr>
                <w:sz w:val="13"/>
                <w:szCs w:val="13"/>
                <w:color w:val="auto"/>
              </w:rPr>
            </w:pPr>
          </w:p>
        </w:tc>
        <w:tc>
          <w:tcPr>
            <w:tcW w:w="60" w:type="dxa"/>
            <w:vAlign w:val="bottom"/>
            <w:tcBorders>
              <w:top w:val="single" w:sz="8" w:color="98B82F"/>
            </w:tcBorders>
            <w:shd w:val="clear" w:color="auto" w:fill="EAF1CE"/>
          </w:tcPr>
          <w:p>
            <w:pPr>
              <w:spacing w:after="0"/>
              <w:rPr>
                <w:sz w:val="13"/>
                <w:szCs w:val="13"/>
                <w:color w:val="auto"/>
              </w:rPr>
            </w:pPr>
          </w:p>
        </w:tc>
        <w:tc>
          <w:tcPr>
            <w:tcW w:w="20" w:type="dxa"/>
            <w:vAlign w:val="bottom"/>
            <w:tcBorders>
              <w:top w:val="single" w:sz="8" w:color="98B82F"/>
            </w:tcBorders>
            <w:shd w:val="clear" w:color="auto" w:fill="EAF1CE"/>
          </w:tcPr>
          <w:p>
            <w:pPr>
              <w:spacing w:after="0"/>
              <w:rPr>
                <w:sz w:val="13"/>
                <w:szCs w:val="13"/>
                <w:color w:val="auto"/>
              </w:rPr>
            </w:pPr>
          </w:p>
        </w:tc>
        <w:tc>
          <w:tcPr>
            <w:tcW w:w="500" w:type="dxa"/>
            <w:vAlign w:val="bottom"/>
            <w:tcBorders>
              <w:top w:val="single" w:sz="8" w:color="98B82F"/>
            </w:tcBorders>
            <w:gridSpan w:val="4"/>
            <w:shd w:val="clear" w:color="auto" w:fill="EAF1CE"/>
          </w:tcPr>
          <w:p>
            <w:pPr>
              <w:jc w:val="center"/>
              <w:ind w:left="78"/>
              <w:spacing w:after="0"/>
              <w:rPr>
                <w:sz w:val="20"/>
                <w:szCs w:val="20"/>
                <w:color w:val="auto"/>
              </w:rPr>
            </w:pPr>
            <w:r>
              <w:rPr>
                <w:rFonts w:ascii="Arial" w:cs="Arial" w:eastAsia="Arial" w:hAnsi="Arial"/>
                <w:sz w:val="10"/>
                <w:szCs w:val="10"/>
                <w:color w:val="262626"/>
              </w:rPr>
              <w:t>99; 12%</w:t>
            </w:r>
          </w:p>
        </w:tc>
        <w:tc>
          <w:tcPr>
            <w:tcW w:w="120" w:type="dxa"/>
            <w:vAlign w:val="bottom"/>
            <w:tcBorders>
              <w:top w:val="single" w:sz="8" w:color="98B82F"/>
              <w:right w:val="single" w:sz="8" w:color="EAF1CE"/>
            </w:tcBorders>
            <w:shd w:val="clear" w:color="auto" w:fill="EAF1CE"/>
          </w:tcPr>
          <w:p>
            <w:pPr>
              <w:spacing w:after="0"/>
              <w:rPr>
                <w:sz w:val="13"/>
                <w:szCs w:val="13"/>
                <w:color w:val="auto"/>
              </w:rPr>
            </w:pPr>
          </w:p>
        </w:tc>
        <w:tc>
          <w:tcPr>
            <w:tcW w:w="160" w:type="dxa"/>
            <w:vAlign w:val="bottom"/>
            <w:tcBorders>
              <w:top w:val="single" w:sz="8" w:color="98B82F"/>
              <w:right w:val="single" w:sz="8" w:color="98B82F"/>
            </w:tcBorders>
            <w:shd w:val="clear" w:color="auto" w:fill="EAF1CE"/>
          </w:tcPr>
          <w:p>
            <w:pPr>
              <w:spacing w:after="0"/>
              <w:rPr>
                <w:sz w:val="13"/>
                <w:szCs w:val="13"/>
                <w:color w:val="auto"/>
              </w:rPr>
            </w:pPr>
          </w:p>
        </w:tc>
        <w:tc>
          <w:tcPr>
            <w:tcW w:w="160" w:type="dxa"/>
            <w:vAlign w:val="bottom"/>
            <w:tcBorders>
              <w:top w:val="single" w:sz="8" w:color="98B82F"/>
            </w:tcBorders>
            <w:gridSpan w:val="3"/>
            <w:shd w:val="clear" w:color="auto" w:fill="EAF1CE"/>
          </w:tcPr>
          <w:p>
            <w:pPr>
              <w:spacing w:after="0"/>
              <w:rPr>
                <w:sz w:val="20"/>
                <w:szCs w:val="20"/>
                <w:color w:val="auto"/>
              </w:rPr>
            </w:pPr>
            <w:r>
              <w:rPr>
                <w:rFonts w:ascii="Arial" w:cs="Arial" w:eastAsia="Arial" w:hAnsi="Arial"/>
                <w:sz w:val="8"/>
                <w:szCs w:val="8"/>
                <w:color w:val="auto"/>
                <w:w w:val="89"/>
              </w:rPr>
              <w:t>1.16</w:t>
            </w:r>
          </w:p>
        </w:tc>
        <w:tc>
          <w:tcPr>
            <w:tcW w:w="540" w:type="dxa"/>
            <w:vAlign w:val="bottom"/>
            <w:tcBorders>
              <w:top w:val="single" w:sz="8" w:color="98B82F"/>
            </w:tcBorders>
            <w:gridSpan w:val="5"/>
            <w:shd w:val="clear" w:color="auto" w:fill="EAF1CE"/>
          </w:tcPr>
          <w:p>
            <w:pPr>
              <w:jc w:val="center"/>
              <w:spacing w:after="0"/>
              <w:rPr>
                <w:sz w:val="20"/>
                <w:szCs w:val="20"/>
                <w:color w:val="auto"/>
              </w:rPr>
            </w:pPr>
            <w:r>
              <w:rPr>
                <w:rFonts w:ascii="Arial" w:cs="Arial" w:eastAsia="Arial" w:hAnsi="Arial"/>
                <w:sz w:val="10"/>
                <w:szCs w:val="10"/>
                <w:color w:val="262626"/>
                <w:w w:val="94"/>
              </w:rPr>
              <w:t>171; 21%</w:t>
            </w:r>
          </w:p>
        </w:tc>
        <w:tc>
          <w:tcPr>
            <w:tcW w:w="100" w:type="dxa"/>
            <w:vAlign w:val="bottom"/>
            <w:tcBorders>
              <w:top w:val="single" w:sz="8" w:color="98B82F"/>
            </w:tcBorders>
            <w:shd w:val="clear" w:color="auto" w:fill="EAF1CE"/>
          </w:tcPr>
          <w:p>
            <w:pPr>
              <w:spacing w:after="0"/>
              <w:rPr>
                <w:sz w:val="13"/>
                <w:szCs w:val="13"/>
                <w:color w:val="auto"/>
              </w:rPr>
            </w:pPr>
          </w:p>
        </w:tc>
        <w:tc>
          <w:tcPr>
            <w:tcW w:w="120" w:type="dxa"/>
            <w:vAlign w:val="bottom"/>
            <w:tcBorders>
              <w:top w:val="single" w:sz="8" w:color="98B82F"/>
              <w:right w:val="single" w:sz="8" w:color="98B82F"/>
            </w:tcBorders>
            <w:shd w:val="clear" w:color="auto" w:fill="EAF1C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00" w:type="dxa"/>
            <w:vAlign w:val="bottom"/>
            <w:tcBorders>
              <w:top w:val="single" w:sz="8" w:color="98B82F"/>
              <w:left w:val="single" w:sz="8" w:color="98B82F"/>
              <w:right w:val="single" w:sz="8" w:color="98B82F"/>
            </w:tcBorders>
            <w:gridSpan w:val="6"/>
            <w:vMerge w:val="restart"/>
          </w:tcPr>
          <w:p>
            <w:pPr>
              <w:ind w:left="120"/>
              <w:spacing w:after="0" w:line="97" w:lineRule="exact"/>
              <w:rPr>
                <w:sz w:val="20"/>
                <w:szCs w:val="20"/>
                <w:color w:val="auto"/>
              </w:rPr>
            </w:pPr>
            <w:r>
              <w:rPr>
                <w:rFonts w:ascii="PMingLiU" w:cs="PMingLiU" w:eastAsia="PMingLiU" w:hAnsi="PMingLiU"/>
                <w:sz w:val="8"/>
                <w:szCs w:val="8"/>
                <w:color w:val="auto"/>
              </w:rPr>
              <w:t></w:t>
            </w:r>
            <w:r>
              <w:rPr>
                <w:rFonts w:ascii="Arial" w:cs="Arial" w:eastAsia="Arial" w:hAnsi="Arial"/>
                <w:sz w:val="8"/>
                <w:szCs w:val="8"/>
                <w:color w:val="auto"/>
              </w:rPr>
              <w:t>ÌiÀÃÌ&gt;Ìi</w:t>
            </w:r>
            <w:r>
              <w:rPr>
                <w:rFonts w:ascii="PMingLiU" w:cs="PMingLiU" w:eastAsia="PMingLiU" w:hAnsi="PMingLiU"/>
                <w:sz w:val="8"/>
                <w:szCs w:val="8"/>
                <w:color w:val="auto"/>
              </w:rPr>
              <w:t/>
            </w:r>
            <w:r>
              <w:rPr>
                <w:rFonts w:ascii="Arial" w:cs="Arial" w:eastAsia="Arial" w:hAnsi="Arial"/>
                <w:sz w:val="8"/>
                <w:szCs w:val="8"/>
                <w:color w:val="auto"/>
              </w:rPr>
              <w:t>Ý«iÀ</w:t>
            </w:r>
            <w:r>
              <w:rPr>
                <w:rFonts w:ascii="PMingLiU" w:cs="PMingLiU" w:eastAsia="PMingLiU" w:hAnsi="PMingLiU"/>
                <w:sz w:val="8"/>
                <w:szCs w:val="8"/>
                <w:color w:val="auto"/>
              </w:rPr>
              <w:t></w:t>
            </w:r>
            <w:r>
              <w:rPr>
                <w:rFonts w:ascii="Arial" w:cs="Arial" w:eastAsia="Arial" w:hAnsi="Arial"/>
                <w:sz w:val="8"/>
                <w:szCs w:val="8"/>
                <w:color w:val="auto"/>
              </w:rPr>
              <w:t>i</w:t>
            </w:r>
            <w:r>
              <w:rPr>
                <w:rFonts w:ascii="PMingLiU" w:cs="PMingLiU" w:eastAsia="PMingLiU" w:hAnsi="PMingLiU"/>
                <w:sz w:val="8"/>
                <w:szCs w:val="8"/>
                <w:color w:val="auto"/>
              </w:rPr>
              <w:t></w:t>
            </w:r>
            <w:r>
              <w:rPr>
                <w:rFonts w:ascii="Arial" w:cs="Arial" w:eastAsia="Arial" w:hAnsi="Arial"/>
                <w:sz w:val="8"/>
                <w:szCs w:val="8"/>
                <w:color w:val="auto"/>
              </w:rPr>
              <w:t>Vi</w:t>
            </w:r>
            <w:r>
              <w:rPr>
                <w:rFonts w:ascii="PMingLiU" w:cs="PMingLiU" w:eastAsia="PMingLiU" w:hAnsi="PMingLiU"/>
                <w:sz w:val="8"/>
                <w:szCs w:val="8"/>
                <w:color w:val="auto"/>
              </w:rPr>
              <w:t></w:t>
            </w:r>
          </w:p>
        </w:tc>
        <w:tc>
          <w:tcPr>
            <w:tcW w:w="80" w:type="dxa"/>
            <w:vAlign w:val="bottom"/>
            <w:tcBorders>
              <w:top w:val="single" w:sz="8" w:color="EAF1CE"/>
            </w:tcBorders>
            <w:shd w:val="clear" w:color="auto" w:fill="EAF1CE"/>
          </w:tcPr>
          <w:p>
            <w:pPr>
              <w:spacing w:after="0"/>
              <w:rPr>
                <w:sz w:val="9"/>
                <w:szCs w:val="9"/>
                <w:color w:val="auto"/>
              </w:rPr>
            </w:pPr>
          </w:p>
        </w:tc>
        <w:tc>
          <w:tcPr>
            <w:tcW w:w="2040" w:type="dxa"/>
            <w:vAlign w:val="bottom"/>
            <w:tcBorders>
              <w:top w:val="single" w:sz="8" w:color="EAF1CE"/>
              <w:right w:val="single" w:sz="8" w:color="EAF1CE"/>
            </w:tcBorders>
            <w:gridSpan w:val="16"/>
            <w:shd w:val="clear" w:color="auto" w:fill="EAF1CE"/>
          </w:tcPr>
          <w:p>
            <w:pPr>
              <w:spacing w:after="0" w:line="115" w:lineRule="exact"/>
              <w:rPr>
                <w:sz w:val="20"/>
                <w:szCs w:val="20"/>
                <w:color w:val="auto"/>
              </w:rPr>
            </w:pPr>
            <w:r>
              <w:rPr>
                <w:rFonts w:ascii="PMingLiU" w:cs="PMingLiU" w:eastAsia="PMingLiU" w:hAnsi="PMingLiU"/>
                <w:sz w:val="10"/>
                <w:szCs w:val="10"/>
                <w:color w:val="262626"/>
              </w:rPr>
              <w:t></w:t>
            </w: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Þii</w:t>
            </w:r>
            <w:r>
              <w:rPr>
                <w:rFonts w:ascii="PMingLiU" w:cs="PMingLiU" w:eastAsia="PMingLiU" w:hAnsi="PMingLiU"/>
                <w:sz w:val="10"/>
                <w:szCs w:val="10"/>
                <w:color w:val="262626"/>
              </w:rPr>
              <w:t/>
            </w:r>
            <w:r>
              <w:rPr>
                <w:rFonts w:ascii="Arial" w:cs="Arial" w:eastAsia="Arial" w:hAnsi="Arial"/>
                <w:sz w:val="10"/>
                <w:szCs w:val="10"/>
                <w:color w:val="262626"/>
              </w:rPr>
              <w:t>Ìi</w:t>
            </w:r>
            <w:r>
              <w:rPr>
                <w:rFonts w:ascii="PMingLiU" w:cs="PMingLiU" w:eastAsia="PMingLiU" w:hAnsi="PMingLiU"/>
                <w:sz w:val="10"/>
                <w:szCs w:val="10"/>
                <w:color w:val="262626"/>
              </w:rPr>
              <w:t></w:t>
            </w:r>
            <w:r>
              <w:rPr>
                <w:rFonts w:ascii="Arial" w:cs="Arial" w:eastAsia="Arial" w:hAnsi="Arial"/>
                <w:sz w:val="10"/>
                <w:szCs w:val="10"/>
                <w:color w:val="262626"/>
              </w:rPr>
              <w:t>ÕÀi</w:t>
            </w:r>
            <w:r>
              <w:rPr>
                <w:rFonts w:ascii="PMingLiU" w:cs="PMingLiU" w:eastAsia="PMingLiU" w:hAnsi="PMingLiU"/>
                <w:sz w:val="10"/>
                <w:szCs w:val="10"/>
                <w:color w:val="262626"/>
              </w:rPr>
              <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À</w:t>
            </w:r>
            <w:r>
              <w:rPr>
                <w:rFonts w:ascii="PMingLiU" w:cs="PMingLiU" w:eastAsia="PMingLiU" w:hAnsi="PMingLiU"/>
                <w:sz w:val="10"/>
                <w:szCs w:val="10"/>
                <w:color w:val="262626"/>
              </w:rPr>
              <w:t/>
            </w:r>
            <w:r>
              <w:rPr>
                <w:rFonts w:ascii="Arial" w:cs="Arial" w:eastAsia="Arial" w:hAnsi="Arial"/>
                <w:sz w:val="10"/>
                <w:szCs w:val="10"/>
                <w:color w:val="262626"/>
              </w:rPr>
              <w:t>Ì</w:t>
            </w:r>
            <w:r>
              <w:rPr>
                <w:rFonts w:ascii="PMingLiU" w:cs="PMingLiU" w:eastAsia="PMingLiU" w:hAnsi="PMingLiU"/>
                <w:sz w:val="10"/>
                <w:szCs w:val="10"/>
                <w:color w:val="262626"/>
              </w:rPr>
              <w:t></w:t>
            </w:r>
            <w:r>
              <w:rPr>
                <w:rFonts w:ascii="Arial" w:cs="Arial" w:eastAsia="Arial" w:hAnsi="Arial"/>
                <w:sz w:val="10"/>
                <w:szCs w:val="10"/>
                <w:color w:val="262626"/>
              </w:rPr>
              <w:t>i</w:t>
            </w:r>
            <w:r>
              <w:rPr>
                <w:rFonts w:ascii="PMingLiU" w:cs="PMingLiU" w:eastAsia="PMingLiU" w:hAnsi="PMingLiU"/>
                <w:sz w:val="10"/>
                <w:szCs w:val="10"/>
                <w:color w:val="262626"/>
              </w:rPr>
              <w:t/>
            </w:r>
            <w:r>
              <w:rPr>
                <w:rFonts w:ascii="Arial" w:cs="Arial" w:eastAsia="Arial" w:hAnsi="Arial"/>
                <w:sz w:val="10"/>
                <w:szCs w:val="10"/>
                <w:color w:val="262626"/>
              </w:rPr>
              <w:t>i</w:t>
            </w:r>
            <w:r>
              <w:rPr>
                <w:rFonts w:ascii="PMingLiU" w:cs="PMingLiU" w:eastAsia="PMingLiU" w:hAnsi="PMingLiU"/>
                <w:sz w:val="10"/>
                <w:szCs w:val="10"/>
                <w:color w:val="262626"/>
              </w:rPr>
              <w:t></w:t>
            </w:r>
            <w:r>
              <w:rPr>
                <w:rFonts w:ascii="Arial" w:cs="Arial" w:eastAsia="Arial" w:hAnsi="Arial"/>
                <w:sz w:val="10"/>
                <w:szCs w:val="10"/>
                <w:color w:val="262626"/>
              </w:rPr>
              <w:t>Ì</w:t>
            </w:r>
            <w:r>
              <w:rPr>
                <w:rFonts w:ascii="PMingLiU" w:cs="PMingLiU" w:eastAsia="PMingLiU" w:hAnsi="PMingLiU"/>
                <w:sz w:val="10"/>
                <w:szCs w:val="10"/>
                <w:color w:val="262626"/>
              </w:rPr>
              <w:t></w:t>
            </w:r>
            <w:r>
              <w:rPr>
                <w:rFonts w:ascii="Arial" w:cs="Arial" w:eastAsia="Arial" w:hAnsi="Arial"/>
                <w:sz w:val="10"/>
                <w:szCs w:val="10"/>
                <w:color w:val="262626"/>
              </w:rPr>
              <w:t>Ài</w:t>
            </w:r>
            <w:r>
              <w:rPr>
                <w:rFonts w:ascii="PMingLiU" w:cs="PMingLiU" w:eastAsia="PMingLiU" w:hAnsi="PMingLiU"/>
                <w:sz w:val="10"/>
                <w:szCs w:val="10"/>
                <w:color w:val="262626"/>
              </w:rPr>
              <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«&gt;</w:t>
            </w:r>
            <w:r>
              <w:rPr>
                <w:rFonts w:ascii="PMingLiU" w:cs="PMingLiU" w:eastAsia="PMingLiU" w:hAnsi="PMingLiU"/>
                <w:sz w:val="10"/>
                <w:szCs w:val="10"/>
                <w:color w:val="262626"/>
              </w:rPr>
              <w:t></w:t>
            </w:r>
            <w:r>
              <w:rPr>
                <w:rFonts w:ascii="Arial" w:cs="Arial" w:eastAsia="Arial" w:hAnsi="Arial"/>
                <w:sz w:val="10"/>
                <w:szCs w:val="10"/>
                <w:color w:val="262626"/>
              </w:rPr>
              <w:t>Þ</w:t>
            </w:r>
            <w:r>
              <w:rPr>
                <w:rFonts w:ascii="PMingLiU" w:cs="PMingLiU" w:eastAsia="PMingLiU" w:hAnsi="PMingLiU"/>
                <w:sz w:val="10"/>
                <w:szCs w:val="10"/>
                <w:color w:val="262626"/>
              </w:rPr>
              <w:t/>
            </w:r>
          </w:p>
        </w:tc>
        <w:tc>
          <w:tcPr>
            <w:tcW w:w="40" w:type="dxa"/>
            <w:vAlign w:val="bottom"/>
            <w:tcBorders>
              <w:top w:val="single" w:sz="8" w:color="EAF1CE"/>
            </w:tcBorders>
            <w:shd w:val="clear" w:color="auto" w:fill="EAF1CE"/>
          </w:tcPr>
          <w:p>
            <w:pPr>
              <w:spacing w:after="0"/>
              <w:rPr>
                <w:sz w:val="9"/>
                <w:szCs w:val="9"/>
                <w:color w:val="auto"/>
              </w:rPr>
            </w:pPr>
          </w:p>
        </w:tc>
        <w:tc>
          <w:tcPr>
            <w:tcW w:w="120" w:type="dxa"/>
            <w:vAlign w:val="bottom"/>
            <w:tcBorders>
              <w:top w:val="single" w:sz="8" w:color="EAF1CE"/>
            </w:tcBorders>
            <w:shd w:val="clear" w:color="auto" w:fill="EAF1CE"/>
          </w:tcPr>
          <w:p>
            <w:pPr>
              <w:spacing w:after="0"/>
              <w:rPr>
                <w:sz w:val="9"/>
                <w:szCs w:val="9"/>
                <w:color w:val="auto"/>
              </w:rPr>
            </w:pPr>
          </w:p>
        </w:tc>
        <w:tc>
          <w:tcPr>
            <w:tcW w:w="220" w:type="dxa"/>
            <w:vAlign w:val="bottom"/>
            <w:tcBorders>
              <w:top w:val="single" w:sz="8" w:color="EAF1CE"/>
            </w:tcBorders>
            <w:shd w:val="clear" w:color="auto" w:fill="EAF1CE"/>
          </w:tcPr>
          <w:p>
            <w:pPr>
              <w:spacing w:after="0"/>
              <w:rPr>
                <w:sz w:val="9"/>
                <w:szCs w:val="9"/>
                <w:color w:val="auto"/>
              </w:rPr>
            </w:pPr>
          </w:p>
        </w:tc>
        <w:tc>
          <w:tcPr>
            <w:tcW w:w="40" w:type="dxa"/>
            <w:vAlign w:val="bottom"/>
            <w:tcBorders>
              <w:top w:val="single" w:sz="8" w:color="EAF1CE"/>
            </w:tcBorders>
            <w:shd w:val="clear" w:color="auto" w:fill="EAF1CE"/>
          </w:tcPr>
          <w:p>
            <w:pPr>
              <w:spacing w:after="0"/>
              <w:rPr>
                <w:sz w:val="9"/>
                <w:szCs w:val="9"/>
                <w:color w:val="auto"/>
              </w:rPr>
            </w:pPr>
          </w:p>
        </w:tc>
        <w:tc>
          <w:tcPr>
            <w:tcW w:w="300" w:type="dxa"/>
            <w:vAlign w:val="bottom"/>
            <w:tcBorders>
              <w:top w:val="single" w:sz="8" w:color="EAF1CE"/>
              <w:right w:val="single" w:sz="8" w:color="EAF1CE"/>
            </w:tcBorders>
            <w:gridSpan w:val="4"/>
            <w:vMerge w:val="restart"/>
            <w:shd w:val="clear" w:color="auto" w:fill="EAF1CE"/>
          </w:tcPr>
          <w:p>
            <w:pPr>
              <w:jc w:val="right"/>
              <w:ind w:right="100"/>
              <w:spacing w:after="0" w:line="97" w:lineRule="exact"/>
              <w:rPr>
                <w:sz w:val="20"/>
                <w:szCs w:val="20"/>
                <w:color w:val="auto"/>
              </w:rPr>
            </w:pPr>
            <w:r>
              <w:rPr>
                <w:rFonts w:ascii="Arial" w:cs="Arial" w:eastAsia="Arial" w:hAnsi="Arial"/>
                <w:sz w:val="8"/>
                <w:szCs w:val="8"/>
                <w:color w:val="auto"/>
              </w:rPr>
              <w:t>ä°nä</w:t>
            </w:r>
            <w:r>
              <w:rPr>
                <w:rFonts w:ascii="PMingLiU" w:cs="PMingLiU" w:eastAsia="PMingLiU" w:hAnsi="PMingLiU"/>
                <w:sz w:val="8"/>
                <w:szCs w:val="8"/>
                <w:color w:val="auto"/>
              </w:rPr>
              <w:t/>
            </w:r>
          </w:p>
        </w:tc>
        <w:tc>
          <w:tcPr>
            <w:tcW w:w="100" w:type="dxa"/>
            <w:vAlign w:val="bottom"/>
            <w:tcBorders>
              <w:top w:val="single" w:sz="8" w:color="EAF1CE"/>
              <w:right w:val="single" w:sz="8" w:color="EAF1CE"/>
            </w:tcBorders>
            <w:shd w:val="clear" w:color="auto" w:fill="EAF1CE"/>
          </w:tcPr>
          <w:p>
            <w:pPr>
              <w:spacing w:after="0"/>
              <w:rPr>
                <w:sz w:val="9"/>
                <w:szCs w:val="9"/>
                <w:color w:val="auto"/>
              </w:rPr>
            </w:pPr>
          </w:p>
        </w:tc>
        <w:tc>
          <w:tcPr>
            <w:tcW w:w="20" w:type="dxa"/>
            <w:vAlign w:val="bottom"/>
            <w:tcBorders>
              <w:top w:val="single" w:sz="8" w:color="EAF1CE"/>
            </w:tcBorders>
            <w:shd w:val="clear" w:color="auto" w:fill="EAF1CE"/>
          </w:tcPr>
          <w:p>
            <w:pPr>
              <w:spacing w:after="0"/>
              <w:rPr>
                <w:sz w:val="9"/>
                <w:szCs w:val="9"/>
                <w:color w:val="auto"/>
              </w:rPr>
            </w:pPr>
          </w:p>
        </w:tc>
        <w:tc>
          <w:tcPr>
            <w:tcW w:w="60" w:type="dxa"/>
            <w:vAlign w:val="bottom"/>
            <w:tcBorders>
              <w:top w:val="single" w:sz="8" w:color="EAF1CE"/>
            </w:tcBorders>
            <w:shd w:val="clear" w:color="auto" w:fill="EAF1CE"/>
          </w:tcPr>
          <w:p>
            <w:pPr>
              <w:spacing w:after="0"/>
              <w:rPr>
                <w:sz w:val="9"/>
                <w:szCs w:val="9"/>
                <w:color w:val="auto"/>
              </w:rPr>
            </w:pPr>
          </w:p>
        </w:tc>
        <w:tc>
          <w:tcPr>
            <w:tcW w:w="100" w:type="dxa"/>
            <w:vAlign w:val="bottom"/>
            <w:tcBorders>
              <w:top w:val="single" w:sz="8" w:color="EAF1CE"/>
            </w:tcBorders>
            <w:shd w:val="clear" w:color="auto" w:fill="EAF1CE"/>
          </w:tcPr>
          <w:p>
            <w:pPr>
              <w:spacing w:after="0"/>
              <w:rPr>
                <w:sz w:val="9"/>
                <w:szCs w:val="9"/>
                <w:color w:val="auto"/>
              </w:rPr>
            </w:pPr>
          </w:p>
        </w:tc>
        <w:tc>
          <w:tcPr>
            <w:tcW w:w="140" w:type="dxa"/>
            <w:vAlign w:val="bottom"/>
            <w:tcBorders>
              <w:top w:val="single" w:sz="8" w:color="EAF1CE"/>
            </w:tcBorders>
            <w:gridSpan w:val="2"/>
            <w:shd w:val="clear" w:color="auto" w:fill="EAF1CE"/>
          </w:tcPr>
          <w:p>
            <w:pPr>
              <w:spacing w:after="0"/>
              <w:rPr>
                <w:sz w:val="9"/>
                <w:szCs w:val="9"/>
                <w:color w:val="auto"/>
              </w:rPr>
            </w:pPr>
          </w:p>
        </w:tc>
        <w:tc>
          <w:tcPr>
            <w:tcW w:w="120" w:type="dxa"/>
            <w:vAlign w:val="bottom"/>
          </w:tcPr>
          <w:p>
            <w:pPr>
              <w:jc w:val="center"/>
              <w:ind w:right="36"/>
              <w:spacing w:after="0" w:line="115" w:lineRule="exact"/>
              <w:rPr>
                <w:sz w:val="20"/>
                <w:szCs w:val="20"/>
                <w:color w:val="auto"/>
              </w:rPr>
            </w:pPr>
            <w:r>
              <w:rPr>
                <w:rFonts w:ascii="PMingLiU" w:cs="PMingLiU" w:eastAsia="PMingLiU" w:hAnsi="PMingLiU"/>
                <w:sz w:val="10"/>
                <w:szCs w:val="10"/>
                <w:color w:val="262626"/>
              </w:rPr>
              <w:t/>
            </w:r>
          </w:p>
        </w:tc>
        <w:tc>
          <w:tcPr>
            <w:tcW w:w="40" w:type="dxa"/>
            <w:vAlign w:val="bottom"/>
          </w:tcPr>
          <w:p>
            <w:pPr>
              <w:spacing w:after="0"/>
              <w:rPr>
                <w:sz w:val="9"/>
                <w:szCs w:val="9"/>
                <w:color w:val="auto"/>
              </w:rPr>
            </w:pPr>
          </w:p>
        </w:tc>
        <w:tc>
          <w:tcPr>
            <w:tcW w:w="360" w:type="dxa"/>
            <w:vAlign w:val="bottom"/>
            <w:gridSpan w:val="4"/>
            <w:vMerge w:val="restart"/>
          </w:tcPr>
          <w:p>
            <w:pPr>
              <w:ind w:left="160"/>
              <w:spacing w:after="0" w:line="97" w:lineRule="exact"/>
              <w:rPr>
                <w:sz w:val="20"/>
                <w:szCs w:val="20"/>
                <w:color w:val="auto"/>
              </w:rPr>
            </w:pPr>
            <w:r>
              <w:rPr>
                <w:rFonts w:ascii="Arial" w:cs="Arial" w:eastAsia="Arial" w:hAnsi="Arial"/>
                <w:sz w:val="8"/>
                <w:szCs w:val="8"/>
                <w:color w:val="auto"/>
                <w:w w:val="95"/>
              </w:rPr>
              <w:t>ä°ÈÇ</w:t>
            </w:r>
            <w:r>
              <w:rPr>
                <w:rFonts w:ascii="PMingLiU" w:cs="PMingLiU" w:eastAsia="PMingLiU" w:hAnsi="PMingLiU"/>
                <w:sz w:val="8"/>
                <w:szCs w:val="8"/>
                <w:color w:val="auto"/>
                <w:w w:val="95"/>
              </w:rPr>
              <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6"/>
          </w:tcPr>
          <w:p>
            <w:pPr>
              <w:jc w:val="center"/>
              <w:ind w:right="87"/>
              <w:spacing w:after="0" w:line="115" w:lineRule="exact"/>
              <w:rPr>
                <w:sz w:val="20"/>
                <w:szCs w:val="20"/>
                <w:color w:val="auto"/>
              </w:rPr>
            </w:pPr>
            <w:r>
              <w:rPr>
                <w:rFonts w:ascii="PMingLiU" w:cs="PMingLiU" w:eastAsia="PMingLiU" w:hAnsi="PMingLiU"/>
                <w:sz w:val="10"/>
                <w:szCs w:val="10"/>
                <w:color w:val="262626"/>
              </w:rPr>
              <w:t></w:t>
            </w:r>
            <w:r>
              <w:rPr>
                <w:rFonts w:ascii="Arial" w:cs="Arial" w:eastAsia="Arial" w:hAnsi="Arial"/>
                <w:sz w:val="10"/>
                <w:szCs w:val="10"/>
                <w:color w:val="262626"/>
              </w:rPr>
              <w:t>x</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r>
              <w:rPr>
                <w:rFonts w:ascii="Arial" w:cs="Arial" w:eastAsia="Arial" w:hAnsi="Arial"/>
                <w:sz w:val="10"/>
                <w:szCs w:val="10"/>
                <w:color w:val="262626"/>
              </w:rPr>
              <w:t>{ÇÎ</w:t>
            </w:r>
            <w:r>
              <w:rPr>
                <w:rFonts w:ascii="PMingLiU" w:cs="PMingLiU" w:eastAsia="PMingLiU" w:hAnsi="PMingLiU"/>
                <w:sz w:val="10"/>
                <w:szCs w:val="10"/>
                <w:color w:val="262626"/>
              </w:rPr>
              <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7"/>
          </w:tcPr>
          <w:p>
            <w:pPr>
              <w:jc w:val="center"/>
              <w:ind w:right="60"/>
              <w:spacing w:after="0" w:line="115" w:lineRule="exact"/>
              <w:rPr>
                <w:sz w:val="20"/>
                <w:szCs w:val="20"/>
                <w:color w:val="auto"/>
              </w:rPr>
            </w:pPr>
            <w:r>
              <w:rPr>
                <w:rFonts w:ascii="PMingLiU" w:cs="PMingLiU" w:eastAsia="PMingLiU" w:hAnsi="PMingLiU"/>
                <w:sz w:val="10"/>
                <w:szCs w:val="10"/>
                <w:color w:val="262626"/>
              </w:rPr>
              <w:t></w:t>
            </w:r>
            <w:r>
              <w:rPr>
                <w:rFonts w:ascii="Arial" w:cs="Arial" w:eastAsia="Arial" w:hAnsi="Arial"/>
                <w:sz w:val="10"/>
                <w:szCs w:val="10"/>
                <w:color w:val="262626"/>
              </w:rPr>
              <w:t>x</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r>
              <w:rPr>
                <w:rFonts w:ascii="Arial" w:cs="Arial" w:eastAsia="Arial" w:hAnsi="Arial"/>
                <w:sz w:val="10"/>
                <w:szCs w:val="10"/>
                <w:color w:val="262626"/>
              </w:rPr>
              <w:t>Înä</w:t>
            </w: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100" w:type="dxa"/>
            <w:vAlign w:val="bottom"/>
            <w:tcBorders>
              <w:left w:val="single" w:sz="8" w:color="98B82F"/>
              <w:bottom w:val="single" w:sz="8" w:color="98B82F"/>
              <w:right w:val="single" w:sz="8" w:color="98B82F"/>
            </w:tcBorders>
            <w:gridSpan w:val="6"/>
            <w:vMerge w:val="continue"/>
          </w:tcPr>
          <w:p>
            <w:pPr>
              <w:spacing w:after="0"/>
              <w:rPr>
                <w:sz w:val="8"/>
                <w:szCs w:val="8"/>
                <w:color w:val="auto"/>
              </w:rPr>
            </w:pPr>
          </w:p>
        </w:tc>
        <w:tc>
          <w:tcPr>
            <w:tcW w:w="1340" w:type="dxa"/>
            <w:vAlign w:val="bottom"/>
            <w:tcBorders>
              <w:bottom w:val="single" w:sz="8" w:color="EAF1CE"/>
              <w:right w:val="single" w:sz="8" w:color="EAF1CE"/>
            </w:tcBorders>
            <w:gridSpan w:val="9"/>
            <w:shd w:val="clear" w:color="auto" w:fill="EAF1CE"/>
          </w:tcPr>
          <w:p>
            <w:pPr>
              <w:ind w:left="20"/>
              <w:spacing w:after="0" w:line="97" w:lineRule="exact"/>
              <w:rPr>
                <w:sz w:val="20"/>
                <w:szCs w:val="20"/>
                <w:color w:val="auto"/>
              </w:rPr>
            </w:pPr>
            <w:r>
              <w:rPr>
                <w:rFonts w:ascii="Arial" w:cs="Arial" w:eastAsia="Arial" w:hAnsi="Arial"/>
                <w:sz w:val="8"/>
                <w:szCs w:val="8"/>
                <w:color w:val="auto"/>
              </w:rPr>
              <w:t>`</w:t>
            </w:r>
            <w:r>
              <w:rPr>
                <w:rFonts w:ascii="PMingLiU" w:cs="PMingLiU" w:eastAsia="PMingLiU" w:hAnsi="PMingLiU"/>
                <w:sz w:val="8"/>
                <w:szCs w:val="8"/>
                <w:color w:val="auto"/>
              </w:rPr>
              <w:t></w:t>
            </w:r>
            <w:r>
              <w:rPr>
                <w:rFonts w:ascii="Arial" w:cs="Arial" w:eastAsia="Arial" w:hAnsi="Arial"/>
                <w:sz w:val="8"/>
                <w:szCs w:val="8"/>
                <w:color w:val="auto"/>
              </w:rPr>
              <w:t>wiÀ</w:t>
            </w:r>
            <w:r>
              <w:rPr>
                <w:rFonts w:ascii="PMingLiU" w:cs="PMingLiU" w:eastAsia="PMingLiU" w:hAnsi="PMingLiU"/>
                <w:sz w:val="8"/>
                <w:szCs w:val="8"/>
                <w:color w:val="auto"/>
              </w:rPr>
              <w:t/>
            </w:r>
            <w:r>
              <w:rPr>
                <w:rFonts w:ascii="Arial" w:cs="Arial" w:eastAsia="Arial" w:hAnsi="Arial"/>
                <w:sz w:val="8"/>
                <w:szCs w:val="8"/>
                <w:color w:val="auto"/>
              </w:rPr>
              <w:t>,&gt;Ìi</w:t>
            </w:r>
            <w:r>
              <w:rPr>
                <w:rFonts w:ascii="PMingLiU" w:cs="PMingLiU" w:eastAsia="PMingLiU" w:hAnsi="PMingLiU"/>
                <w:sz w:val="8"/>
                <w:szCs w:val="8"/>
                <w:color w:val="auto"/>
              </w:rPr>
              <w:t/>
            </w:r>
            <w:r>
              <w:rPr>
                <w:rFonts w:ascii="Arial" w:cs="Arial" w:eastAsia="Arial" w:hAnsi="Arial"/>
                <w:sz w:val="8"/>
                <w:szCs w:val="8"/>
                <w:color w:val="auto"/>
              </w:rPr>
              <w:t>­</w:t>
            </w:r>
            <w:r>
              <w:rPr>
                <w:rFonts w:ascii="PMingLiU" w:cs="PMingLiU" w:eastAsia="PMingLiU" w:hAnsi="PMingLiU"/>
                <w:sz w:val="8"/>
                <w:szCs w:val="8"/>
                <w:color w:val="auto"/>
              </w:rPr>
              <w:t/>
            </w:r>
            <w:r>
              <w:rPr>
                <w:rFonts w:ascii="Arial" w:cs="Arial" w:eastAsia="Arial" w:hAnsi="Arial"/>
                <w:sz w:val="8"/>
                <w:szCs w:val="8"/>
                <w:color w:val="auto"/>
              </w:rPr>
              <w:t>,®</w:t>
            </w:r>
            <w:r>
              <w:rPr>
                <w:rFonts w:ascii="PMingLiU" w:cs="PMingLiU" w:eastAsia="PMingLiU" w:hAnsi="PMingLiU"/>
                <w:sz w:val="8"/>
                <w:szCs w:val="8"/>
                <w:color w:val="auto"/>
              </w:rPr>
              <w:t/>
            </w:r>
          </w:p>
        </w:tc>
        <w:tc>
          <w:tcPr>
            <w:tcW w:w="100" w:type="dxa"/>
            <w:vAlign w:val="bottom"/>
            <w:tcBorders>
              <w:bottom w:val="single" w:sz="8" w:color="EAF1CE"/>
              <w:right w:val="single" w:sz="8" w:color="EAF1CE"/>
            </w:tcBorders>
            <w:shd w:val="clear" w:color="auto" w:fill="EAF1CE"/>
          </w:tcPr>
          <w:p>
            <w:pPr>
              <w:spacing w:after="0"/>
              <w:rPr>
                <w:sz w:val="8"/>
                <w:szCs w:val="8"/>
                <w:color w:val="auto"/>
              </w:rPr>
            </w:pPr>
          </w:p>
        </w:tc>
        <w:tc>
          <w:tcPr>
            <w:tcW w:w="18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60" w:type="dxa"/>
            <w:vAlign w:val="bottom"/>
            <w:tcBorders>
              <w:bottom w:val="single" w:sz="8" w:color="EAF1CE"/>
            </w:tcBorders>
            <w:shd w:val="clear" w:color="auto" w:fill="EAF1CE"/>
          </w:tcPr>
          <w:p>
            <w:pPr>
              <w:spacing w:after="0"/>
              <w:rPr>
                <w:sz w:val="8"/>
                <w:szCs w:val="8"/>
                <w:color w:val="auto"/>
              </w:rPr>
            </w:pPr>
          </w:p>
        </w:tc>
        <w:tc>
          <w:tcPr>
            <w:tcW w:w="12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200" w:type="dxa"/>
            <w:vAlign w:val="bottom"/>
            <w:tcBorders>
              <w:left w:val="single" w:sz="8" w:color="EAF1CE"/>
              <w:bottom w:val="single" w:sz="8" w:color="EAF1CE"/>
              <w:right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120" w:type="dxa"/>
            <w:vAlign w:val="bottom"/>
            <w:tcBorders>
              <w:bottom w:val="single" w:sz="8" w:color="EAF1CE"/>
            </w:tcBorders>
            <w:shd w:val="clear" w:color="auto" w:fill="EAF1CE"/>
          </w:tcPr>
          <w:p>
            <w:pPr>
              <w:spacing w:after="0"/>
              <w:rPr>
                <w:sz w:val="8"/>
                <w:szCs w:val="8"/>
                <w:color w:val="auto"/>
              </w:rPr>
            </w:pPr>
          </w:p>
        </w:tc>
        <w:tc>
          <w:tcPr>
            <w:tcW w:w="22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tcBorders>
            <w:shd w:val="clear" w:color="auto" w:fill="EAF1CE"/>
          </w:tcPr>
          <w:p>
            <w:pPr>
              <w:spacing w:after="0"/>
              <w:rPr>
                <w:sz w:val="8"/>
                <w:szCs w:val="8"/>
                <w:color w:val="auto"/>
              </w:rPr>
            </w:pPr>
          </w:p>
        </w:tc>
        <w:tc>
          <w:tcPr>
            <w:tcW w:w="300" w:type="dxa"/>
            <w:vAlign w:val="bottom"/>
            <w:tcBorders>
              <w:bottom w:val="single" w:sz="8" w:color="EAF1CE"/>
              <w:right w:val="single" w:sz="8" w:color="EAF1CE"/>
            </w:tcBorders>
            <w:gridSpan w:val="4"/>
            <w:vMerge w:val="continue"/>
            <w:shd w:val="clear" w:color="auto" w:fill="EAF1CE"/>
          </w:tcPr>
          <w:p>
            <w:pPr>
              <w:spacing w:after="0"/>
              <w:rPr>
                <w:sz w:val="8"/>
                <w:szCs w:val="8"/>
                <w:color w:val="auto"/>
              </w:rPr>
            </w:pPr>
          </w:p>
        </w:tc>
        <w:tc>
          <w:tcPr>
            <w:tcW w:w="100" w:type="dxa"/>
            <w:vAlign w:val="bottom"/>
            <w:tcBorders>
              <w:bottom w:val="single" w:sz="8" w:color="EAF1CE"/>
              <w:right w:val="single" w:sz="8" w:color="EAF1CE"/>
            </w:tcBorders>
            <w:shd w:val="clear" w:color="auto" w:fill="EAF1CE"/>
          </w:tcPr>
          <w:p>
            <w:pPr>
              <w:spacing w:after="0"/>
              <w:rPr>
                <w:sz w:val="8"/>
                <w:szCs w:val="8"/>
                <w:color w:val="auto"/>
              </w:rPr>
            </w:pPr>
          </w:p>
        </w:tc>
        <w:tc>
          <w:tcPr>
            <w:tcW w:w="20" w:type="dxa"/>
            <w:vAlign w:val="bottom"/>
            <w:tcBorders>
              <w:bottom w:val="single" w:sz="8" w:color="EAF1CE"/>
            </w:tcBorders>
            <w:shd w:val="clear" w:color="auto" w:fill="EAF1CE"/>
          </w:tcPr>
          <w:p>
            <w:pPr>
              <w:spacing w:after="0"/>
              <w:rPr>
                <w:sz w:val="8"/>
                <w:szCs w:val="8"/>
                <w:color w:val="auto"/>
              </w:rPr>
            </w:pPr>
          </w:p>
        </w:tc>
        <w:tc>
          <w:tcPr>
            <w:tcW w:w="60" w:type="dxa"/>
            <w:vAlign w:val="bottom"/>
            <w:tcBorders>
              <w:bottom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40" w:type="dxa"/>
            <w:vAlign w:val="bottom"/>
            <w:tcBorders>
              <w:bottom w:val="single" w:sz="8" w:color="EAF1CE"/>
              <w:right w:val="single" w:sz="8" w:color="EAF1CE"/>
            </w:tcBorders>
            <w:shd w:val="clear" w:color="auto" w:fill="EAF1CE"/>
          </w:tcPr>
          <w:p>
            <w:pPr>
              <w:spacing w:after="0"/>
              <w:rPr>
                <w:sz w:val="8"/>
                <w:szCs w:val="8"/>
                <w:color w:val="auto"/>
              </w:rPr>
            </w:pPr>
          </w:p>
        </w:tc>
        <w:tc>
          <w:tcPr>
            <w:tcW w:w="100" w:type="dxa"/>
            <w:vAlign w:val="bottom"/>
            <w:tcBorders>
              <w:bottom w:val="single" w:sz="8" w:color="EAF1CE"/>
            </w:tcBorders>
            <w:shd w:val="clear" w:color="auto" w:fill="EAF1C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gridSpan w:val="3"/>
          </w:tcPr>
          <w:p>
            <w:pPr>
              <w:spacing w:after="0"/>
              <w:rPr>
                <w:sz w:val="20"/>
                <w:szCs w:val="20"/>
                <w:color w:val="auto"/>
              </w:rPr>
            </w:pPr>
            <w:r>
              <w:rPr>
                <w:rFonts w:ascii="Arial" w:cs="Arial" w:eastAsia="Arial" w:hAnsi="Arial"/>
                <w:sz w:val="8"/>
                <w:szCs w:val="8"/>
                <w:color w:val="auto"/>
                <w:w w:val="82"/>
              </w:rPr>
              <w:t>ä°Èx</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100" w:type="dxa"/>
            <w:vAlign w:val="bottom"/>
            <w:tcBorders>
              <w:left w:val="single" w:sz="8" w:color="98B82F"/>
              <w:right w:val="single" w:sz="8" w:color="98B82F"/>
            </w:tcBorders>
            <w:gridSpan w:val="6"/>
            <w:vMerge w:val="restart"/>
          </w:tcPr>
          <w:p>
            <w:pPr>
              <w:ind w:left="120"/>
              <w:spacing w:after="0"/>
              <w:rPr>
                <w:sz w:val="20"/>
                <w:szCs w:val="20"/>
                <w:color w:val="auto"/>
              </w:rPr>
            </w:pPr>
            <w:r>
              <w:rPr>
                <w:rFonts w:ascii="Arial" w:cs="Arial" w:eastAsia="Arial" w:hAnsi="Arial"/>
                <w:sz w:val="8"/>
                <w:szCs w:val="8"/>
                <w:color w:val="auto"/>
              </w:rPr>
              <w:t>Employee Count</w:t>
            </w:r>
          </w:p>
        </w:tc>
        <w:tc>
          <w:tcPr>
            <w:tcW w:w="80" w:type="dxa"/>
            <w:vAlign w:val="bottom"/>
            <w:shd w:val="clear" w:color="auto" w:fill="EAF1CE"/>
          </w:tcPr>
          <w:p>
            <w:pPr>
              <w:spacing w:after="0"/>
              <w:rPr>
                <w:sz w:val="7"/>
                <w:szCs w:val="7"/>
                <w:color w:val="auto"/>
              </w:rPr>
            </w:pPr>
          </w:p>
        </w:tc>
        <w:tc>
          <w:tcPr>
            <w:tcW w:w="14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140" w:type="dxa"/>
            <w:vAlign w:val="bottom"/>
            <w:shd w:val="clear" w:color="auto" w:fill="EAF1CE"/>
          </w:tcPr>
          <w:p>
            <w:pPr>
              <w:spacing w:after="0"/>
              <w:rPr>
                <w:sz w:val="7"/>
                <w:szCs w:val="7"/>
                <w:color w:val="auto"/>
              </w:rPr>
            </w:pPr>
          </w:p>
        </w:tc>
        <w:tc>
          <w:tcPr>
            <w:tcW w:w="260" w:type="dxa"/>
            <w:vAlign w:val="bottom"/>
            <w:tcBorders>
              <w:right w:val="single" w:sz="8" w:color="EAF1CE"/>
            </w:tcBorders>
            <w:shd w:val="clear" w:color="auto" w:fill="EAF1CE"/>
          </w:tcPr>
          <w:p>
            <w:pPr>
              <w:spacing w:after="0"/>
              <w:rPr>
                <w:sz w:val="7"/>
                <w:szCs w:val="7"/>
                <w:color w:val="auto"/>
              </w:rPr>
            </w:pPr>
          </w:p>
        </w:tc>
        <w:tc>
          <w:tcPr>
            <w:tcW w:w="280" w:type="dxa"/>
            <w:vAlign w:val="bottom"/>
            <w:tcBorders>
              <w:right w:val="single" w:sz="8" w:color="EAF1CE"/>
            </w:tcBorders>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18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6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200" w:type="dxa"/>
            <w:vAlign w:val="bottom"/>
            <w:tcBorders>
              <w:left w:val="single" w:sz="8" w:color="EAF1CE"/>
              <w:right w:val="single" w:sz="8" w:color="EAF1CE"/>
            </w:tcBorders>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220" w:type="dxa"/>
            <w:vAlign w:val="bottom"/>
            <w:shd w:val="clear" w:color="auto" w:fill="EAF1CE"/>
          </w:tcPr>
          <w:p>
            <w:pPr>
              <w:spacing w:after="0"/>
              <w:rPr>
                <w:sz w:val="7"/>
                <w:szCs w:val="7"/>
                <w:color w:val="auto"/>
              </w:rPr>
            </w:pPr>
          </w:p>
        </w:tc>
        <w:tc>
          <w:tcPr>
            <w:tcW w:w="220" w:type="dxa"/>
            <w:vAlign w:val="bottom"/>
            <w:tcBorders>
              <w:right w:val="single" w:sz="8" w:color="EAF1CE"/>
            </w:tcBorders>
            <w:gridSpan w:val="3"/>
            <w:vMerge w:val="restart"/>
            <w:shd w:val="clear" w:color="auto" w:fill="EAF1CE"/>
          </w:tcPr>
          <w:p>
            <w:pPr>
              <w:jc w:val="center"/>
              <w:ind w:left="2"/>
              <w:spacing w:after="0"/>
              <w:rPr>
                <w:sz w:val="20"/>
                <w:szCs w:val="20"/>
                <w:color w:val="auto"/>
              </w:rPr>
            </w:pPr>
            <w:r>
              <w:rPr>
                <w:rFonts w:ascii="Arial" w:cs="Arial" w:eastAsia="Arial" w:hAnsi="Arial"/>
                <w:sz w:val="8"/>
                <w:szCs w:val="8"/>
                <w:color w:val="auto"/>
              </w:rPr>
              <w:t>560</w:t>
            </w:r>
          </w:p>
        </w:tc>
        <w:tc>
          <w:tcPr>
            <w:tcW w:w="20" w:type="dxa"/>
            <w:vAlign w:val="bottom"/>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20" w:type="dxa"/>
            <w:vAlign w:val="bottom"/>
            <w:shd w:val="clear" w:color="auto" w:fill="EAF1CE"/>
          </w:tcPr>
          <w:p>
            <w:pPr>
              <w:spacing w:after="0"/>
              <w:rPr>
                <w:sz w:val="7"/>
                <w:szCs w:val="7"/>
                <w:color w:val="auto"/>
              </w:rPr>
            </w:pPr>
          </w:p>
        </w:tc>
        <w:tc>
          <w:tcPr>
            <w:tcW w:w="60" w:type="dxa"/>
            <w:vAlign w:val="bottom"/>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40" w:type="dxa"/>
            <w:vAlign w:val="bottom"/>
            <w:tcBorders>
              <w:right w:val="single" w:sz="8" w:color="EAF1CE"/>
            </w:tcBorders>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gridSpan w:val="2"/>
            <w:vMerge w:val="restart"/>
          </w:tcPr>
          <w:p>
            <w:pPr>
              <w:jc w:val="center"/>
              <w:ind w:right="60"/>
              <w:spacing w:after="0"/>
              <w:rPr>
                <w:sz w:val="20"/>
                <w:szCs w:val="20"/>
                <w:color w:val="auto"/>
              </w:rPr>
            </w:pPr>
            <w:r>
              <w:rPr>
                <w:rFonts w:ascii="Arial" w:cs="Arial" w:eastAsia="Arial" w:hAnsi="Arial"/>
                <w:sz w:val="8"/>
                <w:szCs w:val="8"/>
                <w:color w:val="auto"/>
              </w:rPr>
              <w:t>560</w:t>
            </w:r>
          </w:p>
        </w:tc>
        <w:tc>
          <w:tcPr>
            <w:tcW w:w="60" w:type="dxa"/>
            <w:vAlign w:val="bottom"/>
          </w:tcPr>
          <w:p>
            <w:pPr>
              <w:spacing w:after="0"/>
              <w:rPr>
                <w:sz w:val="7"/>
                <w:szCs w:val="7"/>
                <w:color w:val="auto"/>
              </w:rPr>
            </w:pPr>
          </w:p>
        </w:tc>
        <w:tc>
          <w:tcPr>
            <w:tcW w:w="860" w:type="dxa"/>
            <w:vAlign w:val="bottom"/>
            <w:gridSpan w:val="8"/>
          </w:tcPr>
          <w:p>
            <w:pPr>
              <w:spacing w:after="0" w:line="84" w:lineRule="exact"/>
              <w:rPr>
                <w:sz w:val="20"/>
                <w:szCs w:val="20"/>
                <w:color w:val="auto"/>
              </w:rPr>
            </w:pPr>
            <w:r>
              <w:rPr>
                <w:rFonts w:ascii="Arial" w:cs="Arial" w:eastAsia="Arial" w:hAnsi="Arial"/>
                <w:sz w:val="9"/>
                <w:szCs w:val="9"/>
                <w:color w:val="262626"/>
                <w:w w:val="78"/>
              </w:rPr>
              <w:t>5–9 years:</w:t>
            </w:r>
            <w:r>
              <w:rPr>
                <w:rFonts w:ascii="Arial" w:cs="Arial" w:eastAsia="Arial" w:hAnsi="Arial"/>
                <w:sz w:val="8"/>
                <w:szCs w:val="8"/>
                <w:b w:val="1"/>
                <w:bCs w:val="1"/>
                <w:color w:val="273D86"/>
                <w:w w:val="78"/>
              </w:rPr>
              <w:t>%Employees</w:t>
            </w:r>
            <w:r>
              <w:rPr>
                <w:rFonts w:ascii="Arial" w:cs="Arial" w:eastAsia="Arial" w:hAnsi="Arial"/>
                <w:sz w:val="9"/>
                <w:szCs w:val="9"/>
                <w:color w:val="262626"/>
                <w:w w:val="78"/>
              </w:rPr>
              <w:t>149</w:t>
            </w:r>
          </w:p>
        </w:tc>
        <w:tc>
          <w:tcPr>
            <w:tcW w:w="740" w:type="dxa"/>
            <w:vAlign w:val="bottom"/>
            <w:gridSpan w:val="8"/>
          </w:tcPr>
          <w:p>
            <w:pPr>
              <w:jc w:val="center"/>
              <w:ind w:right="20"/>
              <w:spacing w:after="0" w:line="84" w:lineRule="exact"/>
              <w:rPr>
                <w:sz w:val="20"/>
                <w:szCs w:val="20"/>
                <w:color w:val="auto"/>
              </w:rPr>
            </w:pPr>
            <w:r>
              <w:rPr>
                <w:rFonts w:ascii="Arial" w:cs="Arial" w:eastAsia="Arial" w:hAnsi="Arial"/>
                <w:sz w:val="9"/>
                <w:szCs w:val="9"/>
                <w:b w:val="1"/>
                <w:bCs w:val="1"/>
                <w:color w:val="273D86"/>
                <w:w w:val="78"/>
              </w:rPr>
              <w:t>In</w:t>
            </w:r>
            <w:r>
              <w:rPr>
                <w:rFonts w:ascii="Arial" w:cs="Arial" w:eastAsia="Arial" w:hAnsi="Arial"/>
                <w:sz w:val="9"/>
                <w:szCs w:val="9"/>
                <w:color w:val="262626"/>
                <w:w w:val="78"/>
              </w:rPr>
              <w:t>5–</w:t>
            </w:r>
            <w:r>
              <w:rPr>
                <w:rFonts w:ascii="Arial" w:cs="Arial" w:eastAsia="Arial" w:hAnsi="Arial"/>
                <w:sz w:val="9"/>
                <w:szCs w:val="9"/>
                <w:b w:val="1"/>
                <w:bCs w:val="1"/>
                <w:color w:val="273D86"/>
                <w:w w:val="78"/>
              </w:rPr>
              <w:t>Each</w:t>
            </w:r>
            <w:r>
              <w:rPr>
                <w:rFonts w:ascii="Arial" w:cs="Arial" w:eastAsia="Arial" w:hAnsi="Arial"/>
                <w:sz w:val="9"/>
                <w:szCs w:val="9"/>
                <w:color w:val="262626"/>
                <w:w w:val="78"/>
              </w:rPr>
              <w:t>9years: 125</w:t>
            </w: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100" w:type="dxa"/>
            <w:vAlign w:val="bottom"/>
            <w:tcBorders>
              <w:left w:val="single" w:sz="8" w:color="98B82F"/>
              <w:right w:val="single" w:sz="8" w:color="98B82F"/>
            </w:tcBorders>
            <w:gridSpan w:val="6"/>
            <w:vMerge w:val="continue"/>
          </w:tcPr>
          <w:p>
            <w:pPr>
              <w:spacing w:after="0"/>
              <w:rPr>
                <w:sz w:val="4"/>
                <w:szCs w:val="4"/>
                <w:color w:val="auto"/>
              </w:rPr>
            </w:pPr>
          </w:p>
        </w:tc>
        <w:tc>
          <w:tcPr>
            <w:tcW w:w="80" w:type="dxa"/>
            <w:vAlign w:val="bottom"/>
            <w:shd w:val="clear" w:color="auto" w:fill="EAF1CE"/>
          </w:tcPr>
          <w:p>
            <w:pPr>
              <w:spacing w:after="0"/>
              <w:rPr>
                <w:sz w:val="4"/>
                <w:szCs w:val="4"/>
                <w:color w:val="auto"/>
              </w:rPr>
            </w:pPr>
          </w:p>
        </w:tc>
        <w:tc>
          <w:tcPr>
            <w:tcW w:w="140" w:type="dxa"/>
            <w:vAlign w:val="bottom"/>
            <w:shd w:val="clear" w:color="auto" w:fill="EAF1CE"/>
          </w:tcPr>
          <w:p>
            <w:pPr>
              <w:spacing w:after="0"/>
              <w:rPr>
                <w:sz w:val="4"/>
                <w:szCs w:val="4"/>
                <w:color w:val="auto"/>
              </w:rPr>
            </w:pPr>
          </w:p>
        </w:tc>
        <w:tc>
          <w:tcPr>
            <w:tcW w:w="120" w:type="dxa"/>
            <w:vAlign w:val="bottom"/>
            <w:shd w:val="clear" w:color="auto" w:fill="EAF1CE"/>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120" w:type="dxa"/>
            <w:vAlign w:val="bottom"/>
            <w:shd w:val="clear" w:color="auto" w:fill="EAF1CE"/>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140" w:type="dxa"/>
            <w:vAlign w:val="bottom"/>
            <w:shd w:val="clear" w:color="auto" w:fill="EAF1CE"/>
          </w:tcPr>
          <w:p>
            <w:pPr>
              <w:spacing w:after="0"/>
              <w:rPr>
                <w:sz w:val="4"/>
                <w:szCs w:val="4"/>
                <w:color w:val="auto"/>
              </w:rPr>
            </w:pPr>
          </w:p>
        </w:tc>
        <w:tc>
          <w:tcPr>
            <w:tcW w:w="260" w:type="dxa"/>
            <w:vAlign w:val="bottom"/>
            <w:tcBorders>
              <w:right w:val="single" w:sz="8" w:color="EAF1CE"/>
            </w:tcBorders>
            <w:shd w:val="clear" w:color="auto" w:fill="EAF1CE"/>
          </w:tcPr>
          <w:p>
            <w:pPr>
              <w:spacing w:after="0"/>
              <w:rPr>
                <w:sz w:val="4"/>
                <w:szCs w:val="4"/>
                <w:color w:val="auto"/>
              </w:rPr>
            </w:pPr>
          </w:p>
        </w:tc>
        <w:tc>
          <w:tcPr>
            <w:tcW w:w="280" w:type="dxa"/>
            <w:vAlign w:val="bottom"/>
            <w:tcBorders>
              <w:right w:val="single" w:sz="8" w:color="EAF1CE"/>
            </w:tcBorders>
            <w:shd w:val="clear" w:color="auto" w:fill="EAF1CE"/>
          </w:tcPr>
          <w:p>
            <w:pPr>
              <w:spacing w:after="0"/>
              <w:rPr>
                <w:sz w:val="4"/>
                <w:szCs w:val="4"/>
                <w:color w:val="auto"/>
              </w:rPr>
            </w:pPr>
          </w:p>
        </w:tc>
        <w:tc>
          <w:tcPr>
            <w:tcW w:w="100" w:type="dxa"/>
            <w:vAlign w:val="bottom"/>
            <w:tcBorders>
              <w:right w:val="single" w:sz="8" w:color="EAF1CE"/>
            </w:tcBorders>
            <w:shd w:val="clear" w:color="auto" w:fill="EAF1CE"/>
          </w:tcPr>
          <w:p>
            <w:pPr>
              <w:spacing w:after="0"/>
              <w:rPr>
                <w:sz w:val="4"/>
                <w:szCs w:val="4"/>
                <w:color w:val="auto"/>
              </w:rPr>
            </w:pPr>
          </w:p>
        </w:tc>
        <w:tc>
          <w:tcPr>
            <w:tcW w:w="180" w:type="dxa"/>
            <w:vAlign w:val="bottom"/>
            <w:shd w:val="clear" w:color="auto" w:fill="EAF1CE"/>
          </w:tcPr>
          <w:p>
            <w:pPr>
              <w:spacing w:after="0"/>
              <w:rPr>
                <w:sz w:val="4"/>
                <w:szCs w:val="4"/>
                <w:color w:val="auto"/>
              </w:rPr>
            </w:pPr>
          </w:p>
        </w:tc>
        <w:tc>
          <w:tcPr>
            <w:tcW w:w="40" w:type="dxa"/>
            <w:vAlign w:val="bottom"/>
            <w:shd w:val="clear" w:color="auto" w:fill="EAF1CE"/>
          </w:tcPr>
          <w:p>
            <w:pPr>
              <w:spacing w:after="0"/>
              <w:rPr>
                <w:sz w:val="4"/>
                <w:szCs w:val="4"/>
                <w:color w:val="auto"/>
              </w:rPr>
            </w:pPr>
          </w:p>
        </w:tc>
        <w:tc>
          <w:tcPr>
            <w:tcW w:w="60" w:type="dxa"/>
            <w:vAlign w:val="bottom"/>
            <w:shd w:val="clear" w:color="auto" w:fill="EAF1CE"/>
          </w:tcPr>
          <w:p>
            <w:pPr>
              <w:spacing w:after="0"/>
              <w:rPr>
                <w:sz w:val="4"/>
                <w:szCs w:val="4"/>
                <w:color w:val="auto"/>
              </w:rPr>
            </w:pPr>
          </w:p>
        </w:tc>
        <w:tc>
          <w:tcPr>
            <w:tcW w:w="120" w:type="dxa"/>
            <w:vAlign w:val="bottom"/>
            <w:shd w:val="clear" w:color="auto" w:fill="EAF1CE"/>
          </w:tcPr>
          <w:p>
            <w:pPr>
              <w:spacing w:after="0"/>
              <w:rPr>
                <w:sz w:val="4"/>
                <w:szCs w:val="4"/>
                <w:color w:val="auto"/>
              </w:rPr>
            </w:pPr>
          </w:p>
        </w:tc>
        <w:tc>
          <w:tcPr>
            <w:tcW w:w="40" w:type="dxa"/>
            <w:vAlign w:val="bottom"/>
            <w:shd w:val="clear" w:color="auto" w:fill="EAF1CE"/>
          </w:tcPr>
          <w:p>
            <w:pPr>
              <w:spacing w:after="0"/>
              <w:rPr>
                <w:sz w:val="4"/>
                <w:szCs w:val="4"/>
                <w:color w:val="auto"/>
              </w:rPr>
            </w:pPr>
          </w:p>
        </w:tc>
        <w:tc>
          <w:tcPr>
            <w:tcW w:w="40" w:type="dxa"/>
            <w:vAlign w:val="bottom"/>
            <w:shd w:val="clear" w:color="auto" w:fill="EAF1CE"/>
          </w:tcPr>
          <w:p>
            <w:pPr>
              <w:spacing w:after="0"/>
              <w:rPr>
                <w:sz w:val="4"/>
                <w:szCs w:val="4"/>
                <w:color w:val="auto"/>
              </w:rPr>
            </w:pPr>
          </w:p>
        </w:tc>
        <w:tc>
          <w:tcPr>
            <w:tcW w:w="200" w:type="dxa"/>
            <w:vAlign w:val="bottom"/>
            <w:tcBorders>
              <w:left w:val="single" w:sz="8" w:color="EAF1CE"/>
              <w:right w:val="single" w:sz="8" w:color="EAF1CE"/>
            </w:tcBorders>
            <w:shd w:val="clear" w:color="auto" w:fill="EAF1CE"/>
          </w:tcPr>
          <w:p>
            <w:pPr>
              <w:spacing w:after="0"/>
              <w:rPr>
                <w:sz w:val="4"/>
                <w:szCs w:val="4"/>
                <w:color w:val="auto"/>
              </w:rPr>
            </w:pPr>
          </w:p>
        </w:tc>
        <w:tc>
          <w:tcPr>
            <w:tcW w:w="40" w:type="dxa"/>
            <w:vAlign w:val="bottom"/>
            <w:shd w:val="clear" w:color="auto" w:fill="EAF1CE"/>
          </w:tcPr>
          <w:p>
            <w:pPr>
              <w:spacing w:after="0"/>
              <w:rPr>
                <w:sz w:val="4"/>
                <w:szCs w:val="4"/>
                <w:color w:val="auto"/>
              </w:rPr>
            </w:pPr>
          </w:p>
        </w:tc>
        <w:tc>
          <w:tcPr>
            <w:tcW w:w="120" w:type="dxa"/>
            <w:vAlign w:val="bottom"/>
            <w:shd w:val="clear" w:color="auto" w:fill="EAF1CE"/>
          </w:tcPr>
          <w:p>
            <w:pPr>
              <w:spacing w:after="0"/>
              <w:rPr>
                <w:sz w:val="4"/>
                <w:szCs w:val="4"/>
                <w:color w:val="auto"/>
              </w:rPr>
            </w:pPr>
          </w:p>
        </w:tc>
        <w:tc>
          <w:tcPr>
            <w:tcW w:w="220" w:type="dxa"/>
            <w:vAlign w:val="bottom"/>
            <w:shd w:val="clear" w:color="auto" w:fill="EAF1CE"/>
          </w:tcPr>
          <w:p>
            <w:pPr>
              <w:spacing w:after="0"/>
              <w:rPr>
                <w:sz w:val="4"/>
                <w:szCs w:val="4"/>
                <w:color w:val="auto"/>
              </w:rPr>
            </w:pPr>
          </w:p>
        </w:tc>
        <w:tc>
          <w:tcPr>
            <w:tcW w:w="220" w:type="dxa"/>
            <w:vAlign w:val="bottom"/>
            <w:tcBorders>
              <w:right w:val="single" w:sz="8" w:color="EAF1CE"/>
            </w:tcBorders>
            <w:gridSpan w:val="3"/>
            <w:vMerge w:val="continue"/>
            <w:shd w:val="clear" w:color="auto" w:fill="EAF1CE"/>
          </w:tcPr>
          <w:p>
            <w:pPr>
              <w:spacing w:after="0"/>
              <w:rPr>
                <w:sz w:val="4"/>
                <w:szCs w:val="4"/>
                <w:color w:val="auto"/>
              </w:rPr>
            </w:pPr>
          </w:p>
        </w:tc>
        <w:tc>
          <w:tcPr>
            <w:tcW w:w="20" w:type="dxa"/>
            <w:vAlign w:val="bottom"/>
            <w:shd w:val="clear" w:color="auto" w:fill="EAF1CE"/>
          </w:tcPr>
          <w:p>
            <w:pPr>
              <w:spacing w:after="0"/>
              <w:rPr>
                <w:sz w:val="4"/>
                <w:szCs w:val="4"/>
                <w:color w:val="auto"/>
              </w:rPr>
            </w:pPr>
          </w:p>
        </w:tc>
        <w:tc>
          <w:tcPr>
            <w:tcW w:w="100" w:type="dxa"/>
            <w:vAlign w:val="bottom"/>
            <w:tcBorders>
              <w:right w:val="single" w:sz="8" w:color="EAF1CE"/>
            </w:tcBorders>
            <w:shd w:val="clear" w:color="auto" w:fill="EAF1CE"/>
          </w:tcPr>
          <w:p>
            <w:pPr>
              <w:spacing w:after="0"/>
              <w:rPr>
                <w:sz w:val="4"/>
                <w:szCs w:val="4"/>
                <w:color w:val="auto"/>
              </w:rPr>
            </w:pPr>
          </w:p>
        </w:tc>
        <w:tc>
          <w:tcPr>
            <w:tcW w:w="100" w:type="dxa"/>
            <w:vAlign w:val="bottom"/>
            <w:tcBorders>
              <w:right w:val="single" w:sz="8" w:color="EAF1CE"/>
            </w:tcBorders>
            <w:shd w:val="clear" w:color="auto" w:fill="EAF1CE"/>
          </w:tcPr>
          <w:p>
            <w:pPr>
              <w:spacing w:after="0"/>
              <w:rPr>
                <w:sz w:val="4"/>
                <w:szCs w:val="4"/>
                <w:color w:val="auto"/>
              </w:rPr>
            </w:pPr>
          </w:p>
        </w:tc>
        <w:tc>
          <w:tcPr>
            <w:tcW w:w="20" w:type="dxa"/>
            <w:vAlign w:val="bottom"/>
            <w:shd w:val="clear" w:color="auto" w:fill="EAF1CE"/>
          </w:tcPr>
          <w:p>
            <w:pPr>
              <w:spacing w:after="0"/>
              <w:rPr>
                <w:sz w:val="4"/>
                <w:szCs w:val="4"/>
                <w:color w:val="auto"/>
              </w:rPr>
            </w:pPr>
          </w:p>
        </w:tc>
        <w:tc>
          <w:tcPr>
            <w:tcW w:w="60" w:type="dxa"/>
            <w:vAlign w:val="bottom"/>
            <w:shd w:val="clear" w:color="auto" w:fill="EAF1CE"/>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40" w:type="dxa"/>
            <w:vAlign w:val="bottom"/>
            <w:tcBorders>
              <w:right w:val="single" w:sz="8" w:color="EAF1CE"/>
            </w:tcBorders>
            <w:shd w:val="clear" w:color="auto" w:fill="EAF1CE"/>
          </w:tcPr>
          <w:p>
            <w:pPr>
              <w:spacing w:after="0"/>
              <w:rPr>
                <w:sz w:val="4"/>
                <w:szCs w:val="4"/>
                <w:color w:val="auto"/>
              </w:rPr>
            </w:pPr>
          </w:p>
        </w:tc>
        <w:tc>
          <w:tcPr>
            <w:tcW w:w="100" w:type="dxa"/>
            <w:vAlign w:val="bottom"/>
            <w:shd w:val="clear" w:color="auto" w:fill="EAF1C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gridSpan w:val="3"/>
          </w:tcPr>
          <w:p>
            <w:pPr>
              <w:spacing w:after="0" w:line="57" w:lineRule="exact"/>
              <w:rPr>
                <w:sz w:val="20"/>
                <w:szCs w:val="20"/>
                <w:color w:val="auto"/>
              </w:rPr>
            </w:pPr>
            <w:r>
              <w:rPr>
                <w:rFonts w:ascii="Arial" w:cs="Arial" w:eastAsia="Arial" w:hAnsi="Arial"/>
                <w:sz w:val="6"/>
                <w:szCs w:val="6"/>
                <w:color w:val="auto"/>
              </w:rPr>
              <w:t>449</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20" w:type="dxa"/>
            <w:vAlign w:val="bottom"/>
            <w:tcBorders>
              <w:left w:val="single" w:sz="8" w:color="98B82F"/>
            </w:tcBorders>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right w:val="single" w:sz="8" w:color="98B82F"/>
            </w:tcBorders>
          </w:tcPr>
          <w:p>
            <w:pPr>
              <w:spacing w:after="0"/>
              <w:rPr>
                <w:sz w:val="6"/>
                <w:szCs w:val="6"/>
                <w:color w:val="auto"/>
              </w:rPr>
            </w:pPr>
          </w:p>
        </w:tc>
        <w:tc>
          <w:tcPr>
            <w:tcW w:w="80" w:type="dxa"/>
            <w:vAlign w:val="bottom"/>
            <w:shd w:val="clear" w:color="auto" w:fill="EAF1CE"/>
          </w:tcPr>
          <w:p>
            <w:pPr>
              <w:spacing w:after="0"/>
              <w:rPr>
                <w:sz w:val="6"/>
                <w:szCs w:val="6"/>
                <w:color w:val="auto"/>
              </w:rPr>
            </w:pPr>
          </w:p>
        </w:tc>
        <w:tc>
          <w:tcPr>
            <w:tcW w:w="140" w:type="dxa"/>
            <w:vAlign w:val="bottom"/>
            <w:shd w:val="clear" w:color="auto" w:fill="EAF1CE"/>
          </w:tcPr>
          <w:p>
            <w:pPr>
              <w:spacing w:after="0"/>
              <w:rPr>
                <w:sz w:val="6"/>
                <w:szCs w:val="6"/>
                <w:color w:val="auto"/>
              </w:rPr>
            </w:pPr>
          </w:p>
        </w:tc>
        <w:tc>
          <w:tcPr>
            <w:tcW w:w="120" w:type="dxa"/>
            <w:vAlign w:val="bottom"/>
            <w:shd w:val="clear" w:color="auto" w:fill="EAF1CE"/>
          </w:tcPr>
          <w:p>
            <w:pPr>
              <w:spacing w:after="0"/>
              <w:rPr>
                <w:sz w:val="6"/>
                <w:szCs w:val="6"/>
                <w:color w:val="auto"/>
              </w:rPr>
            </w:pPr>
          </w:p>
        </w:tc>
        <w:tc>
          <w:tcPr>
            <w:tcW w:w="100" w:type="dxa"/>
            <w:vAlign w:val="bottom"/>
            <w:shd w:val="clear" w:color="auto" w:fill="EAF1CE"/>
          </w:tcPr>
          <w:p>
            <w:pPr>
              <w:spacing w:after="0"/>
              <w:rPr>
                <w:sz w:val="6"/>
                <w:szCs w:val="6"/>
                <w:color w:val="auto"/>
              </w:rPr>
            </w:pPr>
          </w:p>
        </w:tc>
        <w:tc>
          <w:tcPr>
            <w:tcW w:w="120" w:type="dxa"/>
            <w:vAlign w:val="bottom"/>
            <w:shd w:val="clear" w:color="auto" w:fill="EAF1CE"/>
          </w:tcPr>
          <w:p>
            <w:pPr>
              <w:spacing w:after="0"/>
              <w:rPr>
                <w:sz w:val="6"/>
                <w:szCs w:val="6"/>
                <w:color w:val="auto"/>
              </w:rPr>
            </w:pPr>
          </w:p>
        </w:tc>
        <w:tc>
          <w:tcPr>
            <w:tcW w:w="100" w:type="dxa"/>
            <w:vAlign w:val="bottom"/>
            <w:shd w:val="clear" w:color="auto" w:fill="EAF1CE"/>
          </w:tcPr>
          <w:p>
            <w:pPr>
              <w:spacing w:after="0"/>
              <w:rPr>
                <w:sz w:val="6"/>
                <w:szCs w:val="6"/>
                <w:color w:val="auto"/>
              </w:rPr>
            </w:pPr>
          </w:p>
        </w:tc>
        <w:tc>
          <w:tcPr>
            <w:tcW w:w="140" w:type="dxa"/>
            <w:vAlign w:val="bottom"/>
            <w:shd w:val="clear" w:color="auto" w:fill="EAF1CE"/>
          </w:tcPr>
          <w:p>
            <w:pPr>
              <w:spacing w:after="0"/>
              <w:rPr>
                <w:sz w:val="6"/>
                <w:szCs w:val="6"/>
                <w:color w:val="auto"/>
              </w:rPr>
            </w:pPr>
          </w:p>
        </w:tc>
        <w:tc>
          <w:tcPr>
            <w:tcW w:w="260" w:type="dxa"/>
            <w:vAlign w:val="bottom"/>
            <w:tcBorders>
              <w:right w:val="single" w:sz="8" w:color="EAF1CE"/>
            </w:tcBorders>
            <w:shd w:val="clear" w:color="auto" w:fill="EAF1CE"/>
          </w:tcPr>
          <w:p>
            <w:pPr>
              <w:spacing w:after="0"/>
              <w:rPr>
                <w:sz w:val="6"/>
                <w:szCs w:val="6"/>
                <w:color w:val="auto"/>
              </w:rPr>
            </w:pPr>
          </w:p>
        </w:tc>
        <w:tc>
          <w:tcPr>
            <w:tcW w:w="280" w:type="dxa"/>
            <w:vAlign w:val="bottom"/>
            <w:tcBorders>
              <w:right w:val="single" w:sz="8" w:color="EAF1CE"/>
            </w:tcBorders>
            <w:shd w:val="clear" w:color="auto" w:fill="EAF1CE"/>
          </w:tcPr>
          <w:p>
            <w:pPr>
              <w:spacing w:after="0"/>
              <w:rPr>
                <w:sz w:val="6"/>
                <w:szCs w:val="6"/>
                <w:color w:val="auto"/>
              </w:rPr>
            </w:pPr>
          </w:p>
        </w:tc>
        <w:tc>
          <w:tcPr>
            <w:tcW w:w="100" w:type="dxa"/>
            <w:vAlign w:val="bottom"/>
            <w:tcBorders>
              <w:right w:val="single" w:sz="8" w:color="EAF1CE"/>
            </w:tcBorders>
            <w:shd w:val="clear" w:color="auto" w:fill="EAF1CE"/>
          </w:tcPr>
          <w:p>
            <w:pPr>
              <w:spacing w:after="0"/>
              <w:rPr>
                <w:sz w:val="6"/>
                <w:szCs w:val="6"/>
                <w:color w:val="auto"/>
              </w:rPr>
            </w:pPr>
          </w:p>
        </w:tc>
        <w:tc>
          <w:tcPr>
            <w:tcW w:w="180" w:type="dxa"/>
            <w:vAlign w:val="bottom"/>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60" w:type="dxa"/>
            <w:vAlign w:val="bottom"/>
            <w:shd w:val="clear" w:color="auto" w:fill="EAF1CE"/>
          </w:tcPr>
          <w:p>
            <w:pPr>
              <w:spacing w:after="0"/>
              <w:rPr>
                <w:sz w:val="6"/>
                <w:szCs w:val="6"/>
                <w:color w:val="auto"/>
              </w:rPr>
            </w:pPr>
          </w:p>
        </w:tc>
        <w:tc>
          <w:tcPr>
            <w:tcW w:w="120" w:type="dxa"/>
            <w:vAlign w:val="bottom"/>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200" w:type="dxa"/>
            <w:vAlign w:val="bottom"/>
            <w:tcBorders>
              <w:left w:val="single" w:sz="8" w:color="EAF1CE"/>
              <w:right w:val="single" w:sz="8" w:color="EAF1CE"/>
            </w:tcBorders>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120" w:type="dxa"/>
            <w:vAlign w:val="bottom"/>
            <w:shd w:val="clear" w:color="auto" w:fill="EAF1CE"/>
          </w:tcPr>
          <w:p>
            <w:pPr>
              <w:spacing w:after="0"/>
              <w:rPr>
                <w:sz w:val="6"/>
                <w:szCs w:val="6"/>
                <w:color w:val="auto"/>
              </w:rPr>
            </w:pPr>
          </w:p>
        </w:tc>
        <w:tc>
          <w:tcPr>
            <w:tcW w:w="220" w:type="dxa"/>
            <w:vAlign w:val="bottom"/>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40" w:type="dxa"/>
            <w:vAlign w:val="bottom"/>
            <w:shd w:val="clear" w:color="auto" w:fill="EAF1CE"/>
          </w:tcPr>
          <w:p>
            <w:pPr>
              <w:spacing w:after="0"/>
              <w:rPr>
                <w:sz w:val="6"/>
                <w:szCs w:val="6"/>
                <w:color w:val="auto"/>
              </w:rPr>
            </w:pPr>
          </w:p>
        </w:tc>
        <w:tc>
          <w:tcPr>
            <w:tcW w:w="140" w:type="dxa"/>
            <w:vAlign w:val="bottom"/>
            <w:tcBorders>
              <w:right w:val="single" w:sz="8" w:color="EAF1CE"/>
            </w:tcBorders>
            <w:shd w:val="clear" w:color="auto" w:fill="EAF1CE"/>
          </w:tcPr>
          <w:p>
            <w:pPr>
              <w:spacing w:after="0"/>
              <w:rPr>
                <w:sz w:val="6"/>
                <w:szCs w:val="6"/>
                <w:color w:val="auto"/>
              </w:rPr>
            </w:pPr>
          </w:p>
        </w:tc>
        <w:tc>
          <w:tcPr>
            <w:tcW w:w="20" w:type="dxa"/>
            <w:vAlign w:val="bottom"/>
            <w:shd w:val="clear" w:color="auto" w:fill="EAF1CE"/>
          </w:tcPr>
          <w:p>
            <w:pPr>
              <w:spacing w:after="0"/>
              <w:rPr>
                <w:sz w:val="6"/>
                <w:szCs w:val="6"/>
                <w:color w:val="auto"/>
              </w:rPr>
            </w:pPr>
          </w:p>
        </w:tc>
        <w:tc>
          <w:tcPr>
            <w:tcW w:w="100" w:type="dxa"/>
            <w:vAlign w:val="bottom"/>
            <w:tcBorders>
              <w:right w:val="single" w:sz="8" w:color="EAF1CE"/>
            </w:tcBorders>
            <w:shd w:val="clear" w:color="auto" w:fill="EAF1CE"/>
          </w:tcPr>
          <w:p>
            <w:pPr>
              <w:spacing w:after="0"/>
              <w:rPr>
                <w:sz w:val="6"/>
                <w:szCs w:val="6"/>
                <w:color w:val="auto"/>
              </w:rPr>
            </w:pPr>
          </w:p>
        </w:tc>
        <w:tc>
          <w:tcPr>
            <w:tcW w:w="100" w:type="dxa"/>
            <w:vAlign w:val="bottom"/>
            <w:tcBorders>
              <w:right w:val="single" w:sz="8" w:color="EAF1CE"/>
            </w:tcBorders>
            <w:shd w:val="clear" w:color="auto" w:fill="EAF1CE"/>
          </w:tcPr>
          <w:p>
            <w:pPr>
              <w:spacing w:after="0"/>
              <w:rPr>
                <w:sz w:val="6"/>
                <w:szCs w:val="6"/>
                <w:color w:val="auto"/>
              </w:rPr>
            </w:pPr>
          </w:p>
        </w:tc>
        <w:tc>
          <w:tcPr>
            <w:tcW w:w="20" w:type="dxa"/>
            <w:vAlign w:val="bottom"/>
            <w:shd w:val="clear" w:color="auto" w:fill="EAF1CE"/>
          </w:tcPr>
          <w:p>
            <w:pPr>
              <w:spacing w:after="0"/>
              <w:rPr>
                <w:sz w:val="6"/>
                <w:szCs w:val="6"/>
                <w:color w:val="auto"/>
              </w:rPr>
            </w:pPr>
          </w:p>
        </w:tc>
        <w:tc>
          <w:tcPr>
            <w:tcW w:w="60" w:type="dxa"/>
            <w:vAlign w:val="bottom"/>
            <w:shd w:val="clear" w:color="auto" w:fill="EAF1CE"/>
          </w:tcPr>
          <w:p>
            <w:pPr>
              <w:spacing w:after="0"/>
              <w:rPr>
                <w:sz w:val="6"/>
                <w:szCs w:val="6"/>
                <w:color w:val="auto"/>
              </w:rPr>
            </w:pPr>
          </w:p>
        </w:tc>
        <w:tc>
          <w:tcPr>
            <w:tcW w:w="100" w:type="dxa"/>
            <w:vAlign w:val="bottom"/>
            <w:shd w:val="clear" w:color="auto" w:fill="EAF1CE"/>
          </w:tcPr>
          <w:p>
            <w:pPr>
              <w:spacing w:after="0"/>
              <w:rPr>
                <w:sz w:val="6"/>
                <w:szCs w:val="6"/>
                <w:color w:val="auto"/>
              </w:rPr>
            </w:pPr>
          </w:p>
        </w:tc>
        <w:tc>
          <w:tcPr>
            <w:tcW w:w="40" w:type="dxa"/>
            <w:vAlign w:val="bottom"/>
            <w:tcBorders>
              <w:right w:val="single" w:sz="8" w:color="EAF1CE"/>
            </w:tcBorders>
            <w:shd w:val="clear" w:color="auto" w:fill="EAF1CE"/>
          </w:tcPr>
          <w:p>
            <w:pPr>
              <w:spacing w:after="0"/>
              <w:rPr>
                <w:sz w:val="6"/>
                <w:szCs w:val="6"/>
                <w:color w:val="auto"/>
              </w:rPr>
            </w:pPr>
          </w:p>
        </w:tc>
        <w:tc>
          <w:tcPr>
            <w:tcW w:w="100" w:type="dxa"/>
            <w:vAlign w:val="bottom"/>
            <w:shd w:val="clear" w:color="auto" w:fill="EAF1C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10"/>
          </w:tcPr>
          <w:p>
            <w:pPr>
              <w:jc w:val="right"/>
              <w:ind w:right="120"/>
              <w:spacing w:after="0" w:line="73" w:lineRule="exact"/>
              <w:rPr>
                <w:sz w:val="20"/>
                <w:szCs w:val="20"/>
                <w:color w:val="auto"/>
              </w:rPr>
            </w:pPr>
            <w:r>
              <w:rPr>
                <w:rFonts w:ascii="Arial" w:cs="Arial" w:eastAsia="Arial" w:hAnsi="Arial"/>
                <w:sz w:val="7"/>
                <w:szCs w:val="7"/>
                <w:b w:val="1"/>
                <w:bCs w:val="1"/>
                <w:color w:val="273D86"/>
              </w:rPr>
              <w:t>Age Range (2020)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20" w:type="dxa"/>
            <w:vAlign w:val="bottom"/>
            <w:tcBorders>
              <w:left w:val="single" w:sz="8" w:color="98B82F"/>
              <w:bottom w:val="single" w:sz="8" w:color="98B82F"/>
            </w:tcBorders>
          </w:tcPr>
          <w:p>
            <w:pPr>
              <w:spacing w:after="0"/>
              <w:rPr>
                <w:sz w:val="2"/>
                <w:szCs w:val="2"/>
                <w:color w:val="auto"/>
              </w:rPr>
            </w:pPr>
          </w:p>
        </w:tc>
        <w:tc>
          <w:tcPr>
            <w:tcW w:w="20" w:type="dxa"/>
            <w:vAlign w:val="bottom"/>
            <w:tcBorders>
              <w:bottom w:val="single" w:sz="8" w:color="98B82F"/>
            </w:tcBorders>
          </w:tcPr>
          <w:p>
            <w:pPr>
              <w:spacing w:after="0"/>
              <w:rPr>
                <w:sz w:val="2"/>
                <w:szCs w:val="2"/>
                <w:color w:val="auto"/>
              </w:rPr>
            </w:pPr>
          </w:p>
        </w:tc>
        <w:tc>
          <w:tcPr>
            <w:tcW w:w="300" w:type="dxa"/>
            <w:vAlign w:val="bottom"/>
            <w:tcBorders>
              <w:bottom w:val="single" w:sz="8" w:color="98B82F"/>
            </w:tcBorders>
          </w:tcPr>
          <w:p>
            <w:pPr>
              <w:spacing w:after="0"/>
              <w:rPr>
                <w:sz w:val="2"/>
                <w:szCs w:val="2"/>
                <w:color w:val="auto"/>
              </w:rPr>
            </w:pPr>
          </w:p>
        </w:tc>
        <w:tc>
          <w:tcPr>
            <w:tcW w:w="2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320" w:type="dxa"/>
            <w:vAlign w:val="bottom"/>
            <w:tcBorders>
              <w:bottom w:val="single" w:sz="8" w:color="98B82F"/>
              <w:right w:val="single" w:sz="8" w:color="98B82F"/>
            </w:tcBorders>
          </w:tcPr>
          <w:p>
            <w:pPr>
              <w:spacing w:after="0"/>
              <w:rPr>
                <w:sz w:val="2"/>
                <w:szCs w:val="2"/>
                <w:color w:val="auto"/>
              </w:rPr>
            </w:pPr>
          </w:p>
        </w:tc>
        <w:tc>
          <w:tcPr>
            <w:tcW w:w="80" w:type="dxa"/>
            <w:vAlign w:val="bottom"/>
            <w:tcBorders>
              <w:bottom w:val="single" w:sz="8" w:color="EAF1CE"/>
            </w:tcBorders>
            <w:shd w:val="clear" w:color="auto" w:fill="EAF1CE"/>
          </w:tcPr>
          <w:p>
            <w:pPr>
              <w:spacing w:after="0"/>
              <w:rPr>
                <w:sz w:val="2"/>
                <w:szCs w:val="2"/>
                <w:color w:val="auto"/>
              </w:rPr>
            </w:pPr>
          </w:p>
        </w:tc>
        <w:tc>
          <w:tcPr>
            <w:tcW w:w="140" w:type="dxa"/>
            <w:vAlign w:val="bottom"/>
            <w:tcBorders>
              <w:bottom w:val="single" w:sz="8" w:color="EAF1CE"/>
            </w:tcBorders>
            <w:vMerge w:val="restart"/>
            <w:shd w:val="clear" w:color="auto" w:fill="EAF1CE"/>
          </w:tcPr>
          <w:p>
            <w:pPr>
              <w:spacing w:after="0" w:line="120" w:lineRule="exact"/>
              <w:rPr>
                <w:sz w:val="20"/>
                <w:szCs w:val="20"/>
                <w:color w:val="auto"/>
              </w:rPr>
            </w:pPr>
            <w:r>
              <w:rPr>
                <w:rFonts w:ascii="PMingLiU" w:cs="PMingLiU" w:eastAsia="PMingLiU" w:hAnsi="PMingLiU"/>
                <w:sz w:val="10"/>
                <w:szCs w:val="10"/>
                <w:color w:val="262626"/>
              </w:rPr>
              <w:t/>
            </w:r>
          </w:p>
        </w:tc>
        <w:tc>
          <w:tcPr>
            <w:tcW w:w="120" w:type="dxa"/>
            <w:vAlign w:val="bottom"/>
            <w:tcBorders>
              <w:bottom w:val="single" w:sz="8" w:color="EAF1CE"/>
            </w:tcBorders>
            <w:vMerge w:val="restart"/>
            <w:shd w:val="clear" w:color="auto" w:fill="EAF1CE"/>
          </w:tcPr>
          <w:p>
            <w:pPr>
              <w:spacing w:after="0"/>
              <w:rPr>
                <w:sz w:val="2"/>
                <w:szCs w:val="2"/>
                <w:color w:val="auto"/>
              </w:rPr>
            </w:pPr>
          </w:p>
        </w:tc>
        <w:tc>
          <w:tcPr>
            <w:tcW w:w="100" w:type="dxa"/>
            <w:vAlign w:val="bottom"/>
            <w:tcBorders>
              <w:bottom w:val="single" w:sz="8" w:color="EAF1CE"/>
            </w:tcBorders>
            <w:vMerge w:val="restart"/>
            <w:shd w:val="clear" w:color="auto" w:fill="EAF1CE"/>
          </w:tcPr>
          <w:p>
            <w:pPr>
              <w:spacing w:after="0"/>
              <w:rPr>
                <w:sz w:val="2"/>
                <w:szCs w:val="2"/>
                <w:color w:val="auto"/>
              </w:rPr>
            </w:pPr>
          </w:p>
        </w:tc>
        <w:tc>
          <w:tcPr>
            <w:tcW w:w="120" w:type="dxa"/>
            <w:vAlign w:val="bottom"/>
            <w:tcBorders>
              <w:bottom w:val="single" w:sz="8" w:color="EAF1CE"/>
            </w:tcBorders>
            <w:vMerge w:val="restart"/>
            <w:shd w:val="clear" w:color="auto" w:fill="EAF1CE"/>
          </w:tcPr>
          <w:p>
            <w:pPr>
              <w:spacing w:after="0"/>
              <w:rPr>
                <w:sz w:val="2"/>
                <w:szCs w:val="2"/>
                <w:color w:val="auto"/>
              </w:rPr>
            </w:pPr>
          </w:p>
        </w:tc>
        <w:tc>
          <w:tcPr>
            <w:tcW w:w="100" w:type="dxa"/>
            <w:vAlign w:val="bottom"/>
            <w:tcBorders>
              <w:bottom w:val="single" w:sz="8" w:color="EAF1CE"/>
            </w:tcBorders>
            <w:shd w:val="clear" w:color="auto" w:fill="EAF1CE"/>
          </w:tcPr>
          <w:p>
            <w:pPr>
              <w:spacing w:after="0"/>
              <w:rPr>
                <w:sz w:val="2"/>
                <w:szCs w:val="2"/>
                <w:color w:val="auto"/>
              </w:rPr>
            </w:pPr>
          </w:p>
        </w:tc>
        <w:tc>
          <w:tcPr>
            <w:tcW w:w="140" w:type="dxa"/>
            <w:vAlign w:val="bottom"/>
            <w:tcBorders>
              <w:bottom w:val="single" w:sz="8" w:color="EAF1CE"/>
            </w:tcBorders>
            <w:shd w:val="clear" w:color="auto" w:fill="EAF1CE"/>
          </w:tcPr>
          <w:p>
            <w:pPr>
              <w:spacing w:after="0"/>
              <w:rPr>
                <w:sz w:val="2"/>
                <w:szCs w:val="2"/>
                <w:color w:val="auto"/>
              </w:rPr>
            </w:pPr>
          </w:p>
        </w:tc>
        <w:tc>
          <w:tcPr>
            <w:tcW w:w="260" w:type="dxa"/>
            <w:vAlign w:val="bottom"/>
            <w:tcBorders>
              <w:bottom w:val="single" w:sz="8" w:color="EAF1CE"/>
              <w:right w:val="single" w:sz="8" w:color="EAF1CE"/>
            </w:tcBorders>
            <w:shd w:val="clear" w:color="auto" w:fill="EAF1CE"/>
          </w:tcPr>
          <w:p>
            <w:pPr>
              <w:spacing w:after="0"/>
              <w:rPr>
                <w:sz w:val="2"/>
                <w:szCs w:val="2"/>
                <w:color w:val="auto"/>
              </w:rPr>
            </w:pPr>
          </w:p>
        </w:tc>
        <w:tc>
          <w:tcPr>
            <w:tcW w:w="280" w:type="dxa"/>
            <w:vAlign w:val="bottom"/>
            <w:tcBorders>
              <w:bottom w:val="single" w:sz="8" w:color="EAF1CE"/>
              <w:right w:val="single" w:sz="8" w:color="EAF1CE"/>
            </w:tcBorders>
            <w:shd w:val="clear" w:color="auto" w:fill="EAF1CE"/>
          </w:tcPr>
          <w:p>
            <w:pPr>
              <w:spacing w:after="0"/>
              <w:rPr>
                <w:sz w:val="2"/>
                <w:szCs w:val="2"/>
                <w:color w:val="auto"/>
              </w:rPr>
            </w:pPr>
          </w:p>
        </w:tc>
        <w:tc>
          <w:tcPr>
            <w:tcW w:w="100" w:type="dxa"/>
            <w:vAlign w:val="bottom"/>
            <w:tcBorders>
              <w:bottom w:val="single" w:sz="8" w:color="EAF1CE"/>
              <w:right w:val="single" w:sz="8" w:color="EAF1CE"/>
            </w:tcBorders>
            <w:shd w:val="clear" w:color="auto" w:fill="EAF1CE"/>
          </w:tcPr>
          <w:p>
            <w:pPr>
              <w:spacing w:after="0"/>
              <w:rPr>
                <w:sz w:val="2"/>
                <w:szCs w:val="2"/>
                <w:color w:val="auto"/>
              </w:rPr>
            </w:pPr>
          </w:p>
        </w:tc>
        <w:tc>
          <w:tcPr>
            <w:tcW w:w="180" w:type="dxa"/>
            <w:vAlign w:val="bottom"/>
            <w:tcBorders>
              <w:bottom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60" w:type="dxa"/>
            <w:vAlign w:val="bottom"/>
            <w:tcBorders>
              <w:bottom w:val="single" w:sz="8" w:color="EAF1CE"/>
            </w:tcBorders>
            <w:shd w:val="clear" w:color="auto" w:fill="EAF1CE"/>
          </w:tcPr>
          <w:p>
            <w:pPr>
              <w:spacing w:after="0"/>
              <w:rPr>
                <w:sz w:val="2"/>
                <w:szCs w:val="2"/>
                <w:color w:val="auto"/>
              </w:rPr>
            </w:pPr>
          </w:p>
        </w:tc>
        <w:tc>
          <w:tcPr>
            <w:tcW w:w="120" w:type="dxa"/>
            <w:vAlign w:val="bottom"/>
            <w:tcBorders>
              <w:bottom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200" w:type="dxa"/>
            <w:vAlign w:val="bottom"/>
            <w:tcBorders>
              <w:left w:val="single" w:sz="8" w:color="EAF1CE"/>
              <w:bottom w:val="single" w:sz="8" w:color="EAF1CE"/>
              <w:right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120" w:type="dxa"/>
            <w:vAlign w:val="bottom"/>
            <w:tcBorders>
              <w:bottom w:val="single" w:sz="8" w:color="EAF1CE"/>
            </w:tcBorders>
            <w:shd w:val="clear" w:color="auto" w:fill="EAF1CE"/>
          </w:tcPr>
          <w:p>
            <w:pPr>
              <w:spacing w:after="0"/>
              <w:rPr>
                <w:sz w:val="2"/>
                <w:szCs w:val="2"/>
                <w:color w:val="auto"/>
              </w:rPr>
            </w:pPr>
          </w:p>
        </w:tc>
        <w:tc>
          <w:tcPr>
            <w:tcW w:w="220" w:type="dxa"/>
            <w:vAlign w:val="bottom"/>
            <w:tcBorders>
              <w:bottom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40" w:type="dxa"/>
            <w:vAlign w:val="bottom"/>
            <w:tcBorders>
              <w:bottom w:val="single" w:sz="8" w:color="EAF1CE"/>
            </w:tcBorders>
            <w:shd w:val="clear" w:color="auto" w:fill="EAF1CE"/>
          </w:tcPr>
          <w:p>
            <w:pPr>
              <w:spacing w:after="0"/>
              <w:rPr>
                <w:sz w:val="2"/>
                <w:szCs w:val="2"/>
                <w:color w:val="auto"/>
              </w:rPr>
            </w:pPr>
          </w:p>
        </w:tc>
        <w:tc>
          <w:tcPr>
            <w:tcW w:w="140" w:type="dxa"/>
            <w:vAlign w:val="bottom"/>
            <w:tcBorders>
              <w:bottom w:val="single" w:sz="8" w:color="EAF1CE"/>
              <w:right w:val="single" w:sz="8" w:color="EAF1CE"/>
            </w:tcBorders>
            <w:shd w:val="clear" w:color="auto" w:fill="EAF1CE"/>
          </w:tcPr>
          <w:p>
            <w:pPr>
              <w:spacing w:after="0"/>
              <w:rPr>
                <w:sz w:val="2"/>
                <w:szCs w:val="2"/>
                <w:color w:val="auto"/>
              </w:rPr>
            </w:pPr>
          </w:p>
        </w:tc>
        <w:tc>
          <w:tcPr>
            <w:tcW w:w="20" w:type="dxa"/>
            <w:vAlign w:val="bottom"/>
            <w:tcBorders>
              <w:bottom w:val="single" w:sz="8" w:color="EAF1CE"/>
            </w:tcBorders>
            <w:shd w:val="clear" w:color="auto" w:fill="EAF1CE"/>
          </w:tcPr>
          <w:p>
            <w:pPr>
              <w:spacing w:after="0"/>
              <w:rPr>
                <w:sz w:val="2"/>
                <w:szCs w:val="2"/>
                <w:color w:val="auto"/>
              </w:rPr>
            </w:pPr>
          </w:p>
        </w:tc>
        <w:tc>
          <w:tcPr>
            <w:tcW w:w="100" w:type="dxa"/>
            <w:vAlign w:val="bottom"/>
            <w:tcBorders>
              <w:bottom w:val="single" w:sz="8" w:color="EAF1CE"/>
              <w:right w:val="single" w:sz="8" w:color="EAF1CE"/>
            </w:tcBorders>
            <w:shd w:val="clear" w:color="auto" w:fill="EAF1CE"/>
          </w:tcPr>
          <w:p>
            <w:pPr>
              <w:spacing w:after="0"/>
              <w:rPr>
                <w:sz w:val="2"/>
                <w:szCs w:val="2"/>
                <w:color w:val="auto"/>
              </w:rPr>
            </w:pPr>
          </w:p>
        </w:tc>
        <w:tc>
          <w:tcPr>
            <w:tcW w:w="100" w:type="dxa"/>
            <w:vAlign w:val="bottom"/>
            <w:tcBorders>
              <w:bottom w:val="single" w:sz="8" w:color="EAF1CE"/>
              <w:right w:val="single" w:sz="8" w:color="EAF1CE"/>
            </w:tcBorders>
            <w:shd w:val="clear" w:color="auto" w:fill="EAF1CE"/>
          </w:tcPr>
          <w:p>
            <w:pPr>
              <w:spacing w:after="0"/>
              <w:rPr>
                <w:sz w:val="2"/>
                <w:szCs w:val="2"/>
                <w:color w:val="auto"/>
              </w:rPr>
            </w:pPr>
          </w:p>
        </w:tc>
        <w:tc>
          <w:tcPr>
            <w:tcW w:w="20" w:type="dxa"/>
            <w:vAlign w:val="bottom"/>
            <w:tcBorders>
              <w:bottom w:val="single" w:sz="8" w:color="EAF1CE"/>
            </w:tcBorders>
            <w:shd w:val="clear" w:color="auto" w:fill="EAF1CE"/>
          </w:tcPr>
          <w:p>
            <w:pPr>
              <w:spacing w:after="0"/>
              <w:rPr>
                <w:sz w:val="2"/>
                <w:szCs w:val="2"/>
                <w:color w:val="auto"/>
              </w:rPr>
            </w:pPr>
          </w:p>
        </w:tc>
        <w:tc>
          <w:tcPr>
            <w:tcW w:w="60" w:type="dxa"/>
            <w:vAlign w:val="bottom"/>
            <w:tcBorders>
              <w:bottom w:val="single" w:sz="8" w:color="EAF1CE"/>
            </w:tcBorders>
            <w:shd w:val="clear" w:color="auto" w:fill="EAF1CE"/>
          </w:tcPr>
          <w:p>
            <w:pPr>
              <w:spacing w:after="0"/>
              <w:rPr>
                <w:sz w:val="2"/>
                <w:szCs w:val="2"/>
                <w:color w:val="auto"/>
              </w:rPr>
            </w:pPr>
          </w:p>
        </w:tc>
        <w:tc>
          <w:tcPr>
            <w:tcW w:w="100" w:type="dxa"/>
            <w:vAlign w:val="bottom"/>
            <w:tcBorders>
              <w:bottom w:val="single" w:sz="8" w:color="EAF1CE"/>
            </w:tcBorders>
            <w:shd w:val="clear" w:color="auto" w:fill="EAF1CE"/>
          </w:tcPr>
          <w:p>
            <w:pPr>
              <w:spacing w:after="0"/>
              <w:rPr>
                <w:sz w:val="2"/>
                <w:szCs w:val="2"/>
                <w:color w:val="auto"/>
              </w:rPr>
            </w:pPr>
          </w:p>
        </w:tc>
        <w:tc>
          <w:tcPr>
            <w:tcW w:w="140" w:type="dxa"/>
            <w:vAlign w:val="bottom"/>
            <w:tcBorders>
              <w:bottom w:val="single" w:sz="8" w:color="EAF1CE"/>
            </w:tcBorders>
            <w:gridSpan w:val="2"/>
            <w:vMerge w:val="restart"/>
            <w:shd w:val="clear" w:color="auto" w:fill="EAF1CE"/>
          </w:tcPr>
          <w:p>
            <w:pPr>
              <w:spacing w:after="0"/>
              <w:rPr>
                <w:sz w:val="2"/>
                <w:szCs w:val="2"/>
                <w:color w:val="auto"/>
              </w:rPr>
            </w:pPr>
          </w:p>
        </w:tc>
        <w:tc>
          <w:tcPr>
            <w:tcW w:w="120" w:type="dxa"/>
            <w:vAlign w:val="bottom"/>
            <w:vMerge w:val="restart"/>
          </w:tcPr>
          <w:p>
            <w:pPr>
              <w:jc w:val="center"/>
              <w:ind w:right="36"/>
              <w:spacing w:after="0" w:line="120" w:lineRule="exact"/>
              <w:rPr>
                <w:sz w:val="20"/>
                <w:szCs w:val="20"/>
                <w:color w:val="auto"/>
              </w:rPr>
            </w:pPr>
            <w:r>
              <w:rPr>
                <w:rFonts w:ascii="PMingLiU" w:cs="PMingLiU" w:eastAsia="PMingLiU" w:hAnsi="PMingLiU"/>
                <w:sz w:val="10"/>
                <w:szCs w:val="10"/>
                <w:color w:val="262626"/>
              </w:rPr>
              <w:t/>
            </w:r>
          </w:p>
        </w:tc>
        <w:tc>
          <w:tcPr>
            <w:tcW w:w="4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8"/>
            <w:vMerge w:val="restart"/>
          </w:tcPr>
          <w:p>
            <w:pPr>
              <w:jc w:val="center"/>
              <w:spacing w:after="0" w:line="122" w:lineRule="exact"/>
              <w:rPr>
                <w:sz w:val="20"/>
                <w:szCs w:val="20"/>
                <w:color w:val="auto"/>
              </w:rPr>
            </w:pPr>
            <w:r>
              <w:rPr>
                <w:rFonts w:ascii="Arial" w:cs="Arial" w:eastAsia="Arial" w:hAnsi="Arial"/>
                <w:sz w:val="10"/>
                <w:szCs w:val="10"/>
                <w:color w:val="262626"/>
              </w:rPr>
              <w:t>£äq£{</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w:t>
            </w:r>
            <w:r>
              <w:rPr>
                <w:rFonts w:ascii="Arial" w:cs="Arial" w:eastAsia="Arial" w:hAnsi="Arial"/>
                <w:sz w:val="10"/>
                <w:szCs w:val="10"/>
                <w:color w:val="262626"/>
              </w:rPr>
              <w:t>Î</w:t>
            </w:r>
            <w:r>
              <w:rPr>
                <w:rFonts w:ascii="PMingLiU" w:cs="PMingLiU" w:eastAsia="PMingLiU" w:hAnsi="PMingLiU"/>
                <w:sz w:val="10"/>
                <w:szCs w:val="10"/>
                <w:color w:val="262626"/>
              </w:rPr>
              <w:t/>
            </w:r>
          </w:p>
        </w:tc>
        <w:tc>
          <w:tcPr>
            <w:tcW w:w="60" w:type="dxa"/>
            <w:vAlign w:val="bottom"/>
          </w:tcPr>
          <w:p>
            <w:pPr>
              <w:spacing w:after="0"/>
              <w:rPr>
                <w:sz w:val="2"/>
                <w:szCs w:val="2"/>
                <w:color w:val="auto"/>
              </w:rPr>
            </w:pPr>
          </w:p>
        </w:tc>
        <w:tc>
          <w:tcPr>
            <w:tcW w:w="740" w:type="dxa"/>
            <w:vAlign w:val="bottom"/>
            <w:gridSpan w:val="8"/>
            <w:vMerge w:val="restart"/>
          </w:tcPr>
          <w:p>
            <w:pPr>
              <w:jc w:val="center"/>
              <w:spacing w:after="0" w:line="122" w:lineRule="exact"/>
              <w:rPr>
                <w:sz w:val="20"/>
                <w:szCs w:val="20"/>
                <w:color w:val="auto"/>
              </w:rPr>
            </w:pPr>
            <w:r>
              <w:rPr>
                <w:rFonts w:ascii="Arial" w:cs="Arial" w:eastAsia="Arial" w:hAnsi="Arial"/>
                <w:sz w:val="10"/>
                <w:szCs w:val="10"/>
                <w:color w:val="262626"/>
              </w:rPr>
              <w:t>£äq£{</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r>
              <w:rPr>
                <w:rFonts w:ascii="Arial" w:cs="Arial" w:eastAsia="Arial" w:hAnsi="Arial"/>
                <w:sz w:val="10"/>
                <w:szCs w:val="10"/>
                <w:color w:val="262626"/>
              </w:rPr>
              <w:t>nä</w:t>
            </w: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right w:val="single" w:sz="8" w:color="98B82F"/>
            </w:tcBorders>
          </w:tcPr>
          <w:p>
            <w:pPr>
              <w:spacing w:after="0"/>
              <w:rPr>
                <w:sz w:val="7"/>
                <w:szCs w:val="7"/>
                <w:color w:val="auto"/>
              </w:rPr>
            </w:pPr>
          </w:p>
        </w:tc>
        <w:tc>
          <w:tcPr>
            <w:tcW w:w="80" w:type="dxa"/>
            <w:vAlign w:val="bottom"/>
            <w:shd w:val="clear" w:color="auto" w:fill="EAF1CE"/>
          </w:tcPr>
          <w:p>
            <w:pPr>
              <w:spacing w:after="0"/>
              <w:rPr>
                <w:sz w:val="7"/>
                <w:szCs w:val="7"/>
                <w:color w:val="auto"/>
              </w:rPr>
            </w:pPr>
          </w:p>
        </w:tc>
        <w:tc>
          <w:tcPr>
            <w:tcW w:w="140" w:type="dxa"/>
            <w:vAlign w:val="bottom"/>
            <w:vMerge w:val="continue"/>
            <w:shd w:val="clear" w:color="auto" w:fill="EAF1CE"/>
          </w:tcPr>
          <w:p>
            <w:pPr>
              <w:spacing w:after="0"/>
              <w:rPr>
                <w:sz w:val="7"/>
                <w:szCs w:val="7"/>
                <w:color w:val="auto"/>
              </w:rPr>
            </w:pPr>
          </w:p>
        </w:tc>
        <w:tc>
          <w:tcPr>
            <w:tcW w:w="120" w:type="dxa"/>
            <w:vAlign w:val="bottom"/>
            <w:vMerge w:val="continue"/>
            <w:shd w:val="clear" w:color="auto" w:fill="EAF1CE"/>
          </w:tcPr>
          <w:p>
            <w:pPr>
              <w:spacing w:after="0"/>
              <w:rPr>
                <w:sz w:val="7"/>
                <w:szCs w:val="7"/>
                <w:color w:val="auto"/>
              </w:rPr>
            </w:pPr>
          </w:p>
        </w:tc>
        <w:tc>
          <w:tcPr>
            <w:tcW w:w="100" w:type="dxa"/>
            <w:vAlign w:val="bottom"/>
            <w:vMerge w:val="continue"/>
            <w:shd w:val="clear" w:color="auto" w:fill="EAF1CE"/>
          </w:tcPr>
          <w:p>
            <w:pPr>
              <w:spacing w:after="0"/>
              <w:rPr>
                <w:sz w:val="7"/>
                <w:szCs w:val="7"/>
                <w:color w:val="auto"/>
              </w:rPr>
            </w:pPr>
          </w:p>
        </w:tc>
        <w:tc>
          <w:tcPr>
            <w:tcW w:w="120" w:type="dxa"/>
            <w:vAlign w:val="bottom"/>
            <w:vMerge w:val="continue"/>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140" w:type="dxa"/>
            <w:vAlign w:val="bottom"/>
            <w:shd w:val="clear" w:color="auto" w:fill="EAF1CE"/>
          </w:tcPr>
          <w:p>
            <w:pPr>
              <w:spacing w:after="0"/>
              <w:rPr>
                <w:sz w:val="7"/>
                <w:szCs w:val="7"/>
                <w:color w:val="auto"/>
              </w:rPr>
            </w:pPr>
          </w:p>
        </w:tc>
        <w:tc>
          <w:tcPr>
            <w:tcW w:w="260" w:type="dxa"/>
            <w:vAlign w:val="bottom"/>
            <w:tcBorders>
              <w:right w:val="single" w:sz="8" w:color="EAF1CE"/>
            </w:tcBorders>
            <w:shd w:val="clear" w:color="auto" w:fill="EAF1CE"/>
          </w:tcPr>
          <w:p>
            <w:pPr>
              <w:spacing w:after="0"/>
              <w:rPr>
                <w:sz w:val="7"/>
                <w:szCs w:val="7"/>
                <w:color w:val="auto"/>
              </w:rPr>
            </w:pPr>
          </w:p>
        </w:tc>
        <w:tc>
          <w:tcPr>
            <w:tcW w:w="280" w:type="dxa"/>
            <w:vAlign w:val="bottom"/>
            <w:tcBorders>
              <w:right w:val="single" w:sz="8" w:color="EAF1CE"/>
            </w:tcBorders>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18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6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200" w:type="dxa"/>
            <w:vAlign w:val="bottom"/>
            <w:tcBorders>
              <w:left w:val="single" w:sz="8" w:color="EAF1CE"/>
              <w:right w:val="single" w:sz="8" w:color="EAF1CE"/>
            </w:tcBorders>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120" w:type="dxa"/>
            <w:vAlign w:val="bottom"/>
            <w:shd w:val="clear" w:color="auto" w:fill="EAF1CE"/>
          </w:tcPr>
          <w:p>
            <w:pPr>
              <w:spacing w:after="0"/>
              <w:rPr>
                <w:sz w:val="7"/>
                <w:szCs w:val="7"/>
                <w:color w:val="auto"/>
              </w:rPr>
            </w:pPr>
          </w:p>
        </w:tc>
        <w:tc>
          <w:tcPr>
            <w:tcW w:w="22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40" w:type="dxa"/>
            <w:vAlign w:val="bottom"/>
            <w:shd w:val="clear" w:color="auto" w:fill="EAF1CE"/>
          </w:tcPr>
          <w:p>
            <w:pPr>
              <w:spacing w:after="0"/>
              <w:rPr>
                <w:sz w:val="7"/>
                <w:szCs w:val="7"/>
                <w:color w:val="auto"/>
              </w:rPr>
            </w:pPr>
          </w:p>
        </w:tc>
        <w:tc>
          <w:tcPr>
            <w:tcW w:w="140" w:type="dxa"/>
            <w:vAlign w:val="bottom"/>
            <w:tcBorders>
              <w:right w:val="single" w:sz="8" w:color="EAF1CE"/>
            </w:tcBorders>
            <w:shd w:val="clear" w:color="auto" w:fill="EAF1CE"/>
          </w:tcPr>
          <w:p>
            <w:pPr>
              <w:spacing w:after="0"/>
              <w:rPr>
                <w:sz w:val="7"/>
                <w:szCs w:val="7"/>
                <w:color w:val="auto"/>
              </w:rPr>
            </w:pPr>
          </w:p>
        </w:tc>
        <w:tc>
          <w:tcPr>
            <w:tcW w:w="20" w:type="dxa"/>
            <w:vAlign w:val="bottom"/>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100" w:type="dxa"/>
            <w:vAlign w:val="bottom"/>
            <w:tcBorders>
              <w:right w:val="single" w:sz="8" w:color="EAF1CE"/>
            </w:tcBorders>
            <w:shd w:val="clear" w:color="auto" w:fill="EAF1CE"/>
          </w:tcPr>
          <w:p>
            <w:pPr>
              <w:spacing w:after="0"/>
              <w:rPr>
                <w:sz w:val="7"/>
                <w:szCs w:val="7"/>
                <w:color w:val="auto"/>
              </w:rPr>
            </w:pPr>
          </w:p>
        </w:tc>
        <w:tc>
          <w:tcPr>
            <w:tcW w:w="20" w:type="dxa"/>
            <w:vAlign w:val="bottom"/>
            <w:shd w:val="clear" w:color="auto" w:fill="EAF1CE"/>
          </w:tcPr>
          <w:p>
            <w:pPr>
              <w:spacing w:after="0"/>
              <w:rPr>
                <w:sz w:val="7"/>
                <w:szCs w:val="7"/>
                <w:color w:val="auto"/>
              </w:rPr>
            </w:pPr>
          </w:p>
        </w:tc>
        <w:tc>
          <w:tcPr>
            <w:tcW w:w="60" w:type="dxa"/>
            <w:vAlign w:val="bottom"/>
            <w:shd w:val="clear" w:color="auto" w:fill="EAF1CE"/>
          </w:tcPr>
          <w:p>
            <w:pPr>
              <w:spacing w:after="0"/>
              <w:rPr>
                <w:sz w:val="7"/>
                <w:szCs w:val="7"/>
                <w:color w:val="auto"/>
              </w:rPr>
            </w:pPr>
          </w:p>
        </w:tc>
        <w:tc>
          <w:tcPr>
            <w:tcW w:w="100" w:type="dxa"/>
            <w:vAlign w:val="bottom"/>
            <w:shd w:val="clear" w:color="auto" w:fill="EAF1CE"/>
          </w:tcPr>
          <w:p>
            <w:pPr>
              <w:spacing w:after="0"/>
              <w:rPr>
                <w:sz w:val="7"/>
                <w:szCs w:val="7"/>
                <w:color w:val="auto"/>
              </w:rPr>
            </w:pPr>
          </w:p>
        </w:tc>
        <w:tc>
          <w:tcPr>
            <w:tcW w:w="140" w:type="dxa"/>
            <w:vAlign w:val="bottom"/>
            <w:gridSpan w:val="2"/>
            <w:vMerge w:val="continue"/>
            <w:shd w:val="clear" w:color="auto" w:fill="EAF1CE"/>
          </w:tcPr>
          <w:p>
            <w:pPr>
              <w:spacing w:after="0"/>
              <w:rPr>
                <w:sz w:val="7"/>
                <w:szCs w:val="7"/>
                <w:color w:val="auto"/>
              </w:rPr>
            </w:pPr>
          </w:p>
        </w:tc>
        <w:tc>
          <w:tcPr>
            <w:tcW w:w="1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8"/>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8"/>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right w:val="single" w:sz="8" w:color="98B82F"/>
            </w:tcBorders>
          </w:tcPr>
          <w:p>
            <w:pPr>
              <w:spacing w:after="0"/>
              <w:rPr>
                <w:sz w:val="11"/>
                <w:szCs w:val="11"/>
                <w:color w:val="auto"/>
              </w:rPr>
            </w:pPr>
          </w:p>
        </w:tc>
        <w:tc>
          <w:tcPr>
            <w:tcW w:w="80" w:type="dxa"/>
            <w:vAlign w:val="bottom"/>
            <w:shd w:val="clear" w:color="auto" w:fill="EAF1CE"/>
          </w:tcPr>
          <w:p>
            <w:pPr>
              <w:spacing w:after="0"/>
              <w:rPr>
                <w:sz w:val="11"/>
                <w:szCs w:val="11"/>
                <w:color w:val="auto"/>
              </w:rPr>
            </w:pPr>
          </w:p>
        </w:tc>
        <w:tc>
          <w:tcPr>
            <w:tcW w:w="140" w:type="dxa"/>
            <w:vAlign w:val="bottom"/>
            <w:shd w:val="clear" w:color="auto" w:fill="EAF1CE"/>
          </w:tcPr>
          <w:p>
            <w:pPr>
              <w:spacing w:after="0" w:line="120" w:lineRule="exact"/>
              <w:rPr>
                <w:sz w:val="20"/>
                <w:szCs w:val="20"/>
                <w:color w:val="auto"/>
              </w:rPr>
            </w:pPr>
            <w:r>
              <w:rPr>
                <w:rFonts w:ascii="PMingLiU" w:cs="PMingLiU" w:eastAsia="PMingLiU" w:hAnsi="PMingLiU"/>
                <w:sz w:val="10"/>
                <w:szCs w:val="10"/>
                <w:color w:val="262626"/>
              </w:rPr>
              <w:t/>
            </w:r>
          </w:p>
        </w:tc>
        <w:tc>
          <w:tcPr>
            <w:tcW w:w="120" w:type="dxa"/>
            <w:vAlign w:val="bottom"/>
            <w:shd w:val="clear" w:color="auto" w:fill="EAF1CE"/>
          </w:tcPr>
          <w:p>
            <w:pPr>
              <w:spacing w:after="0"/>
              <w:rPr>
                <w:sz w:val="11"/>
                <w:szCs w:val="11"/>
                <w:color w:val="auto"/>
              </w:rPr>
            </w:pPr>
          </w:p>
        </w:tc>
        <w:tc>
          <w:tcPr>
            <w:tcW w:w="100" w:type="dxa"/>
            <w:vAlign w:val="bottom"/>
            <w:shd w:val="clear" w:color="auto" w:fill="EAF1CE"/>
          </w:tcPr>
          <w:p>
            <w:pPr>
              <w:spacing w:after="0"/>
              <w:rPr>
                <w:sz w:val="11"/>
                <w:szCs w:val="11"/>
                <w:color w:val="auto"/>
              </w:rPr>
            </w:pPr>
          </w:p>
        </w:tc>
        <w:tc>
          <w:tcPr>
            <w:tcW w:w="120" w:type="dxa"/>
            <w:vAlign w:val="bottom"/>
            <w:shd w:val="clear" w:color="auto" w:fill="EAF1CE"/>
          </w:tcPr>
          <w:p>
            <w:pPr>
              <w:spacing w:after="0"/>
              <w:rPr>
                <w:sz w:val="11"/>
                <w:szCs w:val="11"/>
                <w:color w:val="auto"/>
              </w:rPr>
            </w:pPr>
          </w:p>
        </w:tc>
        <w:tc>
          <w:tcPr>
            <w:tcW w:w="100" w:type="dxa"/>
            <w:vAlign w:val="bottom"/>
            <w:shd w:val="clear" w:color="auto" w:fill="EAF1CE"/>
          </w:tcPr>
          <w:p>
            <w:pPr>
              <w:spacing w:after="0"/>
              <w:rPr>
                <w:sz w:val="11"/>
                <w:szCs w:val="11"/>
                <w:color w:val="auto"/>
              </w:rPr>
            </w:pPr>
          </w:p>
        </w:tc>
        <w:tc>
          <w:tcPr>
            <w:tcW w:w="140" w:type="dxa"/>
            <w:vAlign w:val="bottom"/>
            <w:shd w:val="clear" w:color="auto" w:fill="EAF1CE"/>
          </w:tcPr>
          <w:p>
            <w:pPr>
              <w:spacing w:after="0"/>
              <w:rPr>
                <w:sz w:val="11"/>
                <w:szCs w:val="11"/>
                <w:color w:val="auto"/>
              </w:rPr>
            </w:pPr>
          </w:p>
        </w:tc>
        <w:tc>
          <w:tcPr>
            <w:tcW w:w="260" w:type="dxa"/>
            <w:vAlign w:val="bottom"/>
            <w:tcBorders>
              <w:right w:val="single" w:sz="8" w:color="EAF1CE"/>
            </w:tcBorders>
            <w:shd w:val="clear" w:color="auto" w:fill="EAF1CE"/>
          </w:tcPr>
          <w:p>
            <w:pPr>
              <w:spacing w:after="0"/>
              <w:rPr>
                <w:sz w:val="11"/>
                <w:szCs w:val="11"/>
                <w:color w:val="auto"/>
              </w:rPr>
            </w:pPr>
          </w:p>
        </w:tc>
        <w:tc>
          <w:tcPr>
            <w:tcW w:w="280" w:type="dxa"/>
            <w:vAlign w:val="bottom"/>
            <w:tcBorders>
              <w:right w:val="single" w:sz="8" w:color="EAF1CE"/>
            </w:tcBorders>
            <w:shd w:val="clear" w:color="auto" w:fill="EAF1CE"/>
          </w:tcPr>
          <w:p>
            <w:pPr>
              <w:spacing w:after="0"/>
              <w:rPr>
                <w:sz w:val="11"/>
                <w:szCs w:val="11"/>
                <w:color w:val="auto"/>
              </w:rPr>
            </w:pPr>
          </w:p>
        </w:tc>
        <w:tc>
          <w:tcPr>
            <w:tcW w:w="100" w:type="dxa"/>
            <w:vAlign w:val="bottom"/>
            <w:tcBorders>
              <w:right w:val="single" w:sz="8" w:color="EAF1CE"/>
            </w:tcBorders>
            <w:shd w:val="clear" w:color="auto" w:fill="EAF1CE"/>
          </w:tcPr>
          <w:p>
            <w:pPr>
              <w:spacing w:after="0"/>
              <w:rPr>
                <w:sz w:val="11"/>
                <w:szCs w:val="11"/>
                <w:color w:val="auto"/>
              </w:rPr>
            </w:pPr>
          </w:p>
        </w:tc>
        <w:tc>
          <w:tcPr>
            <w:tcW w:w="180" w:type="dxa"/>
            <w:vAlign w:val="bottom"/>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60" w:type="dxa"/>
            <w:vAlign w:val="bottom"/>
            <w:shd w:val="clear" w:color="auto" w:fill="EAF1CE"/>
          </w:tcPr>
          <w:p>
            <w:pPr>
              <w:spacing w:after="0"/>
              <w:rPr>
                <w:sz w:val="11"/>
                <w:szCs w:val="11"/>
                <w:color w:val="auto"/>
              </w:rPr>
            </w:pPr>
          </w:p>
        </w:tc>
        <w:tc>
          <w:tcPr>
            <w:tcW w:w="120" w:type="dxa"/>
            <w:vAlign w:val="bottom"/>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200" w:type="dxa"/>
            <w:vAlign w:val="bottom"/>
            <w:tcBorders>
              <w:left w:val="single" w:sz="8" w:color="EAF1CE"/>
              <w:right w:val="single" w:sz="8" w:color="EAF1CE"/>
            </w:tcBorders>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120" w:type="dxa"/>
            <w:vAlign w:val="bottom"/>
            <w:shd w:val="clear" w:color="auto" w:fill="EAF1CE"/>
          </w:tcPr>
          <w:p>
            <w:pPr>
              <w:spacing w:after="0"/>
              <w:rPr>
                <w:sz w:val="11"/>
                <w:szCs w:val="11"/>
                <w:color w:val="auto"/>
              </w:rPr>
            </w:pPr>
          </w:p>
        </w:tc>
        <w:tc>
          <w:tcPr>
            <w:tcW w:w="220" w:type="dxa"/>
            <w:vAlign w:val="bottom"/>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40" w:type="dxa"/>
            <w:vAlign w:val="bottom"/>
            <w:shd w:val="clear" w:color="auto" w:fill="EAF1CE"/>
          </w:tcPr>
          <w:p>
            <w:pPr>
              <w:spacing w:after="0"/>
              <w:rPr>
                <w:sz w:val="11"/>
                <w:szCs w:val="11"/>
                <w:color w:val="auto"/>
              </w:rPr>
            </w:pPr>
          </w:p>
        </w:tc>
        <w:tc>
          <w:tcPr>
            <w:tcW w:w="140" w:type="dxa"/>
            <w:vAlign w:val="bottom"/>
            <w:tcBorders>
              <w:right w:val="single" w:sz="8" w:color="EAF1CE"/>
            </w:tcBorders>
            <w:shd w:val="clear" w:color="auto" w:fill="EAF1CE"/>
          </w:tcPr>
          <w:p>
            <w:pPr>
              <w:spacing w:after="0"/>
              <w:rPr>
                <w:sz w:val="11"/>
                <w:szCs w:val="11"/>
                <w:color w:val="auto"/>
              </w:rPr>
            </w:pPr>
          </w:p>
        </w:tc>
        <w:tc>
          <w:tcPr>
            <w:tcW w:w="20" w:type="dxa"/>
            <w:vAlign w:val="bottom"/>
            <w:shd w:val="clear" w:color="auto" w:fill="EAF1CE"/>
          </w:tcPr>
          <w:p>
            <w:pPr>
              <w:spacing w:after="0"/>
              <w:rPr>
                <w:sz w:val="11"/>
                <w:szCs w:val="11"/>
                <w:color w:val="auto"/>
              </w:rPr>
            </w:pPr>
          </w:p>
        </w:tc>
        <w:tc>
          <w:tcPr>
            <w:tcW w:w="100" w:type="dxa"/>
            <w:vAlign w:val="bottom"/>
            <w:tcBorders>
              <w:right w:val="single" w:sz="8" w:color="EAF1CE"/>
            </w:tcBorders>
            <w:shd w:val="clear" w:color="auto" w:fill="EAF1CE"/>
          </w:tcPr>
          <w:p>
            <w:pPr>
              <w:spacing w:after="0"/>
              <w:rPr>
                <w:sz w:val="11"/>
                <w:szCs w:val="11"/>
                <w:color w:val="auto"/>
              </w:rPr>
            </w:pPr>
          </w:p>
        </w:tc>
        <w:tc>
          <w:tcPr>
            <w:tcW w:w="100" w:type="dxa"/>
            <w:vAlign w:val="bottom"/>
            <w:tcBorders>
              <w:right w:val="single" w:sz="8" w:color="EAF1CE"/>
            </w:tcBorders>
            <w:shd w:val="clear" w:color="auto" w:fill="EAF1CE"/>
          </w:tcPr>
          <w:p>
            <w:pPr>
              <w:spacing w:after="0"/>
              <w:rPr>
                <w:sz w:val="11"/>
                <w:szCs w:val="11"/>
                <w:color w:val="auto"/>
              </w:rPr>
            </w:pPr>
          </w:p>
        </w:tc>
        <w:tc>
          <w:tcPr>
            <w:tcW w:w="20" w:type="dxa"/>
            <w:vAlign w:val="bottom"/>
            <w:shd w:val="clear" w:color="auto" w:fill="EAF1CE"/>
          </w:tcPr>
          <w:p>
            <w:pPr>
              <w:spacing w:after="0"/>
              <w:rPr>
                <w:sz w:val="11"/>
                <w:szCs w:val="11"/>
                <w:color w:val="auto"/>
              </w:rPr>
            </w:pPr>
          </w:p>
        </w:tc>
        <w:tc>
          <w:tcPr>
            <w:tcW w:w="60" w:type="dxa"/>
            <w:vAlign w:val="bottom"/>
            <w:shd w:val="clear" w:color="auto" w:fill="EAF1CE"/>
          </w:tcPr>
          <w:p>
            <w:pPr>
              <w:spacing w:after="0"/>
              <w:rPr>
                <w:sz w:val="11"/>
                <w:szCs w:val="11"/>
                <w:color w:val="auto"/>
              </w:rPr>
            </w:pPr>
          </w:p>
        </w:tc>
        <w:tc>
          <w:tcPr>
            <w:tcW w:w="100" w:type="dxa"/>
            <w:vAlign w:val="bottom"/>
            <w:shd w:val="clear" w:color="auto" w:fill="EAF1CE"/>
          </w:tcPr>
          <w:p>
            <w:pPr>
              <w:spacing w:after="0"/>
              <w:rPr>
                <w:sz w:val="11"/>
                <w:szCs w:val="11"/>
                <w:color w:val="auto"/>
              </w:rPr>
            </w:pPr>
          </w:p>
        </w:tc>
        <w:tc>
          <w:tcPr>
            <w:tcW w:w="140" w:type="dxa"/>
            <w:vAlign w:val="bottom"/>
            <w:gridSpan w:val="2"/>
            <w:shd w:val="clear" w:color="auto" w:fill="EAF1CE"/>
          </w:tcPr>
          <w:p>
            <w:pPr>
              <w:spacing w:after="0"/>
              <w:rPr>
                <w:sz w:val="11"/>
                <w:szCs w:val="11"/>
                <w:color w:val="auto"/>
              </w:rPr>
            </w:pPr>
          </w:p>
        </w:tc>
        <w:tc>
          <w:tcPr>
            <w:tcW w:w="120" w:type="dxa"/>
            <w:vAlign w:val="bottom"/>
          </w:tcPr>
          <w:p>
            <w:pPr>
              <w:jc w:val="center"/>
              <w:ind w:right="36"/>
              <w:spacing w:after="0" w:line="120" w:lineRule="exact"/>
              <w:rPr>
                <w:sz w:val="20"/>
                <w:szCs w:val="20"/>
                <w:color w:val="auto"/>
              </w:rPr>
            </w:pPr>
            <w:r>
              <w:rPr>
                <w:rFonts w:ascii="PMingLiU" w:cs="PMingLiU" w:eastAsia="PMingLiU" w:hAnsi="PMingLiU"/>
                <w:sz w:val="10"/>
                <w:szCs w:val="10"/>
                <w:color w:val="262626"/>
              </w:rPr>
              <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7"/>
          </w:tcPr>
          <w:p>
            <w:pPr>
              <w:jc w:val="center"/>
              <w:ind w:right="47"/>
              <w:spacing w:after="0" w:line="122" w:lineRule="exact"/>
              <w:rPr>
                <w:sz w:val="20"/>
                <w:szCs w:val="20"/>
                <w:color w:val="auto"/>
              </w:rPr>
            </w:pPr>
            <w:r>
              <w:rPr>
                <w:rFonts w:ascii="Arial" w:cs="Arial" w:eastAsia="Arial" w:hAnsi="Arial"/>
                <w:sz w:val="10"/>
                <w:szCs w:val="10"/>
                <w:color w:val="262626"/>
              </w:rPr>
              <w:t>£x³</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r>
              <w:rPr>
                <w:rFonts w:ascii="Arial" w:cs="Arial" w:eastAsia="Arial" w:hAnsi="Arial"/>
                <w:sz w:val="10"/>
                <w:szCs w:val="10"/>
                <w:color w:val="262626"/>
              </w:rPr>
              <w:t>£Èn</w:t>
            </w:r>
            <w:r>
              <w:rPr>
                <w:rFonts w:ascii="PMingLiU" w:cs="PMingLiU" w:eastAsia="PMingLiU" w:hAnsi="PMingLiU"/>
                <w:sz w:val="10"/>
                <w:szCs w:val="10"/>
                <w:color w:val="262626"/>
              </w:rPr>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7"/>
          </w:tcPr>
          <w:p>
            <w:pPr>
              <w:jc w:val="center"/>
              <w:ind w:right="40"/>
              <w:spacing w:after="0" w:line="122" w:lineRule="exact"/>
              <w:rPr>
                <w:sz w:val="20"/>
                <w:szCs w:val="20"/>
                <w:color w:val="auto"/>
              </w:rPr>
            </w:pPr>
            <w:r>
              <w:rPr>
                <w:rFonts w:ascii="Arial" w:cs="Arial" w:eastAsia="Arial" w:hAnsi="Arial"/>
                <w:sz w:val="10"/>
                <w:szCs w:val="10"/>
                <w:color w:val="262626"/>
              </w:rPr>
              <w:t>£x³</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r>
              <w:rPr>
                <w:rFonts w:ascii="Arial" w:cs="Arial" w:eastAsia="Arial" w:hAnsi="Arial"/>
                <w:sz w:val="10"/>
                <w:szCs w:val="10"/>
                <w:color w:val="262626"/>
              </w:rPr>
              <w:t>£{</w:t>
            </w:r>
            <w:r>
              <w:rPr>
                <w:rFonts w:ascii="PMingLiU" w:cs="PMingLiU" w:eastAsia="PMingLiU" w:hAnsi="PMingLiU"/>
                <w:sz w:val="10"/>
                <w:szCs w:val="10"/>
                <w:color w:val="262626"/>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100" w:type="dxa"/>
            <w:vAlign w:val="bottom"/>
            <w:tcBorders>
              <w:right w:val="single" w:sz="8" w:color="98B82F"/>
            </w:tcBorders>
            <w:gridSpan w:val="6"/>
          </w:tcPr>
          <w:p>
            <w:pPr>
              <w:spacing w:after="0"/>
              <w:rPr>
                <w:sz w:val="5"/>
                <w:szCs w:val="5"/>
                <w:color w:val="auto"/>
              </w:rPr>
            </w:pPr>
          </w:p>
        </w:tc>
        <w:tc>
          <w:tcPr>
            <w:tcW w:w="1060" w:type="dxa"/>
            <w:vAlign w:val="bottom"/>
            <w:tcBorders>
              <w:bottom w:val="single" w:sz="8" w:color="98B82F"/>
              <w:right w:val="single" w:sz="8" w:color="EAF1CE"/>
            </w:tcBorders>
            <w:gridSpan w:val="8"/>
            <w:shd w:val="clear" w:color="auto" w:fill="EAF1CE"/>
          </w:tcPr>
          <w:p>
            <w:pPr>
              <w:spacing w:after="0"/>
              <w:rPr>
                <w:sz w:val="5"/>
                <w:szCs w:val="5"/>
                <w:color w:val="auto"/>
              </w:rPr>
            </w:pPr>
          </w:p>
        </w:tc>
        <w:tc>
          <w:tcPr>
            <w:tcW w:w="280" w:type="dxa"/>
            <w:vAlign w:val="bottom"/>
            <w:tcBorders>
              <w:bottom w:val="single" w:sz="8" w:color="98B82F"/>
              <w:right w:val="single" w:sz="8" w:color="EAF1CE"/>
            </w:tcBorders>
            <w:shd w:val="clear" w:color="auto" w:fill="EAF1CE"/>
          </w:tcPr>
          <w:p>
            <w:pPr>
              <w:spacing w:after="0"/>
              <w:rPr>
                <w:sz w:val="5"/>
                <w:szCs w:val="5"/>
                <w:color w:val="auto"/>
              </w:rPr>
            </w:pPr>
          </w:p>
        </w:tc>
        <w:tc>
          <w:tcPr>
            <w:tcW w:w="100" w:type="dxa"/>
            <w:vAlign w:val="bottom"/>
            <w:tcBorders>
              <w:bottom w:val="single" w:sz="8" w:color="98B82F"/>
              <w:right w:val="single" w:sz="8" w:color="EAF1CE"/>
            </w:tcBorders>
            <w:shd w:val="clear" w:color="auto" w:fill="EAF1CE"/>
          </w:tcPr>
          <w:p>
            <w:pPr>
              <w:spacing w:after="0"/>
              <w:rPr>
                <w:sz w:val="5"/>
                <w:szCs w:val="5"/>
                <w:color w:val="auto"/>
              </w:rPr>
            </w:pPr>
          </w:p>
        </w:tc>
        <w:tc>
          <w:tcPr>
            <w:tcW w:w="480" w:type="dxa"/>
            <w:vAlign w:val="bottom"/>
            <w:tcBorders>
              <w:bottom w:val="single" w:sz="8" w:color="98B82F"/>
            </w:tcBorders>
            <w:gridSpan w:val="6"/>
            <w:shd w:val="clear" w:color="auto" w:fill="EAF1CE"/>
          </w:tcPr>
          <w:p>
            <w:pPr>
              <w:spacing w:after="0"/>
              <w:rPr>
                <w:sz w:val="5"/>
                <w:szCs w:val="5"/>
                <w:color w:val="auto"/>
              </w:rPr>
            </w:pPr>
          </w:p>
        </w:tc>
        <w:tc>
          <w:tcPr>
            <w:tcW w:w="200" w:type="dxa"/>
            <w:vAlign w:val="bottom"/>
            <w:tcBorders>
              <w:left w:val="single" w:sz="8" w:color="EAF1CE"/>
              <w:bottom w:val="single" w:sz="8" w:color="98B82F"/>
              <w:right w:val="single" w:sz="8" w:color="EAF1CE"/>
            </w:tcBorders>
            <w:shd w:val="clear" w:color="auto" w:fill="EAF1CE"/>
          </w:tcPr>
          <w:p>
            <w:pPr>
              <w:spacing w:after="0"/>
              <w:rPr>
                <w:sz w:val="5"/>
                <w:szCs w:val="5"/>
                <w:color w:val="auto"/>
              </w:rPr>
            </w:pPr>
          </w:p>
        </w:tc>
        <w:tc>
          <w:tcPr>
            <w:tcW w:w="600" w:type="dxa"/>
            <w:vAlign w:val="bottom"/>
            <w:tcBorders>
              <w:bottom w:val="single" w:sz="8" w:color="98B82F"/>
              <w:right w:val="single" w:sz="8" w:color="EAF1CE"/>
            </w:tcBorders>
            <w:gridSpan w:val="6"/>
            <w:shd w:val="clear" w:color="auto" w:fill="EAF1CE"/>
          </w:tcPr>
          <w:p>
            <w:pPr>
              <w:spacing w:after="0"/>
              <w:rPr>
                <w:sz w:val="5"/>
                <w:szCs w:val="5"/>
                <w:color w:val="auto"/>
              </w:rPr>
            </w:pPr>
          </w:p>
        </w:tc>
        <w:tc>
          <w:tcPr>
            <w:tcW w:w="120" w:type="dxa"/>
            <w:vAlign w:val="bottom"/>
            <w:tcBorders>
              <w:bottom w:val="single" w:sz="8" w:color="98B82F"/>
              <w:right w:val="single" w:sz="8" w:color="EAF1CE"/>
            </w:tcBorders>
            <w:gridSpan w:val="2"/>
            <w:shd w:val="clear" w:color="auto" w:fill="EAF1CE"/>
          </w:tcPr>
          <w:p>
            <w:pPr>
              <w:spacing w:after="0"/>
              <w:rPr>
                <w:sz w:val="5"/>
                <w:szCs w:val="5"/>
                <w:color w:val="auto"/>
              </w:rPr>
            </w:pPr>
          </w:p>
        </w:tc>
        <w:tc>
          <w:tcPr>
            <w:tcW w:w="100" w:type="dxa"/>
            <w:vAlign w:val="bottom"/>
            <w:tcBorders>
              <w:bottom w:val="single" w:sz="8" w:color="98B82F"/>
              <w:right w:val="single" w:sz="8" w:color="EAF1CE"/>
            </w:tcBorders>
            <w:shd w:val="clear" w:color="auto" w:fill="EAF1CE"/>
          </w:tcPr>
          <w:p>
            <w:pPr>
              <w:spacing w:after="0"/>
              <w:rPr>
                <w:sz w:val="5"/>
                <w:szCs w:val="5"/>
                <w:color w:val="auto"/>
              </w:rPr>
            </w:pPr>
          </w:p>
        </w:tc>
        <w:tc>
          <w:tcPr>
            <w:tcW w:w="220" w:type="dxa"/>
            <w:vAlign w:val="bottom"/>
            <w:tcBorders>
              <w:bottom w:val="single" w:sz="8" w:color="98B82F"/>
              <w:right w:val="single" w:sz="8" w:color="EAF1CE"/>
            </w:tcBorders>
            <w:gridSpan w:val="4"/>
            <w:shd w:val="clear" w:color="auto" w:fill="EAF1CE"/>
          </w:tcPr>
          <w:p>
            <w:pPr>
              <w:spacing w:after="0"/>
              <w:rPr>
                <w:sz w:val="5"/>
                <w:szCs w:val="5"/>
                <w:color w:val="auto"/>
              </w:rPr>
            </w:pPr>
          </w:p>
        </w:tc>
        <w:tc>
          <w:tcPr>
            <w:tcW w:w="100" w:type="dxa"/>
            <w:vAlign w:val="bottom"/>
            <w:tcBorders>
              <w:bottom w:val="single" w:sz="8" w:color="98B82F"/>
            </w:tcBorders>
            <w:shd w:val="clear" w:color="auto" w:fill="EAF1CE"/>
          </w:tcPr>
          <w:p>
            <w:pPr>
              <w:spacing w:after="0"/>
              <w:rPr>
                <w:sz w:val="5"/>
                <w:szCs w:val="5"/>
                <w:color w:val="auto"/>
              </w:rPr>
            </w:pPr>
          </w:p>
        </w:tc>
        <w:tc>
          <w:tcPr>
            <w:tcW w:w="2960" w:type="dxa"/>
            <w:vAlign w:val="bottom"/>
            <w:gridSpan w:val="27"/>
          </w:tcPr>
          <w:p>
            <w:pPr>
              <w:jc w:val="right"/>
              <w:ind w:right="2960"/>
              <w:spacing w:after="0"/>
              <w:rPr>
                <w:sz w:val="20"/>
                <w:szCs w:val="20"/>
                <w:color w:val="auto"/>
              </w:rPr>
            </w:pPr>
            <w:r>
              <w:rPr>
                <w:rFonts w:ascii="Arial" w:cs="Arial" w:eastAsia="Arial" w:hAnsi="Arial"/>
                <w:sz w:val="7"/>
                <w:szCs w:val="7"/>
                <w:b w:val="1"/>
                <w:bCs w:val="1"/>
                <w:color w:val="262626"/>
              </w:rPr>
              <w:t>9%</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right w:val="single" w:sz="8" w:color="98B82F"/>
            </w:tcBorders>
          </w:tcPr>
          <w:p>
            <w:pPr>
              <w:spacing w:after="0"/>
              <w:rPr>
                <w:sz w:val="15"/>
                <w:szCs w:val="15"/>
                <w:color w:val="auto"/>
              </w:rPr>
            </w:pPr>
          </w:p>
        </w:tc>
        <w:tc>
          <w:tcPr>
            <w:tcW w:w="80" w:type="dxa"/>
            <w:vAlign w:val="bottom"/>
            <w:tcBorders>
              <w:bottom w:val="single" w:sz="8" w:color="EAF1CE"/>
            </w:tcBorders>
            <w:shd w:val="clear" w:color="auto" w:fill="EAF1CE"/>
          </w:tcPr>
          <w:p>
            <w:pPr>
              <w:spacing w:after="0"/>
              <w:rPr>
                <w:sz w:val="15"/>
                <w:szCs w:val="15"/>
                <w:color w:val="auto"/>
              </w:rPr>
            </w:pPr>
          </w:p>
        </w:tc>
        <w:tc>
          <w:tcPr>
            <w:tcW w:w="1840" w:type="dxa"/>
            <w:vAlign w:val="bottom"/>
            <w:tcBorders>
              <w:bottom w:val="single" w:sz="8" w:color="EAF1CE"/>
            </w:tcBorders>
            <w:gridSpan w:val="15"/>
            <w:shd w:val="clear" w:color="auto" w:fill="EAF1CE"/>
          </w:tcPr>
          <w:p>
            <w:pPr>
              <w:spacing w:after="0" w:line="122" w:lineRule="exact"/>
              <w:rPr>
                <w:sz w:val="20"/>
                <w:szCs w:val="20"/>
                <w:color w:val="auto"/>
              </w:rPr>
            </w:pPr>
            <w:r>
              <w:rPr>
                <w:rFonts w:ascii="Arial" w:cs="Arial" w:eastAsia="Arial" w:hAnsi="Arial"/>
                <w:sz w:val="10"/>
                <w:szCs w:val="10"/>
                <w:color w:val="262626"/>
              </w:rPr>
              <w:t>ƂÛiÀ&gt;}i</w:t>
            </w:r>
            <w:r>
              <w:rPr>
                <w:rFonts w:ascii="PMingLiU" w:cs="PMingLiU" w:eastAsia="PMingLiU" w:hAnsi="PMingLiU"/>
                <w:sz w:val="10"/>
                <w:szCs w:val="10"/>
                <w:color w:val="262626"/>
              </w:rPr>
              <w:t/>
            </w:r>
            <w:r>
              <w:rPr>
                <w:rFonts w:ascii="Arial" w:cs="Arial" w:eastAsia="Arial" w:hAnsi="Arial"/>
                <w:sz w:val="10"/>
                <w:szCs w:val="10"/>
                <w:color w:val="262626"/>
              </w:rPr>
              <w:t>i</w:t>
            </w:r>
            <w:r>
              <w:rPr>
                <w:rFonts w:ascii="PMingLiU" w:cs="PMingLiU" w:eastAsia="PMingLiU" w:hAnsi="PMingLiU"/>
                <w:sz w:val="10"/>
                <w:szCs w:val="10"/>
                <w:color w:val="262626"/>
              </w:rPr>
              <w:t></w:t>
            </w: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Þii</w:t>
            </w:r>
            <w:r>
              <w:rPr>
                <w:rFonts w:ascii="PMingLiU" w:cs="PMingLiU" w:eastAsia="PMingLiU" w:hAnsi="PMingLiU"/>
                <w:sz w:val="10"/>
                <w:szCs w:val="10"/>
                <w:color w:val="262626"/>
              </w:rPr>
              <w:t/>
            </w:r>
            <w:r>
              <w:rPr>
                <w:rFonts w:ascii="Arial" w:cs="Arial" w:eastAsia="Arial" w:hAnsi="Arial"/>
                <w:sz w:val="10"/>
                <w:szCs w:val="10"/>
                <w:color w:val="262626"/>
              </w:rPr>
              <w:t>Ìi</w:t>
            </w:r>
            <w:r>
              <w:rPr>
                <w:rFonts w:ascii="PMingLiU" w:cs="PMingLiU" w:eastAsia="PMingLiU" w:hAnsi="PMingLiU"/>
                <w:sz w:val="10"/>
                <w:szCs w:val="10"/>
                <w:color w:val="262626"/>
              </w:rPr>
              <w:t></w:t>
            </w:r>
            <w:r>
              <w:rPr>
                <w:rFonts w:ascii="Arial" w:cs="Arial" w:eastAsia="Arial" w:hAnsi="Arial"/>
                <w:sz w:val="10"/>
                <w:szCs w:val="10"/>
                <w:color w:val="262626"/>
              </w:rPr>
              <w:t>ÕÀi</w:t>
            </w:r>
            <w:r>
              <w:rPr>
                <w:rFonts w:ascii="PMingLiU" w:cs="PMingLiU" w:eastAsia="PMingLiU" w:hAnsi="PMingLiU"/>
                <w:sz w:val="10"/>
                <w:szCs w:val="10"/>
                <w:color w:val="262626"/>
              </w:rPr>
              <w:t/>
            </w:r>
            <w:r>
              <w:rPr>
                <w:rFonts w:ascii="Arial" w:cs="Arial" w:eastAsia="Arial" w:hAnsi="Arial"/>
                <w:sz w:val="10"/>
                <w:szCs w:val="10"/>
                <w:color w:val="262626"/>
              </w:rPr>
              <w:t>­Þi&gt;ÀÃ®</w:t>
            </w:r>
            <w:r>
              <w:rPr>
                <w:rFonts w:ascii="PMingLiU" w:cs="PMingLiU" w:eastAsia="PMingLiU" w:hAnsi="PMingLiU"/>
                <w:sz w:val="10"/>
                <w:szCs w:val="10"/>
                <w:color w:val="262626"/>
              </w:rPr>
              <w:t/>
            </w:r>
          </w:p>
        </w:tc>
        <w:tc>
          <w:tcPr>
            <w:tcW w:w="200" w:type="dxa"/>
            <w:vAlign w:val="bottom"/>
            <w:tcBorders>
              <w:left w:val="single" w:sz="8" w:color="EAF1CE"/>
              <w:bottom w:val="single" w:sz="8" w:color="EAF1CE"/>
              <w:right w:val="single" w:sz="8" w:color="EAF1CE"/>
            </w:tcBorders>
            <w:shd w:val="clear" w:color="auto" w:fill="EAF1CE"/>
          </w:tcPr>
          <w:p>
            <w:pPr>
              <w:spacing w:after="0"/>
              <w:rPr>
                <w:sz w:val="15"/>
                <w:szCs w:val="15"/>
                <w:color w:val="auto"/>
              </w:rPr>
            </w:pPr>
          </w:p>
        </w:tc>
        <w:tc>
          <w:tcPr>
            <w:tcW w:w="40" w:type="dxa"/>
            <w:vAlign w:val="bottom"/>
            <w:tcBorders>
              <w:bottom w:val="single" w:sz="8" w:color="EAF1CE"/>
            </w:tcBorders>
            <w:shd w:val="clear" w:color="auto" w:fill="EAF1CE"/>
          </w:tcPr>
          <w:p>
            <w:pPr>
              <w:spacing w:after="0"/>
              <w:rPr>
                <w:sz w:val="15"/>
                <w:szCs w:val="15"/>
                <w:color w:val="auto"/>
              </w:rPr>
            </w:pPr>
          </w:p>
        </w:tc>
        <w:tc>
          <w:tcPr>
            <w:tcW w:w="120" w:type="dxa"/>
            <w:vAlign w:val="bottom"/>
            <w:tcBorders>
              <w:bottom w:val="single" w:sz="8" w:color="EAF1CE"/>
            </w:tcBorders>
            <w:shd w:val="clear" w:color="auto" w:fill="EAF1CE"/>
          </w:tcPr>
          <w:p>
            <w:pPr>
              <w:spacing w:after="0"/>
              <w:rPr>
                <w:sz w:val="15"/>
                <w:szCs w:val="15"/>
                <w:color w:val="auto"/>
              </w:rPr>
            </w:pPr>
          </w:p>
        </w:tc>
        <w:tc>
          <w:tcPr>
            <w:tcW w:w="220" w:type="dxa"/>
            <w:vAlign w:val="bottom"/>
            <w:tcBorders>
              <w:bottom w:val="single" w:sz="8" w:color="EAF1CE"/>
            </w:tcBorders>
            <w:shd w:val="clear" w:color="auto" w:fill="EAF1CE"/>
          </w:tcPr>
          <w:p>
            <w:pPr>
              <w:spacing w:after="0"/>
              <w:rPr>
                <w:sz w:val="15"/>
                <w:szCs w:val="15"/>
                <w:color w:val="auto"/>
              </w:rPr>
            </w:pPr>
          </w:p>
        </w:tc>
        <w:tc>
          <w:tcPr>
            <w:tcW w:w="40" w:type="dxa"/>
            <w:vAlign w:val="bottom"/>
            <w:tcBorders>
              <w:bottom w:val="single" w:sz="8" w:color="EAF1CE"/>
            </w:tcBorders>
            <w:shd w:val="clear" w:color="auto" w:fill="EAF1CE"/>
          </w:tcPr>
          <w:p>
            <w:pPr>
              <w:spacing w:after="0"/>
              <w:rPr>
                <w:sz w:val="15"/>
                <w:szCs w:val="15"/>
                <w:color w:val="auto"/>
              </w:rPr>
            </w:pPr>
          </w:p>
        </w:tc>
        <w:tc>
          <w:tcPr>
            <w:tcW w:w="40" w:type="dxa"/>
            <w:vAlign w:val="bottom"/>
            <w:tcBorders>
              <w:bottom w:val="single" w:sz="8" w:color="EAF1CE"/>
            </w:tcBorders>
            <w:shd w:val="clear" w:color="auto" w:fill="EAF1CE"/>
          </w:tcPr>
          <w:p>
            <w:pPr>
              <w:spacing w:after="0"/>
              <w:rPr>
                <w:sz w:val="15"/>
                <w:szCs w:val="15"/>
                <w:color w:val="auto"/>
              </w:rPr>
            </w:pPr>
          </w:p>
        </w:tc>
        <w:tc>
          <w:tcPr>
            <w:tcW w:w="140" w:type="dxa"/>
            <w:vAlign w:val="bottom"/>
            <w:tcBorders>
              <w:bottom w:val="single" w:sz="8" w:color="EAF1CE"/>
              <w:right w:val="single" w:sz="8" w:color="EAF1CE"/>
            </w:tcBorders>
            <w:shd w:val="clear" w:color="auto" w:fill="EAF1CE"/>
          </w:tcPr>
          <w:p>
            <w:pPr>
              <w:spacing w:after="0"/>
              <w:rPr>
                <w:sz w:val="15"/>
                <w:szCs w:val="15"/>
                <w:color w:val="auto"/>
              </w:rPr>
            </w:pPr>
          </w:p>
        </w:tc>
        <w:tc>
          <w:tcPr>
            <w:tcW w:w="20" w:type="dxa"/>
            <w:vAlign w:val="bottom"/>
            <w:tcBorders>
              <w:bottom w:val="single" w:sz="8" w:color="EAF1CE"/>
            </w:tcBorders>
            <w:shd w:val="clear" w:color="auto" w:fill="EAF1CE"/>
          </w:tcPr>
          <w:p>
            <w:pPr>
              <w:spacing w:after="0"/>
              <w:rPr>
                <w:sz w:val="15"/>
                <w:szCs w:val="15"/>
                <w:color w:val="auto"/>
              </w:rPr>
            </w:pPr>
          </w:p>
        </w:tc>
        <w:tc>
          <w:tcPr>
            <w:tcW w:w="100" w:type="dxa"/>
            <w:vAlign w:val="bottom"/>
            <w:tcBorders>
              <w:bottom w:val="single" w:sz="8" w:color="EAF1CE"/>
              <w:right w:val="single" w:sz="8" w:color="EAF1CE"/>
            </w:tcBorders>
            <w:shd w:val="clear" w:color="auto" w:fill="EAF1CE"/>
          </w:tcPr>
          <w:p>
            <w:pPr>
              <w:spacing w:after="0"/>
              <w:rPr>
                <w:sz w:val="15"/>
                <w:szCs w:val="15"/>
                <w:color w:val="auto"/>
              </w:rPr>
            </w:pPr>
          </w:p>
        </w:tc>
        <w:tc>
          <w:tcPr>
            <w:tcW w:w="100" w:type="dxa"/>
            <w:vAlign w:val="bottom"/>
            <w:tcBorders>
              <w:bottom w:val="single" w:sz="8" w:color="EAF1CE"/>
              <w:right w:val="single" w:sz="8" w:color="EAF1CE"/>
            </w:tcBorders>
            <w:shd w:val="clear" w:color="auto" w:fill="EAF1CE"/>
          </w:tcPr>
          <w:p>
            <w:pPr>
              <w:spacing w:after="0"/>
              <w:rPr>
                <w:sz w:val="15"/>
                <w:szCs w:val="15"/>
                <w:color w:val="auto"/>
              </w:rPr>
            </w:pPr>
          </w:p>
        </w:tc>
        <w:tc>
          <w:tcPr>
            <w:tcW w:w="20" w:type="dxa"/>
            <w:vAlign w:val="bottom"/>
            <w:tcBorders>
              <w:bottom w:val="single" w:sz="8" w:color="EAF1CE"/>
            </w:tcBorders>
            <w:shd w:val="clear" w:color="auto" w:fill="EAF1CE"/>
          </w:tcPr>
          <w:p>
            <w:pPr>
              <w:spacing w:after="0"/>
              <w:rPr>
                <w:sz w:val="15"/>
                <w:szCs w:val="15"/>
                <w:color w:val="auto"/>
              </w:rPr>
            </w:pPr>
          </w:p>
        </w:tc>
        <w:tc>
          <w:tcPr>
            <w:tcW w:w="60" w:type="dxa"/>
            <w:vAlign w:val="bottom"/>
            <w:tcBorders>
              <w:bottom w:val="single" w:sz="8" w:color="EAF1CE"/>
            </w:tcBorders>
            <w:shd w:val="clear" w:color="auto" w:fill="EAF1CE"/>
          </w:tcPr>
          <w:p>
            <w:pPr>
              <w:spacing w:after="0"/>
              <w:rPr>
                <w:sz w:val="15"/>
                <w:szCs w:val="15"/>
                <w:color w:val="auto"/>
              </w:rPr>
            </w:pPr>
          </w:p>
        </w:tc>
        <w:tc>
          <w:tcPr>
            <w:tcW w:w="100" w:type="dxa"/>
            <w:vAlign w:val="bottom"/>
            <w:tcBorders>
              <w:bottom w:val="single" w:sz="8" w:color="EAF1CE"/>
            </w:tcBorders>
            <w:shd w:val="clear" w:color="auto" w:fill="EAF1CE"/>
          </w:tcPr>
          <w:p>
            <w:pPr>
              <w:spacing w:after="0"/>
              <w:rPr>
                <w:sz w:val="15"/>
                <w:szCs w:val="15"/>
                <w:color w:val="auto"/>
              </w:rPr>
            </w:pPr>
          </w:p>
        </w:tc>
        <w:tc>
          <w:tcPr>
            <w:tcW w:w="140" w:type="dxa"/>
            <w:vAlign w:val="bottom"/>
            <w:tcBorders>
              <w:bottom w:val="single" w:sz="8" w:color="EAF1CE"/>
            </w:tcBorders>
            <w:gridSpan w:val="2"/>
            <w:shd w:val="clear" w:color="auto" w:fill="EAF1CE"/>
          </w:tcPr>
          <w:p>
            <w:pPr>
              <w:spacing w:after="0"/>
              <w:rPr>
                <w:sz w:val="15"/>
                <w:szCs w:val="15"/>
                <w:color w:val="auto"/>
              </w:rPr>
            </w:pPr>
          </w:p>
        </w:tc>
        <w:tc>
          <w:tcPr>
            <w:tcW w:w="120" w:type="dxa"/>
            <w:vAlign w:val="bottom"/>
          </w:tcPr>
          <w:p>
            <w:pPr>
              <w:jc w:val="center"/>
              <w:ind w:right="36"/>
              <w:spacing w:after="0" w:line="120" w:lineRule="exact"/>
              <w:rPr>
                <w:sz w:val="20"/>
                <w:szCs w:val="20"/>
                <w:color w:val="auto"/>
              </w:rPr>
            </w:pPr>
            <w:r>
              <w:rPr>
                <w:rFonts w:ascii="PMingLiU" w:cs="PMingLiU" w:eastAsia="PMingLiU" w:hAnsi="PMingLiU"/>
                <w:sz w:val="10"/>
                <w:szCs w:val="10"/>
                <w:color w:val="262626"/>
              </w:rPr>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gridSpan w:val="3"/>
          </w:tcPr>
          <w:p>
            <w:pPr>
              <w:jc w:val="center"/>
              <w:ind w:right="60"/>
              <w:spacing w:after="0" w:line="122" w:lineRule="exact"/>
              <w:rPr>
                <w:sz w:val="20"/>
                <w:szCs w:val="20"/>
                <w:color w:val="auto"/>
              </w:rPr>
            </w:pPr>
            <w:r>
              <w:rPr>
                <w:rFonts w:ascii="Arial" w:cs="Arial" w:eastAsia="Arial" w:hAnsi="Arial"/>
                <w:sz w:val="10"/>
                <w:szCs w:val="10"/>
                <w:color w:val="262626"/>
                <w:w w:val="98"/>
              </w:rPr>
              <w:t>Ç°nn</w:t>
            </w:r>
            <w:r>
              <w:rPr>
                <w:rFonts w:ascii="PMingLiU" w:cs="PMingLiU" w:eastAsia="PMingLiU" w:hAnsi="PMingLiU"/>
                <w:sz w:val="10"/>
                <w:szCs w:val="10"/>
                <w:color w:val="262626"/>
                <w:w w:val="98"/>
              </w:rPr>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tcPr>
          <w:p>
            <w:pPr>
              <w:jc w:val="center"/>
              <w:ind w:right="160"/>
              <w:spacing w:after="0"/>
              <w:rPr>
                <w:sz w:val="20"/>
                <w:szCs w:val="20"/>
                <w:color w:val="auto"/>
              </w:rPr>
            </w:pPr>
            <w:r>
              <w:rPr>
                <w:rFonts w:ascii="Arial" w:cs="Arial" w:eastAsia="Arial" w:hAnsi="Arial"/>
                <w:sz w:val="10"/>
                <w:szCs w:val="10"/>
                <w:color w:val="262626"/>
              </w:rPr>
              <w:t>n°Î{</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right w:val="single" w:sz="8" w:color="98B82F"/>
            </w:tcBorders>
          </w:tcPr>
          <w:p>
            <w:pPr>
              <w:spacing w:after="0"/>
              <w:rPr>
                <w:sz w:val="13"/>
                <w:szCs w:val="13"/>
                <w:color w:val="auto"/>
              </w:rPr>
            </w:pPr>
          </w:p>
        </w:tc>
        <w:tc>
          <w:tcPr>
            <w:tcW w:w="80" w:type="dxa"/>
            <w:vAlign w:val="bottom"/>
            <w:tcBorders>
              <w:top w:val="single" w:sz="8" w:color="98B82F"/>
            </w:tcBorders>
            <w:shd w:val="clear" w:color="auto" w:fill="EAF1CE"/>
          </w:tcPr>
          <w:p>
            <w:pPr>
              <w:spacing w:after="0"/>
              <w:rPr>
                <w:sz w:val="13"/>
                <w:szCs w:val="13"/>
                <w:color w:val="auto"/>
              </w:rPr>
            </w:pPr>
          </w:p>
        </w:tc>
        <w:tc>
          <w:tcPr>
            <w:tcW w:w="2760" w:type="dxa"/>
            <w:vAlign w:val="bottom"/>
            <w:tcBorders>
              <w:top w:val="single" w:sz="8" w:color="98B82F"/>
              <w:right w:val="single" w:sz="8" w:color="EAF1CE"/>
            </w:tcBorders>
            <w:gridSpan w:val="24"/>
            <w:shd w:val="clear" w:color="auto" w:fill="EAF1CE"/>
          </w:tcPr>
          <w:p>
            <w:pPr>
              <w:spacing w:after="0"/>
              <w:rPr>
                <w:sz w:val="20"/>
                <w:szCs w:val="20"/>
                <w:color w:val="auto"/>
              </w:rPr>
            </w:pPr>
            <w:r>
              <w:rPr>
                <w:rFonts w:ascii="Arial" w:cs="Arial" w:eastAsia="Arial" w:hAnsi="Arial"/>
                <w:sz w:val="10"/>
                <w:szCs w:val="10"/>
                <w:color w:val="262626"/>
              </w:rPr>
              <w:t>Total number of hours in the reporting period devoted to</w:t>
            </w:r>
          </w:p>
        </w:tc>
        <w:tc>
          <w:tcPr>
            <w:tcW w:w="100" w:type="dxa"/>
            <w:vAlign w:val="bottom"/>
            <w:tcBorders>
              <w:top w:val="single" w:sz="8" w:color="98B82F"/>
              <w:right w:val="single" w:sz="8" w:color="EAF1CE"/>
            </w:tcBorders>
            <w:shd w:val="clear" w:color="auto" w:fill="EAF1CE"/>
          </w:tcPr>
          <w:p>
            <w:pPr>
              <w:spacing w:after="0"/>
              <w:rPr>
                <w:sz w:val="13"/>
                <w:szCs w:val="13"/>
                <w:color w:val="auto"/>
              </w:rPr>
            </w:pPr>
          </w:p>
        </w:tc>
        <w:tc>
          <w:tcPr>
            <w:tcW w:w="20" w:type="dxa"/>
            <w:vAlign w:val="bottom"/>
            <w:tcBorders>
              <w:top w:val="single" w:sz="8" w:color="98B82F"/>
            </w:tcBorders>
            <w:shd w:val="clear" w:color="auto" w:fill="EAF1CE"/>
          </w:tcPr>
          <w:p>
            <w:pPr>
              <w:spacing w:after="0"/>
              <w:rPr>
                <w:sz w:val="13"/>
                <w:szCs w:val="13"/>
                <w:color w:val="auto"/>
              </w:rPr>
            </w:pPr>
          </w:p>
        </w:tc>
        <w:tc>
          <w:tcPr>
            <w:tcW w:w="60" w:type="dxa"/>
            <w:vAlign w:val="bottom"/>
            <w:tcBorders>
              <w:top w:val="single" w:sz="8" w:color="98B82F"/>
            </w:tcBorders>
            <w:shd w:val="clear" w:color="auto" w:fill="EAF1CE"/>
          </w:tcPr>
          <w:p>
            <w:pPr>
              <w:spacing w:after="0"/>
              <w:rPr>
                <w:sz w:val="13"/>
                <w:szCs w:val="13"/>
                <w:color w:val="auto"/>
              </w:rPr>
            </w:pPr>
          </w:p>
        </w:tc>
        <w:tc>
          <w:tcPr>
            <w:tcW w:w="100" w:type="dxa"/>
            <w:vAlign w:val="bottom"/>
            <w:tcBorders>
              <w:top w:val="single" w:sz="8" w:color="98B82F"/>
            </w:tcBorders>
            <w:shd w:val="clear" w:color="auto" w:fill="EAF1CE"/>
          </w:tcPr>
          <w:p>
            <w:pPr>
              <w:spacing w:after="0"/>
              <w:rPr>
                <w:sz w:val="13"/>
                <w:szCs w:val="13"/>
                <w:color w:val="auto"/>
              </w:rPr>
            </w:pPr>
          </w:p>
        </w:tc>
        <w:tc>
          <w:tcPr>
            <w:tcW w:w="40" w:type="dxa"/>
            <w:vAlign w:val="bottom"/>
            <w:tcBorders>
              <w:top w:val="single" w:sz="8" w:color="98B82F"/>
              <w:right w:val="single" w:sz="8" w:color="EAF1CE"/>
            </w:tcBorders>
            <w:shd w:val="clear" w:color="auto" w:fill="EAF1CE"/>
          </w:tcPr>
          <w:p>
            <w:pPr>
              <w:spacing w:after="0"/>
              <w:rPr>
                <w:sz w:val="13"/>
                <w:szCs w:val="13"/>
                <w:color w:val="auto"/>
              </w:rPr>
            </w:pPr>
          </w:p>
        </w:tc>
        <w:tc>
          <w:tcPr>
            <w:tcW w:w="100" w:type="dxa"/>
            <w:vAlign w:val="bottom"/>
            <w:tcBorders>
              <w:top w:val="single" w:sz="8" w:color="98B82F"/>
            </w:tcBorders>
            <w:shd w:val="clear" w:color="auto" w:fill="EAF1C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right w:val="single" w:sz="8" w:color="98B82F"/>
            </w:tcBorders>
          </w:tcPr>
          <w:p>
            <w:pPr>
              <w:spacing w:after="0"/>
              <w:rPr>
                <w:sz w:val="14"/>
                <w:szCs w:val="14"/>
                <w:color w:val="auto"/>
              </w:rPr>
            </w:pPr>
          </w:p>
        </w:tc>
        <w:tc>
          <w:tcPr>
            <w:tcW w:w="80" w:type="dxa"/>
            <w:vAlign w:val="bottom"/>
            <w:tcBorders>
              <w:bottom w:val="single" w:sz="8" w:color="98B82F"/>
            </w:tcBorders>
            <w:shd w:val="clear" w:color="auto" w:fill="EAF1CE"/>
          </w:tcPr>
          <w:p>
            <w:pPr>
              <w:spacing w:after="0"/>
              <w:rPr>
                <w:sz w:val="14"/>
                <w:szCs w:val="14"/>
                <w:color w:val="auto"/>
              </w:rPr>
            </w:pPr>
          </w:p>
        </w:tc>
        <w:tc>
          <w:tcPr>
            <w:tcW w:w="1540" w:type="dxa"/>
            <w:vAlign w:val="bottom"/>
            <w:tcBorders>
              <w:bottom w:val="single" w:sz="8" w:color="98B82F"/>
            </w:tcBorders>
            <w:gridSpan w:val="10"/>
            <w:shd w:val="clear" w:color="auto" w:fill="EAF1CE"/>
          </w:tcPr>
          <w:p>
            <w:pPr>
              <w:spacing w:after="0"/>
              <w:rPr>
                <w:sz w:val="20"/>
                <w:szCs w:val="20"/>
                <w:color w:val="auto"/>
              </w:rPr>
            </w:pPr>
            <w:r>
              <w:rPr>
                <w:rFonts w:ascii="Arial" w:cs="Arial" w:eastAsia="Arial" w:hAnsi="Arial"/>
                <w:sz w:val="10"/>
                <w:szCs w:val="10"/>
                <w:color w:val="262626"/>
              </w:rPr>
              <w:t>training on career development</w:t>
            </w:r>
          </w:p>
        </w:tc>
        <w:tc>
          <w:tcPr>
            <w:tcW w:w="40" w:type="dxa"/>
            <w:vAlign w:val="bottom"/>
            <w:tcBorders>
              <w:bottom w:val="single" w:sz="8" w:color="98B82F"/>
            </w:tcBorders>
            <w:shd w:val="clear" w:color="auto" w:fill="EAF1CE"/>
          </w:tcPr>
          <w:p>
            <w:pPr>
              <w:spacing w:after="0"/>
              <w:rPr>
                <w:sz w:val="14"/>
                <w:szCs w:val="14"/>
                <w:color w:val="auto"/>
              </w:rPr>
            </w:pPr>
          </w:p>
        </w:tc>
        <w:tc>
          <w:tcPr>
            <w:tcW w:w="60" w:type="dxa"/>
            <w:vAlign w:val="bottom"/>
            <w:tcBorders>
              <w:bottom w:val="single" w:sz="8" w:color="98B82F"/>
            </w:tcBorders>
            <w:shd w:val="clear" w:color="auto" w:fill="EAF1CE"/>
          </w:tcPr>
          <w:p>
            <w:pPr>
              <w:spacing w:after="0"/>
              <w:rPr>
                <w:sz w:val="14"/>
                <w:szCs w:val="14"/>
                <w:color w:val="auto"/>
              </w:rPr>
            </w:pPr>
          </w:p>
        </w:tc>
        <w:tc>
          <w:tcPr>
            <w:tcW w:w="120" w:type="dxa"/>
            <w:vAlign w:val="bottom"/>
            <w:tcBorders>
              <w:bottom w:val="single" w:sz="8" w:color="98B82F"/>
            </w:tcBorders>
            <w:shd w:val="clear" w:color="auto" w:fill="EAF1CE"/>
          </w:tcPr>
          <w:p>
            <w:pPr>
              <w:spacing w:after="0"/>
              <w:rPr>
                <w:sz w:val="14"/>
                <w:szCs w:val="14"/>
                <w:color w:val="auto"/>
              </w:rPr>
            </w:pPr>
          </w:p>
        </w:tc>
        <w:tc>
          <w:tcPr>
            <w:tcW w:w="40" w:type="dxa"/>
            <w:vAlign w:val="bottom"/>
            <w:tcBorders>
              <w:bottom w:val="single" w:sz="8" w:color="98B82F"/>
            </w:tcBorders>
            <w:shd w:val="clear" w:color="auto" w:fill="EAF1CE"/>
          </w:tcPr>
          <w:p>
            <w:pPr>
              <w:spacing w:after="0"/>
              <w:rPr>
                <w:sz w:val="14"/>
                <w:szCs w:val="14"/>
                <w:color w:val="auto"/>
              </w:rPr>
            </w:pPr>
          </w:p>
        </w:tc>
        <w:tc>
          <w:tcPr>
            <w:tcW w:w="40" w:type="dxa"/>
            <w:vAlign w:val="bottom"/>
            <w:tcBorders>
              <w:bottom w:val="single" w:sz="8" w:color="98B82F"/>
            </w:tcBorders>
            <w:shd w:val="clear" w:color="auto" w:fill="EAF1CE"/>
          </w:tcPr>
          <w:p>
            <w:pPr>
              <w:spacing w:after="0"/>
              <w:rPr>
                <w:sz w:val="14"/>
                <w:szCs w:val="14"/>
                <w:color w:val="auto"/>
              </w:rPr>
            </w:pPr>
          </w:p>
        </w:tc>
        <w:tc>
          <w:tcPr>
            <w:tcW w:w="200" w:type="dxa"/>
            <w:vAlign w:val="bottom"/>
            <w:tcBorders>
              <w:left w:val="single" w:sz="8" w:color="EAF1CE"/>
              <w:bottom w:val="single" w:sz="8" w:color="98B82F"/>
              <w:right w:val="single" w:sz="8" w:color="EAF1CE"/>
            </w:tcBorders>
            <w:shd w:val="clear" w:color="auto" w:fill="EAF1CE"/>
          </w:tcPr>
          <w:p>
            <w:pPr>
              <w:spacing w:after="0"/>
              <w:rPr>
                <w:sz w:val="14"/>
                <w:szCs w:val="14"/>
                <w:color w:val="auto"/>
              </w:rPr>
            </w:pPr>
          </w:p>
        </w:tc>
        <w:tc>
          <w:tcPr>
            <w:tcW w:w="40" w:type="dxa"/>
            <w:vAlign w:val="bottom"/>
            <w:tcBorders>
              <w:bottom w:val="single" w:sz="8" w:color="98B82F"/>
            </w:tcBorders>
            <w:shd w:val="clear" w:color="auto" w:fill="EAF1CE"/>
          </w:tcPr>
          <w:p>
            <w:pPr>
              <w:spacing w:after="0"/>
              <w:rPr>
                <w:sz w:val="14"/>
                <w:szCs w:val="14"/>
                <w:color w:val="auto"/>
              </w:rPr>
            </w:pPr>
          </w:p>
        </w:tc>
        <w:tc>
          <w:tcPr>
            <w:tcW w:w="120" w:type="dxa"/>
            <w:vAlign w:val="bottom"/>
            <w:tcBorders>
              <w:bottom w:val="single" w:sz="8" w:color="98B82F"/>
            </w:tcBorders>
            <w:shd w:val="clear" w:color="auto" w:fill="EAF1CE"/>
          </w:tcPr>
          <w:p>
            <w:pPr>
              <w:spacing w:after="0"/>
              <w:rPr>
                <w:sz w:val="14"/>
                <w:szCs w:val="14"/>
                <w:color w:val="auto"/>
              </w:rPr>
            </w:pPr>
          </w:p>
        </w:tc>
        <w:tc>
          <w:tcPr>
            <w:tcW w:w="220" w:type="dxa"/>
            <w:vAlign w:val="bottom"/>
            <w:tcBorders>
              <w:bottom w:val="single" w:sz="8" w:color="98B82F"/>
            </w:tcBorders>
            <w:shd w:val="clear" w:color="auto" w:fill="EAF1CE"/>
          </w:tcPr>
          <w:p>
            <w:pPr>
              <w:spacing w:after="0"/>
              <w:rPr>
                <w:sz w:val="14"/>
                <w:szCs w:val="14"/>
                <w:color w:val="auto"/>
              </w:rPr>
            </w:pPr>
          </w:p>
        </w:tc>
        <w:tc>
          <w:tcPr>
            <w:tcW w:w="40" w:type="dxa"/>
            <w:vAlign w:val="bottom"/>
            <w:tcBorders>
              <w:bottom w:val="single" w:sz="8" w:color="98B82F"/>
            </w:tcBorders>
            <w:shd w:val="clear" w:color="auto" w:fill="EAF1CE"/>
          </w:tcPr>
          <w:p>
            <w:pPr>
              <w:spacing w:after="0"/>
              <w:rPr>
                <w:sz w:val="14"/>
                <w:szCs w:val="14"/>
                <w:color w:val="auto"/>
              </w:rPr>
            </w:pPr>
          </w:p>
        </w:tc>
        <w:tc>
          <w:tcPr>
            <w:tcW w:w="40" w:type="dxa"/>
            <w:vAlign w:val="bottom"/>
            <w:tcBorders>
              <w:bottom w:val="single" w:sz="8" w:color="98B82F"/>
            </w:tcBorders>
            <w:shd w:val="clear" w:color="auto" w:fill="EAF1CE"/>
          </w:tcPr>
          <w:p>
            <w:pPr>
              <w:spacing w:after="0"/>
              <w:rPr>
                <w:sz w:val="14"/>
                <w:szCs w:val="14"/>
                <w:color w:val="auto"/>
              </w:rPr>
            </w:pPr>
          </w:p>
        </w:tc>
        <w:tc>
          <w:tcPr>
            <w:tcW w:w="140" w:type="dxa"/>
            <w:vAlign w:val="bottom"/>
            <w:tcBorders>
              <w:bottom w:val="single" w:sz="8" w:color="98B82F"/>
              <w:right w:val="single" w:sz="8" w:color="EAF1CE"/>
            </w:tcBorders>
            <w:shd w:val="clear" w:color="auto" w:fill="EAF1CE"/>
          </w:tcPr>
          <w:p>
            <w:pPr>
              <w:spacing w:after="0"/>
              <w:rPr>
                <w:sz w:val="14"/>
                <w:szCs w:val="14"/>
                <w:color w:val="auto"/>
              </w:rPr>
            </w:pPr>
          </w:p>
        </w:tc>
        <w:tc>
          <w:tcPr>
            <w:tcW w:w="20" w:type="dxa"/>
            <w:vAlign w:val="bottom"/>
            <w:tcBorders>
              <w:bottom w:val="single" w:sz="8" w:color="98B82F"/>
            </w:tcBorders>
            <w:shd w:val="clear" w:color="auto" w:fill="EAF1CE"/>
          </w:tcPr>
          <w:p>
            <w:pPr>
              <w:spacing w:after="0"/>
              <w:rPr>
                <w:sz w:val="14"/>
                <w:szCs w:val="14"/>
                <w:color w:val="auto"/>
              </w:rPr>
            </w:pPr>
          </w:p>
        </w:tc>
        <w:tc>
          <w:tcPr>
            <w:tcW w:w="100" w:type="dxa"/>
            <w:vAlign w:val="bottom"/>
            <w:tcBorders>
              <w:bottom w:val="single" w:sz="8" w:color="98B82F"/>
              <w:right w:val="single" w:sz="8" w:color="EAF1CE"/>
            </w:tcBorders>
            <w:shd w:val="clear" w:color="auto" w:fill="EAF1CE"/>
          </w:tcPr>
          <w:p>
            <w:pPr>
              <w:spacing w:after="0"/>
              <w:rPr>
                <w:sz w:val="14"/>
                <w:szCs w:val="14"/>
                <w:color w:val="auto"/>
              </w:rPr>
            </w:pPr>
          </w:p>
        </w:tc>
        <w:tc>
          <w:tcPr>
            <w:tcW w:w="100" w:type="dxa"/>
            <w:vAlign w:val="bottom"/>
            <w:tcBorders>
              <w:bottom w:val="single" w:sz="8" w:color="98B82F"/>
              <w:right w:val="single" w:sz="8" w:color="EAF1CE"/>
            </w:tcBorders>
            <w:shd w:val="clear" w:color="auto" w:fill="EAF1CE"/>
          </w:tcPr>
          <w:p>
            <w:pPr>
              <w:spacing w:after="0"/>
              <w:rPr>
                <w:sz w:val="14"/>
                <w:szCs w:val="14"/>
                <w:color w:val="auto"/>
              </w:rPr>
            </w:pPr>
          </w:p>
        </w:tc>
        <w:tc>
          <w:tcPr>
            <w:tcW w:w="20" w:type="dxa"/>
            <w:vAlign w:val="bottom"/>
            <w:tcBorders>
              <w:bottom w:val="single" w:sz="8" w:color="98B82F"/>
            </w:tcBorders>
            <w:shd w:val="clear" w:color="auto" w:fill="EAF1CE"/>
          </w:tcPr>
          <w:p>
            <w:pPr>
              <w:spacing w:after="0"/>
              <w:rPr>
                <w:sz w:val="14"/>
                <w:szCs w:val="14"/>
                <w:color w:val="auto"/>
              </w:rPr>
            </w:pPr>
          </w:p>
        </w:tc>
        <w:tc>
          <w:tcPr>
            <w:tcW w:w="60" w:type="dxa"/>
            <w:vAlign w:val="bottom"/>
            <w:tcBorders>
              <w:bottom w:val="single" w:sz="8" w:color="98B82F"/>
            </w:tcBorders>
            <w:shd w:val="clear" w:color="auto" w:fill="EAF1CE"/>
          </w:tcPr>
          <w:p>
            <w:pPr>
              <w:spacing w:after="0"/>
              <w:rPr>
                <w:sz w:val="14"/>
                <w:szCs w:val="14"/>
                <w:color w:val="auto"/>
              </w:rPr>
            </w:pPr>
          </w:p>
        </w:tc>
        <w:tc>
          <w:tcPr>
            <w:tcW w:w="100" w:type="dxa"/>
            <w:vAlign w:val="bottom"/>
            <w:tcBorders>
              <w:bottom w:val="single" w:sz="8" w:color="98B82F"/>
            </w:tcBorders>
            <w:shd w:val="clear" w:color="auto" w:fill="EAF1CE"/>
          </w:tcPr>
          <w:p>
            <w:pPr>
              <w:spacing w:after="0"/>
              <w:rPr>
                <w:sz w:val="14"/>
                <w:szCs w:val="14"/>
                <w:color w:val="auto"/>
              </w:rPr>
            </w:pPr>
          </w:p>
        </w:tc>
        <w:tc>
          <w:tcPr>
            <w:tcW w:w="40" w:type="dxa"/>
            <w:vAlign w:val="bottom"/>
            <w:tcBorders>
              <w:bottom w:val="single" w:sz="8" w:color="98B82F"/>
              <w:right w:val="single" w:sz="8" w:color="EAF1CE"/>
            </w:tcBorders>
            <w:shd w:val="clear" w:color="auto" w:fill="EAF1CE"/>
          </w:tcPr>
          <w:p>
            <w:pPr>
              <w:spacing w:after="0"/>
              <w:rPr>
                <w:sz w:val="14"/>
                <w:szCs w:val="14"/>
                <w:color w:val="auto"/>
              </w:rPr>
            </w:pPr>
          </w:p>
        </w:tc>
        <w:tc>
          <w:tcPr>
            <w:tcW w:w="100" w:type="dxa"/>
            <w:vAlign w:val="bottom"/>
            <w:tcBorders>
              <w:bottom w:val="single" w:sz="8" w:color="98B82F"/>
            </w:tcBorders>
            <w:shd w:val="clear" w:color="auto" w:fill="EAF1C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10"/>
          </w:tcPr>
          <w:p>
            <w:pPr>
              <w:spacing w:after="0" w:line="164" w:lineRule="exact"/>
              <w:rPr>
                <w:sz w:val="20"/>
                <w:szCs w:val="20"/>
                <w:color w:val="auto"/>
              </w:rPr>
            </w:pPr>
            <w:r>
              <w:rPr>
                <w:rFonts w:ascii="PMingLiU" w:cs="PMingLiU" w:eastAsia="PMingLiU" w:hAnsi="PMingLiU"/>
                <w:sz w:val="18"/>
                <w:szCs w:val="18"/>
                <w:b w:val="1"/>
                <w:bCs w:val="1"/>
                <w:color w:val="262626"/>
                <w:vertAlign w:val="subscript"/>
              </w:rPr>
              <w:t/>
            </w:r>
            <w:r>
              <w:rPr>
                <w:rFonts w:ascii="Arial" w:cs="Arial" w:eastAsia="Arial" w:hAnsi="Arial"/>
                <w:sz w:val="9"/>
                <w:szCs w:val="9"/>
                <w:color w:val="262626"/>
              </w:rPr>
              <w:t>Data unavailable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4"/>
          </w:tcPr>
          <w:p>
            <w:pPr>
              <w:jc w:val="center"/>
              <w:ind w:left="49"/>
              <w:spacing w:after="0"/>
              <w:rPr>
                <w:sz w:val="20"/>
                <w:szCs w:val="20"/>
                <w:color w:val="auto"/>
              </w:rPr>
            </w:pPr>
            <w:r>
              <w:rPr>
                <w:rFonts w:ascii="Arial" w:cs="Arial" w:eastAsia="Arial" w:hAnsi="Arial"/>
                <w:sz w:val="10"/>
                <w:szCs w:val="10"/>
                <w:color w:val="262626"/>
              </w:rPr>
              <w:t>999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right w:val="single" w:sz="8" w:color="98B82F"/>
            </w:tcBorders>
          </w:tcPr>
          <w:p>
            <w:pPr>
              <w:spacing w:after="0"/>
              <w:rPr>
                <w:sz w:val="13"/>
                <w:szCs w:val="13"/>
                <w:color w:val="auto"/>
              </w:rPr>
            </w:pPr>
          </w:p>
        </w:tc>
        <w:tc>
          <w:tcPr>
            <w:tcW w:w="80" w:type="dxa"/>
            <w:vAlign w:val="bottom"/>
            <w:shd w:val="clear" w:color="auto" w:fill="EAF1CE"/>
          </w:tcPr>
          <w:p>
            <w:pPr>
              <w:spacing w:after="0"/>
              <w:rPr>
                <w:sz w:val="13"/>
                <w:szCs w:val="13"/>
                <w:color w:val="auto"/>
              </w:rPr>
            </w:pPr>
          </w:p>
        </w:tc>
        <w:tc>
          <w:tcPr>
            <w:tcW w:w="2760" w:type="dxa"/>
            <w:vAlign w:val="bottom"/>
            <w:tcBorders>
              <w:right w:val="single" w:sz="8" w:color="EAF1CE"/>
            </w:tcBorders>
            <w:gridSpan w:val="24"/>
            <w:shd w:val="clear" w:color="auto" w:fill="EAF1CE"/>
          </w:tcPr>
          <w:p>
            <w:pPr>
              <w:spacing w:after="0"/>
              <w:rPr>
                <w:sz w:val="20"/>
                <w:szCs w:val="20"/>
                <w:color w:val="auto"/>
              </w:rPr>
            </w:pPr>
            <w:r>
              <w:rPr>
                <w:rFonts w:ascii="Arial" w:cs="Arial" w:eastAsia="Arial" w:hAnsi="Arial"/>
                <w:sz w:val="10"/>
                <w:szCs w:val="10"/>
                <w:color w:val="262626"/>
              </w:rPr>
              <w:t>Percentage of employees trained on career development</w:t>
            </w:r>
          </w:p>
        </w:tc>
        <w:tc>
          <w:tcPr>
            <w:tcW w:w="100" w:type="dxa"/>
            <w:vAlign w:val="bottom"/>
            <w:tcBorders>
              <w:right w:val="single" w:sz="8" w:color="EAF1CE"/>
            </w:tcBorders>
            <w:shd w:val="clear" w:color="auto" w:fill="EAF1CE"/>
          </w:tcPr>
          <w:p>
            <w:pPr>
              <w:spacing w:after="0"/>
              <w:rPr>
                <w:sz w:val="13"/>
                <w:szCs w:val="13"/>
                <w:color w:val="auto"/>
              </w:rPr>
            </w:pPr>
          </w:p>
        </w:tc>
        <w:tc>
          <w:tcPr>
            <w:tcW w:w="20" w:type="dxa"/>
            <w:vAlign w:val="bottom"/>
            <w:shd w:val="clear" w:color="auto" w:fill="EAF1CE"/>
          </w:tcPr>
          <w:p>
            <w:pPr>
              <w:spacing w:after="0"/>
              <w:rPr>
                <w:sz w:val="13"/>
                <w:szCs w:val="13"/>
                <w:color w:val="auto"/>
              </w:rPr>
            </w:pPr>
          </w:p>
        </w:tc>
        <w:tc>
          <w:tcPr>
            <w:tcW w:w="60" w:type="dxa"/>
            <w:vAlign w:val="bottom"/>
            <w:shd w:val="clear" w:color="auto" w:fill="EAF1CE"/>
          </w:tcPr>
          <w:p>
            <w:pPr>
              <w:spacing w:after="0"/>
              <w:rPr>
                <w:sz w:val="13"/>
                <w:szCs w:val="13"/>
                <w:color w:val="auto"/>
              </w:rPr>
            </w:pPr>
          </w:p>
        </w:tc>
        <w:tc>
          <w:tcPr>
            <w:tcW w:w="100" w:type="dxa"/>
            <w:vAlign w:val="bottom"/>
            <w:shd w:val="clear" w:color="auto" w:fill="EAF1CE"/>
          </w:tcPr>
          <w:p>
            <w:pPr>
              <w:spacing w:after="0"/>
              <w:rPr>
                <w:sz w:val="13"/>
                <w:szCs w:val="13"/>
                <w:color w:val="auto"/>
              </w:rPr>
            </w:pPr>
          </w:p>
        </w:tc>
        <w:tc>
          <w:tcPr>
            <w:tcW w:w="40" w:type="dxa"/>
            <w:vAlign w:val="bottom"/>
            <w:tcBorders>
              <w:right w:val="single" w:sz="8" w:color="EAF1CE"/>
            </w:tcBorders>
            <w:shd w:val="clear" w:color="auto" w:fill="EAF1CE"/>
          </w:tcPr>
          <w:p>
            <w:pPr>
              <w:spacing w:after="0"/>
              <w:rPr>
                <w:sz w:val="13"/>
                <w:szCs w:val="13"/>
                <w:color w:val="auto"/>
              </w:rPr>
            </w:pPr>
          </w:p>
        </w:tc>
        <w:tc>
          <w:tcPr>
            <w:tcW w:w="100" w:type="dxa"/>
            <w:vAlign w:val="bottom"/>
            <w:shd w:val="clear" w:color="auto" w:fill="EAF1C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right w:val="single" w:sz="8" w:color="98B82F"/>
            </w:tcBorders>
          </w:tcPr>
          <w:p>
            <w:pPr>
              <w:spacing w:after="0"/>
              <w:rPr>
                <w:sz w:val="14"/>
                <w:szCs w:val="14"/>
                <w:color w:val="auto"/>
              </w:rPr>
            </w:pPr>
          </w:p>
        </w:tc>
        <w:tc>
          <w:tcPr>
            <w:tcW w:w="80" w:type="dxa"/>
            <w:vAlign w:val="bottom"/>
            <w:tcBorders>
              <w:bottom w:val="single" w:sz="8" w:color="EAF1CE"/>
            </w:tcBorders>
            <w:shd w:val="clear" w:color="auto" w:fill="EAF1CE"/>
          </w:tcPr>
          <w:p>
            <w:pPr>
              <w:spacing w:after="0"/>
              <w:rPr>
                <w:sz w:val="14"/>
                <w:szCs w:val="14"/>
                <w:color w:val="auto"/>
              </w:rPr>
            </w:pPr>
          </w:p>
        </w:tc>
        <w:tc>
          <w:tcPr>
            <w:tcW w:w="1360" w:type="dxa"/>
            <w:vAlign w:val="bottom"/>
            <w:tcBorders>
              <w:bottom w:val="single" w:sz="8" w:color="EAF1CE"/>
              <w:right w:val="single" w:sz="8" w:color="EAF1CE"/>
            </w:tcBorders>
            <w:gridSpan w:val="9"/>
            <w:shd w:val="clear" w:color="auto" w:fill="EAF1CE"/>
          </w:tcPr>
          <w:p>
            <w:pPr>
              <w:spacing w:after="0"/>
              <w:rPr>
                <w:sz w:val="20"/>
                <w:szCs w:val="20"/>
                <w:color w:val="auto"/>
              </w:rPr>
            </w:pPr>
            <w:r>
              <w:rPr>
                <w:rFonts w:ascii="Arial" w:cs="Arial" w:eastAsia="Arial" w:hAnsi="Arial"/>
                <w:sz w:val="10"/>
                <w:szCs w:val="10"/>
                <w:color w:val="262626"/>
              </w:rPr>
              <w:t>during the reporting period</w:t>
            </w:r>
          </w:p>
        </w:tc>
        <w:tc>
          <w:tcPr>
            <w:tcW w:w="18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60" w:type="dxa"/>
            <w:vAlign w:val="bottom"/>
            <w:tcBorders>
              <w:bottom w:val="single" w:sz="8" w:color="EAF1CE"/>
            </w:tcBorders>
            <w:shd w:val="clear" w:color="auto" w:fill="EAF1CE"/>
          </w:tcPr>
          <w:p>
            <w:pPr>
              <w:spacing w:after="0"/>
              <w:rPr>
                <w:sz w:val="14"/>
                <w:szCs w:val="14"/>
                <w:color w:val="auto"/>
              </w:rPr>
            </w:pPr>
          </w:p>
        </w:tc>
        <w:tc>
          <w:tcPr>
            <w:tcW w:w="12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200" w:type="dxa"/>
            <w:vAlign w:val="bottom"/>
            <w:tcBorders>
              <w:left w:val="single" w:sz="8" w:color="EAF1CE"/>
              <w:bottom w:val="single" w:sz="8" w:color="EAF1CE"/>
              <w:right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120" w:type="dxa"/>
            <w:vAlign w:val="bottom"/>
            <w:tcBorders>
              <w:bottom w:val="single" w:sz="8" w:color="EAF1CE"/>
            </w:tcBorders>
            <w:shd w:val="clear" w:color="auto" w:fill="EAF1CE"/>
          </w:tcPr>
          <w:p>
            <w:pPr>
              <w:spacing w:after="0"/>
              <w:rPr>
                <w:sz w:val="14"/>
                <w:szCs w:val="14"/>
                <w:color w:val="auto"/>
              </w:rPr>
            </w:pPr>
          </w:p>
        </w:tc>
        <w:tc>
          <w:tcPr>
            <w:tcW w:w="22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tcBorders>
            <w:shd w:val="clear" w:color="auto" w:fill="EAF1CE"/>
          </w:tcPr>
          <w:p>
            <w:pPr>
              <w:spacing w:after="0"/>
              <w:rPr>
                <w:sz w:val="14"/>
                <w:szCs w:val="14"/>
                <w:color w:val="auto"/>
              </w:rPr>
            </w:pPr>
          </w:p>
        </w:tc>
        <w:tc>
          <w:tcPr>
            <w:tcW w:w="140" w:type="dxa"/>
            <w:vAlign w:val="bottom"/>
            <w:tcBorders>
              <w:bottom w:val="single" w:sz="8" w:color="EAF1CE"/>
              <w:right w:val="single" w:sz="8" w:color="EAF1CE"/>
            </w:tcBorders>
            <w:shd w:val="clear" w:color="auto" w:fill="EAF1CE"/>
          </w:tcPr>
          <w:p>
            <w:pPr>
              <w:spacing w:after="0"/>
              <w:rPr>
                <w:sz w:val="14"/>
                <w:szCs w:val="14"/>
                <w:color w:val="auto"/>
              </w:rPr>
            </w:pPr>
          </w:p>
        </w:tc>
        <w:tc>
          <w:tcPr>
            <w:tcW w:w="20" w:type="dxa"/>
            <w:vAlign w:val="bottom"/>
            <w:tcBorders>
              <w:bottom w:val="single" w:sz="8" w:color="EAF1CE"/>
            </w:tcBorders>
            <w:shd w:val="clear" w:color="auto" w:fill="EAF1CE"/>
          </w:tcPr>
          <w:p>
            <w:pPr>
              <w:spacing w:after="0"/>
              <w:rPr>
                <w:sz w:val="14"/>
                <w:szCs w:val="14"/>
                <w:color w:val="auto"/>
              </w:rPr>
            </w:pPr>
          </w:p>
        </w:tc>
        <w:tc>
          <w:tcPr>
            <w:tcW w:w="100" w:type="dxa"/>
            <w:vAlign w:val="bottom"/>
            <w:tcBorders>
              <w:bottom w:val="single" w:sz="8" w:color="EAF1CE"/>
              <w:right w:val="single" w:sz="8" w:color="EAF1CE"/>
            </w:tcBorders>
            <w:shd w:val="clear" w:color="auto" w:fill="EAF1CE"/>
          </w:tcPr>
          <w:p>
            <w:pPr>
              <w:spacing w:after="0"/>
              <w:rPr>
                <w:sz w:val="14"/>
                <w:szCs w:val="14"/>
                <w:color w:val="auto"/>
              </w:rPr>
            </w:pPr>
          </w:p>
        </w:tc>
        <w:tc>
          <w:tcPr>
            <w:tcW w:w="100" w:type="dxa"/>
            <w:vAlign w:val="bottom"/>
            <w:tcBorders>
              <w:bottom w:val="single" w:sz="8" w:color="EAF1CE"/>
              <w:right w:val="single" w:sz="8" w:color="EAF1CE"/>
            </w:tcBorders>
            <w:shd w:val="clear" w:color="auto" w:fill="EAF1CE"/>
          </w:tcPr>
          <w:p>
            <w:pPr>
              <w:spacing w:after="0"/>
              <w:rPr>
                <w:sz w:val="14"/>
                <w:szCs w:val="14"/>
                <w:color w:val="auto"/>
              </w:rPr>
            </w:pPr>
          </w:p>
        </w:tc>
        <w:tc>
          <w:tcPr>
            <w:tcW w:w="20" w:type="dxa"/>
            <w:vAlign w:val="bottom"/>
            <w:tcBorders>
              <w:bottom w:val="single" w:sz="8" w:color="EAF1CE"/>
            </w:tcBorders>
            <w:shd w:val="clear" w:color="auto" w:fill="EAF1CE"/>
          </w:tcPr>
          <w:p>
            <w:pPr>
              <w:spacing w:after="0"/>
              <w:rPr>
                <w:sz w:val="14"/>
                <w:szCs w:val="14"/>
                <w:color w:val="auto"/>
              </w:rPr>
            </w:pPr>
          </w:p>
        </w:tc>
        <w:tc>
          <w:tcPr>
            <w:tcW w:w="60" w:type="dxa"/>
            <w:vAlign w:val="bottom"/>
            <w:tcBorders>
              <w:bottom w:val="single" w:sz="8" w:color="EAF1CE"/>
            </w:tcBorders>
            <w:shd w:val="clear" w:color="auto" w:fill="EAF1CE"/>
          </w:tcPr>
          <w:p>
            <w:pPr>
              <w:spacing w:after="0"/>
              <w:rPr>
                <w:sz w:val="14"/>
                <w:szCs w:val="14"/>
                <w:color w:val="auto"/>
              </w:rPr>
            </w:pPr>
          </w:p>
        </w:tc>
        <w:tc>
          <w:tcPr>
            <w:tcW w:w="100" w:type="dxa"/>
            <w:vAlign w:val="bottom"/>
            <w:tcBorders>
              <w:bottom w:val="single" w:sz="8" w:color="EAF1CE"/>
            </w:tcBorders>
            <w:shd w:val="clear" w:color="auto" w:fill="EAF1CE"/>
          </w:tcPr>
          <w:p>
            <w:pPr>
              <w:spacing w:after="0"/>
              <w:rPr>
                <w:sz w:val="14"/>
                <w:szCs w:val="14"/>
                <w:color w:val="auto"/>
              </w:rPr>
            </w:pPr>
          </w:p>
        </w:tc>
        <w:tc>
          <w:tcPr>
            <w:tcW w:w="40" w:type="dxa"/>
            <w:vAlign w:val="bottom"/>
            <w:tcBorders>
              <w:bottom w:val="single" w:sz="8" w:color="EAF1CE"/>
              <w:right w:val="single" w:sz="8" w:color="EAF1CE"/>
            </w:tcBorders>
            <w:shd w:val="clear" w:color="auto" w:fill="EAF1CE"/>
          </w:tcPr>
          <w:p>
            <w:pPr>
              <w:spacing w:after="0"/>
              <w:rPr>
                <w:sz w:val="14"/>
                <w:szCs w:val="14"/>
                <w:color w:val="auto"/>
              </w:rPr>
            </w:pPr>
          </w:p>
        </w:tc>
        <w:tc>
          <w:tcPr>
            <w:tcW w:w="100" w:type="dxa"/>
            <w:vAlign w:val="bottom"/>
            <w:tcBorders>
              <w:bottom w:val="single" w:sz="8" w:color="EAF1CE"/>
            </w:tcBorders>
            <w:shd w:val="clear" w:color="auto" w:fill="EAF1C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8"/>
          </w:tcPr>
          <w:p>
            <w:pPr>
              <w:jc w:val="center"/>
              <w:ind w:right="27"/>
              <w:spacing w:after="0"/>
              <w:rPr>
                <w:sz w:val="20"/>
                <w:szCs w:val="20"/>
                <w:color w:val="auto"/>
              </w:rPr>
            </w:pPr>
            <w:r>
              <w:rPr>
                <w:rFonts w:ascii="Arial" w:cs="Arial" w:eastAsia="Arial" w:hAnsi="Arial"/>
                <w:sz w:val="10"/>
                <w:szCs w:val="10"/>
                <w:color w:val="262626"/>
              </w:rPr>
              <w:t>Data unavailable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4"/>
          </w:tcPr>
          <w:p>
            <w:pPr>
              <w:jc w:val="center"/>
              <w:ind w:left="69"/>
              <w:spacing w:after="0"/>
              <w:rPr>
                <w:sz w:val="20"/>
                <w:szCs w:val="20"/>
                <w:color w:val="auto"/>
              </w:rPr>
            </w:pPr>
            <w:r>
              <w:rPr>
                <w:rFonts w:ascii="Arial" w:cs="Arial" w:eastAsia="Arial" w:hAnsi="Arial"/>
                <w:sz w:val="10"/>
                <w:szCs w:val="10"/>
                <w:color w:val="262626"/>
                <w:w w:val="99"/>
              </w:rPr>
              <w:t>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right w:val="single" w:sz="8" w:color="98B82F"/>
            </w:tcBorders>
          </w:tcPr>
          <w:p>
            <w:pPr>
              <w:spacing w:after="0"/>
              <w:rPr>
                <w:sz w:val="13"/>
                <w:szCs w:val="13"/>
                <w:color w:val="auto"/>
              </w:rPr>
            </w:pPr>
          </w:p>
        </w:tc>
        <w:tc>
          <w:tcPr>
            <w:tcW w:w="80" w:type="dxa"/>
            <w:vAlign w:val="bottom"/>
            <w:tcBorders>
              <w:top w:val="single" w:sz="8" w:color="98B82F"/>
            </w:tcBorders>
            <w:shd w:val="clear" w:color="auto" w:fill="EAF1CE"/>
          </w:tcPr>
          <w:p>
            <w:pPr>
              <w:spacing w:after="0"/>
              <w:rPr>
                <w:sz w:val="13"/>
                <w:szCs w:val="13"/>
                <w:color w:val="auto"/>
              </w:rPr>
            </w:pPr>
          </w:p>
        </w:tc>
        <w:tc>
          <w:tcPr>
            <w:tcW w:w="2760" w:type="dxa"/>
            <w:vAlign w:val="bottom"/>
            <w:tcBorders>
              <w:top w:val="single" w:sz="8" w:color="98B82F"/>
              <w:right w:val="single" w:sz="8" w:color="EAF1CE"/>
            </w:tcBorders>
            <w:gridSpan w:val="24"/>
            <w:shd w:val="clear" w:color="auto" w:fill="EAF1CE"/>
          </w:tcPr>
          <w:p>
            <w:pPr>
              <w:spacing w:after="0"/>
              <w:rPr>
                <w:sz w:val="20"/>
                <w:szCs w:val="20"/>
                <w:color w:val="auto"/>
              </w:rPr>
            </w:pPr>
            <w:r>
              <w:rPr>
                <w:rFonts w:ascii="Arial" w:cs="Arial" w:eastAsia="Arial" w:hAnsi="Arial"/>
                <w:sz w:val="10"/>
                <w:szCs w:val="10"/>
                <w:color w:val="262626"/>
              </w:rPr>
              <w:t>Percentage of total employees who received a regular</w:t>
            </w:r>
          </w:p>
        </w:tc>
        <w:tc>
          <w:tcPr>
            <w:tcW w:w="100" w:type="dxa"/>
            <w:vAlign w:val="bottom"/>
            <w:tcBorders>
              <w:top w:val="single" w:sz="8" w:color="98B82F"/>
              <w:right w:val="single" w:sz="8" w:color="EAF1CE"/>
            </w:tcBorders>
            <w:shd w:val="clear" w:color="auto" w:fill="EAF1CE"/>
          </w:tcPr>
          <w:p>
            <w:pPr>
              <w:spacing w:after="0"/>
              <w:rPr>
                <w:sz w:val="13"/>
                <w:szCs w:val="13"/>
                <w:color w:val="auto"/>
              </w:rPr>
            </w:pPr>
          </w:p>
        </w:tc>
        <w:tc>
          <w:tcPr>
            <w:tcW w:w="20" w:type="dxa"/>
            <w:vAlign w:val="bottom"/>
            <w:tcBorders>
              <w:top w:val="single" w:sz="8" w:color="98B82F"/>
            </w:tcBorders>
            <w:shd w:val="clear" w:color="auto" w:fill="EAF1CE"/>
          </w:tcPr>
          <w:p>
            <w:pPr>
              <w:spacing w:after="0"/>
              <w:rPr>
                <w:sz w:val="13"/>
                <w:szCs w:val="13"/>
                <w:color w:val="auto"/>
              </w:rPr>
            </w:pPr>
          </w:p>
        </w:tc>
        <w:tc>
          <w:tcPr>
            <w:tcW w:w="60" w:type="dxa"/>
            <w:vAlign w:val="bottom"/>
            <w:tcBorders>
              <w:top w:val="single" w:sz="8" w:color="98B82F"/>
            </w:tcBorders>
            <w:shd w:val="clear" w:color="auto" w:fill="EAF1CE"/>
          </w:tcPr>
          <w:p>
            <w:pPr>
              <w:spacing w:after="0"/>
              <w:rPr>
                <w:sz w:val="13"/>
                <w:szCs w:val="13"/>
                <w:color w:val="auto"/>
              </w:rPr>
            </w:pPr>
          </w:p>
        </w:tc>
        <w:tc>
          <w:tcPr>
            <w:tcW w:w="100" w:type="dxa"/>
            <w:vAlign w:val="bottom"/>
            <w:tcBorders>
              <w:top w:val="single" w:sz="8" w:color="98B82F"/>
            </w:tcBorders>
            <w:shd w:val="clear" w:color="auto" w:fill="EAF1CE"/>
          </w:tcPr>
          <w:p>
            <w:pPr>
              <w:spacing w:after="0"/>
              <w:rPr>
                <w:sz w:val="13"/>
                <w:szCs w:val="13"/>
                <w:color w:val="auto"/>
              </w:rPr>
            </w:pPr>
          </w:p>
        </w:tc>
        <w:tc>
          <w:tcPr>
            <w:tcW w:w="40" w:type="dxa"/>
            <w:vAlign w:val="bottom"/>
            <w:tcBorders>
              <w:top w:val="single" w:sz="8" w:color="98B82F"/>
              <w:right w:val="single" w:sz="8" w:color="EAF1CE"/>
            </w:tcBorders>
            <w:shd w:val="clear" w:color="auto" w:fill="EAF1CE"/>
          </w:tcPr>
          <w:p>
            <w:pPr>
              <w:spacing w:after="0"/>
              <w:rPr>
                <w:sz w:val="13"/>
                <w:szCs w:val="13"/>
                <w:color w:val="auto"/>
              </w:rPr>
            </w:pPr>
          </w:p>
        </w:tc>
        <w:tc>
          <w:tcPr>
            <w:tcW w:w="100" w:type="dxa"/>
            <w:vAlign w:val="bottom"/>
            <w:tcBorders>
              <w:top w:val="single" w:sz="8" w:color="98B82F"/>
            </w:tcBorders>
            <w:shd w:val="clear" w:color="auto" w:fill="EAF1C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right w:val="single" w:sz="8" w:color="98B82F"/>
            </w:tcBorders>
          </w:tcPr>
          <w:p>
            <w:pPr>
              <w:spacing w:after="0"/>
              <w:rPr>
                <w:sz w:val="16"/>
                <w:szCs w:val="16"/>
                <w:color w:val="auto"/>
              </w:rPr>
            </w:pPr>
          </w:p>
        </w:tc>
        <w:tc>
          <w:tcPr>
            <w:tcW w:w="80" w:type="dxa"/>
            <w:vAlign w:val="bottom"/>
            <w:tcBorders>
              <w:bottom w:val="single" w:sz="8" w:color="EAF1CE"/>
            </w:tcBorders>
            <w:shd w:val="clear" w:color="auto" w:fill="EAF1CE"/>
          </w:tcPr>
          <w:p>
            <w:pPr>
              <w:spacing w:after="0"/>
              <w:rPr>
                <w:sz w:val="16"/>
                <w:szCs w:val="16"/>
                <w:color w:val="auto"/>
              </w:rPr>
            </w:pPr>
          </w:p>
        </w:tc>
        <w:tc>
          <w:tcPr>
            <w:tcW w:w="2200" w:type="dxa"/>
            <w:vAlign w:val="bottom"/>
            <w:tcBorders>
              <w:bottom w:val="single" w:sz="8" w:color="EAF1CE"/>
            </w:tcBorders>
            <w:gridSpan w:val="18"/>
            <w:shd w:val="clear" w:color="auto" w:fill="EAF1CE"/>
          </w:tcPr>
          <w:p>
            <w:pPr>
              <w:spacing w:after="0"/>
              <w:rPr>
                <w:sz w:val="20"/>
                <w:szCs w:val="20"/>
                <w:color w:val="auto"/>
              </w:rPr>
            </w:pPr>
            <w:r>
              <w:rPr>
                <w:rFonts w:ascii="Arial" w:cs="Arial" w:eastAsia="Arial" w:hAnsi="Arial"/>
                <w:sz w:val="10"/>
                <w:szCs w:val="10"/>
                <w:color w:val="262626"/>
              </w:rPr>
              <w:t>performance and career development review</w:t>
            </w:r>
          </w:p>
        </w:tc>
        <w:tc>
          <w:tcPr>
            <w:tcW w:w="22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tcBorders>
            <w:shd w:val="clear" w:color="auto" w:fill="EAF1CE"/>
          </w:tcPr>
          <w:p>
            <w:pPr>
              <w:spacing w:after="0"/>
              <w:rPr>
                <w:sz w:val="16"/>
                <w:szCs w:val="16"/>
                <w:color w:val="auto"/>
              </w:rPr>
            </w:pPr>
          </w:p>
        </w:tc>
        <w:tc>
          <w:tcPr>
            <w:tcW w:w="140" w:type="dxa"/>
            <w:vAlign w:val="bottom"/>
            <w:tcBorders>
              <w:bottom w:val="single" w:sz="8" w:color="EAF1CE"/>
              <w:right w:val="single" w:sz="8" w:color="EAF1CE"/>
            </w:tcBorders>
            <w:shd w:val="clear" w:color="auto" w:fill="EAF1CE"/>
          </w:tcPr>
          <w:p>
            <w:pPr>
              <w:spacing w:after="0"/>
              <w:rPr>
                <w:sz w:val="16"/>
                <w:szCs w:val="16"/>
                <w:color w:val="auto"/>
              </w:rPr>
            </w:pPr>
          </w:p>
        </w:tc>
        <w:tc>
          <w:tcPr>
            <w:tcW w:w="20" w:type="dxa"/>
            <w:vAlign w:val="bottom"/>
            <w:tcBorders>
              <w:bottom w:val="single" w:sz="8" w:color="EAF1CE"/>
            </w:tcBorders>
            <w:shd w:val="clear" w:color="auto" w:fill="EAF1CE"/>
          </w:tcPr>
          <w:p>
            <w:pPr>
              <w:spacing w:after="0"/>
              <w:rPr>
                <w:sz w:val="16"/>
                <w:szCs w:val="16"/>
                <w:color w:val="auto"/>
              </w:rPr>
            </w:pPr>
          </w:p>
        </w:tc>
        <w:tc>
          <w:tcPr>
            <w:tcW w:w="100" w:type="dxa"/>
            <w:vAlign w:val="bottom"/>
            <w:tcBorders>
              <w:bottom w:val="single" w:sz="8" w:color="EAF1CE"/>
              <w:right w:val="single" w:sz="8" w:color="EAF1CE"/>
            </w:tcBorders>
            <w:shd w:val="clear" w:color="auto" w:fill="EAF1CE"/>
          </w:tcPr>
          <w:p>
            <w:pPr>
              <w:spacing w:after="0"/>
              <w:rPr>
                <w:sz w:val="16"/>
                <w:szCs w:val="16"/>
                <w:color w:val="auto"/>
              </w:rPr>
            </w:pPr>
          </w:p>
        </w:tc>
        <w:tc>
          <w:tcPr>
            <w:tcW w:w="100" w:type="dxa"/>
            <w:vAlign w:val="bottom"/>
            <w:tcBorders>
              <w:bottom w:val="single" w:sz="8" w:color="EAF1CE"/>
              <w:right w:val="single" w:sz="8" w:color="EAF1CE"/>
            </w:tcBorders>
            <w:shd w:val="clear" w:color="auto" w:fill="EAF1CE"/>
          </w:tcPr>
          <w:p>
            <w:pPr>
              <w:spacing w:after="0"/>
              <w:rPr>
                <w:sz w:val="16"/>
                <w:szCs w:val="16"/>
                <w:color w:val="auto"/>
              </w:rPr>
            </w:pPr>
          </w:p>
        </w:tc>
        <w:tc>
          <w:tcPr>
            <w:tcW w:w="20" w:type="dxa"/>
            <w:vAlign w:val="bottom"/>
            <w:tcBorders>
              <w:bottom w:val="single" w:sz="8" w:color="EAF1CE"/>
            </w:tcBorders>
            <w:shd w:val="clear" w:color="auto" w:fill="EAF1CE"/>
          </w:tcPr>
          <w:p>
            <w:pPr>
              <w:spacing w:after="0"/>
              <w:rPr>
                <w:sz w:val="16"/>
                <w:szCs w:val="16"/>
                <w:color w:val="auto"/>
              </w:rPr>
            </w:pPr>
          </w:p>
        </w:tc>
        <w:tc>
          <w:tcPr>
            <w:tcW w:w="60" w:type="dxa"/>
            <w:vAlign w:val="bottom"/>
            <w:tcBorders>
              <w:bottom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40" w:type="dxa"/>
            <w:vAlign w:val="bottom"/>
            <w:tcBorders>
              <w:bottom w:val="single" w:sz="8" w:color="EAF1CE"/>
              <w:right w:val="single" w:sz="8" w:color="EAF1CE"/>
            </w:tcBorders>
            <w:shd w:val="clear" w:color="auto" w:fill="EAF1CE"/>
          </w:tcPr>
          <w:p>
            <w:pPr>
              <w:spacing w:after="0"/>
              <w:rPr>
                <w:sz w:val="16"/>
                <w:szCs w:val="16"/>
                <w:color w:val="auto"/>
              </w:rPr>
            </w:pPr>
          </w:p>
        </w:tc>
        <w:tc>
          <w:tcPr>
            <w:tcW w:w="100" w:type="dxa"/>
            <w:vAlign w:val="bottom"/>
            <w:tcBorders>
              <w:bottom w:val="single" w:sz="8" w:color="EAF1CE"/>
            </w:tcBorders>
            <w:shd w:val="clear" w:color="auto" w:fill="EAF1C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gridSpan w:val="3"/>
          </w:tcPr>
          <w:p>
            <w:pPr>
              <w:jc w:val="center"/>
              <w:ind w:right="100"/>
              <w:spacing w:after="0"/>
              <w:rPr>
                <w:sz w:val="20"/>
                <w:szCs w:val="20"/>
                <w:color w:val="auto"/>
              </w:rPr>
            </w:pPr>
            <w:r>
              <w:rPr>
                <w:rFonts w:ascii="Arial" w:cs="Arial" w:eastAsia="Arial" w:hAnsi="Arial"/>
                <w:sz w:val="10"/>
                <w:szCs w:val="10"/>
                <w:color w:val="262626"/>
                <w:w w:val="89"/>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4"/>
          </w:tcPr>
          <w:p>
            <w:pPr>
              <w:jc w:val="center"/>
              <w:ind w:left="49"/>
              <w:spacing w:after="0"/>
              <w:rPr>
                <w:sz w:val="20"/>
                <w:szCs w:val="20"/>
                <w:color w:val="auto"/>
              </w:rPr>
            </w:pPr>
            <w:r>
              <w:rPr>
                <w:rFonts w:ascii="Arial" w:cs="Arial" w:eastAsia="Arial" w:hAnsi="Arial"/>
                <w:sz w:val="10"/>
                <w:szCs w:val="10"/>
                <w:color w:val="262626"/>
                <w:w w:val="89"/>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00" w:type="dxa"/>
            <w:vAlign w:val="bottom"/>
            <w:gridSpan w:val="6"/>
          </w:tcPr>
          <w:p>
            <w:pPr>
              <w:spacing w:after="0"/>
              <w:rPr>
                <w:sz w:val="13"/>
                <w:szCs w:val="13"/>
                <w:color w:val="auto"/>
              </w:rPr>
            </w:pPr>
          </w:p>
        </w:tc>
        <w:tc>
          <w:tcPr>
            <w:tcW w:w="3260" w:type="dxa"/>
            <w:vAlign w:val="bottom"/>
            <w:tcBorders>
              <w:top w:val="single" w:sz="8" w:color="98B82F"/>
            </w:tcBorders>
            <w:gridSpan w:val="31"/>
          </w:tcPr>
          <w:p>
            <w:pPr>
              <w:spacing w:after="0"/>
              <w:rPr>
                <w:sz w:val="13"/>
                <w:szCs w:val="13"/>
                <w:color w:val="auto"/>
              </w:rPr>
            </w:pPr>
          </w:p>
        </w:tc>
        <w:tc>
          <w:tcPr>
            <w:tcW w:w="2960" w:type="dxa"/>
            <w:vAlign w:val="bottom"/>
            <w:gridSpan w:val="27"/>
          </w:tcPr>
          <w:p>
            <w:pPr>
              <w:jc w:val="right"/>
              <w:ind w:right="2960"/>
              <w:spacing w:after="0"/>
              <w:rPr>
                <w:sz w:val="20"/>
                <w:szCs w:val="20"/>
                <w:color w:val="auto"/>
              </w:rPr>
            </w:pPr>
            <w:r>
              <w:rPr>
                <w:rFonts w:ascii="PMingLiU" w:cs="PMingLiU" w:eastAsia="PMingLiU" w:hAnsi="PMingLiU"/>
                <w:sz w:val="10"/>
                <w:szCs w:val="10"/>
                <w:b w:val="1"/>
                <w:bCs w:val="1"/>
                <w:color w:val="262626"/>
              </w:rPr>
              <w:t/>
            </w:r>
          </w:p>
        </w:tc>
        <w:tc>
          <w:tcPr>
            <w:tcW w:w="0" w:type="dxa"/>
            <w:vAlign w:val="bottom"/>
          </w:tcPr>
          <w:p>
            <w:pPr>
              <w:spacing w:after="0"/>
              <w:rPr>
                <w:sz w:val="1"/>
                <w:szCs w:val="1"/>
                <w:color w:val="auto"/>
              </w:rPr>
            </w:pPr>
          </w:p>
        </w:tc>
      </w:tr>
      <w:tr>
        <w:trPr>
          <w:trHeight w:val="466"/>
        </w:trPr>
        <w:tc>
          <w:tcPr>
            <w:tcW w:w="7320" w:type="dxa"/>
            <w:vAlign w:val="bottom"/>
            <w:gridSpan w:val="64"/>
          </w:tcPr>
          <w:p>
            <w:pPr>
              <w:spacing w:after="0"/>
              <w:rPr>
                <w:sz w:val="20"/>
                <w:szCs w:val="20"/>
                <w:color w:val="auto"/>
              </w:rPr>
            </w:pPr>
            <w:r>
              <w:rPr>
                <w:rFonts w:ascii="PMingLiU" w:cs="PMingLiU" w:eastAsia="PMingLiU" w:hAnsi="PMingLiU"/>
                <w:sz w:val="11"/>
                <w:szCs w:val="11"/>
                <w:b w:val="1"/>
                <w:bCs w:val="1"/>
                <w:color w:val="262626"/>
              </w:rPr>
              <w:t>7PFGT</w:t>
            </w:r>
          </w:p>
        </w:tc>
        <w:tc>
          <w:tcPr>
            <w:tcW w:w="0" w:type="dxa"/>
            <w:vAlign w:val="bottom"/>
          </w:tcPr>
          <w:p>
            <w:pPr>
              <w:spacing w:after="0"/>
              <w:rPr>
                <w:sz w:val="1"/>
                <w:szCs w:val="1"/>
                <w:color w:val="auto"/>
              </w:rPr>
            </w:pPr>
          </w:p>
        </w:tc>
      </w:tr>
      <w:tr>
        <w:trPr>
          <w:trHeight w:val="211"/>
        </w:trPr>
        <w:tc>
          <w:tcPr>
            <w:tcW w:w="7320" w:type="dxa"/>
            <w:vAlign w:val="bottom"/>
            <w:gridSpan w:val="64"/>
          </w:tcPr>
          <w:p>
            <w:pPr>
              <w:spacing w:after="0"/>
              <w:rPr>
                <w:sz w:val="20"/>
                <w:szCs w:val="20"/>
                <w:color w:val="auto"/>
              </w:rPr>
            </w:pPr>
            <w:r>
              <w:rPr>
                <w:rFonts w:ascii="PMingLiU" w:cs="PMingLiU" w:eastAsia="PMingLiU" w:hAnsi="PMingLiU"/>
                <w:sz w:val="11"/>
                <w:szCs w:val="11"/>
                <w:b w:val="1"/>
                <w:bCs w:val="1"/>
                <w:color w:val="262626"/>
              </w:rPr>
              <w:t>s</w:t>
            </w:r>
          </w:p>
        </w:tc>
        <w:tc>
          <w:tcPr>
            <w:tcW w:w="0" w:type="dxa"/>
            <w:vAlign w:val="bottom"/>
          </w:tcPr>
          <w:p>
            <w:pPr>
              <w:spacing w:after="0"/>
              <w:rPr>
                <w:sz w:val="1"/>
                <w:szCs w:val="1"/>
                <w:color w:val="auto"/>
              </w:rPr>
            </w:pPr>
          </w:p>
        </w:tc>
      </w:tr>
      <w:tr>
        <w:trPr>
          <w:trHeight w:val="211"/>
        </w:trPr>
        <w:tc>
          <w:tcPr>
            <w:tcW w:w="7320" w:type="dxa"/>
            <w:vAlign w:val="bottom"/>
            <w:gridSpan w:val="64"/>
          </w:tcPr>
          <w:p>
            <w:pPr>
              <w:jc w:val="right"/>
              <w:ind w:right="7320"/>
              <w:spacing w:after="0"/>
              <w:rPr>
                <w:sz w:val="20"/>
                <w:szCs w:val="20"/>
                <w:color w:val="auto"/>
              </w:rPr>
            </w:pPr>
            <w:r>
              <w:rPr>
                <w:rFonts w:ascii="PMingLiU" w:cs="PMingLiU" w:eastAsia="PMingLiU" w:hAnsi="PMingLiU"/>
                <w:sz w:val="11"/>
                <w:szCs w:val="11"/>
                <w:b w:val="1"/>
                <w:bCs w:val="1"/>
                <w:color w:val="262626"/>
              </w:rPr>
              <w:t/>
            </w:r>
          </w:p>
        </w:tc>
        <w:tc>
          <w:tcPr>
            <w:tcW w:w="0" w:type="dxa"/>
            <w:vAlign w:val="bottom"/>
          </w:tcPr>
          <w:p>
            <w:pPr>
              <w:spacing w:after="0"/>
              <w:rPr>
                <w:sz w:val="1"/>
                <w:szCs w:val="1"/>
                <w:color w:val="auto"/>
              </w:rPr>
            </w:pPr>
          </w:p>
        </w:tc>
      </w:tr>
      <w:tr>
        <w:trPr>
          <w:trHeight w:val="193"/>
        </w:trPr>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11"/>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320" w:type="dxa"/>
            <w:vAlign w:val="bottom"/>
            <w:tcBorders>
              <w:bottom w:val="single" w:sz="8" w:color="98B82F"/>
            </w:tcBorders>
          </w:tcPr>
          <w:p>
            <w:pPr>
              <w:spacing w:after="0"/>
              <w:rPr>
                <w:sz w:val="24"/>
                <w:szCs w:val="24"/>
                <w:color w:val="auto"/>
              </w:rPr>
            </w:pPr>
          </w:p>
        </w:tc>
        <w:tc>
          <w:tcPr>
            <w:tcW w:w="20" w:type="dxa"/>
            <w:vAlign w:val="bottom"/>
            <w:tcBorders>
              <w:bottom w:val="single" w:sz="8" w:color="98B82F"/>
            </w:tcBorders>
          </w:tcPr>
          <w:p>
            <w:pPr>
              <w:spacing w:after="0"/>
              <w:rPr>
                <w:sz w:val="24"/>
                <w:szCs w:val="24"/>
                <w:color w:val="auto"/>
              </w:rPr>
            </w:pPr>
          </w:p>
        </w:tc>
        <w:tc>
          <w:tcPr>
            <w:tcW w:w="300" w:type="dxa"/>
            <w:vAlign w:val="bottom"/>
            <w:tcBorders>
              <w:bottom w:val="single" w:sz="8" w:color="98B82F"/>
            </w:tcBorders>
          </w:tcPr>
          <w:p>
            <w:pPr>
              <w:spacing w:after="0"/>
              <w:rPr>
                <w:sz w:val="24"/>
                <w:szCs w:val="24"/>
                <w:color w:val="auto"/>
              </w:rPr>
            </w:pPr>
          </w:p>
        </w:tc>
        <w:tc>
          <w:tcPr>
            <w:tcW w:w="1800" w:type="dxa"/>
            <w:vAlign w:val="bottom"/>
            <w:tcBorders>
              <w:bottom w:val="single" w:sz="8" w:color="98B82F"/>
            </w:tcBorders>
            <w:gridSpan w:val="12"/>
          </w:tcPr>
          <w:p>
            <w:pPr>
              <w:spacing w:after="0"/>
              <w:rPr>
                <w:sz w:val="24"/>
                <w:szCs w:val="24"/>
                <w:color w:val="auto"/>
              </w:rPr>
            </w:pPr>
          </w:p>
        </w:tc>
        <w:tc>
          <w:tcPr>
            <w:tcW w:w="100" w:type="dxa"/>
            <w:vAlign w:val="bottom"/>
            <w:tcBorders>
              <w:bottom w:val="single" w:sz="8" w:color="98B82F"/>
            </w:tcBorders>
          </w:tcPr>
          <w:p>
            <w:pPr>
              <w:spacing w:after="0"/>
              <w:rPr>
                <w:sz w:val="24"/>
                <w:szCs w:val="24"/>
                <w:color w:val="auto"/>
              </w:rPr>
            </w:pPr>
          </w:p>
        </w:tc>
        <w:tc>
          <w:tcPr>
            <w:tcW w:w="18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60" w:type="dxa"/>
            <w:vAlign w:val="bottom"/>
            <w:tcBorders>
              <w:bottom w:val="single" w:sz="8" w:color="98B82F"/>
            </w:tcBorders>
          </w:tcPr>
          <w:p>
            <w:pPr>
              <w:spacing w:after="0"/>
              <w:rPr>
                <w:sz w:val="24"/>
                <w:szCs w:val="24"/>
                <w:color w:val="auto"/>
              </w:rPr>
            </w:pPr>
          </w:p>
        </w:tc>
        <w:tc>
          <w:tcPr>
            <w:tcW w:w="12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20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120" w:type="dxa"/>
            <w:vAlign w:val="bottom"/>
            <w:tcBorders>
              <w:bottom w:val="single" w:sz="8" w:color="98B82F"/>
            </w:tcBorders>
          </w:tcPr>
          <w:p>
            <w:pPr>
              <w:spacing w:after="0"/>
              <w:rPr>
                <w:sz w:val="24"/>
                <w:szCs w:val="24"/>
                <w:color w:val="auto"/>
              </w:rPr>
            </w:pPr>
          </w:p>
        </w:tc>
        <w:tc>
          <w:tcPr>
            <w:tcW w:w="22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40" w:type="dxa"/>
            <w:vAlign w:val="bottom"/>
            <w:tcBorders>
              <w:bottom w:val="single" w:sz="8" w:color="98B82F"/>
            </w:tcBorders>
          </w:tcPr>
          <w:p>
            <w:pPr>
              <w:spacing w:after="0"/>
              <w:rPr>
                <w:sz w:val="24"/>
                <w:szCs w:val="24"/>
                <w:color w:val="auto"/>
              </w:rPr>
            </w:pPr>
          </w:p>
        </w:tc>
        <w:tc>
          <w:tcPr>
            <w:tcW w:w="140" w:type="dxa"/>
            <w:vAlign w:val="bottom"/>
            <w:tcBorders>
              <w:bottom w:val="single" w:sz="8" w:color="98B82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440" w:type="dxa"/>
            <w:vAlign w:val="bottom"/>
            <w:tcBorders>
              <w:left w:val="single" w:sz="8" w:color="98B82F"/>
            </w:tcBorders>
            <w:gridSpan w:val="15"/>
          </w:tcPr>
          <w:p>
            <w:pPr>
              <w:ind w:left="140"/>
              <w:spacing w:after="0" w:line="110" w:lineRule="exact"/>
              <w:rPr>
                <w:sz w:val="20"/>
                <w:szCs w:val="20"/>
                <w:color w:val="auto"/>
              </w:rPr>
            </w:pPr>
            <w:r>
              <w:rPr>
                <w:rFonts w:ascii="Arial" w:cs="Arial" w:eastAsia="Arial" w:hAnsi="Arial"/>
                <w:sz w:val="9"/>
                <w:szCs w:val="9"/>
                <w:b w:val="1"/>
                <w:bCs w:val="1"/>
                <w:color w:val="FFFFFF"/>
              </w:rPr>
              <w:t>$QCTF</w:t>
            </w:r>
            <w:r>
              <w:rPr>
                <w:rFonts w:ascii="PMingLiU" w:cs="PMingLiU" w:eastAsia="PMingLiU" w:hAnsi="PMingLiU"/>
                <w:sz w:val="9"/>
                <w:szCs w:val="9"/>
                <w:b w:val="1"/>
                <w:bCs w:val="1"/>
                <w:color w:val="FFFFFF"/>
              </w:rPr>
              <w:t/>
            </w:r>
            <w:r>
              <w:rPr>
                <w:rFonts w:ascii="Arial" w:cs="Arial" w:eastAsia="Arial" w:hAnsi="Arial"/>
                <w:sz w:val="9"/>
                <w:szCs w:val="9"/>
                <w:b w:val="1"/>
                <w:bCs w:val="1"/>
                <w:color w:val="FFFFFF"/>
              </w:rPr>
              <w:t>&amp;KXGTUKV[</w:t>
            </w:r>
            <w:r>
              <w:rPr>
                <w:rFonts w:ascii="PMingLiU" w:cs="PMingLiU" w:eastAsia="PMingLiU" w:hAnsi="PMingLiU"/>
                <w:sz w:val="9"/>
                <w:szCs w:val="9"/>
                <w:b w:val="1"/>
                <w:bCs w:val="1"/>
                <w:color w:val="FFFFFF"/>
              </w:rPr>
              <w:t/>
            </w:r>
            <w:r>
              <w:rPr>
                <w:rFonts w:ascii="Arial" w:cs="Arial" w:eastAsia="Arial" w:hAnsi="Arial"/>
                <w:sz w:val="9"/>
                <w:szCs w:val="9"/>
                <w:b w:val="1"/>
                <w:bCs w:val="1"/>
                <w:color w:val="FFFFFF"/>
              </w:rPr>
              <w:t>/CVTKZ</w:t>
            </w:r>
            <w:r>
              <w:rPr>
                <w:rFonts w:ascii="PMingLiU" w:cs="PMingLiU" w:eastAsia="PMingLiU" w:hAnsi="PMingLiU"/>
                <w:sz w:val="9"/>
                <w:szCs w:val="9"/>
                <w:b w:val="1"/>
                <w:bCs w:val="1"/>
                <w:color w:val="FFFFFF"/>
              </w:rPr>
              <w:t/>
            </w:r>
            <w:r>
              <w:rPr>
                <w:rFonts w:ascii="Arial" w:cs="Arial" w:eastAsia="Arial" w:hAnsi="Arial"/>
                <w:sz w:val="9"/>
                <w:szCs w:val="9"/>
                <w:b w:val="1"/>
                <w:bCs w:val="1"/>
                <w:color w:val="FFFFFF"/>
              </w:rPr>
              <w:t>CU</w:t>
            </w:r>
            <w:r>
              <w:rPr>
                <w:rFonts w:ascii="PMingLiU" w:cs="PMingLiU" w:eastAsia="PMingLiU" w:hAnsi="PMingLiU"/>
                <w:sz w:val="9"/>
                <w:szCs w:val="9"/>
                <w:b w:val="1"/>
                <w:bCs w:val="1"/>
                <w:color w:val="FFFFFF"/>
              </w:rPr>
              <w:t/>
            </w:r>
            <w:r>
              <w:rPr>
                <w:rFonts w:ascii="Arial" w:cs="Arial" w:eastAsia="Arial" w:hAnsi="Arial"/>
                <w:sz w:val="9"/>
                <w:szCs w:val="9"/>
                <w:b w:val="1"/>
                <w:bCs w:val="1"/>
                <w:color w:val="FFFFFF"/>
              </w:rPr>
              <w:t>QH</w:t>
            </w:r>
            <w:r>
              <w:rPr>
                <w:rFonts w:ascii="PMingLiU" w:cs="PMingLiU" w:eastAsia="PMingLiU" w:hAnsi="PMingLiU"/>
                <w:sz w:val="9"/>
                <w:szCs w:val="9"/>
                <w:b w:val="1"/>
                <w:bCs w:val="1"/>
                <w:color w:val="FFFFFF"/>
              </w:rPr>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right w:val="single" w:sz="8" w:color="98B82F"/>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320" w:type="dxa"/>
            <w:vAlign w:val="bottom"/>
            <w:tcBorders>
              <w:left w:val="single" w:sz="8" w:color="98B82F"/>
            </w:tcBorders>
            <w:vMerge w:val="restart"/>
          </w:tcPr>
          <w:p>
            <w:pPr>
              <w:ind w:left="140"/>
              <w:spacing w:after="0"/>
              <w:rPr>
                <w:sz w:val="20"/>
                <w:szCs w:val="20"/>
                <w:color w:val="auto"/>
              </w:rPr>
            </w:pPr>
            <w:r>
              <w:rPr>
                <w:rFonts w:ascii="Arial" w:cs="Arial" w:eastAsia="Arial" w:hAnsi="Arial"/>
                <w:sz w:val="9"/>
                <w:szCs w:val="9"/>
                <w:color w:val="262626"/>
                <w:w w:val="79"/>
              </w:rPr>
              <w:t>Total</w:t>
            </w:r>
          </w:p>
        </w:tc>
        <w:tc>
          <w:tcPr>
            <w:tcW w:w="3500" w:type="dxa"/>
            <w:vAlign w:val="bottom"/>
            <w:tcBorders>
              <w:right w:val="single" w:sz="8" w:color="98B82F"/>
            </w:tcBorders>
            <w:gridSpan w:val="28"/>
          </w:tcPr>
          <w:p>
            <w:pPr>
              <w:spacing w:after="0"/>
              <w:rPr>
                <w:sz w:val="7"/>
                <w:szCs w:val="7"/>
                <w:color w:val="auto"/>
              </w:rPr>
            </w:pPr>
          </w:p>
        </w:tc>
        <w:tc>
          <w:tcPr>
            <w:tcW w:w="3500" w:type="dxa"/>
            <w:vAlign w:val="bottom"/>
            <w:gridSpan w:val="35"/>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tcBorders>
              <w:left w:val="single" w:sz="8" w:color="98B82F"/>
            </w:tcBorders>
            <w:vMerge w:val="continue"/>
          </w:tcPr>
          <w:p>
            <w:pPr>
              <w:spacing w:after="0"/>
              <w:rPr>
                <w:sz w:val="11"/>
                <w:szCs w:val="11"/>
                <w:color w:val="auto"/>
              </w:rPr>
            </w:pPr>
          </w:p>
        </w:tc>
        <w:tc>
          <w:tcPr>
            <w:tcW w:w="320" w:type="dxa"/>
            <w:vAlign w:val="bottom"/>
            <w:tcBorders>
              <w:bottom w:val="single" w:sz="8" w:color="98B82F"/>
            </w:tcBorders>
            <w:gridSpan w:val="2"/>
          </w:tcPr>
          <w:p>
            <w:pPr>
              <w:spacing w:after="0"/>
              <w:rPr>
                <w:sz w:val="11"/>
                <w:szCs w:val="11"/>
                <w:color w:val="auto"/>
              </w:rPr>
            </w:pPr>
          </w:p>
        </w:tc>
        <w:tc>
          <w:tcPr>
            <w:tcW w:w="1020" w:type="dxa"/>
            <w:vAlign w:val="bottom"/>
            <w:tcBorders>
              <w:bottom w:val="single" w:sz="8" w:color="98B82F"/>
            </w:tcBorders>
            <w:gridSpan w:val="8"/>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40" w:type="dxa"/>
            <w:vAlign w:val="bottom"/>
            <w:tcBorders>
              <w:bottom w:val="single" w:sz="8" w:color="98B82F"/>
            </w:tcBorders>
          </w:tcPr>
          <w:p>
            <w:pPr>
              <w:spacing w:after="0"/>
              <w:rPr>
                <w:sz w:val="11"/>
                <w:szCs w:val="11"/>
                <w:color w:val="auto"/>
              </w:rPr>
            </w:pPr>
          </w:p>
        </w:tc>
        <w:tc>
          <w:tcPr>
            <w:tcW w:w="260" w:type="dxa"/>
            <w:vAlign w:val="bottom"/>
            <w:tcBorders>
              <w:bottom w:val="single" w:sz="8" w:color="98B82F"/>
            </w:tcBorders>
          </w:tcPr>
          <w:p>
            <w:pPr>
              <w:spacing w:after="0"/>
              <w:rPr>
                <w:sz w:val="11"/>
                <w:szCs w:val="11"/>
                <w:color w:val="auto"/>
              </w:rPr>
            </w:pPr>
          </w:p>
        </w:tc>
        <w:tc>
          <w:tcPr>
            <w:tcW w:w="28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right w:val="single" w:sz="8" w:color="98B82F"/>
            </w:tcBorders>
          </w:tcPr>
          <w:p>
            <w:pPr>
              <w:spacing w:after="0"/>
              <w:rPr>
                <w:sz w:val="11"/>
                <w:szCs w:val="11"/>
                <w:color w:val="auto"/>
              </w:rPr>
            </w:pPr>
          </w:p>
        </w:tc>
        <w:tc>
          <w:tcPr>
            <w:tcW w:w="18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200" w:type="dxa"/>
            <w:vAlign w:val="bottom"/>
            <w:tcBorders>
              <w:bottom w:val="single" w:sz="8" w:color="98B82F"/>
            </w:tcBorders>
          </w:tcPr>
          <w:p>
            <w:pPr>
              <w:spacing w:after="0"/>
              <w:rPr>
                <w:sz w:val="11"/>
                <w:szCs w:val="11"/>
                <w:color w:val="auto"/>
              </w:rPr>
            </w:pPr>
          </w:p>
        </w:tc>
        <w:tc>
          <w:tcPr>
            <w:tcW w:w="160" w:type="dxa"/>
            <w:vAlign w:val="bottom"/>
            <w:tcBorders>
              <w:bottom w:val="single" w:sz="8" w:color="98B82F"/>
            </w:tcBorders>
            <w:gridSpan w:val="2"/>
          </w:tcPr>
          <w:p>
            <w:pPr>
              <w:spacing w:after="0"/>
              <w:rPr>
                <w:sz w:val="11"/>
                <w:szCs w:val="11"/>
                <w:color w:val="auto"/>
              </w:rPr>
            </w:pPr>
          </w:p>
        </w:tc>
        <w:tc>
          <w:tcPr>
            <w:tcW w:w="22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140" w:type="dxa"/>
            <w:vAlign w:val="bottom"/>
            <w:tcBorders>
              <w:bottom w:val="single" w:sz="8" w:color="98B82F"/>
              <w:right w:val="single" w:sz="8" w:color="98B82F"/>
            </w:tcBorders>
          </w:tcPr>
          <w:p>
            <w:pPr>
              <w:spacing w:after="0"/>
              <w:rPr>
                <w:sz w:val="11"/>
                <w:szCs w:val="11"/>
                <w:color w:val="auto"/>
              </w:rPr>
            </w:pPr>
          </w:p>
        </w:tc>
        <w:tc>
          <w:tcPr>
            <w:tcW w:w="2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2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180" w:type="dxa"/>
            <w:vAlign w:val="bottom"/>
            <w:tcBorders>
              <w:bottom w:val="single" w:sz="8" w:color="98B82F"/>
            </w:tcBorders>
          </w:tcPr>
          <w:p>
            <w:pPr>
              <w:spacing w:after="0"/>
              <w:rPr>
                <w:sz w:val="11"/>
                <w:szCs w:val="11"/>
                <w:color w:val="auto"/>
              </w:rPr>
            </w:pPr>
          </w:p>
        </w:tc>
        <w:tc>
          <w:tcPr>
            <w:tcW w:w="2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20" w:type="dxa"/>
            <w:vAlign w:val="bottom"/>
            <w:tcBorders>
              <w:bottom w:val="single" w:sz="8" w:color="98B82F"/>
            </w:tcBorders>
          </w:tcPr>
          <w:p>
            <w:pPr>
              <w:spacing w:after="0"/>
              <w:rPr>
                <w:sz w:val="11"/>
                <w:szCs w:val="11"/>
                <w:color w:val="auto"/>
              </w:rPr>
            </w:pPr>
          </w:p>
        </w:tc>
        <w:tc>
          <w:tcPr>
            <w:tcW w:w="22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8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16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60" w:type="dxa"/>
            <w:vAlign w:val="bottom"/>
            <w:tcBorders>
              <w:bottom w:val="single" w:sz="8" w:color="98B82F"/>
            </w:tcBorders>
          </w:tcPr>
          <w:p>
            <w:pPr>
              <w:spacing w:after="0"/>
              <w:rPr>
                <w:sz w:val="11"/>
                <w:szCs w:val="11"/>
                <w:color w:val="auto"/>
              </w:rPr>
            </w:pPr>
          </w:p>
        </w:tc>
        <w:tc>
          <w:tcPr>
            <w:tcW w:w="40" w:type="dxa"/>
            <w:vAlign w:val="bottom"/>
            <w:tcBorders>
              <w:bottom w:val="single" w:sz="8" w:color="98B82F"/>
            </w:tcBorders>
          </w:tcPr>
          <w:p>
            <w:pPr>
              <w:spacing w:after="0"/>
              <w:rPr>
                <w:sz w:val="11"/>
                <w:szCs w:val="11"/>
                <w:color w:val="auto"/>
              </w:rPr>
            </w:pPr>
          </w:p>
        </w:tc>
        <w:tc>
          <w:tcPr>
            <w:tcW w:w="8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00" w:type="dxa"/>
            <w:vAlign w:val="bottom"/>
            <w:tcBorders>
              <w:bottom w:val="single" w:sz="8" w:color="98B82F"/>
            </w:tcBorders>
          </w:tcPr>
          <w:p>
            <w:pPr>
              <w:spacing w:after="0"/>
              <w:rPr>
                <w:sz w:val="11"/>
                <w:szCs w:val="11"/>
                <w:color w:val="auto"/>
              </w:rPr>
            </w:pPr>
          </w:p>
        </w:tc>
        <w:tc>
          <w:tcPr>
            <w:tcW w:w="120" w:type="dxa"/>
            <w:vAlign w:val="bottom"/>
            <w:tcBorders>
              <w:bottom w:val="single" w:sz="8" w:color="98B82F"/>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20" w:type="dxa"/>
            <w:vAlign w:val="bottom"/>
            <w:tcBorders>
              <w:left w:val="single" w:sz="8" w:color="98B82F"/>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9"/>
          </w:tcPr>
          <w:p>
            <w:pPr>
              <w:ind w:left="40"/>
              <w:spacing w:after="0" w:line="45" w:lineRule="exact"/>
              <w:rPr>
                <w:sz w:val="20"/>
                <w:szCs w:val="20"/>
                <w:color w:val="auto"/>
              </w:rPr>
            </w:pPr>
            <w:r>
              <w:rPr>
                <w:rFonts w:ascii="Arial" w:cs="Arial" w:eastAsia="Arial" w:hAnsi="Arial"/>
                <w:sz w:val="5"/>
                <w:szCs w:val="5"/>
                <w:color w:val="262626"/>
              </w:rPr>
              <w:t>Number of Directors</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gridSpan w:val="2"/>
          </w:tcPr>
          <w:p>
            <w:pPr>
              <w:jc w:val="right"/>
              <w:ind w:right="17"/>
              <w:spacing w:after="0" w:line="45" w:lineRule="exact"/>
              <w:rPr>
                <w:sz w:val="20"/>
                <w:szCs w:val="20"/>
                <w:color w:val="auto"/>
              </w:rPr>
            </w:pPr>
            <w:r>
              <w:rPr>
                <w:rFonts w:ascii="Arial" w:cs="Arial" w:eastAsia="Arial" w:hAnsi="Arial"/>
                <w:sz w:val="5"/>
                <w:szCs w:val="5"/>
                <w:color w:val="262626"/>
              </w:rPr>
              <w:t>9</w:t>
            </w: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6"/>
            <w:vMerge w:val="restart"/>
          </w:tcPr>
          <w:p>
            <w:pPr>
              <w:jc w:val="right"/>
              <w:spacing w:after="0" w:line="134" w:lineRule="exact"/>
              <w:rPr>
                <w:sz w:val="20"/>
                <w:szCs w:val="20"/>
                <w:color w:val="auto"/>
              </w:rPr>
            </w:pPr>
            <w:r>
              <w:rPr>
                <w:rFonts w:ascii="Arial" w:cs="Arial" w:eastAsia="Arial" w:hAnsi="Arial"/>
                <w:sz w:val="11"/>
                <w:szCs w:val="11"/>
                <w:color w:val="262626"/>
                <w:w w:val="92"/>
              </w:rPr>
              <w:t>Ó]È{n</w:t>
            </w:r>
            <w:r>
              <w:rPr>
                <w:rFonts w:ascii="PMingLiU" w:cs="PMingLiU" w:eastAsia="PMingLiU" w:hAnsi="PMingLiU"/>
                <w:sz w:val="11"/>
                <w:szCs w:val="11"/>
                <w:color w:val="262626"/>
                <w:w w:val="92"/>
              </w:rPr>
              <w:t></w:t>
            </w:r>
            <w:r>
              <w:rPr>
                <w:rFonts w:ascii="Arial" w:cs="Arial" w:eastAsia="Arial" w:hAnsi="Arial"/>
                <w:sz w:val="11"/>
                <w:szCs w:val="11"/>
                <w:color w:val="262626"/>
                <w:w w:val="92"/>
              </w:rPr>
              <w:t>ÕÀÃ</w:t>
            </w:r>
          </w:p>
        </w:tc>
        <w:tc>
          <w:tcPr>
            <w:tcW w:w="120" w:type="dxa"/>
            <w:vAlign w:val="bottom"/>
            <w:tcBorders>
              <w:right w:val="single" w:sz="8" w:color="98B82F"/>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320" w:type="dxa"/>
            <w:vAlign w:val="bottom"/>
            <w:tcBorders>
              <w:left w:val="single" w:sz="8" w:color="98B82F"/>
              <w:bottom w:val="single" w:sz="8" w:color="98B82F"/>
            </w:tcBorders>
          </w:tcPr>
          <w:p>
            <w:pPr>
              <w:spacing w:after="0"/>
              <w:rPr>
                <w:sz w:val="7"/>
                <w:szCs w:val="7"/>
                <w:color w:val="auto"/>
              </w:rPr>
            </w:pPr>
          </w:p>
        </w:tc>
        <w:tc>
          <w:tcPr>
            <w:tcW w:w="20" w:type="dxa"/>
            <w:vAlign w:val="bottom"/>
            <w:tcBorders>
              <w:bottom w:val="single" w:sz="8" w:color="98B82F"/>
            </w:tcBorders>
          </w:tcPr>
          <w:p>
            <w:pPr>
              <w:spacing w:after="0"/>
              <w:rPr>
                <w:sz w:val="7"/>
                <w:szCs w:val="7"/>
                <w:color w:val="auto"/>
              </w:rPr>
            </w:pPr>
          </w:p>
        </w:tc>
        <w:tc>
          <w:tcPr>
            <w:tcW w:w="4840" w:type="dxa"/>
            <w:vAlign w:val="bottom"/>
            <w:gridSpan w:val="44"/>
          </w:tcPr>
          <w:p>
            <w:pPr>
              <w:ind w:left="80"/>
              <w:spacing w:after="0" w:line="91" w:lineRule="exact"/>
              <w:rPr>
                <w:sz w:val="20"/>
                <w:szCs w:val="20"/>
                <w:color w:val="auto"/>
              </w:rPr>
            </w:pP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Ì&gt;</w:t>
            </w:r>
            <w:r>
              <w:rPr>
                <w:rFonts w:ascii="PMingLiU" w:cs="PMingLiU" w:eastAsia="PMingLiU" w:hAnsi="PMingLiU"/>
                <w:sz w:val="10"/>
                <w:szCs w:val="10"/>
                <w:color w:val="262626"/>
              </w:rPr>
              <w:t></w:t>
            </w:r>
            <w:r>
              <w:rPr>
                <w:rFonts w:ascii="Arial" w:cs="Arial" w:eastAsia="Arial" w:hAnsi="Arial"/>
                <w:sz w:val="10"/>
                <w:szCs w:val="10"/>
                <w:color w:val="262626"/>
              </w:rPr>
              <w:t>Õ</w:t>
            </w:r>
            <w:r>
              <w:rPr>
                <w:rFonts w:ascii="PMingLiU" w:cs="PMingLiU" w:eastAsia="PMingLiU" w:hAnsi="PMingLiU"/>
                <w:sz w:val="10"/>
                <w:szCs w:val="10"/>
                <w:color w:val="262626"/>
              </w:rPr>
              <w:t></w:t>
            </w:r>
            <w:r>
              <w:rPr>
                <w:rFonts w:ascii="Arial" w:cs="Arial" w:eastAsia="Arial" w:hAnsi="Arial"/>
                <w:sz w:val="10"/>
                <w:szCs w:val="10"/>
                <w:color w:val="262626"/>
              </w:rPr>
              <w:t>LiÀ</w:t>
            </w:r>
            <w:r>
              <w:rPr>
                <w:rFonts w:ascii="PMingLiU" w:cs="PMingLiU" w:eastAsia="PMingLiU" w:hAnsi="PMingLiU"/>
                <w:sz w:val="10"/>
                <w:szCs w:val="10"/>
                <w:color w:val="262626"/>
              </w:rPr>
              <w:t></w:t>
            </w:r>
            <w:r>
              <w:rPr>
                <w:rFonts w:ascii="Arial" w:cs="Arial" w:eastAsia="Arial" w:hAnsi="Arial"/>
                <w:sz w:val="10"/>
                <w:szCs w:val="10"/>
                <w:color w:val="262626"/>
              </w:rPr>
              <w:t>v</w:t>
            </w:r>
            <w:r>
              <w:rPr>
                <w:rFonts w:ascii="PMingLiU" w:cs="PMingLiU" w:eastAsia="PMingLiU" w:hAnsi="PMingLiU"/>
                <w:sz w:val="10"/>
                <w:szCs w:val="10"/>
                <w:color w:val="262626"/>
              </w:rPr>
              <w:t></w:t>
            </w:r>
            <w:r>
              <w:rPr>
                <w:rFonts w:ascii="Arial" w:cs="Arial" w:eastAsia="Arial" w:hAnsi="Arial"/>
                <w:sz w:val="10"/>
                <w:szCs w:val="10"/>
                <w:color w:val="262626"/>
              </w:rPr>
              <w:t>ÕÀÃ</w:t>
            </w:r>
            <w:r>
              <w:rPr>
                <w:rFonts w:ascii="PMingLiU" w:cs="PMingLiU" w:eastAsia="PMingLiU" w:hAnsi="PMingLiU"/>
                <w:sz w:val="10"/>
                <w:szCs w:val="10"/>
                <w:color w:val="262626"/>
              </w:rPr>
              <w:t></w:t>
            </w:r>
            <w:r>
              <w:rPr>
                <w:rFonts w:ascii="Arial" w:cs="Arial" w:eastAsia="Arial" w:hAnsi="Arial"/>
                <w:sz w:val="10"/>
                <w:szCs w:val="10"/>
                <w:color w:val="262626"/>
              </w:rPr>
              <w:t>ÓäÓä</w:t>
            </w:r>
            <w:r>
              <w:rPr>
                <w:rFonts w:ascii="PMingLiU" w:cs="PMingLiU" w:eastAsia="PMingLiU" w:hAnsi="PMingLiU"/>
                <w:sz w:val="10"/>
                <w:szCs w:val="10"/>
                <w:color w:val="262626"/>
              </w:rPr>
              <w:t/>
            </w:r>
            <w:r>
              <w:rPr>
                <w:rFonts w:ascii="Arial" w:cs="Arial" w:eastAsia="Arial" w:hAnsi="Arial"/>
                <w:sz w:val="10"/>
                <w:szCs w:val="10"/>
                <w:color w:val="262626"/>
              </w:rPr>
              <w:t>`iÛ</w:t>
            </w:r>
            <w:r>
              <w:rPr>
                <w:rFonts w:ascii="PMingLiU" w:cs="PMingLiU" w:eastAsia="PMingLiU" w:hAnsi="PMingLiU"/>
                <w:sz w:val="10"/>
                <w:szCs w:val="10"/>
                <w:color w:val="262626"/>
              </w:rPr>
              <w:t></w:t>
            </w:r>
            <w:r>
              <w:rPr>
                <w:rFonts w:ascii="Arial" w:cs="Arial" w:eastAsia="Arial" w:hAnsi="Arial"/>
                <w:sz w:val="10"/>
                <w:szCs w:val="10"/>
                <w:color w:val="262626"/>
              </w:rPr>
              <w:t>Ìi`</w:t>
            </w:r>
            <w:r>
              <w:rPr>
                <w:rFonts w:ascii="PMingLiU" w:cs="PMingLiU" w:eastAsia="PMingLiU" w:hAnsi="PMingLiU"/>
                <w:sz w:val="10"/>
                <w:szCs w:val="10"/>
                <w:color w:val="262626"/>
              </w:rPr>
              <w:t/>
            </w:r>
            <w:r>
              <w:rPr>
                <w:rFonts w:ascii="Arial" w:cs="Arial" w:eastAsia="Arial" w:hAnsi="Arial"/>
                <w:sz w:val="10"/>
                <w:szCs w:val="10"/>
                <w:color w:val="262626"/>
              </w:rPr>
              <w:t>Ì</w:t>
            </w:r>
            <w:r>
              <w:rPr>
                <w:rFonts w:ascii="PMingLiU" w:cs="PMingLiU" w:eastAsia="PMingLiU" w:hAnsi="PMingLiU"/>
                <w:sz w:val="10"/>
                <w:szCs w:val="10"/>
                <w:color w:val="262626"/>
              </w:rPr>
              <w:t></w:t>
            </w:r>
            <w:r>
              <w:rPr>
                <w:rFonts w:ascii="Arial" w:cs="Arial" w:eastAsia="Arial" w:hAnsi="Arial"/>
                <w:sz w:val="10"/>
                <w:szCs w:val="10"/>
                <w:color w:val="262626"/>
              </w:rPr>
              <w:t>ÌÀ&gt;</w:t>
            </w:r>
            <w:r>
              <w:rPr>
                <w:rFonts w:ascii="PMingLiU" w:cs="PMingLiU" w:eastAsia="PMingLiU" w:hAnsi="PMingLiU"/>
                <w:sz w:val="10"/>
                <w:szCs w:val="10"/>
                <w:color w:val="262626"/>
              </w:rPr>
              <w:t></w:t>
            </w: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ÛiÀ</w:t>
            </w:r>
            <w:r>
              <w:rPr>
                <w:rFonts w:ascii="PMingLiU" w:cs="PMingLiU" w:eastAsia="PMingLiU" w:hAnsi="PMingLiU"/>
                <w:sz w:val="10"/>
                <w:szCs w:val="10"/>
                <w:color w:val="262626"/>
              </w:rPr>
              <w:t></w:t>
            </w:r>
            <w:r>
              <w:rPr>
                <w:rFonts w:ascii="Arial" w:cs="Arial" w:eastAsia="Arial" w:hAnsi="Arial"/>
                <w:sz w:val="10"/>
                <w:szCs w:val="10"/>
                <w:color w:val="262626"/>
              </w:rPr>
              <w:t>&gt;</w:t>
            </w:r>
            <w:r>
              <w:rPr>
                <w:rFonts w:ascii="PMingLiU" w:cs="PMingLiU" w:eastAsia="PMingLiU" w:hAnsi="PMingLiU"/>
                <w:sz w:val="10"/>
                <w:szCs w:val="10"/>
                <w:color w:val="262626"/>
              </w:rPr>
              <w:t></w:t>
            </w:r>
            <w:r>
              <w:rPr>
                <w:rFonts w:ascii="Arial" w:cs="Arial" w:eastAsia="Arial" w:hAnsi="Arial"/>
                <w:sz w:val="10"/>
                <w:szCs w:val="10"/>
                <w:color w:val="262626"/>
              </w:rPr>
              <w:t>Vi</w:t>
            </w:r>
            <w:r>
              <w:rPr>
                <w:rFonts w:ascii="PMingLiU" w:cs="PMingLiU" w:eastAsia="PMingLiU" w:hAnsi="PMingLiU"/>
                <w:sz w:val="10"/>
                <w:szCs w:val="10"/>
                <w:color w:val="262626"/>
              </w:rPr>
              <w:t/>
            </w:r>
            <w:r>
              <w:rPr>
                <w:rFonts w:ascii="Arial" w:cs="Arial" w:eastAsia="Arial" w:hAnsi="Arial"/>
                <w:sz w:val="10"/>
                <w:szCs w:val="10"/>
                <w:color w:val="262626"/>
              </w:rPr>
              <w:t>«</w:t>
            </w:r>
            <w:r>
              <w:rPr>
                <w:rFonts w:ascii="PMingLiU" w:cs="PMingLiU" w:eastAsia="PMingLiU" w:hAnsi="PMingLiU"/>
                <w:sz w:val="10"/>
                <w:szCs w:val="10"/>
                <w:color w:val="262626"/>
              </w:rPr>
              <w:t></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iÃ</w:t>
            </w:r>
            <w:r>
              <w:rPr>
                <w:rFonts w:ascii="PMingLiU" w:cs="PMingLiU" w:eastAsia="PMingLiU" w:hAnsi="PMingLiU"/>
                <w:sz w:val="10"/>
                <w:szCs w:val="10"/>
                <w:color w:val="262626"/>
              </w:rPr>
              <w:t></w:t>
            </w:r>
            <w:r>
              <w:rPr>
                <w:rFonts w:ascii="Arial" w:cs="Arial" w:eastAsia="Arial" w:hAnsi="Arial"/>
                <w:sz w:val="10"/>
                <w:szCs w:val="10"/>
                <w:color w:val="262626"/>
              </w:rPr>
              <w:t>À</w:t>
            </w:r>
            <w:r>
              <w:rPr>
                <w:rFonts w:ascii="PMingLiU" w:cs="PMingLiU" w:eastAsia="PMingLiU" w:hAnsi="PMingLiU"/>
                <w:sz w:val="10"/>
                <w:szCs w:val="10"/>
                <w:color w:val="262626"/>
              </w:rPr>
              <w:t/>
            </w:r>
            <w:r>
              <w:rPr>
                <w:rFonts w:ascii="Arial" w:cs="Arial" w:eastAsia="Arial" w:hAnsi="Arial"/>
                <w:sz w:val="10"/>
                <w:szCs w:val="10"/>
                <w:color w:val="262626"/>
              </w:rPr>
              <w:t>«À</w:t>
            </w:r>
            <w:r>
              <w:rPr>
                <w:rFonts w:ascii="PMingLiU" w:cs="PMingLiU" w:eastAsia="PMingLiU" w:hAnsi="PMingLiU"/>
                <w:sz w:val="10"/>
                <w:szCs w:val="10"/>
                <w:color w:val="262626"/>
              </w:rPr>
              <w:t></w:t>
            </w:r>
            <w:r>
              <w:rPr>
                <w:rFonts w:ascii="Arial" w:cs="Arial" w:eastAsia="Arial" w:hAnsi="Arial"/>
                <w:sz w:val="10"/>
                <w:szCs w:val="10"/>
                <w:color w:val="262626"/>
              </w:rPr>
              <w:t>Vi`ÕÀiÃ</w:t>
            </w:r>
            <w:r>
              <w:rPr>
                <w:rFonts w:ascii="PMingLiU" w:cs="PMingLiU" w:eastAsia="PMingLiU" w:hAnsi="PMingLiU"/>
                <w:sz w:val="10"/>
                <w:szCs w:val="10"/>
                <w:color w:val="262626"/>
              </w:rPr>
              <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6"/>
            <w:vMerge w:val="continue"/>
          </w:tcPr>
          <w:p>
            <w:pPr>
              <w:spacing w:after="0"/>
              <w:rPr>
                <w:sz w:val="7"/>
                <w:szCs w:val="7"/>
                <w:color w:val="auto"/>
              </w:rPr>
            </w:pPr>
          </w:p>
        </w:tc>
        <w:tc>
          <w:tcPr>
            <w:tcW w:w="120" w:type="dxa"/>
            <w:vAlign w:val="bottom"/>
            <w:tcBorders>
              <w:right w:val="single" w:sz="8" w:color="98B82F"/>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7"/>
        </w:trPr>
        <w:tc>
          <w:tcPr>
            <w:tcW w:w="320" w:type="dxa"/>
            <w:vAlign w:val="bottom"/>
            <w:tcBorders>
              <w:left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300" w:type="dxa"/>
            <w:vAlign w:val="bottom"/>
            <w:tcBorders>
              <w:bottom w:val="single" w:sz="8" w:color="98B82F"/>
            </w:tcBorders>
          </w:tcPr>
          <w:p>
            <w:pPr>
              <w:spacing w:after="0"/>
              <w:rPr>
                <w:sz w:val="4"/>
                <w:szCs w:val="4"/>
                <w:color w:val="auto"/>
              </w:rPr>
            </w:pPr>
          </w:p>
        </w:tc>
        <w:tc>
          <w:tcPr>
            <w:tcW w:w="540" w:type="dxa"/>
            <w:vAlign w:val="bottom"/>
            <w:tcBorders>
              <w:bottom w:val="single" w:sz="8" w:color="98B82F"/>
            </w:tcBorders>
            <w:gridSpan w:val="4"/>
          </w:tcPr>
          <w:p>
            <w:pPr>
              <w:spacing w:after="0"/>
              <w:rPr>
                <w:sz w:val="4"/>
                <w:szCs w:val="4"/>
                <w:color w:val="auto"/>
              </w:rPr>
            </w:pPr>
          </w:p>
        </w:tc>
        <w:tc>
          <w:tcPr>
            <w:tcW w:w="14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40" w:type="dxa"/>
            <w:vAlign w:val="bottom"/>
            <w:tcBorders>
              <w:bottom w:val="single" w:sz="8" w:color="98B82F"/>
            </w:tcBorders>
          </w:tcPr>
          <w:p>
            <w:pPr>
              <w:spacing w:after="0"/>
              <w:rPr>
                <w:sz w:val="4"/>
                <w:szCs w:val="4"/>
                <w:color w:val="auto"/>
              </w:rPr>
            </w:pPr>
          </w:p>
        </w:tc>
        <w:tc>
          <w:tcPr>
            <w:tcW w:w="260" w:type="dxa"/>
            <w:vAlign w:val="bottom"/>
            <w:tcBorders>
              <w:bottom w:val="single" w:sz="8" w:color="98B82F"/>
            </w:tcBorders>
          </w:tcPr>
          <w:p>
            <w:pPr>
              <w:spacing w:after="0"/>
              <w:rPr>
                <w:sz w:val="4"/>
                <w:szCs w:val="4"/>
                <w:color w:val="auto"/>
              </w:rPr>
            </w:pPr>
          </w:p>
        </w:tc>
        <w:tc>
          <w:tcPr>
            <w:tcW w:w="28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80" w:type="dxa"/>
            <w:vAlign w:val="bottom"/>
            <w:tcBorders>
              <w:bottom w:val="single" w:sz="8" w:color="98B82F"/>
            </w:tcBorders>
          </w:tcPr>
          <w:p>
            <w:pPr>
              <w:spacing w:after="0"/>
              <w:rPr>
                <w:sz w:val="4"/>
                <w:szCs w:val="4"/>
                <w:color w:val="auto"/>
              </w:rPr>
            </w:pPr>
          </w:p>
        </w:tc>
        <w:tc>
          <w:tcPr>
            <w:tcW w:w="500" w:type="dxa"/>
            <w:vAlign w:val="bottom"/>
            <w:tcBorders>
              <w:bottom w:val="single" w:sz="8" w:color="98B82F"/>
            </w:tcBorders>
            <w:gridSpan w:val="6"/>
          </w:tcPr>
          <w:p>
            <w:pPr>
              <w:spacing w:after="0"/>
              <w:rPr>
                <w:sz w:val="4"/>
                <w:szCs w:val="4"/>
                <w:color w:val="auto"/>
              </w:rPr>
            </w:pPr>
          </w:p>
        </w:tc>
        <w:tc>
          <w:tcPr>
            <w:tcW w:w="4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560" w:type="dxa"/>
            <w:vAlign w:val="bottom"/>
            <w:tcBorders>
              <w:bottom w:val="single" w:sz="8" w:color="98B82F"/>
            </w:tcBorders>
            <w:gridSpan w:val="6"/>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6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4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4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60" w:type="dxa"/>
            <w:vAlign w:val="bottom"/>
            <w:tcBorders>
              <w:bottom w:val="single" w:sz="8" w:color="98B82F"/>
            </w:tcBorders>
          </w:tcPr>
          <w:p>
            <w:pPr>
              <w:spacing w:after="0"/>
              <w:rPr>
                <w:sz w:val="4"/>
                <w:szCs w:val="4"/>
                <w:color w:val="auto"/>
              </w:rPr>
            </w:pPr>
          </w:p>
        </w:tc>
        <w:tc>
          <w:tcPr>
            <w:tcW w:w="180" w:type="dxa"/>
            <w:vAlign w:val="bottom"/>
            <w:tcBorders>
              <w:bottom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60" w:type="dxa"/>
            <w:vAlign w:val="bottom"/>
            <w:tcBorders>
              <w:bottom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22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8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60" w:type="dxa"/>
            <w:vAlign w:val="bottom"/>
            <w:tcBorders>
              <w:bottom w:val="single" w:sz="8" w:color="98B82F"/>
            </w:tcBorders>
          </w:tcPr>
          <w:p>
            <w:pPr>
              <w:spacing w:after="0"/>
              <w:rPr>
                <w:sz w:val="4"/>
                <w:szCs w:val="4"/>
                <w:color w:val="auto"/>
              </w:rPr>
            </w:pPr>
          </w:p>
        </w:tc>
        <w:tc>
          <w:tcPr>
            <w:tcW w:w="60" w:type="dxa"/>
            <w:vAlign w:val="bottom"/>
            <w:tcBorders>
              <w:bottom w:val="single" w:sz="8" w:color="98B82F"/>
            </w:tcBorders>
          </w:tcPr>
          <w:p>
            <w:pPr>
              <w:spacing w:after="0"/>
              <w:rPr>
                <w:sz w:val="4"/>
                <w:szCs w:val="4"/>
                <w:color w:val="auto"/>
              </w:rPr>
            </w:pPr>
          </w:p>
        </w:tc>
        <w:tc>
          <w:tcPr>
            <w:tcW w:w="60" w:type="dxa"/>
            <w:vAlign w:val="bottom"/>
            <w:tcBorders>
              <w:bottom w:val="single" w:sz="8" w:color="98B82F"/>
            </w:tcBorders>
          </w:tcPr>
          <w:p>
            <w:pPr>
              <w:spacing w:after="0"/>
              <w:rPr>
                <w:sz w:val="4"/>
                <w:szCs w:val="4"/>
                <w:color w:val="auto"/>
              </w:rPr>
            </w:pPr>
          </w:p>
        </w:tc>
        <w:tc>
          <w:tcPr>
            <w:tcW w:w="40" w:type="dxa"/>
            <w:vAlign w:val="bottom"/>
            <w:tcBorders>
              <w:bottom w:val="single" w:sz="8" w:color="98B82F"/>
            </w:tcBorders>
          </w:tcPr>
          <w:p>
            <w:pPr>
              <w:spacing w:after="0"/>
              <w:rPr>
                <w:sz w:val="4"/>
                <w:szCs w:val="4"/>
                <w:color w:val="auto"/>
              </w:rPr>
            </w:pPr>
          </w:p>
        </w:tc>
        <w:tc>
          <w:tcPr>
            <w:tcW w:w="8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2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00" w:type="dxa"/>
            <w:vAlign w:val="bottom"/>
            <w:tcBorders>
              <w:bottom w:val="single" w:sz="8" w:color="98B82F"/>
            </w:tcBorders>
          </w:tcPr>
          <w:p>
            <w:pPr>
              <w:spacing w:after="0"/>
              <w:rPr>
                <w:sz w:val="4"/>
                <w:szCs w:val="4"/>
                <w:color w:val="auto"/>
              </w:rPr>
            </w:pPr>
          </w:p>
        </w:tc>
        <w:tc>
          <w:tcPr>
            <w:tcW w:w="120" w:type="dxa"/>
            <w:vAlign w:val="bottom"/>
            <w:tcBorders>
              <w:bottom w:val="single" w:sz="8" w:color="98B82F"/>
              <w:right w:val="single" w:sz="8" w:color="98B82F"/>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1180" w:type="dxa"/>
            <w:vAlign w:val="bottom"/>
            <w:tcBorders>
              <w:left w:val="single" w:sz="8" w:color="98B82F"/>
            </w:tcBorders>
            <w:gridSpan w:val="7"/>
          </w:tcPr>
          <w:p>
            <w:pPr>
              <w:ind w:left="140"/>
              <w:spacing w:after="0" w:line="94" w:lineRule="exact"/>
              <w:rPr>
                <w:sz w:val="20"/>
                <w:szCs w:val="20"/>
                <w:color w:val="auto"/>
              </w:rPr>
            </w:pPr>
            <w:r>
              <w:rPr>
                <w:rFonts w:ascii="Arial" w:cs="Arial" w:eastAsia="Arial" w:hAnsi="Arial"/>
                <w:sz w:val="9"/>
                <w:szCs w:val="9"/>
                <w:b w:val="1"/>
                <w:bCs w:val="1"/>
                <w:color w:val="262626"/>
              </w:rPr>
              <w:t>Gender Identi y</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6"/>
          </w:tcPr>
          <w:p>
            <w:pPr>
              <w:jc w:val="center"/>
              <w:ind w:right="114"/>
              <w:spacing w:after="0" w:line="94" w:lineRule="exact"/>
              <w:rPr>
                <w:sz w:val="20"/>
                <w:szCs w:val="20"/>
                <w:color w:val="auto"/>
              </w:rPr>
            </w:pPr>
            <w:r>
              <w:rPr>
                <w:rFonts w:ascii="Arial" w:cs="Arial" w:eastAsia="Arial" w:hAnsi="Arial"/>
                <w:sz w:val="9"/>
                <w:szCs w:val="9"/>
                <w:b w:val="1"/>
                <w:bCs w:val="1"/>
                <w:color w:val="262626"/>
              </w:rPr>
              <w:t>Female</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6"/>
          </w:tcPr>
          <w:p>
            <w:pPr>
              <w:ind w:left="60"/>
              <w:spacing w:after="0" w:line="94" w:lineRule="exact"/>
              <w:rPr>
                <w:sz w:val="20"/>
                <w:szCs w:val="20"/>
                <w:color w:val="auto"/>
              </w:rPr>
            </w:pPr>
            <w:r>
              <w:rPr>
                <w:rFonts w:ascii="Arial" w:cs="Arial" w:eastAsia="Arial" w:hAnsi="Arial"/>
                <w:sz w:val="9"/>
                <w:szCs w:val="9"/>
                <w:b w:val="1"/>
                <w:bCs w:val="1"/>
                <w:color w:val="262626"/>
              </w:rPr>
              <w:t>Male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1"/>
                <w:szCs w:val="11"/>
                <w:color w:val="262626"/>
              </w:rPr>
              <w:t>94%</w:t>
            </w:r>
          </w:p>
        </w:tc>
        <w:tc>
          <w:tcPr>
            <w:tcW w:w="120" w:type="dxa"/>
            <w:vAlign w:val="bottom"/>
            <w:tcBorders>
              <w:right w:val="single" w:sz="8" w:color="98B82F"/>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20" w:type="dxa"/>
            <w:vAlign w:val="bottom"/>
            <w:tcBorders>
              <w:left w:val="single" w:sz="8" w:color="98B82F"/>
            </w:tcBorders>
          </w:tcPr>
          <w:p>
            <w:pPr>
              <w:spacing w:after="0"/>
              <w:rPr>
                <w:sz w:val="7"/>
                <w:szCs w:val="7"/>
                <w:color w:val="auto"/>
              </w:rPr>
            </w:pPr>
          </w:p>
        </w:tc>
        <w:tc>
          <w:tcPr>
            <w:tcW w:w="20" w:type="dxa"/>
            <w:vAlign w:val="bottom"/>
          </w:tcPr>
          <w:p>
            <w:pPr>
              <w:spacing w:after="0"/>
              <w:rPr>
                <w:sz w:val="7"/>
                <w:szCs w:val="7"/>
                <w:color w:val="auto"/>
              </w:rPr>
            </w:pPr>
          </w:p>
        </w:tc>
        <w:tc>
          <w:tcPr>
            <w:tcW w:w="4340" w:type="dxa"/>
            <w:vAlign w:val="bottom"/>
            <w:gridSpan w:val="39"/>
          </w:tcPr>
          <w:p>
            <w:pPr>
              <w:ind w:left="80"/>
              <w:spacing w:after="0" w:line="81" w:lineRule="exact"/>
              <w:rPr>
                <w:sz w:val="20"/>
                <w:szCs w:val="20"/>
                <w:color w:val="auto"/>
              </w:rPr>
            </w:pPr>
            <w:r>
              <w:rPr>
                <w:rFonts w:ascii="Arial" w:cs="Arial" w:eastAsia="Arial" w:hAnsi="Arial"/>
                <w:sz w:val="9"/>
                <w:szCs w:val="9"/>
                <w:color w:val="262626"/>
              </w:rPr>
              <w:t>Percentage of employees trained in 2020 on governance policies or procedures</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120" w:type="dxa"/>
            <w:vAlign w:val="bottom"/>
            <w:tcBorders>
              <w:right w:val="single" w:sz="8" w:color="98B82F"/>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98B82F"/>
            </w:tcBorders>
            <w:shd w:val="clear" w:color="auto" w:fill="98B82F"/>
          </w:tcPr>
          <w:p>
            <w:pPr>
              <w:spacing w:after="0" w:line="20" w:lineRule="exact"/>
              <w:rPr>
                <w:sz w:val="1"/>
                <w:szCs w:val="1"/>
                <w:color w:val="auto"/>
              </w:rPr>
            </w:pPr>
          </w:p>
        </w:tc>
        <w:tc>
          <w:tcPr>
            <w:tcW w:w="320" w:type="dxa"/>
            <w:vAlign w:val="bottom"/>
            <w:tcBorders>
              <w:right w:val="single" w:sz="8" w:color="98B82F"/>
            </w:tcBorders>
            <w:gridSpan w:val="2"/>
            <w:shd w:val="clear" w:color="auto" w:fill="98B82F"/>
          </w:tcPr>
          <w:p>
            <w:pPr>
              <w:spacing w:after="0" w:line="20" w:lineRule="exact"/>
              <w:rPr>
                <w:sz w:val="1"/>
                <w:szCs w:val="1"/>
                <w:color w:val="auto"/>
              </w:rPr>
            </w:pPr>
          </w:p>
        </w:tc>
        <w:tc>
          <w:tcPr>
            <w:tcW w:w="5160" w:type="dxa"/>
            <w:vAlign w:val="bottom"/>
            <w:gridSpan w:val="4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tcBorders>
              <w:left w:val="single" w:sz="8" w:color="98B82F"/>
            </w:tcBorders>
            <w:gridSpan w:val="52"/>
          </w:tcPr>
          <w:p>
            <w:pPr>
              <w:ind w:left="140"/>
              <w:spacing w:after="0" w:line="134" w:lineRule="exact"/>
              <w:rPr>
                <w:sz w:val="20"/>
                <w:szCs w:val="20"/>
                <w:color w:val="auto"/>
              </w:rPr>
            </w:pPr>
            <w:r>
              <w:rPr>
                <w:rFonts w:ascii="PMingLiU" w:cs="PMingLiU" w:eastAsia="PMingLiU" w:hAnsi="PMingLiU"/>
                <w:sz w:val="9"/>
                <w:szCs w:val="9"/>
                <w:color w:val="262626"/>
                <w:w w:val="75"/>
              </w:rPr>
              <w:t></w:t>
            </w:r>
            <w:r>
              <w:rPr>
                <w:rFonts w:ascii="Arial" w:cs="Arial" w:eastAsia="Arial" w:hAnsi="Arial"/>
                <w:sz w:val="9"/>
                <w:szCs w:val="9"/>
                <w:color w:val="262626"/>
                <w:w w:val="75"/>
              </w:rPr>
              <w:t>ÀiVÌ</w:t>
            </w:r>
            <w:r>
              <w:rPr>
                <w:rFonts w:ascii="PMingLiU" w:cs="PMingLiU" w:eastAsia="PMingLiU" w:hAnsi="PMingLiU"/>
                <w:sz w:val="9"/>
                <w:szCs w:val="9"/>
                <w:color w:val="262626"/>
                <w:w w:val="75"/>
              </w:rPr>
              <w:t></w:t>
            </w:r>
            <w:r>
              <w:rPr>
                <w:rFonts w:ascii="Arial" w:cs="Arial" w:eastAsia="Arial" w:hAnsi="Arial"/>
                <w:sz w:val="11"/>
                <w:szCs w:val="11"/>
                <w:color w:val="262626"/>
                <w:w w:val="75"/>
              </w:rPr>
              <w:t>Percentage</w:t>
            </w:r>
            <w:r>
              <w:rPr>
                <w:rFonts w:ascii="Arial" w:cs="Arial" w:eastAsia="Arial" w:hAnsi="Arial"/>
                <w:sz w:val="9"/>
                <w:szCs w:val="9"/>
                <w:color w:val="262626"/>
                <w:w w:val="75"/>
              </w:rPr>
              <w:t>ÀÃ</w:t>
            </w:r>
            <w:r>
              <w:rPr>
                <w:rFonts w:ascii="PMingLiU" w:cs="PMingLiU" w:eastAsia="PMingLiU" w:hAnsi="PMingLiU"/>
                <w:sz w:val="9"/>
                <w:szCs w:val="9"/>
                <w:color w:val="262626"/>
                <w:w w:val="75"/>
              </w:rPr>
              <w:t/>
            </w:r>
            <w:r>
              <w:rPr>
                <w:rFonts w:ascii="Arial" w:cs="Arial" w:eastAsia="Arial" w:hAnsi="Arial"/>
                <w:sz w:val="11"/>
                <w:szCs w:val="11"/>
                <w:b w:val="1"/>
                <w:bCs w:val="1"/>
                <w:color w:val="FFFFFF"/>
                <w:w w:val="75"/>
              </w:rPr>
              <w:t>+PHQTOCVKQP</w:t>
            </w:r>
            <w:r>
              <w:rPr>
                <w:rFonts w:ascii="Arial" w:cs="Arial" w:eastAsia="Arial" w:hAnsi="Arial"/>
                <w:sz w:val="11"/>
                <w:szCs w:val="11"/>
                <w:color w:val="262626"/>
                <w:w w:val="75"/>
              </w:rPr>
              <w:t>ofemployees</w:t>
            </w:r>
            <w:r>
              <w:rPr>
                <w:rFonts w:ascii="PMingLiU" w:cs="PMingLiU" w:eastAsia="PMingLiU" w:hAnsi="PMingLiU"/>
                <w:sz w:val="11"/>
                <w:szCs w:val="11"/>
                <w:b w:val="1"/>
                <w:bCs w:val="1"/>
                <w:color w:val="FFFFFF"/>
                <w:w w:val="75"/>
              </w:rPr>
              <w:t/>
            </w:r>
            <w:r>
              <w:rPr>
                <w:rFonts w:ascii="Arial" w:cs="Arial" w:eastAsia="Arial" w:hAnsi="Arial"/>
                <w:sz w:val="11"/>
                <w:szCs w:val="11"/>
                <w:b w:val="1"/>
                <w:bCs w:val="1"/>
                <w:color w:val="FFFFFF"/>
                <w:w w:val="75"/>
              </w:rPr>
              <w:t>&amp;CVC</w:t>
            </w:r>
            <w:r>
              <w:rPr>
                <w:rFonts w:ascii="Arial" w:cs="Arial" w:eastAsia="Arial" w:hAnsi="Arial"/>
                <w:sz w:val="11"/>
                <w:szCs w:val="11"/>
                <w:color w:val="262626"/>
                <w:w w:val="75"/>
              </w:rPr>
              <w:t>who</w:t>
            </w:r>
            <w:r>
              <w:rPr>
                <w:rFonts w:ascii="PMingLiU" w:cs="PMingLiU" w:eastAsia="PMingLiU" w:hAnsi="PMingLiU"/>
                <w:sz w:val="11"/>
                <w:szCs w:val="11"/>
                <w:b w:val="1"/>
                <w:bCs w:val="1"/>
                <w:color w:val="FFFFFF"/>
                <w:w w:val="75"/>
              </w:rPr>
              <w:t/>
            </w:r>
            <w:r>
              <w:rPr>
                <w:rFonts w:ascii="Arial" w:cs="Arial" w:eastAsia="Arial" w:hAnsi="Arial"/>
                <w:sz w:val="11"/>
                <w:szCs w:val="11"/>
                <w:b w:val="1"/>
                <w:bCs w:val="1"/>
                <w:color w:val="FFFFFF"/>
                <w:w w:val="75"/>
              </w:rPr>
              <w:t>5GEWTKV[</w:t>
            </w:r>
            <w:r>
              <w:rPr>
                <w:rFonts w:ascii="Arial" w:cs="Arial" w:eastAsia="Arial" w:hAnsi="Arial"/>
                <w:sz w:val="11"/>
                <w:szCs w:val="11"/>
                <w:color w:val="262626"/>
                <w:w w:val="75"/>
              </w:rPr>
              <w:t>acknowledge</w:t>
            </w:r>
            <w:r>
              <w:rPr>
                <w:rFonts w:ascii="PMingLiU" w:cs="PMingLiU" w:eastAsia="PMingLiU" w:hAnsi="PMingLiU"/>
                <w:sz w:val="11"/>
                <w:szCs w:val="11"/>
                <w:b w:val="1"/>
                <w:bCs w:val="1"/>
                <w:color w:val="FFFFFF"/>
                <w:w w:val="75"/>
              </w:rPr>
              <w:t/>
            </w:r>
            <w:r>
              <w:rPr>
                <w:rFonts w:ascii="Arial" w:cs="Arial" w:eastAsia="Arial" w:hAnsi="Arial"/>
                <w:sz w:val="11"/>
                <w:szCs w:val="11"/>
                <w:b w:val="1"/>
                <w:bCs w:val="1"/>
                <w:color w:val="FFFFFF"/>
                <w:w w:val="75"/>
              </w:rPr>
              <w:t>4GUWNVU</w:t>
            </w:r>
            <w:r>
              <w:rPr>
                <w:rFonts w:ascii="Arial" w:cs="Arial" w:eastAsia="Arial" w:hAnsi="Arial"/>
                <w:sz w:val="9"/>
                <w:szCs w:val="9"/>
                <w:color w:val="262626"/>
                <w:w w:val="75"/>
              </w:rPr>
              <w:t xml:space="preserve"> </w:t>
            </w:r>
            <w:r>
              <w:rPr>
                <w:rFonts w:ascii="Arial" w:cs="Arial" w:eastAsia="Arial" w:hAnsi="Arial"/>
                <w:sz w:val="11"/>
                <w:szCs w:val="11"/>
                <w:color w:val="262626"/>
                <w:w w:val="75"/>
              </w:rPr>
              <w:t>and</w:t>
            </w:r>
            <w:r>
              <w:rPr>
                <w:rFonts w:ascii="Arial" w:cs="Arial" w:eastAsia="Arial" w:hAnsi="Arial"/>
                <w:sz w:val="9"/>
                <w:szCs w:val="9"/>
                <w:color w:val="262626"/>
                <w:w w:val="75"/>
              </w:rPr>
              <w:t>£</w:t>
            </w:r>
            <w:r>
              <w:rPr>
                <w:rFonts w:ascii="PMingLiU" w:cs="PMingLiU" w:eastAsia="PMingLiU" w:hAnsi="PMingLiU"/>
                <w:sz w:val="9"/>
                <w:szCs w:val="9"/>
                <w:color w:val="262626"/>
                <w:w w:val="75"/>
              </w:rPr>
              <w:t/>
            </w:r>
            <w:r>
              <w:rPr>
                <w:rFonts w:ascii="Arial" w:cs="Arial" w:eastAsia="Arial" w:hAnsi="Arial"/>
                <w:sz w:val="9"/>
                <w:szCs w:val="9"/>
                <w:color w:val="262626"/>
                <w:w w:val="75"/>
              </w:rPr>
              <w:t xml:space="preserve"> </w:t>
            </w:r>
            <w:r>
              <w:rPr>
                <w:rFonts w:ascii="Arial" w:cs="Arial" w:eastAsia="Arial" w:hAnsi="Arial"/>
                <w:sz w:val="11"/>
                <w:szCs w:val="11"/>
                <w:color w:val="262626"/>
                <w:w w:val="75"/>
              </w:rPr>
              <w:t>are</w:t>
            </w:r>
            <w:r>
              <w:rPr>
                <w:rFonts w:ascii="Arial" w:cs="Arial" w:eastAsia="Arial" w:hAnsi="Arial"/>
                <w:sz w:val="9"/>
                <w:szCs w:val="9"/>
                <w:color w:val="262626"/>
                <w:w w:val="75"/>
              </w:rPr>
              <w:t xml:space="preserve"> trained </w:t>
            </w:r>
            <w:r>
              <w:rPr>
                <w:rFonts w:ascii="Arial" w:cs="Arial" w:eastAsia="Arial" w:hAnsi="Arial"/>
                <w:sz w:val="11"/>
                <w:szCs w:val="11"/>
                <w:color w:val="262626"/>
                <w:w w:val="75"/>
              </w:rPr>
              <w:t>in Code of Business Conduct and Ethics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Arial" w:cs="Arial" w:eastAsia="Arial" w:hAnsi="Arial"/>
                <w:sz w:val="11"/>
                <w:szCs w:val="11"/>
                <w:color w:val="262626"/>
              </w:rPr>
              <w:t>100%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20" w:type="dxa"/>
            <w:vAlign w:val="bottom"/>
            <w:tcBorders>
              <w:left w:val="single" w:sz="8" w:color="98B82F"/>
              <w:bottom w:val="single" w:sz="8" w:color="98B82F"/>
            </w:tcBorders>
          </w:tcPr>
          <w:p>
            <w:pPr>
              <w:spacing w:after="0"/>
              <w:rPr>
                <w:sz w:val="5"/>
                <w:szCs w:val="5"/>
                <w:color w:val="auto"/>
              </w:rPr>
            </w:pPr>
          </w:p>
        </w:tc>
        <w:tc>
          <w:tcPr>
            <w:tcW w:w="320" w:type="dxa"/>
            <w:vAlign w:val="bottom"/>
            <w:tcBorders>
              <w:top w:val="single" w:sz="8" w:color="98B82F"/>
              <w:bottom w:val="single" w:sz="8" w:color="98B82F"/>
            </w:tcBorders>
            <w:gridSpan w:val="2"/>
          </w:tcPr>
          <w:p>
            <w:pPr>
              <w:spacing w:after="0"/>
              <w:rPr>
                <w:sz w:val="5"/>
                <w:szCs w:val="5"/>
                <w:color w:val="auto"/>
              </w:rPr>
            </w:pPr>
          </w:p>
        </w:tc>
        <w:tc>
          <w:tcPr>
            <w:tcW w:w="6400" w:type="dxa"/>
            <w:vAlign w:val="bottom"/>
            <w:tcBorders>
              <w:bottom w:val="single" w:sz="8" w:color="98B82F"/>
            </w:tcBorders>
            <w:gridSpan w:val="6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640" w:type="dxa"/>
            <w:vAlign w:val="bottom"/>
            <w:tcBorders>
              <w:left w:val="single" w:sz="8" w:color="98B82F"/>
            </w:tcBorders>
            <w:gridSpan w:val="3"/>
            <w:vMerge w:val="restart"/>
          </w:tcPr>
          <w:p>
            <w:pPr>
              <w:ind w:left="140"/>
              <w:spacing w:after="0"/>
              <w:rPr>
                <w:sz w:val="20"/>
                <w:szCs w:val="20"/>
                <w:color w:val="auto"/>
              </w:rPr>
            </w:pPr>
            <w:r>
              <w:rPr>
                <w:rFonts w:ascii="Arial" w:cs="Arial" w:eastAsia="Arial" w:hAnsi="Arial"/>
                <w:sz w:val="9"/>
                <w:szCs w:val="9"/>
                <w:b w:val="1"/>
                <w:bCs w:val="1"/>
                <w:color w:val="262626"/>
                <w:w w:val="79"/>
              </w:rPr>
              <w:t>Demographic</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100" w:type="dxa"/>
            <w:vAlign w:val="bottom"/>
            <w:gridSpan w:val="38"/>
          </w:tcPr>
          <w:p>
            <w:pPr>
              <w:spacing w:after="0" w:line="92" w:lineRule="exact"/>
              <w:rPr>
                <w:sz w:val="20"/>
                <w:szCs w:val="20"/>
                <w:color w:val="auto"/>
              </w:rPr>
            </w:pPr>
            <w:r>
              <w:rPr>
                <w:rFonts w:ascii="Arial" w:cs="Arial" w:eastAsia="Arial" w:hAnsi="Arial"/>
                <w:sz w:val="10"/>
                <w:szCs w:val="10"/>
                <w:color w:val="262626"/>
              </w:rPr>
              <w:t>Total number of hours in 2020 devoted to training on data security policies</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right w:val="single" w:sz="8" w:color="98B82F"/>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right w:val="single" w:sz="8" w:color="98B82F"/>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640" w:type="dxa"/>
            <w:vAlign w:val="bottom"/>
            <w:tcBorders>
              <w:left w:val="single" w:sz="8" w:color="98B82F"/>
            </w:tcBorders>
            <w:gridSpan w:val="3"/>
            <w:vMerge w:val="continue"/>
          </w:tcPr>
          <w:p>
            <w:pPr>
              <w:spacing w:after="0"/>
              <w:rPr>
                <w:sz w:val="5"/>
                <w:szCs w:val="5"/>
                <w:color w:val="auto"/>
              </w:rPr>
            </w:pPr>
          </w:p>
        </w:tc>
        <w:tc>
          <w:tcPr>
            <w:tcW w:w="5340" w:type="dxa"/>
            <w:vAlign w:val="bottom"/>
            <w:tcBorders>
              <w:right w:val="single" w:sz="8" w:color="98B82F"/>
            </w:tcBorders>
            <w:gridSpan w:val="52"/>
          </w:tcPr>
          <w:p>
            <w:pPr>
              <w:spacing w:after="0"/>
              <w:rPr>
                <w:sz w:val="20"/>
                <w:szCs w:val="20"/>
                <w:color w:val="auto"/>
              </w:rPr>
            </w:pPr>
            <w:r>
              <w:rPr>
                <w:rFonts w:ascii="Arial" w:cs="Arial" w:eastAsia="Arial" w:hAnsi="Arial"/>
                <w:sz w:val="7"/>
                <w:szCs w:val="7"/>
                <w:b w:val="1"/>
                <w:bCs w:val="1"/>
                <w:color w:val="262626"/>
              </w:rPr>
              <w:t>Background</w:t>
            </w:r>
          </w:p>
        </w:tc>
        <w:tc>
          <w:tcPr>
            <w:tcW w:w="1060" w:type="dxa"/>
            <w:vAlign w:val="bottom"/>
            <w:tcBorders>
              <w:right w:val="single" w:sz="8" w:color="98B82F"/>
            </w:tcBorders>
            <w:gridSpan w:val="8"/>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20" w:type="dxa"/>
            <w:vAlign w:val="bottom"/>
            <w:tcBorders>
              <w:left w:val="single" w:sz="8" w:color="98B82F"/>
              <w:bottom w:val="single" w:sz="8" w:color="98B82F"/>
            </w:tcBorders>
          </w:tcPr>
          <w:p>
            <w:pPr>
              <w:spacing w:after="0"/>
              <w:rPr>
                <w:sz w:val="5"/>
                <w:szCs w:val="5"/>
                <w:color w:val="auto"/>
              </w:rPr>
            </w:pPr>
          </w:p>
        </w:tc>
        <w:tc>
          <w:tcPr>
            <w:tcW w:w="20" w:type="dxa"/>
            <w:vAlign w:val="bottom"/>
            <w:tcBorders>
              <w:bottom w:val="single" w:sz="8" w:color="98B82F"/>
            </w:tcBorders>
          </w:tcPr>
          <w:p>
            <w:pPr>
              <w:spacing w:after="0"/>
              <w:rPr>
                <w:sz w:val="5"/>
                <w:szCs w:val="5"/>
                <w:color w:val="auto"/>
              </w:rPr>
            </w:pPr>
          </w:p>
        </w:tc>
        <w:tc>
          <w:tcPr>
            <w:tcW w:w="300" w:type="dxa"/>
            <w:vAlign w:val="bottom"/>
            <w:tcBorders>
              <w:bottom w:val="single" w:sz="8" w:color="98B82F"/>
            </w:tcBorders>
          </w:tcPr>
          <w:p>
            <w:pPr>
              <w:spacing w:after="0"/>
              <w:rPr>
                <w:sz w:val="5"/>
                <w:szCs w:val="5"/>
                <w:color w:val="auto"/>
              </w:rPr>
            </w:pPr>
          </w:p>
        </w:tc>
        <w:tc>
          <w:tcPr>
            <w:tcW w:w="20" w:type="dxa"/>
            <w:vAlign w:val="bottom"/>
            <w:tcBorders>
              <w:bottom w:val="single" w:sz="8" w:color="98B82F"/>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6"/>
            <w:vMerge w:val="restart"/>
          </w:tcPr>
          <w:p>
            <w:pPr>
              <w:spacing w:after="0"/>
              <w:rPr>
                <w:sz w:val="20"/>
                <w:szCs w:val="20"/>
                <w:color w:val="auto"/>
              </w:rPr>
            </w:pPr>
            <w:r>
              <w:rPr>
                <w:rFonts w:ascii="Arial" w:cs="Arial" w:eastAsia="Arial" w:hAnsi="Arial"/>
                <w:sz w:val="12"/>
                <w:szCs w:val="12"/>
                <w:color w:val="262626"/>
              </w:rPr>
              <w:t>or procedures</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98B82F"/>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right w:val="single" w:sz="8" w:color="98B82F"/>
            </w:tcBorders>
            <w:gridSpan w:val="6"/>
            <w:vMerge w:val="restart"/>
          </w:tcPr>
          <w:p>
            <w:pPr>
              <w:ind w:left="20"/>
              <w:spacing w:after="0"/>
              <w:rPr>
                <w:sz w:val="20"/>
                <w:szCs w:val="20"/>
                <w:color w:val="auto"/>
              </w:rPr>
            </w:pPr>
            <w:r>
              <w:rPr>
                <w:rFonts w:ascii="Arial" w:cs="Arial" w:eastAsia="Arial" w:hAnsi="Arial"/>
                <w:sz w:val="12"/>
                <w:szCs w:val="12"/>
                <w:color w:val="262626"/>
              </w:rPr>
              <w:t>1,432 hours</w:t>
            </w:r>
          </w:p>
        </w:tc>
        <w:tc>
          <w:tcPr>
            <w:tcW w:w="2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40" w:type="dxa"/>
            <w:vAlign w:val="bottom"/>
            <w:tcBorders>
              <w:left w:val="single" w:sz="8" w:color="98B82F"/>
            </w:tcBorders>
            <w:gridSpan w:val="3"/>
            <w:vMerge w:val="restart"/>
          </w:tcPr>
          <w:p>
            <w:pPr>
              <w:ind w:left="140"/>
              <w:spacing w:after="0"/>
              <w:rPr>
                <w:sz w:val="20"/>
                <w:szCs w:val="20"/>
                <w:color w:val="auto"/>
              </w:rPr>
            </w:pPr>
            <w:r>
              <w:rPr>
                <w:rFonts w:ascii="Arial" w:cs="Arial" w:eastAsia="Arial" w:hAnsi="Arial"/>
                <w:sz w:val="9"/>
                <w:szCs w:val="9"/>
                <w:color w:val="262626"/>
              </w:rPr>
              <w:t>Asian</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right w:val="single" w:sz="8" w:color="98B82F"/>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Borders>
              <w:right w:val="single" w:sz="8" w:color="98B82F"/>
            </w:tcBorders>
            <w:gridSpan w:val="6"/>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640" w:type="dxa"/>
            <w:vAlign w:val="bottom"/>
            <w:tcBorders>
              <w:left w:val="single" w:sz="8" w:color="98B82F"/>
            </w:tcBorders>
            <w:gridSpan w:val="3"/>
            <w:vMerge w:val="continue"/>
          </w:tcPr>
          <w:p>
            <w:pPr>
              <w:spacing w:after="0"/>
              <w:rPr>
                <w:sz w:val="2"/>
                <w:szCs w:val="2"/>
                <w:color w:val="auto"/>
              </w:rPr>
            </w:pPr>
          </w:p>
        </w:tc>
        <w:tc>
          <w:tcPr>
            <w:tcW w:w="5340" w:type="dxa"/>
            <w:vAlign w:val="bottom"/>
            <w:tcBorders>
              <w:bottom w:val="single" w:sz="8" w:color="98B82F"/>
              <w:right w:val="single" w:sz="8" w:color="98B82F"/>
            </w:tcBorders>
            <w:gridSpan w:val="52"/>
          </w:tcPr>
          <w:p>
            <w:pPr>
              <w:spacing w:after="0"/>
              <w:rPr>
                <w:sz w:val="2"/>
                <w:szCs w:val="2"/>
                <w:color w:val="auto"/>
              </w:rPr>
            </w:pPr>
          </w:p>
        </w:tc>
        <w:tc>
          <w:tcPr>
            <w:tcW w:w="1060" w:type="dxa"/>
            <w:vAlign w:val="bottom"/>
            <w:tcBorders>
              <w:bottom w:val="single" w:sz="8" w:color="98B82F"/>
              <w:right w:val="single" w:sz="8" w:color="98B82F"/>
            </w:tcBorders>
            <w:gridSpan w:val="8"/>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640" w:type="dxa"/>
            <w:vAlign w:val="bottom"/>
            <w:tcBorders>
              <w:left w:val="single" w:sz="8" w:color="98B82F"/>
            </w:tcBorders>
            <w:gridSpan w:val="3"/>
            <w:vMerge w:val="continue"/>
          </w:tcPr>
          <w:p>
            <w:pPr>
              <w:spacing w:after="0"/>
              <w:rPr>
                <w:sz w:val="3"/>
                <w:szCs w:val="3"/>
                <w:color w:val="auto"/>
              </w:rPr>
            </w:pPr>
          </w:p>
        </w:tc>
        <w:tc>
          <w:tcPr>
            <w:tcW w:w="5340" w:type="dxa"/>
            <w:vAlign w:val="bottom"/>
            <w:tcBorders>
              <w:right w:val="single" w:sz="8" w:color="98B82F"/>
            </w:tcBorders>
            <w:gridSpan w:val="52"/>
          </w:tcPr>
          <w:p>
            <w:pPr>
              <w:jc w:val="right"/>
              <w:ind w:right="5289"/>
              <w:spacing w:after="0"/>
              <w:rPr>
                <w:sz w:val="20"/>
                <w:szCs w:val="20"/>
                <w:color w:val="auto"/>
              </w:rPr>
            </w:pPr>
            <w:r>
              <w:rPr>
                <w:rFonts w:ascii="Arial" w:cs="Arial" w:eastAsia="Arial" w:hAnsi="Arial"/>
                <w:sz w:val="4"/>
                <w:szCs w:val="4"/>
                <w:color w:val="262626"/>
              </w:rPr>
              <w:t>1</w:t>
            </w:r>
          </w:p>
        </w:tc>
        <w:tc>
          <w:tcPr>
            <w:tcW w:w="1060" w:type="dxa"/>
            <w:vAlign w:val="bottom"/>
            <w:tcBorders>
              <w:right w:val="single" w:sz="8" w:color="98B82F"/>
            </w:tcBorders>
            <w:gridSpan w:val="8"/>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320" w:type="dxa"/>
            <w:vAlign w:val="bottom"/>
            <w:tcBorders>
              <w:left w:val="single" w:sz="8" w:color="98B82F"/>
              <w:bottom w:val="single" w:sz="8" w:color="98B82F"/>
            </w:tcBorders>
          </w:tcPr>
          <w:p>
            <w:pPr>
              <w:spacing w:after="0"/>
              <w:rPr>
                <w:sz w:val="7"/>
                <w:szCs w:val="7"/>
                <w:color w:val="auto"/>
              </w:rPr>
            </w:pPr>
          </w:p>
        </w:tc>
        <w:tc>
          <w:tcPr>
            <w:tcW w:w="20" w:type="dxa"/>
            <w:vAlign w:val="bottom"/>
            <w:tcBorders>
              <w:bottom w:val="single" w:sz="8" w:color="98B82F"/>
            </w:tcBorders>
          </w:tcPr>
          <w:p>
            <w:pPr>
              <w:spacing w:after="0"/>
              <w:rPr>
                <w:sz w:val="7"/>
                <w:szCs w:val="7"/>
                <w:color w:val="auto"/>
              </w:rPr>
            </w:pPr>
          </w:p>
        </w:tc>
        <w:tc>
          <w:tcPr>
            <w:tcW w:w="300" w:type="dxa"/>
            <w:vAlign w:val="bottom"/>
            <w:tcBorders>
              <w:bottom w:val="single" w:sz="8" w:color="98B82F"/>
            </w:tcBorders>
          </w:tcPr>
          <w:p>
            <w:pPr>
              <w:spacing w:after="0"/>
              <w:rPr>
                <w:sz w:val="7"/>
                <w:szCs w:val="7"/>
                <w:color w:val="auto"/>
              </w:rPr>
            </w:pPr>
          </w:p>
        </w:tc>
        <w:tc>
          <w:tcPr>
            <w:tcW w:w="20" w:type="dxa"/>
            <w:vAlign w:val="bottom"/>
            <w:tcBorders>
              <w:bottom w:val="single" w:sz="8" w:color="98B82F"/>
            </w:tcBorders>
          </w:tcPr>
          <w:p>
            <w:pPr>
              <w:spacing w:after="0"/>
              <w:rPr>
                <w:sz w:val="7"/>
                <w:szCs w:val="7"/>
                <w:color w:val="auto"/>
              </w:rPr>
            </w:pPr>
          </w:p>
        </w:tc>
        <w:tc>
          <w:tcPr>
            <w:tcW w:w="120" w:type="dxa"/>
            <w:vAlign w:val="bottom"/>
          </w:tcPr>
          <w:p>
            <w:pPr>
              <w:spacing w:after="0"/>
              <w:rPr>
                <w:sz w:val="7"/>
                <w:szCs w:val="7"/>
                <w:color w:val="auto"/>
              </w:rPr>
            </w:pPr>
          </w:p>
        </w:tc>
        <w:tc>
          <w:tcPr>
            <w:tcW w:w="3900" w:type="dxa"/>
            <w:vAlign w:val="bottom"/>
            <w:gridSpan w:val="36"/>
          </w:tcPr>
          <w:p>
            <w:pPr>
              <w:spacing w:after="0" w:line="91" w:lineRule="exact"/>
              <w:rPr>
                <w:sz w:val="20"/>
                <w:szCs w:val="20"/>
                <w:color w:val="auto"/>
              </w:rPr>
            </w:pPr>
            <w:r>
              <w:rPr>
                <w:rFonts w:ascii="Arial" w:cs="Arial" w:eastAsia="Arial" w:hAnsi="Arial"/>
                <w:sz w:val="10"/>
                <w:szCs w:val="10"/>
                <w:color w:val="262626"/>
              </w:rPr>
              <w:t>Percentage of employees trained during 2020 on data security policies</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right w:val="single" w:sz="8" w:color="98B82F"/>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right w:val="single" w:sz="8" w:color="98B82F"/>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640" w:type="dxa"/>
            <w:vAlign w:val="bottom"/>
            <w:tcBorders>
              <w:left w:val="single" w:sz="8" w:color="98B82F"/>
            </w:tcBorders>
            <w:gridSpan w:val="3"/>
          </w:tcPr>
          <w:p>
            <w:pPr>
              <w:ind w:left="140"/>
              <w:spacing w:after="0"/>
              <w:rPr>
                <w:sz w:val="20"/>
                <w:szCs w:val="20"/>
                <w:color w:val="auto"/>
              </w:rPr>
            </w:pPr>
            <w:r>
              <w:rPr>
                <w:rFonts w:ascii="Arial" w:cs="Arial" w:eastAsia="Arial" w:hAnsi="Arial"/>
                <w:sz w:val="9"/>
                <w:szCs w:val="9"/>
                <w:color w:val="262626"/>
              </w:rPr>
              <w:t>White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6"/>
          </w:tcPr>
          <w:p>
            <w:pPr>
              <w:spacing w:after="0"/>
              <w:rPr>
                <w:sz w:val="20"/>
                <w:szCs w:val="20"/>
                <w:color w:val="auto"/>
              </w:rPr>
            </w:pPr>
            <w:r>
              <w:rPr>
                <w:rFonts w:ascii="Arial" w:cs="Arial" w:eastAsia="Arial" w:hAnsi="Arial"/>
                <w:sz w:val="12"/>
                <w:szCs w:val="12"/>
                <w:color w:val="262626"/>
              </w:rPr>
              <w:t>or procedures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3"/>
          </w:tcPr>
          <w:p>
            <w:pPr>
              <w:ind w:left="140"/>
              <w:spacing w:after="0"/>
              <w:rPr>
                <w:sz w:val="20"/>
                <w:szCs w:val="20"/>
                <w:color w:val="auto"/>
              </w:rPr>
            </w:pPr>
            <w:r>
              <w:rPr>
                <w:rFonts w:ascii="Arial" w:cs="Arial" w:eastAsia="Arial" w:hAnsi="Arial"/>
                <w:sz w:val="9"/>
                <w:szCs w:val="9"/>
                <w:color w:val="262626"/>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jc w:val="center"/>
              <w:ind w:left="82"/>
              <w:spacing w:after="0"/>
              <w:rPr>
                <w:sz w:val="20"/>
                <w:szCs w:val="20"/>
                <w:color w:val="auto"/>
              </w:rPr>
            </w:pPr>
            <w:r>
              <w:rPr>
                <w:rFonts w:ascii="Arial" w:cs="Arial" w:eastAsia="Arial" w:hAnsi="Arial"/>
                <w:sz w:val="9"/>
                <w:szCs w:val="9"/>
                <w:color w:val="262626"/>
              </w:rPr>
              <w:t>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98B82F"/>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3"/>
          </w:tcPr>
          <w:p>
            <w:pPr>
              <w:ind w:left="20"/>
              <w:spacing w:after="0"/>
              <w:rPr>
                <w:sz w:val="20"/>
                <w:szCs w:val="20"/>
                <w:color w:val="auto"/>
              </w:rPr>
            </w:pPr>
            <w:r>
              <w:rPr>
                <w:rFonts w:ascii="Arial" w:cs="Arial" w:eastAsia="Arial" w:hAnsi="Arial"/>
                <w:sz w:val="12"/>
                <w:szCs w:val="12"/>
                <w:color w:val="262626"/>
              </w:rPr>
              <w:t>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98B82F"/>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320" w:type="dxa"/>
            <w:vAlign w:val="bottom"/>
            <w:tcBorders>
              <w:left w:val="single" w:sz="8" w:color="98B82F"/>
            </w:tcBorders>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4100" w:type="dxa"/>
            <w:vAlign w:val="bottom"/>
            <w:tcBorders>
              <w:bottom w:val="single" w:sz="8" w:color="98B82F"/>
            </w:tcBorders>
            <w:gridSpan w:val="38"/>
          </w:tcPr>
          <w:p>
            <w:pPr>
              <w:spacing w:after="0"/>
              <w:rPr>
                <w:sz w:val="2"/>
                <w:szCs w:val="2"/>
                <w:color w:val="auto"/>
              </w:rPr>
            </w:pPr>
          </w:p>
        </w:tc>
        <w:tc>
          <w:tcPr>
            <w:tcW w:w="60" w:type="dxa"/>
            <w:vAlign w:val="bottom"/>
            <w:tcBorders>
              <w:bottom w:val="single" w:sz="8" w:color="98B82F"/>
            </w:tcBorders>
          </w:tcPr>
          <w:p>
            <w:pPr>
              <w:spacing w:after="0"/>
              <w:rPr>
                <w:sz w:val="2"/>
                <w:szCs w:val="2"/>
                <w:color w:val="auto"/>
              </w:rPr>
            </w:pPr>
          </w:p>
        </w:tc>
        <w:tc>
          <w:tcPr>
            <w:tcW w:w="20" w:type="dxa"/>
            <w:vAlign w:val="bottom"/>
            <w:tcBorders>
              <w:bottom w:val="single" w:sz="8" w:color="98B82F"/>
            </w:tcBorders>
          </w:tcPr>
          <w:p>
            <w:pPr>
              <w:spacing w:after="0"/>
              <w:rPr>
                <w:sz w:val="2"/>
                <w:szCs w:val="2"/>
                <w:color w:val="auto"/>
              </w:rPr>
            </w:pPr>
          </w:p>
        </w:tc>
        <w:tc>
          <w:tcPr>
            <w:tcW w:w="220" w:type="dxa"/>
            <w:vAlign w:val="bottom"/>
            <w:tcBorders>
              <w:bottom w:val="single" w:sz="8" w:color="98B82F"/>
            </w:tcBorders>
          </w:tcPr>
          <w:p>
            <w:pPr>
              <w:spacing w:after="0"/>
              <w:rPr>
                <w:sz w:val="2"/>
                <w:szCs w:val="2"/>
                <w:color w:val="auto"/>
              </w:rPr>
            </w:pPr>
          </w:p>
        </w:tc>
        <w:tc>
          <w:tcPr>
            <w:tcW w:w="100" w:type="dxa"/>
            <w:vAlign w:val="bottom"/>
            <w:tcBorders>
              <w:bottom w:val="single" w:sz="8" w:color="98B82F"/>
            </w:tcBorders>
          </w:tcPr>
          <w:p>
            <w:pPr>
              <w:spacing w:after="0"/>
              <w:rPr>
                <w:sz w:val="2"/>
                <w:szCs w:val="2"/>
                <w:color w:val="auto"/>
              </w:rPr>
            </w:pPr>
          </w:p>
        </w:tc>
        <w:tc>
          <w:tcPr>
            <w:tcW w:w="80" w:type="dxa"/>
            <w:vAlign w:val="bottom"/>
            <w:tcBorders>
              <w:bottom w:val="single" w:sz="8" w:color="98B82F"/>
            </w:tcBorders>
          </w:tcPr>
          <w:p>
            <w:pPr>
              <w:spacing w:after="0"/>
              <w:rPr>
                <w:sz w:val="2"/>
                <w:szCs w:val="2"/>
                <w:color w:val="auto"/>
              </w:rPr>
            </w:pPr>
          </w:p>
        </w:tc>
        <w:tc>
          <w:tcPr>
            <w:tcW w:w="10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160" w:type="dxa"/>
            <w:vAlign w:val="bottom"/>
            <w:tcBorders>
              <w:bottom w:val="single" w:sz="8" w:color="98B82F"/>
            </w:tcBorders>
          </w:tcPr>
          <w:p>
            <w:pPr>
              <w:spacing w:after="0"/>
              <w:rPr>
                <w:sz w:val="2"/>
                <w:szCs w:val="2"/>
                <w:color w:val="auto"/>
              </w:rPr>
            </w:pPr>
          </w:p>
        </w:tc>
        <w:tc>
          <w:tcPr>
            <w:tcW w:w="60" w:type="dxa"/>
            <w:vAlign w:val="bottom"/>
            <w:tcBorders>
              <w:bottom w:val="single" w:sz="8" w:color="98B82F"/>
            </w:tcBorders>
          </w:tcPr>
          <w:p>
            <w:pPr>
              <w:spacing w:after="0"/>
              <w:rPr>
                <w:sz w:val="2"/>
                <w:szCs w:val="2"/>
                <w:color w:val="auto"/>
              </w:rPr>
            </w:pPr>
          </w:p>
        </w:tc>
        <w:tc>
          <w:tcPr>
            <w:tcW w:w="60" w:type="dxa"/>
            <w:vAlign w:val="bottom"/>
            <w:tcBorders>
              <w:bottom w:val="single" w:sz="8" w:color="98B82F"/>
            </w:tcBorders>
          </w:tcPr>
          <w:p>
            <w:pPr>
              <w:spacing w:after="0"/>
              <w:rPr>
                <w:sz w:val="2"/>
                <w:szCs w:val="2"/>
                <w:color w:val="auto"/>
              </w:rPr>
            </w:pPr>
          </w:p>
        </w:tc>
        <w:tc>
          <w:tcPr>
            <w:tcW w:w="40" w:type="dxa"/>
            <w:vAlign w:val="bottom"/>
            <w:tcBorders>
              <w:bottom w:val="single" w:sz="8" w:color="98B82F"/>
            </w:tcBorders>
          </w:tcPr>
          <w:p>
            <w:pPr>
              <w:spacing w:after="0"/>
              <w:rPr>
                <w:sz w:val="2"/>
                <w:szCs w:val="2"/>
                <w:color w:val="auto"/>
              </w:rPr>
            </w:pPr>
          </w:p>
        </w:tc>
        <w:tc>
          <w:tcPr>
            <w:tcW w:w="80" w:type="dxa"/>
            <w:vAlign w:val="bottom"/>
            <w:tcBorders>
              <w:bottom w:val="single" w:sz="8" w:color="98B82F"/>
              <w:right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100" w:type="dxa"/>
            <w:vAlign w:val="bottom"/>
            <w:tcBorders>
              <w:bottom w:val="single" w:sz="8" w:color="98B82F"/>
            </w:tcBorders>
          </w:tcPr>
          <w:p>
            <w:pPr>
              <w:spacing w:after="0"/>
              <w:rPr>
                <w:sz w:val="2"/>
                <w:szCs w:val="2"/>
                <w:color w:val="auto"/>
              </w:rPr>
            </w:pPr>
          </w:p>
        </w:tc>
        <w:tc>
          <w:tcPr>
            <w:tcW w:w="100" w:type="dxa"/>
            <w:vAlign w:val="bottom"/>
            <w:tcBorders>
              <w:bottom w:val="single" w:sz="8" w:color="98B82F"/>
            </w:tcBorders>
          </w:tcPr>
          <w:p>
            <w:pPr>
              <w:spacing w:after="0"/>
              <w:rPr>
                <w:sz w:val="2"/>
                <w:szCs w:val="2"/>
                <w:color w:val="auto"/>
              </w:rPr>
            </w:pPr>
          </w:p>
        </w:tc>
        <w:tc>
          <w:tcPr>
            <w:tcW w:w="120" w:type="dxa"/>
            <w:vAlign w:val="bottom"/>
            <w:tcBorders>
              <w:bottom w:val="single" w:sz="8" w:color="98B82F"/>
            </w:tcBorders>
          </w:tcPr>
          <w:p>
            <w:pPr>
              <w:spacing w:after="0"/>
              <w:rPr>
                <w:sz w:val="2"/>
                <w:szCs w:val="2"/>
                <w:color w:val="auto"/>
              </w:rPr>
            </w:pPr>
          </w:p>
        </w:tc>
        <w:tc>
          <w:tcPr>
            <w:tcW w:w="280" w:type="dxa"/>
            <w:vAlign w:val="bottom"/>
            <w:tcBorders>
              <w:bottom w:val="single" w:sz="8" w:color="98B82F"/>
            </w:tcBorders>
          </w:tcPr>
          <w:p>
            <w:pPr>
              <w:spacing w:after="0"/>
              <w:rPr>
                <w:sz w:val="2"/>
                <w:szCs w:val="2"/>
                <w:color w:val="auto"/>
              </w:rPr>
            </w:pPr>
          </w:p>
        </w:tc>
        <w:tc>
          <w:tcPr>
            <w:tcW w:w="100" w:type="dxa"/>
            <w:vAlign w:val="bottom"/>
            <w:tcBorders>
              <w:bottom w:val="single" w:sz="8" w:color="98B82F"/>
              <w:right w:val="single" w:sz="8" w:color="98B82F"/>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Borders>
              <w:left w:val="single" w:sz="8" w:color="98B82F"/>
              <w:bottom w:val="single" w:sz="8" w:color="98B82F"/>
            </w:tcBorders>
          </w:tcPr>
          <w:p>
            <w:pPr>
              <w:spacing w:after="0" w:line="20" w:lineRule="exact"/>
              <w:rPr>
                <w:sz w:val="1"/>
                <w:szCs w:val="1"/>
                <w:color w:val="auto"/>
              </w:rPr>
            </w:pPr>
          </w:p>
        </w:tc>
        <w:tc>
          <w:tcPr>
            <w:tcW w:w="20" w:type="dxa"/>
            <w:vAlign w:val="bottom"/>
            <w:tcBorders>
              <w:bottom w:val="single" w:sz="8" w:color="98B82F"/>
            </w:tcBorders>
          </w:tcPr>
          <w:p>
            <w:pPr>
              <w:spacing w:after="0" w:line="20" w:lineRule="exact"/>
              <w:rPr>
                <w:sz w:val="1"/>
                <w:szCs w:val="1"/>
                <w:color w:val="auto"/>
              </w:rPr>
            </w:pPr>
          </w:p>
        </w:tc>
        <w:tc>
          <w:tcPr>
            <w:tcW w:w="300" w:type="dxa"/>
            <w:vAlign w:val="bottom"/>
            <w:tcBorders>
              <w:bottom w:val="single" w:sz="8" w:color="98B82F"/>
            </w:tcBorders>
          </w:tcPr>
          <w:p>
            <w:pPr>
              <w:spacing w:after="0" w:line="20" w:lineRule="exact"/>
              <w:rPr>
                <w:sz w:val="1"/>
                <w:szCs w:val="1"/>
                <w:color w:val="auto"/>
              </w:rPr>
            </w:pPr>
          </w:p>
        </w:tc>
        <w:tc>
          <w:tcPr>
            <w:tcW w:w="20" w:type="dxa"/>
            <w:vAlign w:val="bottom"/>
            <w:tcBorders>
              <w:bottom w:val="single" w:sz="8" w:color="98B82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38"/>
            <w:vMerge w:val="restart"/>
          </w:tcPr>
          <w:p>
            <w:pPr>
              <w:spacing w:after="0"/>
              <w:rPr>
                <w:sz w:val="20"/>
                <w:szCs w:val="20"/>
                <w:color w:val="auto"/>
              </w:rPr>
            </w:pPr>
            <w:r>
              <w:rPr>
                <w:rFonts w:ascii="Arial" w:cs="Arial" w:eastAsia="Arial" w:hAnsi="Arial"/>
                <w:sz w:val="12"/>
                <w:szCs w:val="12"/>
                <w:color w:val="262626"/>
              </w:rPr>
              <w:t>Total amount of monetary losses as a result of legal proceedings associated</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98B82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98B82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 w:type="dxa"/>
            <w:vAlign w:val="bottom"/>
            <w:tcBorders>
              <w:left w:val="single" w:sz="8" w:color="98B82F"/>
            </w:tcBorders>
            <w:gridSpan w:val="3"/>
          </w:tcPr>
          <w:p>
            <w:pPr>
              <w:ind w:left="140"/>
              <w:spacing w:after="0"/>
              <w:rPr>
                <w:sz w:val="20"/>
                <w:szCs w:val="20"/>
                <w:color w:val="auto"/>
              </w:rPr>
            </w:pPr>
            <w:r>
              <w:rPr>
                <w:rFonts w:ascii="Arial" w:cs="Arial" w:eastAsia="Arial" w:hAnsi="Arial"/>
                <w:sz w:val="9"/>
                <w:szCs w:val="9"/>
                <w:b w:val="1"/>
                <w:bCs w:val="1"/>
                <w:color w:val="262626"/>
                <w:w w:val="98"/>
              </w:rPr>
              <w:t>Age Group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00" w:type="dxa"/>
            <w:vAlign w:val="bottom"/>
            <w:gridSpan w:val="38"/>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98B82F"/>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right w:val="single" w:sz="8" w:color="98B82F"/>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60" w:type="dxa"/>
            <w:vAlign w:val="bottom"/>
            <w:tcBorders>
              <w:left w:val="single" w:sz="8" w:color="98B82F"/>
              <w:bottom w:val="single" w:sz="8" w:color="98B82F"/>
            </w:tcBorders>
            <w:gridSpan w:val="4"/>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6"/>
            <w:vMerge w:val="restart"/>
          </w:tcPr>
          <w:p>
            <w:pPr>
              <w:spacing w:after="0"/>
              <w:rPr>
                <w:sz w:val="20"/>
                <w:szCs w:val="20"/>
                <w:color w:val="auto"/>
              </w:rPr>
            </w:pPr>
            <w:r>
              <w:rPr>
                <w:rFonts w:ascii="Arial" w:cs="Arial" w:eastAsia="Arial" w:hAnsi="Arial"/>
                <w:sz w:val="12"/>
                <w:szCs w:val="12"/>
                <w:color w:val="262626"/>
                <w:w w:val="96"/>
              </w:rPr>
              <w:t>with user privacy</w:t>
            </w:r>
          </w:p>
        </w:tc>
        <w:tc>
          <w:tcPr>
            <w:tcW w:w="4320" w:type="dxa"/>
            <w:vAlign w:val="bottom"/>
            <w:tcBorders>
              <w:right w:val="single" w:sz="8" w:color="98B82F"/>
            </w:tcBorders>
            <w:gridSpan w:val="44"/>
          </w:tcPr>
          <w:p>
            <w:pPr>
              <w:spacing w:after="0"/>
              <w:rPr>
                <w:sz w:val="7"/>
                <w:szCs w:val="7"/>
                <w:color w:val="auto"/>
              </w:rPr>
            </w:pPr>
          </w:p>
        </w:tc>
        <w:tc>
          <w:tcPr>
            <w:tcW w:w="240" w:type="dxa"/>
            <w:vAlign w:val="bottom"/>
            <w:gridSpan w:val="2"/>
          </w:tcPr>
          <w:p>
            <w:pPr>
              <w:spacing w:after="0"/>
              <w:rPr>
                <w:sz w:val="7"/>
                <w:szCs w:val="7"/>
                <w:color w:val="auto"/>
              </w:rPr>
            </w:pPr>
          </w:p>
        </w:tc>
        <w:tc>
          <w:tcPr>
            <w:tcW w:w="320" w:type="dxa"/>
            <w:vAlign w:val="bottom"/>
            <w:gridSpan w:val="3"/>
            <w:vMerge w:val="restart"/>
          </w:tcPr>
          <w:p>
            <w:pPr>
              <w:ind w:left="20"/>
              <w:spacing w:after="0"/>
              <w:rPr>
                <w:sz w:val="20"/>
                <w:szCs w:val="20"/>
                <w:color w:val="auto"/>
              </w:rPr>
            </w:pPr>
            <w:r>
              <w:rPr>
                <w:rFonts w:ascii="Arial" w:cs="Arial" w:eastAsia="Arial" w:hAnsi="Arial"/>
                <w:sz w:val="12"/>
                <w:szCs w:val="12"/>
                <w:color w:val="262626"/>
              </w:rPr>
              <w:t>Zero</w:t>
            </w:r>
          </w:p>
        </w:tc>
        <w:tc>
          <w:tcPr>
            <w:tcW w:w="500" w:type="dxa"/>
            <w:vAlign w:val="bottom"/>
            <w:tcBorders>
              <w:right w:val="single" w:sz="8" w:color="98B82F"/>
            </w:tcBorders>
            <w:gridSpan w:val="3"/>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780" w:type="dxa"/>
            <w:vAlign w:val="bottom"/>
            <w:tcBorders>
              <w:left w:val="single" w:sz="8" w:color="98B82F"/>
            </w:tcBorders>
            <w:gridSpan w:val="5"/>
          </w:tcPr>
          <w:p>
            <w:pPr>
              <w:spacing w:after="0"/>
              <w:rPr>
                <w:sz w:val="4"/>
                <w:szCs w:val="4"/>
                <w:color w:val="auto"/>
              </w:rPr>
            </w:pPr>
          </w:p>
        </w:tc>
        <w:tc>
          <w:tcPr>
            <w:tcW w:w="880" w:type="dxa"/>
            <w:vAlign w:val="bottom"/>
            <w:gridSpan w:val="6"/>
            <w:vMerge w:val="continue"/>
          </w:tcPr>
          <w:p>
            <w:pPr>
              <w:spacing w:after="0"/>
              <w:rPr>
                <w:sz w:val="4"/>
                <w:szCs w:val="4"/>
                <w:color w:val="auto"/>
              </w:rPr>
            </w:pPr>
          </w:p>
        </w:tc>
        <w:tc>
          <w:tcPr>
            <w:tcW w:w="4320" w:type="dxa"/>
            <w:vAlign w:val="bottom"/>
            <w:tcBorders>
              <w:right w:val="single" w:sz="8" w:color="98B82F"/>
            </w:tcBorders>
            <w:gridSpan w:val="44"/>
          </w:tcPr>
          <w:p>
            <w:pPr>
              <w:spacing w:after="0"/>
              <w:rPr>
                <w:sz w:val="4"/>
                <w:szCs w:val="4"/>
                <w:color w:val="auto"/>
              </w:rPr>
            </w:pPr>
          </w:p>
        </w:tc>
        <w:tc>
          <w:tcPr>
            <w:tcW w:w="240" w:type="dxa"/>
            <w:vAlign w:val="bottom"/>
            <w:gridSpan w:val="2"/>
          </w:tcPr>
          <w:p>
            <w:pPr>
              <w:spacing w:after="0"/>
              <w:rPr>
                <w:sz w:val="4"/>
                <w:szCs w:val="4"/>
                <w:color w:val="auto"/>
              </w:rPr>
            </w:pPr>
          </w:p>
        </w:tc>
        <w:tc>
          <w:tcPr>
            <w:tcW w:w="320" w:type="dxa"/>
            <w:vAlign w:val="bottom"/>
            <w:gridSpan w:val="3"/>
            <w:vMerge w:val="continue"/>
          </w:tcPr>
          <w:p>
            <w:pPr>
              <w:spacing w:after="0"/>
              <w:rPr>
                <w:sz w:val="4"/>
                <w:szCs w:val="4"/>
                <w:color w:val="auto"/>
              </w:rPr>
            </w:pPr>
          </w:p>
        </w:tc>
        <w:tc>
          <w:tcPr>
            <w:tcW w:w="500" w:type="dxa"/>
            <w:vAlign w:val="bottom"/>
            <w:tcBorders>
              <w:right w:val="single" w:sz="8" w:color="98B82F"/>
            </w:tcBorders>
            <w:gridSpan w:val="3"/>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640" w:type="dxa"/>
            <w:vAlign w:val="bottom"/>
            <w:tcBorders>
              <w:left w:val="single" w:sz="8" w:color="98B82F"/>
            </w:tcBorders>
            <w:gridSpan w:val="3"/>
          </w:tcPr>
          <w:p>
            <w:pPr>
              <w:spacing w:after="0"/>
              <w:rPr>
                <w:sz w:val="2"/>
                <w:szCs w:val="2"/>
                <w:color w:val="auto"/>
              </w:rPr>
            </w:pPr>
          </w:p>
        </w:tc>
        <w:tc>
          <w:tcPr>
            <w:tcW w:w="5340" w:type="dxa"/>
            <w:vAlign w:val="bottom"/>
            <w:tcBorders>
              <w:bottom w:val="single" w:sz="8" w:color="98B82F"/>
              <w:right w:val="single" w:sz="8" w:color="98B82F"/>
            </w:tcBorders>
            <w:gridSpan w:val="52"/>
          </w:tcPr>
          <w:p>
            <w:pPr>
              <w:spacing w:after="0"/>
              <w:rPr>
                <w:sz w:val="2"/>
                <w:szCs w:val="2"/>
                <w:color w:val="auto"/>
              </w:rPr>
            </w:pPr>
          </w:p>
        </w:tc>
        <w:tc>
          <w:tcPr>
            <w:tcW w:w="1060" w:type="dxa"/>
            <w:vAlign w:val="bottom"/>
            <w:tcBorders>
              <w:bottom w:val="single" w:sz="8" w:color="98B82F"/>
              <w:right w:val="single" w:sz="8" w:color="98B82F"/>
            </w:tcBorders>
            <w:gridSpan w:val="8"/>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3380" w:type="dxa"/>
            <w:vAlign w:val="bottom"/>
            <w:tcBorders>
              <w:left w:val="single" w:sz="8" w:color="98B82F"/>
            </w:tcBorders>
            <w:gridSpan w:val="25"/>
          </w:tcPr>
          <w:p>
            <w:pPr>
              <w:ind w:left="140"/>
              <w:spacing w:after="0" w:line="57" w:lineRule="exact"/>
              <w:rPr>
                <w:sz w:val="20"/>
                <w:szCs w:val="20"/>
                <w:color w:val="auto"/>
              </w:rPr>
            </w:pPr>
            <w:r>
              <w:rPr>
                <w:rFonts w:ascii="Arial" w:cs="Arial" w:eastAsia="Arial" w:hAnsi="Arial"/>
                <w:sz w:val="6"/>
                <w:szCs w:val="6"/>
                <w:color w:val="262626"/>
              </w:rPr>
              <w:t>30 – 50 years old</w:t>
            </w:r>
          </w:p>
        </w:tc>
        <w:tc>
          <w:tcPr>
            <w:tcW w:w="2600" w:type="dxa"/>
            <w:vAlign w:val="bottom"/>
            <w:tcBorders>
              <w:right w:val="single" w:sz="8" w:color="98B82F"/>
            </w:tcBorders>
            <w:gridSpan w:val="30"/>
          </w:tcPr>
          <w:p>
            <w:pPr>
              <w:jc w:val="center"/>
              <w:ind w:right="2209"/>
              <w:spacing w:after="0" w:line="57" w:lineRule="exact"/>
              <w:rPr>
                <w:sz w:val="20"/>
                <w:szCs w:val="20"/>
                <w:color w:val="auto"/>
              </w:rPr>
            </w:pPr>
            <w:r>
              <w:rPr>
                <w:rFonts w:ascii="Arial" w:cs="Arial" w:eastAsia="Arial" w:hAnsi="Arial"/>
                <w:sz w:val="6"/>
                <w:szCs w:val="6"/>
                <w:color w:val="262626"/>
              </w:rPr>
              <w:t>2</w:t>
            </w:r>
          </w:p>
        </w:tc>
        <w:tc>
          <w:tcPr>
            <w:tcW w:w="240" w:type="dxa"/>
            <w:vAlign w:val="bottom"/>
            <w:gridSpan w:val="2"/>
          </w:tcPr>
          <w:p>
            <w:pPr>
              <w:spacing w:after="0"/>
              <w:rPr>
                <w:sz w:val="4"/>
                <w:szCs w:val="4"/>
                <w:color w:val="auto"/>
              </w:rPr>
            </w:pPr>
          </w:p>
        </w:tc>
        <w:tc>
          <w:tcPr>
            <w:tcW w:w="320" w:type="dxa"/>
            <w:vAlign w:val="bottom"/>
            <w:gridSpan w:val="3"/>
            <w:vMerge w:val="restart"/>
          </w:tcPr>
          <w:p>
            <w:pPr>
              <w:ind w:left="20"/>
              <w:spacing w:after="0" w:line="146" w:lineRule="exact"/>
              <w:rPr>
                <w:sz w:val="20"/>
                <w:szCs w:val="20"/>
                <w:color w:val="auto"/>
              </w:rPr>
            </w:pPr>
            <w:r>
              <w:rPr>
                <w:rFonts w:ascii="Arial" w:cs="Arial" w:eastAsia="Arial" w:hAnsi="Arial"/>
                <w:sz w:val="12"/>
                <w:szCs w:val="12"/>
                <w:color w:val="262626"/>
              </w:rPr>
              <w:t>&lt;iÀ</w:t>
            </w:r>
            <w:r>
              <w:rPr>
                <w:rFonts w:ascii="PMingLiU" w:cs="PMingLiU" w:eastAsia="PMingLiU" w:hAnsi="PMingLiU"/>
                <w:sz w:val="12"/>
                <w:szCs w:val="12"/>
                <w:color w:val="262626"/>
              </w:rPr>
              <w:t></w:t>
            </w:r>
          </w:p>
        </w:tc>
        <w:tc>
          <w:tcPr>
            <w:tcW w:w="500" w:type="dxa"/>
            <w:vAlign w:val="bottom"/>
            <w:tcBorders>
              <w:right w:val="single" w:sz="8" w:color="98B82F"/>
            </w:tcBorders>
            <w:gridSpan w:val="3"/>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320" w:type="dxa"/>
            <w:vAlign w:val="bottom"/>
            <w:tcBorders>
              <w:left w:val="single" w:sz="8" w:color="98B82F"/>
              <w:bottom w:val="single" w:sz="8" w:color="98B82F"/>
            </w:tcBorders>
          </w:tcPr>
          <w:p>
            <w:pPr>
              <w:spacing w:after="0"/>
              <w:rPr>
                <w:sz w:val="7"/>
                <w:szCs w:val="7"/>
                <w:color w:val="auto"/>
              </w:rPr>
            </w:pPr>
          </w:p>
        </w:tc>
        <w:tc>
          <w:tcPr>
            <w:tcW w:w="20" w:type="dxa"/>
            <w:vAlign w:val="bottom"/>
            <w:tcBorders>
              <w:bottom w:val="single" w:sz="8" w:color="98B82F"/>
            </w:tcBorders>
          </w:tcPr>
          <w:p>
            <w:pPr>
              <w:spacing w:after="0"/>
              <w:rPr>
                <w:sz w:val="7"/>
                <w:szCs w:val="7"/>
                <w:color w:val="auto"/>
              </w:rPr>
            </w:pPr>
          </w:p>
        </w:tc>
        <w:tc>
          <w:tcPr>
            <w:tcW w:w="300" w:type="dxa"/>
            <w:vAlign w:val="bottom"/>
            <w:tcBorders>
              <w:bottom w:val="single" w:sz="8" w:color="98B82F"/>
            </w:tcBorders>
          </w:tcPr>
          <w:p>
            <w:pPr>
              <w:spacing w:after="0"/>
              <w:rPr>
                <w:sz w:val="7"/>
                <w:szCs w:val="7"/>
                <w:color w:val="auto"/>
              </w:rPr>
            </w:pPr>
          </w:p>
        </w:tc>
        <w:tc>
          <w:tcPr>
            <w:tcW w:w="20" w:type="dxa"/>
            <w:vAlign w:val="bottom"/>
            <w:tcBorders>
              <w:bottom w:val="single" w:sz="8" w:color="98B82F"/>
            </w:tcBorders>
          </w:tcPr>
          <w:p>
            <w:pPr>
              <w:spacing w:after="0"/>
              <w:rPr>
                <w:sz w:val="7"/>
                <w:szCs w:val="7"/>
                <w:color w:val="auto"/>
              </w:rPr>
            </w:pPr>
          </w:p>
        </w:tc>
        <w:tc>
          <w:tcPr>
            <w:tcW w:w="120" w:type="dxa"/>
            <w:vAlign w:val="bottom"/>
          </w:tcPr>
          <w:p>
            <w:pPr>
              <w:spacing w:after="0"/>
              <w:rPr>
                <w:sz w:val="7"/>
                <w:szCs w:val="7"/>
                <w:color w:val="auto"/>
              </w:rPr>
            </w:pPr>
          </w:p>
        </w:tc>
        <w:tc>
          <w:tcPr>
            <w:tcW w:w="3280" w:type="dxa"/>
            <w:vAlign w:val="bottom"/>
            <w:gridSpan w:val="28"/>
          </w:tcPr>
          <w:p>
            <w:pPr>
              <w:spacing w:after="0" w:line="91" w:lineRule="exact"/>
              <w:rPr>
                <w:sz w:val="20"/>
                <w:szCs w:val="20"/>
                <w:color w:val="auto"/>
              </w:rPr>
            </w:pPr>
            <w:r>
              <w:rPr>
                <w:rFonts w:ascii="Arial" w:cs="Arial" w:eastAsia="Arial" w:hAnsi="Arial"/>
                <w:sz w:val="10"/>
                <w:szCs w:val="10"/>
                <w:color w:val="262626"/>
              </w:rPr>
              <w:t>­£®</w:t>
            </w:r>
            <w:r>
              <w:rPr>
                <w:rFonts w:ascii="PMingLiU" w:cs="PMingLiU" w:eastAsia="PMingLiU" w:hAnsi="PMingLiU"/>
                <w:sz w:val="10"/>
                <w:szCs w:val="10"/>
                <w:color w:val="262626"/>
              </w:rPr>
              <w:t/>
            </w:r>
            <w:r>
              <w:rPr>
                <w:rFonts w:ascii="Arial" w:cs="Arial" w:eastAsia="Arial" w:hAnsi="Arial"/>
                <w:sz w:val="10"/>
                <w:szCs w:val="10"/>
                <w:color w:val="262626"/>
              </w:rPr>
              <w:t xml:space="preserve">  Õ</w:t>
            </w:r>
            <w:r>
              <w:rPr>
                <w:rFonts w:ascii="PMingLiU" w:cs="PMingLiU" w:eastAsia="PMingLiU" w:hAnsi="PMingLiU"/>
                <w:sz w:val="10"/>
                <w:szCs w:val="10"/>
                <w:color w:val="262626"/>
              </w:rPr>
              <w:t></w:t>
            </w:r>
            <w:r>
              <w:rPr>
                <w:rFonts w:ascii="Arial" w:cs="Arial" w:eastAsia="Arial" w:hAnsi="Arial"/>
                <w:sz w:val="10"/>
                <w:szCs w:val="10"/>
                <w:color w:val="262626"/>
              </w:rPr>
              <w:t>LiÀ</w:t>
            </w:r>
            <w:r>
              <w:rPr>
                <w:rFonts w:ascii="PMingLiU" w:cs="PMingLiU" w:eastAsia="PMingLiU" w:hAnsi="PMingLiU"/>
                <w:sz w:val="10"/>
                <w:szCs w:val="10"/>
                <w:color w:val="262626"/>
              </w:rPr>
              <w:t></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&gt;Ü</w:t>
            </w:r>
            <w:r>
              <w:rPr>
                <w:rFonts w:ascii="PMingLiU" w:cs="PMingLiU" w:eastAsia="PMingLiU" w:hAnsi="PMingLiU"/>
                <w:sz w:val="10"/>
                <w:szCs w:val="10"/>
                <w:color w:val="262626"/>
              </w:rPr>
              <w:t/>
            </w:r>
            <w:r>
              <w:rPr>
                <w:rFonts w:ascii="Arial" w:cs="Arial" w:eastAsia="Arial" w:hAnsi="Arial"/>
                <w:sz w:val="10"/>
                <w:szCs w:val="10"/>
                <w:color w:val="262626"/>
              </w:rPr>
              <w:t>i</w:t>
            </w:r>
            <w:r>
              <w:rPr>
                <w:rFonts w:ascii="PMingLiU" w:cs="PMingLiU" w:eastAsia="PMingLiU" w:hAnsi="PMingLiU"/>
                <w:sz w:val="10"/>
                <w:szCs w:val="10"/>
                <w:color w:val="262626"/>
              </w:rPr>
              <w:t></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ÀVi</w:t>
            </w:r>
            <w:r>
              <w:rPr>
                <w:rFonts w:ascii="PMingLiU" w:cs="PMingLiU" w:eastAsia="PMingLiU" w:hAnsi="PMingLiU"/>
                <w:sz w:val="10"/>
                <w:szCs w:val="10"/>
                <w:color w:val="262626"/>
              </w:rPr>
              <w:t></w:t>
            </w:r>
            <w:r>
              <w:rPr>
                <w:rFonts w:ascii="Arial" w:cs="Arial" w:eastAsia="Arial" w:hAnsi="Arial"/>
                <w:sz w:val="10"/>
                <w:szCs w:val="10"/>
                <w:color w:val="262626"/>
              </w:rPr>
              <w:t>i</w:t>
            </w:r>
            <w:r>
              <w:rPr>
                <w:rFonts w:ascii="PMingLiU" w:cs="PMingLiU" w:eastAsia="PMingLiU" w:hAnsi="PMingLiU"/>
                <w:sz w:val="10"/>
                <w:szCs w:val="10"/>
                <w:color w:val="262626"/>
              </w:rPr>
              <w:t></w:t>
            </w:r>
            <w:r>
              <w:rPr>
                <w:rFonts w:ascii="Arial" w:cs="Arial" w:eastAsia="Arial" w:hAnsi="Arial"/>
                <w:sz w:val="10"/>
                <w:szCs w:val="10"/>
                <w:color w:val="262626"/>
              </w:rPr>
              <w:t>Ì</w:t>
            </w:r>
            <w:r>
              <w:rPr>
                <w:rFonts w:ascii="PMingLiU" w:cs="PMingLiU" w:eastAsia="PMingLiU" w:hAnsi="PMingLiU"/>
                <w:sz w:val="10"/>
                <w:szCs w:val="10"/>
                <w:color w:val="262626"/>
              </w:rPr>
              <w:t/>
            </w:r>
            <w:r>
              <w:rPr>
                <w:rFonts w:ascii="Arial" w:cs="Arial" w:eastAsia="Arial" w:hAnsi="Arial"/>
                <w:sz w:val="10"/>
                <w:szCs w:val="10"/>
                <w:color w:val="262626"/>
              </w:rPr>
              <w:t>ÀiµÕiÃÌÃ</w:t>
            </w:r>
            <w:r>
              <w:rPr>
                <w:rFonts w:ascii="PMingLiU" w:cs="PMingLiU" w:eastAsia="PMingLiU" w:hAnsi="PMingLiU"/>
                <w:sz w:val="10"/>
                <w:szCs w:val="10"/>
                <w:color w:val="262626"/>
              </w:rPr>
              <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À</w:t>
            </w:r>
            <w:r>
              <w:rPr>
                <w:rFonts w:ascii="PMingLiU" w:cs="PMingLiU" w:eastAsia="PMingLiU" w:hAnsi="PMingLiU"/>
                <w:sz w:val="10"/>
                <w:szCs w:val="10"/>
                <w:color w:val="262626"/>
              </w:rPr>
              <w:t/>
            </w:r>
            <w:r>
              <w:rPr>
                <w:rFonts w:ascii="Arial" w:cs="Arial" w:eastAsia="Arial" w:hAnsi="Arial"/>
                <w:sz w:val="10"/>
                <w:szCs w:val="10"/>
                <w:color w:val="262626"/>
              </w:rPr>
              <w:t>ÕÃiÀ</w:t>
            </w:r>
            <w:r>
              <w:rPr>
                <w:rFonts w:ascii="PMingLiU" w:cs="PMingLiU" w:eastAsia="PMingLiU" w:hAnsi="PMingLiU"/>
                <w:sz w:val="10"/>
                <w:szCs w:val="10"/>
                <w:color w:val="262626"/>
              </w:rPr>
              <w:t></w:t>
            </w:r>
            <w:r>
              <w:rPr>
                <w:rFonts w:ascii="Arial" w:cs="Arial" w:eastAsia="Arial" w:hAnsi="Arial"/>
                <w:sz w:val="10"/>
                <w:szCs w:val="10"/>
                <w:color w:val="262626"/>
              </w:rPr>
              <w:t>v</w:t>
            </w:r>
            <w:r>
              <w:rPr>
                <w:rFonts w:ascii="PMingLiU" w:cs="PMingLiU" w:eastAsia="PMingLiU" w:hAnsi="PMingLiU"/>
                <w:sz w:val="10"/>
                <w:szCs w:val="10"/>
                <w:color w:val="262626"/>
              </w:rPr>
              <w:t></w:t>
            </w:r>
            <w:r>
              <w:rPr>
                <w:rFonts w:ascii="Arial" w:cs="Arial" w:eastAsia="Arial" w:hAnsi="Arial"/>
                <w:sz w:val="10"/>
                <w:szCs w:val="10"/>
                <w:color w:val="262626"/>
              </w:rPr>
              <w:t>À</w:t>
            </w:r>
            <w:r>
              <w:rPr>
                <w:rFonts w:ascii="PMingLiU" w:cs="PMingLiU" w:eastAsia="PMingLiU" w:hAnsi="PMingLiU"/>
                <w:sz w:val="10"/>
                <w:szCs w:val="10"/>
                <w:color w:val="262626"/>
              </w:rPr>
              <w:t></w:t>
            </w:r>
            <w:r>
              <w:rPr>
                <w:rFonts w:ascii="Arial" w:cs="Arial" w:eastAsia="Arial" w:hAnsi="Arial"/>
                <w:sz w:val="10"/>
                <w:szCs w:val="10"/>
                <w:color w:val="262626"/>
              </w:rPr>
              <w:t>&gt;Ì</w:t>
            </w:r>
            <w:r>
              <w:rPr>
                <w:rFonts w:ascii="PMingLiU" w:cs="PMingLiU" w:eastAsia="PMingLiU" w:hAnsi="PMingLiU"/>
                <w:sz w:val="10"/>
                <w:szCs w:val="10"/>
                <w:color w:val="262626"/>
              </w:rPr>
              <w:t></w:t>
            </w:r>
            <w:r>
              <w:rPr>
                <w:rFonts w:ascii="Arial" w:cs="Arial" w:eastAsia="Arial" w:hAnsi="Arial"/>
                <w:sz w:val="10"/>
                <w:szCs w:val="10"/>
                <w:color w:val="262626"/>
              </w:rPr>
              <w:t>]</w:t>
            </w:r>
            <w:r>
              <w:rPr>
                <w:rFonts w:ascii="PMingLiU" w:cs="PMingLiU" w:eastAsia="PMingLiU" w:hAnsi="PMingLiU"/>
                <w:sz w:val="10"/>
                <w:szCs w:val="10"/>
                <w:color w:val="262626"/>
              </w:rPr>
              <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right w:val="single" w:sz="8" w:color="98B82F"/>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right w:val="single" w:sz="8" w:color="98B82F"/>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3940" w:type="dxa"/>
            <w:vAlign w:val="bottom"/>
            <w:tcBorders>
              <w:left w:val="single" w:sz="8" w:color="98B82F"/>
            </w:tcBorders>
            <w:gridSpan w:val="31"/>
          </w:tcPr>
          <w:p>
            <w:pPr>
              <w:ind w:left="140"/>
              <w:spacing w:after="0" w:line="202" w:lineRule="exact"/>
              <w:rPr>
                <w:sz w:val="20"/>
                <w:szCs w:val="20"/>
                <w:color w:val="auto"/>
              </w:rPr>
            </w:pPr>
            <w:r>
              <w:rPr>
                <w:rFonts w:ascii="Arial" w:cs="Arial" w:eastAsia="Arial" w:hAnsi="Arial"/>
                <w:sz w:val="18"/>
                <w:szCs w:val="18"/>
                <w:color w:val="262626"/>
                <w:w w:val="97"/>
                <w:vertAlign w:val="subscript"/>
              </w:rPr>
              <w:t>Over 50 years</w:t>
            </w:r>
            <w:r>
              <w:rPr>
                <w:rFonts w:ascii="Arial" w:cs="Arial" w:eastAsia="Arial" w:hAnsi="Arial"/>
                <w:sz w:val="12"/>
                <w:szCs w:val="12"/>
                <w:color w:val="262626"/>
                <w:w w:val="97"/>
              </w:rPr>
              <w:t>­ Ó®</w:t>
            </w:r>
            <w:r>
              <w:rPr>
                <w:rFonts w:ascii="Arial" w:cs="Arial" w:eastAsia="Arial" w:hAnsi="Arial"/>
                <w:sz w:val="18"/>
                <w:szCs w:val="18"/>
                <w:color w:val="262626"/>
                <w:w w:val="97"/>
                <w:vertAlign w:val="subscript"/>
              </w:rPr>
              <w:t>old</w:t>
            </w:r>
            <w:r>
              <w:rPr>
                <w:rFonts w:ascii="PMingLiU" w:cs="PMingLiU" w:eastAsia="PMingLiU" w:hAnsi="PMingLiU"/>
                <w:sz w:val="12"/>
                <w:szCs w:val="12"/>
                <w:color w:val="262626"/>
                <w:w w:val="97"/>
              </w:rPr>
              <w:t></w:t>
            </w:r>
            <w:r>
              <w:rPr>
                <w:rFonts w:ascii="Arial" w:cs="Arial" w:eastAsia="Arial" w:hAnsi="Arial"/>
                <w:sz w:val="12"/>
                <w:szCs w:val="12"/>
                <w:color w:val="262626"/>
                <w:w w:val="97"/>
              </w:rPr>
              <w:t>Õ</w:t>
            </w:r>
            <w:r>
              <w:rPr>
                <w:rFonts w:ascii="PMingLiU" w:cs="PMingLiU" w:eastAsia="PMingLiU" w:hAnsi="PMingLiU"/>
                <w:sz w:val="12"/>
                <w:szCs w:val="12"/>
                <w:color w:val="262626"/>
                <w:w w:val="97"/>
              </w:rPr>
              <w:t></w:t>
            </w:r>
            <w:r>
              <w:rPr>
                <w:rFonts w:ascii="Arial" w:cs="Arial" w:eastAsia="Arial" w:hAnsi="Arial"/>
                <w:sz w:val="12"/>
                <w:szCs w:val="12"/>
                <w:color w:val="262626"/>
                <w:w w:val="97"/>
              </w:rPr>
              <w:t>LiÀ</w:t>
            </w:r>
            <w:r>
              <w:rPr>
                <w:rFonts w:ascii="PMingLiU" w:cs="PMingLiU" w:eastAsia="PMingLiU" w:hAnsi="PMingLiU"/>
                <w:sz w:val="12"/>
                <w:szCs w:val="12"/>
                <w:color w:val="262626"/>
                <w:w w:val="97"/>
              </w:rPr>
              <w:t></w:t>
            </w:r>
            <w:r>
              <w:rPr>
                <w:rFonts w:ascii="Arial" w:cs="Arial" w:eastAsia="Arial" w:hAnsi="Arial"/>
                <w:sz w:val="12"/>
                <w:szCs w:val="12"/>
                <w:color w:val="262626"/>
                <w:w w:val="97"/>
              </w:rPr>
              <w:t>v</w:t>
            </w:r>
            <w:r>
              <w:rPr>
                <w:rFonts w:ascii="PMingLiU" w:cs="PMingLiU" w:eastAsia="PMingLiU" w:hAnsi="PMingLiU"/>
                <w:sz w:val="12"/>
                <w:szCs w:val="12"/>
                <w:color w:val="262626"/>
                <w:w w:val="97"/>
              </w:rPr>
              <w:t/>
            </w:r>
            <w:r>
              <w:rPr>
                <w:rFonts w:ascii="Arial" w:cs="Arial" w:eastAsia="Arial" w:hAnsi="Arial"/>
                <w:sz w:val="12"/>
                <w:szCs w:val="12"/>
                <w:color w:val="262626"/>
                <w:w w:val="97"/>
              </w:rPr>
              <w:t>ÕÃiÀÃ</w:t>
            </w:r>
            <w:r>
              <w:rPr>
                <w:rFonts w:ascii="PMingLiU" w:cs="PMingLiU" w:eastAsia="PMingLiU" w:hAnsi="PMingLiU"/>
                <w:sz w:val="12"/>
                <w:szCs w:val="12"/>
                <w:color w:val="262626"/>
                <w:w w:val="97"/>
              </w:rPr>
              <w:t/>
            </w:r>
            <w:r>
              <w:rPr>
                <w:rFonts w:ascii="Arial" w:cs="Arial" w:eastAsia="Arial" w:hAnsi="Arial"/>
                <w:sz w:val="12"/>
                <w:szCs w:val="12"/>
                <w:color w:val="262626"/>
                <w:w w:val="97"/>
              </w:rPr>
              <w:t>Ü</w:t>
            </w:r>
            <w:r>
              <w:rPr>
                <w:rFonts w:ascii="PMingLiU" w:cs="PMingLiU" w:eastAsia="PMingLiU" w:hAnsi="PMingLiU"/>
                <w:sz w:val="12"/>
                <w:szCs w:val="12"/>
                <w:color w:val="262626"/>
                <w:w w:val="97"/>
              </w:rPr>
              <w:t></w:t>
            </w:r>
            <w:r>
              <w:rPr>
                <w:rFonts w:ascii="Arial" w:cs="Arial" w:eastAsia="Arial" w:hAnsi="Arial"/>
                <w:sz w:val="12"/>
                <w:szCs w:val="12"/>
                <w:color w:val="262626"/>
                <w:w w:val="97"/>
              </w:rPr>
              <w:t>Ãi</w:t>
            </w:r>
            <w:r>
              <w:rPr>
                <w:rFonts w:ascii="PMingLiU" w:cs="PMingLiU" w:eastAsia="PMingLiU" w:hAnsi="PMingLiU"/>
                <w:sz w:val="12"/>
                <w:szCs w:val="12"/>
                <w:color w:val="262626"/>
                <w:w w:val="97"/>
              </w:rPr>
              <w:t></w:t>
            </w:r>
            <w:r>
              <w:rPr>
                <w:rFonts w:ascii="Arial" w:cs="Arial" w:eastAsia="Arial" w:hAnsi="Arial"/>
                <w:sz w:val="12"/>
                <w:szCs w:val="12"/>
                <w:color w:val="262626"/>
                <w:w w:val="97"/>
              </w:rPr>
              <w:t>v</w:t>
            </w:r>
            <w:r>
              <w:rPr>
                <w:rFonts w:ascii="PMingLiU" w:cs="PMingLiU" w:eastAsia="PMingLiU" w:hAnsi="PMingLiU"/>
                <w:sz w:val="12"/>
                <w:szCs w:val="12"/>
                <w:color w:val="262626"/>
                <w:w w:val="97"/>
              </w:rPr>
              <w:t></w:t>
            </w:r>
            <w:r>
              <w:rPr>
                <w:rFonts w:ascii="Arial" w:cs="Arial" w:eastAsia="Arial" w:hAnsi="Arial"/>
                <w:sz w:val="12"/>
                <w:szCs w:val="12"/>
                <w:color w:val="262626"/>
                <w:w w:val="97"/>
              </w:rPr>
              <w:t>À</w:t>
            </w:r>
            <w:r>
              <w:rPr>
                <w:rFonts w:ascii="PMingLiU" w:cs="PMingLiU" w:eastAsia="PMingLiU" w:hAnsi="PMingLiU"/>
                <w:sz w:val="12"/>
                <w:szCs w:val="12"/>
                <w:color w:val="262626"/>
                <w:w w:val="97"/>
              </w:rPr>
              <w:t></w:t>
            </w:r>
            <w:r>
              <w:rPr>
                <w:rFonts w:ascii="Arial" w:cs="Arial" w:eastAsia="Arial" w:hAnsi="Arial"/>
                <w:sz w:val="12"/>
                <w:szCs w:val="12"/>
                <w:color w:val="262626"/>
                <w:w w:val="97"/>
              </w:rPr>
              <w:t>&gt;Ì</w:t>
            </w:r>
            <w:r>
              <w:rPr>
                <w:rFonts w:ascii="PMingLiU" w:cs="PMingLiU" w:eastAsia="PMingLiU" w:hAnsi="PMingLiU"/>
                <w:sz w:val="12"/>
                <w:szCs w:val="12"/>
                <w:color w:val="262626"/>
                <w:w w:val="97"/>
              </w:rPr>
              <w:t></w:t>
            </w:r>
            <w:r>
              <w:rPr>
                <w:rFonts w:ascii="Arial" w:cs="Arial" w:eastAsia="Arial" w:hAnsi="Arial"/>
                <w:sz w:val="12"/>
                <w:szCs w:val="12"/>
                <w:color w:val="262626"/>
                <w:w w:val="97"/>
              </w:rPr>
              <w:t>Ü&gt;Ã</w:t>
            </w:r>
            <w:r>
              <w:rPr>
                <w:rFonts w:ascii="Arial" w:cs="Arial" w:eastAsia="Arial" w:hAnsi="Arial"/>
                <w:sz w:val="18"/>
                <w:szCs w:val="18"/>
                <w:color w:val="262626"/>
                <w:w w:val="97"/>
                <w:vertAlign w:val="subscript"/>
              </w:rPr>
              <w:t>1</w:t>
            </w:r>
            <w:r>
              <w:rPr>
                <w:rFonts w:ascii="PMingLiU" w:cs="PMingLiU" w:eastAsia="PMingLiU" w:hAnsi="PMingLiU"/>
                <w:sz w:val="12"/>
                <w:szCs w:val="12"/>
                <w:color w:val="262626"/>
                <w:w w:val="97"/>
              </w:rPr>
              <w:t/>
            </w:r>
            <w:r>
              <w:rPr>
                <w:rFonts w:ascii="Arial" w:cs="Arial" w:eastAsia="Arial" w:hAnsi="Arial"/>
                <w:sz w:val="12"/>
                <w:szCs w:val="12"/>
                <w:color w:val="262626"/>
                <w:w w:val="97"/>
              </w:rPr>
              <w:t>ÀiµÕiÃÌi`]</w:t>
            </w:r>
            <w:r>
              <w:rPr>
                <w:rFonts w:ascii="Arial" w:cs="Arial" w:eastAsia="Arial" w:hAnsi="Arial"/>
                <w:sz w:val="18"/>
                <w:szCs w:val="18"/>
                <w:color w:val="262626"/>
                <w:w w:val="97"/>
                <w:vertAlign w:val="subscript"/>
              </w:rPr>
              <w:t>6</w:t>
            </w:r>
            <w:r>
              <w:rPr>
                <w:rFonts w:ascii="PMingLiU" w:cs="PMingLiU" w:eastAsia="PMingLiU" w:hAnsi="PMingLiU"/>
                <w:sz w:val="12"/>
                <w:szCs w:val="12"/>
                <w:color w:val="262626"/>
                <w:w w:val="97"/>
              </w:rPr>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right w:val="single" w:sz="8" w:color="98B82F"/>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gridSpan w:val="3"/>
          </w:tcPr>
          <w:p>
            <w:pPr>
              <w:ind w:left="20"/>
              <w:spacing w:after="0" w:line="146" w:lineRule="exact"/>
              <w:rPr>
                <w:sz w:val="20"/>
                <w:szCs w:val="20"/>
                <w:color w:val="auto"/>
              </w:rPr>
            </w:pPr>
            <w:r>
              <w:rPr>
                <w:rFonts w:ascii="Arial" w:cs="Arial" w:eastAsia="Arial" w:hAnsi="Arial"/>
                <w:sz w:val="12"/>
                <w:szCs w:val="12"/>
                <w:color w:val="262626"/>
              </w:rPr>
              <w:t>&lt;iÀ</w:t>
            </w:r>
            <w:r>
              <w:rPr>
                <w:rFonts w:ascii="PMingLiU" w:cs="PMingLiU" w:eastAsia="PMingLiU" w:hAnsi="PMingLiU"/>
                <w:sz w:val="12"/>
                <w:szCs w:val="12"/>
                <w:color w:val="262626"/>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right w:val="single" w:sz="8" w:color="98B82F"/>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320" w:type="dxa"/>
            <w:vAlign w:val="bottom"/>
            <w:tcBorders>
              <w:left w:val="single" w:sz="8" w:color="98B82F"/>
              <w:bottom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300" w:type="dxa"/>
            <w:vAlign w:val="bottom"/>
            <w:tcBorders>
              <w:bottom w:val="single" w:sz="8" w:color="98B82F"/>
            </w:tcBorders>
          </w:tcPr>
          <w:p>
            <w:pPr>
              <w:spacing w:after="0"/>
              <w:rPr>
                <w:sz w:val="4"/>
                <w:szCs w:val="4"/>
                <w:color w:val="auto"/>
              </w:rPr>
            </w:pPr>
          </w:p>
        </w:tc>
        <w:tc>
          <w:tcPr>
            <w:tcW w:w="20" w:type="dxa"/>
            <w:vAlign w:val="bottom"/>
            <w:tcBorders>
              <w:bottom w:val="single" w:sz="8" w:color="98B82F"/>
            </w:tcBorders>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gridSpan w:val="12"/>
            <w:vMerge w:val="restart"/>
          </w:tcPr>
          <w:p>
            <w:pPr>
              <w:spacing w:after="0" w:line="146" w:lineRule="exact"/>
              <w:rPr>
                <w:sz w:val="20"/>
                <w:szCs w:val="20"/>
                <w:color w:val="auto"/>
              </w:rPr>
            </w:pPr>
            <w:r>
              <w:rPr>
                <w:rFonts w:ascii="Arial" w:cs="Arial" w:eastAsia="Arial" w:hAnsi="Arial"/>
                <w:sz w:val="12"/>
                <w:szCs w:val="12"/>
                <w:color w:val="262626"/>
              </w:rPr>
              <w:t>­Î®</w:t>
            </w:r>
            <w:r>
              <w:rPr>
                <w:rFonts w:ascii="PMingLiU" w:cs="PMingLiU" w:eastAsia="PMingLiU" w:hAnsi="PMingLiU"/>
                <w:sz w:val="12"/>
                <w:szCs w:val="12"/>
                <w:color w:val="262626"/>
              </w:rPr>
              <w:t/>
            </w:r>
            <w:r>
              <w:rPr>
                <w:rFonts w:ascii="Arial" w:cs="Arial" w:eastAsia="Arial" w:hAnsi="Arial"/>
                <w:sz w:val="12"/>
                <w:szCs w:val="12"/>
                <w:color w:val="262626"/>
              </w:rPr>
              <w:t>«iÀVi</w:t>
            </w:r>
            <w:r>
              <w:rPr>
                <w:rFonts w:ascii="PMingLiU" w:cs="PMingLiU" w:eastAsia="PMingLiU" w:hAnsi="PMingLiU"/>
                <w:sz w:val="12"/>
                <w:szCs w:val="12"/>
                <w:color w:val="262626"/>
              </w:rPr>
              <w:t></w:t>
            </w:r>
            <w:r>
              <w:rPr>
                <w:rFonts w:ascii="Arial" w:cs="Arial" w:eastAsia="Arial" w:hAnsi="Arial"/>
                <w:sz w:val="12"/>
                <w:szCs w:val="12"/>
                <w:color w:val="262626"/>
              </w:rPr>
              <w:t>Ì&gt;}i</w:t>
            </w:r>
            <w:r>
              <w:rPr>
                <w:rFonts w:ascii="PMingLiU" w:cs="PMingLiU" w:eastAsia="PMingLiU" w:hAnsi="PMingLiU"/>
                <w:sz w:val="12"/>
                <w:szCs w:val="12"/>
                <w:color w:val="262626"/>
              </w:rPr>
              <w:t/>
            </w:r>
            <w:r>
              <w:rPr>
                <w:rFonts w:ascii="Arial" w:cs="Arial" w:eastAsia="Arial" w:hAnsi="Arial"/>
                <w:sz w:val="12"/>
                <w:szCs w:val="12"/>
                <w:color w:val="262626"/>
              </w:rPr>
              <w:t>ÀiÃÕ</w:t>
            </w:r>
            <w:r>
              <w:rPr>
                <w:rFonts w:ascii="PMingLiU" w:cs="PMingLiU" w:eastAsia="PMingLiU" w:hAnsi="PMingLiU"/>
                <w:sz w:val="12"/>
                <w:szCs w:val="12"/>
                <w:color w:val="262626"/>
              </w:rPr>
              <w:t></w:t>
            </w:r>
            <w:r>
              <w:rPr>
                <w:rFonts w:ascii="Arial" w:cs="Arial" w:eastAsia="Arial" w:hAnsi="Arial"/>
                <w:sz w:val="12"/>
                <w:szCs w:val="12"/>
                <w:color w:val="262626"/>
              </w:rPr>
              <w:t>Ì</w:t>
            </w:r>
            <w:r>
              <w:rPr>
                <w:rFonts w:ascii="PMingLiU" w:cs="PMingLiU" w:eastAsia="PMingLiU" w:hAnsi="PMingLiU"/>
                <w:sz w:val="12"/>
                <w:szCs w:val="12"/>
                <w:color w:val="262626"/>
              </w:rPr>
              <w:t></w:t>
            </w:r>
            <w:r>
              <w:rPr>
                <w:rFonts w:ascii="Arial" w:cs="Arial" w:eastAsia="Arial" w:hAnsi="Arial"/>
                <w:sz w:val="12"/>
                <w:szCs w:val="12"/>
                <w:color w:val="262626"/>
              </w:rPr>
              <w:t>}</w:t>
            </w:r>
            <w:r>
              <w:rPr>
                <w:rFonts w:ascii="PMingLiU" w:cs="PMingLiU" w:eastAsia="PMingLiU" w:hAnsi="PMingLiU"/>
                <w:sz w:val="12"/>
                <w:szCs w:val="12"/>
                <w:color w:val="262626"/>
              </w:rPr>
              <w:t></w:t>
            </w:r>
            <w:r>
              <w:rPr>
                <w:rFonts w:ascii="Arial" w:cs="Arial" w:eastAsia="Arial" w:hAnsi="Arial"/>
                <w:sz w:val="12"/>
                <w:szCs w:val="12"/>
                <w:color w:val="262626"/>
              </w:rPr>
              <w:t>`</w:t>
            </w:r>
            <w:r>
              <w:rPr>
                <w:rFonts w:ascii="PMingLiU" w:cs="PMingLiU" w:eastAsia="PMingLiU" w:hAnsi="PMingLiU"/>
                <w:sz w:val="12"/>
                <w:szCs w:val="12"/>
                <w:color w:val="262626"/>
              </w:rPr>
              <w:t></w:t>
            </w:r>
            <w:r>
              <w:rPr>
                <w:rFonts w:ascii="Arial" w:cs="Arial" w:eastAsia="Arial" w:hAnsi="Arial"/>
                <w:sz w:val="12"/>
                <w:szCs w:val="12"/>
                <w:color w:val="262626"/>
              </w:rPr>
              <w:t>ÃV</w:t>
            </w:r>
            <w:r>
              <w:rPr>
                <w:rFonts w:ascii="PMingLiU" w:cs="PMingLiU" w:eastAsia="PMingLiU" w:hAnsi="PMingLiU"/>
                <w:sz w:val="12"/>
                <w:szCs w:val="12"/>
                <w:color w:val="262626"/>
              </w:rPr>
              <w:t></w:t>
            </w:r>
            <w:r>
              <w:rPr>
                <w:rFonts w:ascii="Arial" w:cs="Arial" w:eastAsia="Arial" w:hAnsi="Arial"/>
                <w:sz w:val="12"/>
                <w:szCs w:val="12"/>
                <w:color w:val="262626"/>
              </w:rPr>
              <w:t>ÃÕÀi</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right w:val="single" w:sz="8" w:color="98B82F"/>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gridSpan w:val="3"/>
            <w:vMerge w:val="restart"/>
          </w:tcPr>
          <w:p>
            <w:pPr>
              <w:ind w:left="20"/>
              <w:spacing w:after="0"/>
              <w:rPr>
                <w:sz w:val="20"/>
                <w:szCs w:val="20"/>
                <w:color w:val="auto"/>
              </w:rPr>
            </w:pPr>
            <w:r>
              <w:rPr>
                <w:rFonts w:ascii="Arial" w:cs="Arial" w:eastAsia="Arial" w:hAnsi="Arial"/>
                <w:sz w:val="12"/>
                <w:szCs w:val="12"/>
                <w:color w:val="262626"/>
              </w:rPr>
              <w:t>Zero</w:t>
            </w: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right w:val="single" w:sz="8" w:color="98B82F"/>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40" w:type="dxa"/>
            <w:vAlign w:val="bottom"/>
            <w:gridSpan w:val="12"/>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right w:val="single" w:sz="8" w:color="98B82F"/>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right w:val="single" w:sz="8" w:color="98B82F"/>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
        </w:trPr>
        <w:tc>
          <w:tcPr>
            <w:tcW w:w="640" w:type="dxa"/>
            <w:vAlign w:val="bottom"/>
            <w:gridSpan w:val="3"/>
          </w:tcPr>
          <w:p>
            <w:pPr>
              <w:spacing w:after="0"/>
              <w:rPr>
                <w:sz w:val="2"/>
                <w:szCs w:val="2"/>
                <w:color w:val="auto"/>
              </w:rPr>
            </w:pPr>
          </w:p>
        </w:tc>
        <w:tc>
          <w:tcPr>
            <w:tcW w:w="5340" w:type="dxa"/>
            <w:vAlign w:val="bottom"/>
            <w:tcBorders>
              <w:bottom w:val="single" w:sz="8" w:color="98B82F"/>
              <w:right w:val="single" w:sz="8" w:color="98B82F"/>
            </w:tcBorders>
            <w:gridSpan w:val="52"/>
          </w:tcPr>
          <w:p>
            <w:pPr>
              <w:spacing w:after="0"/>
              <w:rPr>
                <w:sz w:val="2"/>
                <w:szCs w:val="2"/>
                <w:color w:val="auto"/>
              </w:rPr>
            </w:pPr>
          </w:p>
        </w:tc>
        <w:tc>
          <w:tcPr>
            <w:tcW w:w="1060" w:type="dxa"/>
            <w:vAlign w:val="bottom"/>
            <w:tcBorders>
              <w:bottom w:val="single" w:sz="8" w:color="98B82F"/>
              <w:right w:val="single" w:sz="8" w:color="98B82F"/>
            </w:tcBorders>
            <w:gridSpan w:val="8"/>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-2183765</wp:posOffset>
            </wp:positionH>
            <wp:positionV relativeFrom="paragraph">
              <wp:posOffset>-8190230</wp:posOffset>
            </wp:positionV>
            <wp:extent cx="6640195" cy="8190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7">
                      <a:extLst>
                        <a:ext uri="{28A0092B-C50C-407E-A947-70E740481C1C}"/>
                      </a:extLst>
                    </a:blip>
                    <a:srcRect/>
                    <a:stretch>
                      <a:fillRect/>
                    </a:stretch>
                  </pic:blipFill>
                  <pic:spPr bwMode="auto">
                    <a:xfrm>
                      <a:off x="0" y="0"/>
                      <a:ext cx="6640195" cy="819086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760" w:space="720"/>
            <w:col w:w="7320"/>
          </w:cols>
          <w:pgMar w:left="860" w:top="810" w:right="580" w:bottom="2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0" w:hanging="380"/>
        <w:spacing w:after="0"/>
        <w:tabs>
          <w:tab w:leader="none" w:pos="420" w:val="left"/>
        </w:tabs>
        <w:numPr>
          <w:ilvl w:val="0"/>
          <w:numId w:val="5"/>
        </w:numPr>
        <w:rPr>
          <w:rFonts w:ascii="Arial" w:cs="Arial" w:eastAsia="Arial" w:hAnsi="Arial"/>
          <w:sz w:val="16"/>
          <w:szCs w:val="16"/>
          <w:b w:val="1"/>
          <w:bCs w:val="1"/>
          <w:color w:val="262626"/>
        </w:rPr>
      </w:pPr>
      <w:r>
        <w:rPr>
          <w:rFonts w:ascii="Arial" w:cs="Arial" w:eastAsia="Arial" w:hAnsi="Arial"/>
          <w:sz w:val="16"/>
          <w:szCs w:val="16"/>
          <w:b w:val="1"/>
          <w:bCs w:val="1"/>
          <w:color w:val="262626"/>
        </w:rPr>
        <w:t>CECO Environmental</w:t>
      </w:r>
    </w:p>
    <w:p>
      <w:pPr>
        <w:sectPr>
          <w:pgSz w:w="12240" w:h="15840" w:orient="portrait"/>
          <w:cols w:equalWidth="0" w:num="1">
            <w:col w:w="10800"/>
          </w:cols>
          <w:pgMar w:left="860" w:top="810" w:right="580" w:bottom="217"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24"/>
          <w:szCs w:val="24"/>
          <w:b w:val="1"/>
          <w:bCs w:val="1"/>
          <w:color w:val="auto"/>
        </w:rPr>
        <mc:AlternateContent>
          <mc:Choice Requires="wps">
            <w:drawing>
              <wp:anchor simplePos="0" relativeHeight="251657728" behindDoc="1" locked="0" layoutInCell="0" allowOverlap="1">
                <wp:simplePos x="0" y="0"/>
                <wp:positionH relativeFrom="page">
                  <wp:posOffset>507365</wp:posOffset>
                </wp:positionH>
                <wp:positionV relativeFrom="page">
                  <wp:posOffset>612775</wp:posOffset>
                </wp:positionV>
                <wp:extent cx="675703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95pt,48.25pt" to="572pt,48.25pt" o:allowincell="f" strokecolor="#000000" strokeweight="0.735pt">
                <w10:wrap anchorx="page" anchory="page"/>
              </v:line>
            </w:pict>
          </mc:Fallback>
        </mc:AlternateContent>
        <mc:AlternateContent>
          <mc:Choice Requires="wps">
            <w:drawing>
              <wp:anchor simplePos="0" relativeHeight="251657728" behindDoc="1" locked="0" layoutInCell="0" allowOverlap="1">
                <wp:simplePos x="0" y="0"/>
                <wp:positionH relativeFrom="page">
                  <wp:posOffset>507365</wp:posOffset>
                </wp:positionH>
                <wp:positionV relativeFrom="page">
                  <wp:posOffset>594360</wp:posOffset>
                </wp:positionV>
                <wp:extent cx="675703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7035"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9.95pt,46.8pt" to="572pt,46.8pt" o:allowincell="f" strokecolor="#000000" strokeweight="0.735pt">
                <w10:wrap anchorx="page" anchory="page"/>
              </v:line>
            </w:pict>
          </mc:Fallback>
        </mc:AlternateContent>
        <w:t>UNITED STATES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2675255</wp:posOffset>
                </wp:positionH>
                <wp:positionV relativeFrom="paragraph">
                  <wp:posOffset>48260</wp:posOffset>
                </wp:positionV>
                <wp:extent cx="137985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98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5pt,3.8pt" to="319.3pt,3.8pt" o:allowincell="f" strokecolor="#000000" strokeweight="0.49pt"/>
            </w:pict>
          </mc:Fallback>
        </mc:AlternateConten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2675255</wp:posOffset>
                </wp:positionH>
                <wp:positionV relativeFrom="paragraph">
                  <wp:posOffset>69215</wp:posOffset>
                </wp:positionV>
                <wp:extent cx="137985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98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5pt,5.45pt" to="319.3pt,5.45pt" o:allowincell="f" strokecolor="#000000" strokeweight="0.49pt"/>
            </w:pict>
          </mc:Fallback>
        </mc:AlternateConten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 w:lineRule="exact"/>
        <w:rPr>
          <w:sz w:val="20"/>
          <w:szCs w:val="20"/>
          <w:color w:val="auto"/>
        </w:rPr>
      </w:pPr>
    </w:p>
    <w:p>
      <w:pPr>
        <w:ind w:left="2240" w:hanging="331"/>
        <w:spacing w:after="0"/>
        <w:tabs>
          <w:tab w:leader="none" w:pos="2240" w:val="left"/>
        </w:tabs>
        <w:numPr>
          <w:ilvl w:val="0"/>
          <w:numId w:val="6"/>
        </w:numPr>
        <w:rPr>
          <w:rFonts w:ascii="PMingLiU" w:cs="PMingLiU" w:eastAsia="PMingLiU" w:hAnsi="PMingLiU"/>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2120" w:hanging="329"/>
        <w:spacing w:after="0"/>
        <w:tabs>
          <w:tab w:leader="none" w:pos="2120" w:val="left"/>
        </w:tabs>
        <w:numPr>
          <w:ilvl w:val="0"/>
          <w:numId w:val="7"/>
        </w:numPr>
        <w:rPr>
          <w:rFonts w:ascii="PMingLiU" w:cs="PMingLiU" w:eastAsia="PMingLiU" w:hAnsi="PMingLiU"/>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4" w:lineRule="exact"/>
        <w:rPr>
          <w:sz w:val="20"/>
          <w:szCs w:val="20"/>
          <w:color w:val="auto"/>
        </w:rPr>
      </w:pPr>
    </w:p>
    <w:p>
      <w:pPr>
        <w:ind w:left="332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3634105</wp:posOffset>
                </wp:positionH>
                <wp:positionV relativeFrom="paragraph">
                  <wp:posOffset>27305</wp:posOffset>
                </wp:positionV>
                <wp:extent cx="53784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15pt,2.15pt" to="328.5pt,2.15pt" o:allowincell="f" strokecolor="#000000" strokeweight="0.49pt"/>
            </w:pict>
          </mc:Fallback>
        </mc:AlternateContent>
        <mc:AlternateContent>
          <mc:Choice Requires="wps">
            <w:drawing>
              <wp:anchor simplePos="0" relativeHeight="251657728" behindDoc="1" locked="0" layoutInCell="0" allowOverlap="1">
                <wp:simplePos x="0" y="0"/>
                <wp:positionH relativeFrom="column">
                  <wp:posOffset>4440555</wp:posOffset>
                </wp:positionH>
                <wp:positionV relativeFrom="paragraph">
                  <wp:posOffset>27305</wp:posOffset>
                </wp:positionV>
                <wp:extent cx="53784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84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65pt,2.15pt" to="392pt,2.15pt" o:allowincell="f" strokecolor="#000000" strokeweight="0.49pt"/>
            </w:pict>
          </mc:Fallback>
        </mc:AlternateConten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0-7099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2675255</wp:posOffset>
                </wp:positionH>
                <wp:positionV relativeFrom="paragraph">
                  <wp:posOffset>68580</wp:posOffset>
                </wp:positionV>
                <wp:extent cx="137985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98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5pt,5.4pt" to="319.3pt,5.4pt" o:allowincell="f" strokecolor="#000000" strokeweight="0.49pt"/>
            </w:pict>
          </mc:Fallback>
        </mc:AlternateConten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CECO ENVIRONMENTAL CORP.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2675255</wp:posOffset>
                </wp:positionH>
                <wp:positionV relativeFrom="paragraph">
                  <wp:posOffset>494030</wp:posOffset>
                </wp:positionV>
                <wp:extent cx="137985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98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5pt,38.9pt" to="319.3pt,38.9pt" o:allowincell="f" strokecolor="#000000" strokeweight="0.49pt"/>
            </w:pict>
          </mc:Fallback>
        </mc:AlternateContent>
        <w:drawing>
          <wp:anchor simplePos="0" relativeHeight="251657728" behindDoc="1" locked="0" layoutInCell="0" allowOverlap="1">
            <wp:simplePos x="0" y="0"/>
            <wp:positionH relativeFrom="column">
              <wp:posOffset>2947035</wp:posOffset>
            </wp:positionH>
            <wp:positionV relativeFrom="paragraph">
              <wp:posOffset>92075</wp:posOffset>
            </wp:positionV>
            <wp:extent cx="821055" cy="3282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821055" cy="328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4340" w:type="dxa"/>
            <w:vAlign w:val="bottom"/>
          </w:tcPr>
          <w:p>
            <w:pPr>
              <w:jc w:val="center"/>
              <w:ind w:right="16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8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80"/>
        </w:trPr>
        <w:tc>
          <w:tcPr>
            <w:tcW w:w="4340" w:type="dxa"/>
            <w:vAlign w:val="bottom"/>
          </w:tcPr>
          <w:p>
            <w:pPr>
              <w:jc w:val="center"/>
              <w:ind w:right="1656"/>
              <w:spacing w:after="0" w:line="181" w:lineRule="exact"/>
              <w:rPr>
                <w:sz w:val="20"/>
                <w:szCs w:val="20"/>
                <w:color w:val="auto"/>
              </w:rPr>
            </w:pPr>
            <w:r>
              <w:rPr>
                <w:rFonts w:ascii="Times New Roman" w:cs="Times New Roman" w:eastAsia="Times New Roman" w:hAnsi="Times New Roman"/>
                <w:sz w:val="16"/>
                <w:szCs w:val="16"/>
                <w:b w:val="1"/>
                <w:bCs w:val="1"/>
                <w:color w:val="auto"/>
                <w:w w:val="97"/>
              </w:rPr>
              <w:t>(State or other jurisdiction of</w:t>
            </w:r>
          </w:p>
        </w:tc>
        <w:tc>
          <w:tcPr>
            <w:tcW w:w="2980" w:type="dxa"/>
            <w:vAlign w:val="bottom"/>
          </w:tcPr>
          <w:p>
            <w:pPr>
              <w:jc w:val="center"/>
              <w:ind w:left="1658"/>
              <w:spacing w:after="0" w:line="181" w:lineRule="exact"/>
              <w:rPr>
                <w:sz w:val="20"/>
                <w:szCs w:val="20"/>
                <w:color w:val="auto"/>
              </w:rPr>
            </w:pPr>
            <w:r>
              <w:rPr>
                <w:rFonts w:ascii="Times New Roman" w:cs="Times New Roman" w:eastAsia="Times New Roman" w:hAnsi="Times New Roman"/>
                <w:sz w:val="16"/>
                <w:szCs w:val="16"/>
                <w:b w:val="1"/>
                <w:bCs w:val="1"/>
                <w:color w:val="auto"/>
                <w:w w:val="96"/>
              </w:rPr>
              <w:t>(I.R.S. Employer</w:t>
            </w:r>
          </w:p>
        </w:tc>
      </w:tr>
      <w:tr>
        <w:trPr>
          <w:trHeight w:val="214"/>
        </w:trPr>
        <w:tc>
          <w:tcPr>
            <w:tcW w:w="4340" w:type="dxa"/>
            <w:vAlign w:val="bottom"/>
          </w:tcPr>
          <w:p>
            <w:pPr>
              <w:jc w:val="center"/>
              <w:ind w:right="1656"/>
              <w:spacing w:after="0"/>
              <w:rPr>
                <w:sz w:val="20"/>
                <w:szCs w:val="20"/>
                <w:color w:val="auto"/>
              </w:rPr>
            </w:pPr>
            <w:r>
              <w:rPr>
                <w:rFonts w:ascii="Times New Roman" w:cs="Times New Roman" w:eastAsia="Times New Roman" w:hAnsi="Times New Roman"/>
                <w:sz w:val="16"/>
                <w:szCs w:val="16"/>
                <w:b w:val="1"/>
                <w:bCs w:val="1"/>
                <w:color w:val="auto"/>
                <w:w w:val="97"/>
              </w:rPr>
              <w:t>incorporation or organization)</w:t>
            </w:r>
          </w:p>
        </w:tc>
        <w:tc>
          <w:tcPr>
            <w:tcW w:w="2980" w:type="dxa"/>
            <w:vAlign w:val="bottom"/>
          </w:tcPr>
          <w:p>
            <w:pPr>
              <w:jc w:val="center"/>
              <w:ind w:left="1658"/>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34"/>
        </w:trPr>
        <w:tc>
          <w:tcPr>
            <w:tcW w:w="4340" w:type="dxa"/>
            <w:vAlign w:val="bottom"/>
          </w:tcPr>
          <w:p>
            <w:pPr>
              <w:jc w:val="center"/>
              <w:ind w:right="1656"/>
              <w:spacing w:after="0"/>
              <w:rPr>
                <w:sz w:val="20"/>
                <w:szCs w:val="20"/>
                <w:color w:val="auto"/>
              </w:rPr>
            </w:pPr>
            <w:r>
              <w:rPr>
                <w:rFonts w:ascii="Times New Roman" w:cs="Times New Roman" w:eastAsia="Times New Roman" w:hAnsi="Times New Roman"/>
                <w:sz w:val="18"/>
                <w:szCs w:val="18"/>
                <w:b w:val="1"/>
                <w:bCs w:val="1"/>
                <w:color w:val="auto"/>
                <w:w w:val="97"/>
              </w:rPr>
              <w:t>14651 North Dallas Parkway</w:t>
            </w:r>
          </w:p>
        </w:tc>
        <w:tc>
          <w:tcPr>
            <w:tcW w:w="2980" w:type="dxa"/>
            <w:vAlign w:val="bottom"/>
          </w:tcPr>
          <w:p>
            <w:pPr>
              <w:spacing w:after="0"/>
              <w:rPr>
                <w:sz w:val="20"/>
                <w:szCs w:val="20"/>
                <w:color w:val="auto"/>
              </w:rPr>
            </w:pPr>
          </w:p>
        </w:tc>
      </w:tr>
      <w:tr>
        <w:trPr>
          <w:trHeight w:val="203"/>
        </w:trPr>
        <w:tc>
          <w:tcPr>
            <w:tcW w:w="4340" w:type="dxa"/>
            <w:vAlign w:val="bottom"/>
          </w:tcPr>
          <w:p>
            <w:pPr>
              <w:jc w:val="center"/>
              <w:ind w:right="1656"/>
              <w:spacing w:after="0" w:line="203" w:lineRule="exact"/>
              <w:rPr>
                <w:sz w:val="20"/>
                <w:szCs w:val="20"/>
                <w:color w:val="auto"/>
              </w:rPr>
            </w:pPr>
            <w:r>
              <w:rPr>
                <w:rFonts w:ascii="Times New Roman" w:cs="Times New Roman" w:eastAsia="Times New Roman" w:hAnsi="Times New Roman"/>
                <w:sz w:val="18"/>
                <w:szCs w:val="18"/>
                <w:b w:val="1"/>
                <w:bCs w:val="1"/>
                <w:color w:val="auto"/>
                <w:w w:val="96"/>
              </w:rPr>
              <w:t>Suite 500</w:t>
            </w:r>
          </w:p>
        </w:tc>
        <w:tc>
          <w:tcPr>
            <w:tcW w:w="2980" w:type="dxa"/>
            <w:vAlign w:val="bottom"/>
          </w:tcPr>
          <w:p>
            <w:pPr>
              <w:spacing w:after="0"/>
              <w:rPr>
                <w:sz w:val="17"/>
                <w:szCs w:val="17"/>
                <w:color w:val="auto"/>
              </w:rPr>
            </w:pPr>
          </w:p>
        </w:tc>
      </w:tr>
      <w:tr>
        <w:trPr>
          <w:trHeight w:val="206"/>
        </w:trPr>
        <w:tc>
          <w:tcPr>
            <w:tcW w:w="4340" w:type="dxa"/>
            <w:vAlign w:val="bottom"/>
          </w:tcPr>
          <w:p>
            <w:pPr>
              <w:jc w:val="center"/>
              <w:ind w:right="1656"/>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980" w:type="dxa"/>
            <w:vAlign w:val="bottom"/>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14"/>
        </w:trPr>
        <w:tc>
          <w:tcPr>
            <w:tcW w:w="4340" w:type="dxa"/>
            <w:vAlign w:val="bottom"/>
          </w:tcPr>
          <w:p>
            <w:pPr>
              <w:jc w:val="center"/>
              <w:ind w:right="1656"/>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2980" w:type="dxa"/>
            <w:vAlign w:val="bottom"/>
          </w:tcPr>
          <w:p>
            <w:pPr>
              <w:jc w:val="center"/>
              <w:ind w:left="1658"/>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under Section 12(b) of the Act: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 w:type="dxa"/>
            <w:vAlign w:val="bottom"/>
            <w:tcBorders>
              <w:right w:val="single" w:sz="8" w:color="auto"/>
            </w:tcBorders>
          </w:tcPr>
          <w:p>
            <w:pPr>
              <w:spacing w:after="0"/>
              <w:rPr>
                <w:sz w:val="21"/>
                <w:szCs w:val="21"/>
                <w:color w:val="auto"/>
              </w:rPr>
            </w:pPr>
          </w:p>
        </w:tc>
        <w:tc>
          <w:tcPr>
            <w:tcW w:w="3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37"/>
        </w:trPr>
        <w:tc>
          <w:tcPr>
            <w:tcW w:w="7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$0.01 per share</w:t>
            </w:r>
          </w:p>
        </w:tc>
        <w:tc>
          <w:tcPr>
            <w:tcW w:w="2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34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31"/>
        </w:trPr>
        <w:tc>
          <w:tcPr>
            <w:tcW w:w="760" w:type="dxa"/>
            <w:vAlign w:val="bottom"/>
            <w:tcBorders>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3440" w:type="dxa"/>
            <w:vAlign w:val="bottom"/>
            <w:tcBorders>
              <w:bottom w:val="single" w:sz="8" w:color="auto"/>
              <w:right w:val="single" w:sz="8" w:color="auto"/>
            </w:tcBorders>
            <w:gridSpan w:val="2"/>
          </w:tcPr>
          <w:p>
            <w:pPr>
              <w:spacing w:after="0"/>
              <w:rPr>
                <w:sz w:val="2"/>
                <w:szCs w:val="2"/>
                <w:color w:val="auto"/>
              </w:rPr>
            </w:pPr>
          </w:p>
        </w:tc>
      </w:tr>
      <w:tr>
        <w:trPr>
          <w:trHeight w:val="214"/>
        </w:trPr>
        <w:tc>
          <w:tcPr>
            <w:tcW w:w="760" w:type="dxa"/>
            <w:vAlign w:val="bottom"/>
          </w:tcPr>
          <w:p>
            <w:pPr>
              <w:spacing w:after="0"/>
              <w:rPr>
                <w:sz w:val="18"/>
                <w:szCs w:val="18"/>
                <w:color w:val="auto"/>
              </w:rPr>
            </w:pPr>
          </w:p>
        </w:tc>
        <w:tc>
          <w:tcPr>
            <w:tcW w:w="9400" w:type="dxa"/>
            <w:vAlign w:val="bottom"/>
            <w:gridSpan w:val="4"/>
          </w:tcPr>
          <w:p>
            <w:pPr>
              <w:ind w:left="278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r>
      <w:tr>
        <w:trPr>
          <w:trHeight w:val="180"/>
        </w:trPr>
        <w:tc>
          <w:tcPr>
            <w:tcW w:w="7520" w:type="dxa"/>
            <w:vAlign w:val="bottom"/>
            <w:gridSpan w:val="4"/>
          </w:tcPr>
          <w:p>
            <w:pPr>
              <w:spacing w:after="0" w:line="181" w:lineRule="exact"/>
              <w:rPr>
                <w:sz w:val="20"/>
                <w:szCs w:val="20"/>
                <w:color w:val="auto"/>
              </w:rPr>
            </w:pPr>
            <w:r>
              <w:rPr>
                <w:rFonts w:ascii="Times New Roman" w:cs="Times New Roman" w:eastAsia="Times New Roman" w:hAnsi="Times New Roman"/>
                <w:sz w:val="16"/>
                <w:szCs w:val="16"/>
                <w:color w:val="auto"/>
                <w:w w:val="99"/>
              </w:rPr>
              <w:t>Indicate by check mark if the registrant is a well-known seasoned issuer, as defined in Rule 405 of the Securities Act.</w:t>
            </w:r>
          </w:p>
        </w:tc>
        <w:tc>
          <w:tcPr>
            <w:tcW w:w="264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color w:val="auto"/>
              </w:rPr>
              <w:t xml:space="preserve">Yes </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r>
          </w:p>
        </w:tc>
      </w:tr>
      <w:tr>
        <w:trPr>
          <w:trHeight w:val="264"/>
        </w:trPr>
        <w:tc>
          <w:tcPr>
            <w:tcW w:w="752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640" w:type="dxa"/>
            <w:vAlign w:val="bottom"/>
          </w:tcPr>
          <w:p>
            <w:pPr>
              <w:ind w:left="140"/>
              <w:spacing w:after="0" w:line="195" w:lineRule="exact"/>
              <w:rPr>
                <w:sz w:val="20"/>
                <w:szCs w:val="20"/>
                <w:color w:val="auto"/>
              </w:rPr>
            </w:pPr>
            <w:r>
              <w:rPr>
                <w:rFonts w:ascii="Times New Roman" w:cs="Times New Roman" w:eastAsia="Times New Roman" w:hAnsi="Times New Roman"/>
                <w:sz w:val="16"/>
                <w:szCs w:val="16"/>
                <w:color w:val="auto"/>
              </w:rPr>
              <w:t xml:space="preserve">Yes </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r>
          </w:p>
        </w:tc>
      </w:tr>
    </w:tbl>
    <w:p>
      <w:pPr>
        <w:ind w:right="20"/>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r>
    </w:p>
    <w:p>
      <w:pPr>
        <w:spacing w:after="0" w:line="6" w:lineRule="exact"/>
        <w:rPr>
          <w:sz w:val="20"/>
          <w:szCs w:val="20"/>
          <w:color w:val="auto"/>
        </w:rPr>
      </w:pPr>
    </w:p>
    <w:p>
      <w:pPr>
        <w:ind w:right="40"/>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r>
    </w:p>
    <w:p>
      <w:pPr>
        <w:spacing w:after="0" w:line="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00" w:type="dxa"/>
            <w:vAlign w:val="bottom"/>
          </w:tcPr>
          <w:p>
            <w:pPr>
              <w:jc w:val="right"/>
              <w:ind w:right="2702"/>
              <w:spacing w:after="0" w:line="192" w:lineRule="exact"/>
              <w:rPr>
                <w:sz w:val="20"/>
                <w:szCs w:val="20"/>
                <w:color w:val="auto"/>
              </w:rPr>
            </w:pPr>
            <w:r>
              <w:rPr>
                <w:rFonts w:ascii="PMingLiU" w:cs="PMingLiU" w:eastAsia="PMingLiU" w:hAnsi="PMingLiU"/>
                <w:sz w:val="16"/>
                <w:szCs w:val="16"/>
                <w:color w:val="auto"/>
              </w:rPr>
              <w:t/>
            </w:r>
          </w:p>
        </w:tc>
        <w:tc>
          <w:tcPr>
            <w:tcW w:w="478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4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00" w:type="dxa"/>
            <w:vAlign w:val="bottom"/>
          </w:tcPr>
          <w:p>
            <w:pPr>
              <w:jc w:val="right"/>
              <w:ind w:right="2702"/>
              <w:spacing w:after="0" w:line="192" w:lineRule="exact"/>
              <w:rPr>
                <w:sz w:val="20"/>
                <w:szCs w:val="20"/>
                <w:color w:val="auto"/>
              </w:rPr>
            </w:pPr>
            <w:r>
              <w:rPr>
                <w:rFonts w:ascii="PMingLiU" w:cs="PMingLiU" w:eastAsia="PMingLiU" w:hAnsi="PMingLiU"/>
                <w:sz w:val="16"/>
                <w:szCs w:val="16"/>
                <w:color w:val="auto"/>
              </w:rPr>
              <w:t/>
            </w:r>
          </w:p>
        </w:tc>
        <w:tc>
          <w:tcPr>
            <w:tcW w:w="478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jc w:val="right"/>
              <w:spacing w:after="0" w:line="216" w:lineRule="exact"/>
              <w:rPr>
                <w:sz w:val="20"/>
                <w:szCs w:val="20"/>
                <w:color w:val="auto"/>
              </w:rPr>
            </w:pPr>
            <w:r>
              <w:rPr>
                <w:rFonts w:ascii="PMingLiU" w:cs="PMingLiU" w:eastAsia="PMingLiU" w:hAnsi="PMingLiU"/>
                <w:sz w:val="18"/>
                <w:szCs w:val="18"/>
                <w:color w:val="auto"/>
              </w:rPr>
              <w:t/>
            </w:r>
          </w:p>
        </w:tc>
      </w:tr>
      <w:tr>
        <w:trPr>
          <w:trHeight w:val="26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00" w:type="dxa"/>
            <w:vAlign w:val="bottom"/>
          </w:tcPr>
          <w:p>
            <w:pPr>
              <w:jc w:val="right"/>
              <w:ind w:right="2702"/>
              <w:spacing w:after="0" w:line="192" w:lineRule="exact"/>
              <w:rPr>
                <w:sz w:val="20"/>
                <w:szCs w:val="20"/>
                <w:color w:val="auto"/>
              </w:rPr>
            </w:pPr>
            <w:r>
              <w:rPr>
                <w:rFonts w:ascii="PMingLiU" w:cs="PMingLiU" w:eastAsia="PMingLiU" w:hAnsi="PMingLiU"/>
                <w:sz w:val="16"/>
                <w:szCs w:val="16"/>
                <w:color w:val="auto"/>
              </w:rPr>
              <w:t/>
            </w:r>
          </w:p>
        </w:tc>
        <w:tc>
          <w:tcPr>
            <w:tcW w:w="47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 w:lineRule="exact"/>
        <w:rPr>
          <w:sz w:val="20"/>
          <w:szCs w:val="20"/>
          <w:color w:val="auto"/>
        </w:rPr>
      </w:pPr>
    </w:p>
    <w:p>
      <w:pPr>
        <w:ind w:right="26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r>
    </w:p>
    <w:p>
      <w:pPr>
        <w:spacing w:after="0" w:line="6" w:lineRule="exact"/>
        <w:rPr>
          <w:sz w:val="20"/>
          <w:szCs w:val="20"/>
          <w:color w:val="auto"/>
        </w:rPr>
      </w:pPr>
    </w:p>
    <w:p>
      <w:pPr>
        <w:jc w:val="both"/>
        <w:ind w:right="480"/>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6"/>
          <w:szCs w:val="16"/>
          <w:color w:val="auto"/>
        </w:rPr>
        <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r>
    </w:p>
    <w:p>
      <w:pPr>
        <w:spacing w:after="0" w:line="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r>
    </w:p>
    <w:p>
      <w:pPr>
        <w:spacing w:after="0" w:line="1" w:lineRule="exact"/>
        <w:rPr>
          <w:sz w:val="20"/>
          <w:szCs w:val="20"/>
          <w:color w:val="auto"/>
        </w:rPr>
      </w:pPr>
    </w:p>
    <w:p>
      <w:pPr>
        <w:spacing w:after="0" w:line="195" w:lineRule="exact"/>
        <w:tabs>
          <w:tab w:leader="none" w:pos="7320" w:val="left"/>
          <w:tab w:leader="none" w:pos="79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PMingLiU" w:cs="PMingLiU" w:eastAsia="PMingLiU" w:hAnsi="PMingLiU"/>
          <w:sz w:val="16"/>
          <w:szCs w:val="16"/>
          <w:color w:val="auto"/>
        </w:rPr>
        <w:t/>
      </w:r>
      <w:r>
        <w:rPr>
          <w:rFonts w:ascii="Times New Roman" w:cs="Times New Roman" w:eastAsia="Times New Roman" w:hAnsi="Times New Roman"/>
          <w:sz w:val="16"/>
          <w:szCs w:val="16"/>
          <w:color w:val="auto"/>
        </w:rPr>
        <w:tab/>
        <w:t xml:space="preserve">No </w:t>
      </w:r>
      <w:r>
        <w:rPr>
          <w:rFonts w:ascii="PMingLiU" w:cs="PMingLiU" w:eastAsia="PMingLiU" w:hAnsi="PMingLiU"/>
          <w:sz w:val="16"/>
          <w:szCs w:val="16"/>
          <w:color w:val="auto"/>
        </w:rPr>
        <w:t/>
      </w:r>
    </w:p>
    <w:p>
      <w:pPr>
        <w:spacing w:after="0" w:line="5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The aggregate market value of voting and non-voting common stock held by non-affiliates of the registrant was $151.4 million based upon the closing market price and shares of common stock outstanding as of June 30, 2022,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February 28, 2023, the registrant had 34,419,948 shares of common stock, par value $0.01 per share, outstanding.</w:t>
      </w:r>
    </w:p>
    <w:p>
      <w:pPr>
        <w:spacing w:after="0" w:line="5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57" w:lineRule="exact"/>
        <w:rPr>
          <w:sz w:val="20"/>
          <w:szCs w:val="20"/>
          <w:color w:val="auto"/>
        </w:rPr>
      </w:pPr>
    </w:p>
    <w:p>
      <w:pPr>
        <w:ind w:right="320" w:firstLine="480"/>
        <w:spacing w:after="0" w:line="302" w:lineRule="auto"/>
        <w:rPr>
          <w:sz w:val="20"/>
          <w:szCs w:val="20"/>
          <w:color w:val="auto"/>
        </w:rPr>
      </w:pPr>
      <w:r>
        <w:rPr>
          <w:rFonts w:ascii="Times New Roman" w:cs="Times New Roman" w:eastAsia="Times New Roman" w:hAnsi="Times New Roman"/>
          <w:sz w:val="15"/>
          <w:szCs w:val="15"/>
          <w:color w:val="auto"/>
        </w:rPr>
        <w:t>Portions of the definitive Proxy Statement for the 2023 Annual Meeting of Stockholders, which is to be filed with the Securities and Exchange Commission within 120 days of the fiscal year ended December 31, 2022, are incorporated by reference into Part III of this Annual Report to the extent described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69850</wp:posOffset>
                </wp:positionV>
                <wp:extent cx="675640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5.5pt" to="531pt,5.5pt" o:allowincell="f" strokecolor="#000000" strokeweight="0.735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51435</wp:posOffset>
                </wp:positionV>
                <wp:extent cx="67564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6400" cy="4763"/>
                        </a:xfrm>
                        <a:prstGeom prst="line">
                          <a:avLst/>
                        </a:prstGeom>
                        <a:solidFill>
                          <a:srgbClr val="FFFFFF"/>
                        </a:solidFill>
                        <a:ln w="9334">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4.05pt" to="531pt,4.05pt" o:allowincell="f" strokecolor="#000000" strokeweight="0.735pt"/>
            </w:pict>
          </mc:Fallback>
        </mc:AlternateContent>
      </w:r>
    </w:p>
    <w:p>
      <w:pPr>
        <w:sectPr>
          <w:pgSz w:w="12240" w:h="15840" w:orient="portrait"/>
          <w:cols w:equalWidth="0" w:num="1">
            <w:col w:w="10580"/>
          </w:cols>
          <w:pgMar w:left="820" w:top="1003" w:right="840" w:bottom="479" w:gutter="0" w:footer="0" w:header="0"/>
        </w:sectPr>
      </w:pPr>
    </w:p>
    <w:bookmarkStart w:id="13" w:name="page14"/>
    <w:bookmarkEnd w:id="13"/>
    <w:p>
      <w:pPr>
        <w:ind w:left="3360"/>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color w:val="auto"/>
        </w:rPr>
        <w:t>ANNUAL REPORT ON FORM 10-K</w:t>
      </w:r>
    </w:p>
    <w:p>
      <w:pPr>
        <w:ind w:left="3760"/>
        <w:spacing w:after="0"/>
        <w:rPr>
          <w:sz w:val="20"/>
          <w:szCs w:val="20"/>
          <w:color w:val="auto"/>
        </w:rPr>
      </w:pPr>
      <w:r>
        <w:rPr>
          <w:rFonts w:ascii="Times New Roman" w:cs="Times New Roman" w:eastAsia="Times New Roman" w:hAnsi="Times New Roman"/>
          <w:sz w:val="20"/>
          <w:szCs w:val="20"/>
          <w:color w:val="auto"/>
        </w:rPr>
        <w:t>For the year ended December 31, 2022</w:t>
      </w:r>
    </w:p>
    <w:p>
      <w:pPr>
        <w:spacing w:after="0" w:line="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7" w:lineRule="exact"/>
        <w:rPr>
          <w:sz w:val="20"/>
          <w:szCs w:val="20"/>
          <w:color w:val="auto"/>
        </w:rPr>
      </w:pPr>
    </w:p>
    <w:p>
      <w:pPr>
        <w:spacing w:after="0"/>
        <w:tabs>
          <w:tab w:leader="none" w:pos="2220" w:val="left"/>
          <w:tab w:leader="none" w:pos="10120" w:val="left"/>
        </w:tabs>
        <w:rPr>
          <w:sz w:val="20"/>
          <w:szCs w:val="20"/>
          <w:color w:val="auto"/>
        </w:rPr>
      </w:pPr>
      <w:r>
        <w:rPr>
          <w:rFonts w:ascii="Times New Roman" w:cs="Times New Roman" w:eastAsia="Times New Roman" w:hAnsi="Times New Roman"/>
          <w:sz w:val="16"/>
          <w:szCs w:val="16"/>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5"/>
          <w:szCs w:val="15"/>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11430</wp:posOffset>
                </wp:positionV>
                <wp:extent cx="61785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0.9pt" to="48.55pt,0.9pt" o:allowincell="f" strokecolor="#000000" strokeweight="0.49pt"/>
            </w:pict>
          </mc:Fallback>
        </mc:AlternateContent>
        <mc:AlternateContent>
          <mc:Choice Requires="wps">
            <w:drawing>
              <wp:anchor simplePos="0" relativeHeight="251657728" behindDoc="1" locked="0" layoutInCell="0" allowOverlap="1">
                <wp:simplePos x="0" y="0"/>
                <wp:positionH relativeFrom="column">
                  <wp:posOffset>616585</wp:posOffset>
                </wp:positionH>
                <wp:positionV relativeFrom="paragraph">
                  <wp:posOffset>11430</wp:posOffset>
                </wp:positionV>
                <wp:extent cx="8051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5180"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0.9pt" to="111.95pt,0.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1421765</wp:posOffset>
                </wp:positionH>
                <wp:positionV relativeFrom="paragraph">
                  <wp:posOffset>11430</wp:posOffset>
                </wp:positionV>
                <wp:extent cx="489077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90770"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95pt,0.9pt" to="497.05pt,0.9pt" o:allowincell="f" strokecolor="#000000" strokeweight="0.49pt"/>
            </w:pict>
          </mc:Fallback>
        </mc:AlternateContent>
        <mc:AlternateContent>
          <mc:Choice Requires="wps">
            <w:drawing>
              <wp:anchor simplePos="0" relativeHeight="251657728" behindDoc="1" locked="0" layoutInCell="0" allowOverlap="1">
                <wp:simplePos x="0" y="0"/>
                <wp:positionH relativeFrom="column">
                  <wp:posOffset>6312535</wp:posOffset>
                </wp:positionH>
                <wp:positionV relativeFrom="paragraph">
                  <wp:posOffset>11430</wp:posOffset>
                </wp:positionV>
                <wp:extent cx="6858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7.05pt,0.9pt" to="502.45pt,0.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6381115</wp:posOffset>
                </wp:positionH>
                <wp:positionV relativeFrom="paragraph">
                  <wp:posOffset>11430</wp:posOffset>
                </wp:positionV>
                <wp:extent cx="32575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755"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2.45pt,0.9pt" to="528.1pt,0.9pt" o:allowincell="f" strokecolor="#000000" strokeweight="0.49pt"/>
            </w:pict>
          </mc:Fallback>
        </mc:AlternateConten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w:t>
      </w:r>
    </w:p>
    <w:p>
      <w:pPr>
        <w:spacing w:after="0" w:line="105" w:lineRule="exact"/>
        <w:rPr>
          <w:sz w:val="20"/>
          <w:szCs w:val="20"/>
          <w:color w:val="auto"/>
        </w:rPr>
      </w:pPr>
    </w:p>
    <w:p>
      <w:pPr>
        <w:spacing w:after="0"/>
        <w:tabs>
          <w:tab w:leader="none" w:pos="2220" w:val="left"/>
          <w:tab w:leader="dot" w:pos="1044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2</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11</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21</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22</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22</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w:t>
      </w:r>
    </w:p>
    <w:p>
      <w:pPr>
        <w:spacing w:after="0" w:line="131"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the Registrant’s Common Equity, Related Stockholder Matters and Issuer Purchases</w:t>
      </w:r>
    </w:p>
    <w:p>
      <w:pPr>
        <w:spacing w:after="0" w:line="23" w:lineRule="exact"/>
        <w:rPr>
          <w:sz w:val="20"/>
          <w:szCs w:val="20"/>
          <w:color w:val="auto"/>
        </w:rPr>
      </w:pPr>
    </w:p>
    <w:p>
      <w:pPr>
        <w:ind w:left="2240"/>
        <w:spacing w:after="0"/>
        <w:tabs>
          <w:tab w:leader="dot" w:pos="10340" w:val="left"/>
        </w:tabs>
        <w:rPr>
          <w:sz w:val="20"/>
          <w:szCs w:val="20"/>
          <w:color w:val="auto"/>
        </w:rPr>
      </w:pPr>
      <w:r>
        <w:rPr>
          <w:rFonts w:ascii="Times New Roman" w:cs="Times New Roman" w:eastAsia="Times New Roman" w:hAnsi="Times New Roman"/>
          <w:sz w:val="20"/>
          <w:szCs w:val="20"/>
          <w:color w:val="auto"/>
        </w:rPr>
        <w:t>of Equity Securities</w:t>
      </w:r>
      <w:r>
        <w:rPr>
          <w:sz w:val="20"/>
          <w:szCs w:val="20"/>
          <w:color w:val="auto"/>
        </w:rPr>
        <w:tab/>
      </w:r>
      <w:r>
        <w:rPr>
          <w:rFonts w:ascii="Times New Roman" w:cs="Times New Roman" w:eastAsia="Times New Roman" w:hAnsi="Times New Roman"/>
          <w:sz w:val="20"/>
          <w:szCs w:val="20"/>
          <w:color w:val="auto"/>
        </w:rPr>
        <w:t>23</w:t>
      </w:r>
    </w:p>
    <w:p>
      <w:pPr>
        <w:spacing w:after="0" w:line="103"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24</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20"/>
          <w:szCs w:val="20"/>
          <w:color w:val="auto"/>
        </w:rPr>
        <w:t>25</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7A.</w:t>
      </w:r>
      <w:r>
        <w:rPr>
          <w:sz w:val="20"/>
          <w:szCs w:val="20"/>
          <w:color w:val="auto"/>
        </w:rPr>
        <w:tab/>
      </w:r>
      <w:r>
        <w:rPr>
          <w:rFonts w:ascii="Times New Roman" w:cs="Times New Roman" w:eastAsia="Times New Roman" w:hAnsi="Times New Roman"/>
          <w:sz w:val="20"/>
          <w:szCs w:val="20"/>
          <w:color w:val="auto"/>
        </w:rPr>
        <w:t>Quantitative and Qualitative Disclosures About Market Risk</w:t>
      </w:r>
      <w:r>
        <w:rPr>
          <w:sz w:val="20"/>
          <w:szCs w:val="20"/>
          <w:color w:val="auto"/>
        </w:rPr>
        <w:tab/>
      </w:r>
      <w:r>
        <w:rPr>
          <w:rFonts w:ascii="Times New Roman" w:cs="Times New Roman" w:eastAsia="Times New Roman" w:hAnsi="Times New Roman"/>
          <w:sz w:val="20"/>
          <w:szCs w:val="20"/>
          <w:color w:val="auto"/>
        </w:rPr>
        <w:t>36</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w:t>
      </w:r>
      <w:r>
        <w:rPr>
          <w:sz w:val="20"/>
          <w:szCs w:val="20"/>
          <w:color w:val="auto"/>
        </w:rPr>
        <w:tab/>
      </w:r>
      <w:r>
        <w:rPr>
          <w:rFonts w:ascii="Times New Roman" w:cs="Times New Roman" w:eastAsia="Times New Roman" w:hAnsi="Times New Roman"/>
          <w:sz w:val="20"/>
          <w:szCs w:val="20"/>
          <w:color w:val="auto"/>
        </w:rPr>
        <w:t>37</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20"/>
          <w:szCs w:val="20"/>
          <w:color w:val="auto"/>
        </w:rPr>
        <w:t>37</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9A.</w:t>
      </w:r>
      <w:r>
        <w:rPr>
          <w:sz w:val="20"/>
          <w:szCs w:val="20"/>
          <w:color w:val="auto"/>
        </w:rPr>
        <w:tab/>
      </w:r>
      <w:r>
        <w:rPr>
          <w:rFonts w:ascii="Times New Roman" w:cs="Times New Roman" w:eastAsia="Times New Roman" w:hAnsi="Times New Roman"/>
          <w:sz w:val="20"/>
          <w:szCs w:val="20"/>
          <w:color w:val="auto"/>
        </w:rPr>
        <w:t>Controls and Procedures</w:t>
      </w:r>
      <w:r>
        <w:rPr>
          <w:sz w:val="20"/>
          <w:szCs w:val="20"/>
          <w:color w:val="auto"/>
        </w:rPr>
        <w:tab/>
      </w:r>
      <w:r>
        <w:rPr>
          <w:rFonts w:ascii="Times New Roman" w:cs="Times New Roman" w:eastAsia="Times New Roman" w:hAnsi="Times New Roman"/>
          <w:sz w:val="20"/>
          <w:szCs w:val="20"/>
          <w:color w:val="auto"/>
        </w:rPr>
        <w:t>37</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w:t>
      </w:r>
      <w:r>
        <w:rPr>
          <w:sz w:val="20"/>
          <w:szCs w:val="20"/>
          <w:color w:val="auto"/>
        </w:rPr>
        <w:tab/>
      </w:r>
      <w:r>
        <w:rPr>
          <w:rFonts w:ascii="Times New Roman" w:cs="Times New Roman" w:eastAsia="Times New Roman" w:hAnsi="Times New Roman"/>
          <w:sz w:val="20"/>
          <w:szCs w:val="20"/>
          <w:color w:val="auto"/>
        </w:rPr>
        <w:t>40</w:t>
      </w:r>
    </w:p>
    <w:p>
      <w:pPr>
        <w:spacing w:after="0" w:line="131" w:lineRule="exact"/>
        <w:rPr>
          <w:sz w:val="20"/>
          <w:szCs w:val="20"/>
          <w:color w:val="auto"/>
        </w:rPr>
      </w:pPr>
    </w:p>
    <w:p>
      <w:pPr>
        <w:spacing w:after="0"/>
        <w:tabs>
          <w:tab w:leader="none" w:pos="2220" w:val="left"/>
          <w:tab w:leader="none" w:pos="1034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w:t>
      </w:r>
      <w:r>
        <w:rPr>
          <w:sz w:val="20"/>
          <w:szCs w:val="20"/>
          <w:color w:val="auto"/>
        </w:rPr>
        <w:tab/>
      </w:r>
      <w:r>
        <w:rPr>
          <w:rFonts w:ascii="Times New Roman" w:cs="Times New Roman" w:eastAsia="Times New Roman" w:hAnsi="Times New Roman"/>
          <w:sz w:val="20"/>
          <w:szCs w:val="20"/>
          <w:color w:val="auto"/>
        </w:rPr>
        <w:t>40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III.</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41</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41</w:t>
      </w:r>
    </w:p>
    <w:p>
      <w:pPr>
        <w:spacing w:after="0" w:line="131"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 Stockholder</w:t>
      </w:r>
    </w:p>
    <w:p>
      <w:pPr>
        <w:spacing w:after="0" w:line="23" w:lineRule="exact"/>
        <w:rPr>
          <w:sz w:val="20"/>
          <w:szCs w:val="20"/>
          <w:color w:val="auto"/>
        </w:rPr>
      </w:pPr>
    </w:p>
    <w:p>
      <w:pPr>
        <w:ind w:left="2240"/>
        <w:spacing w:after="0"/>
        <w:tabs>
          <w:tab w:leader="dot" w:pos="10340" w:val="left"/>
        </w:tabs>
        <w:rPr>
          <w:sz w:val="20"/>
          <w:szCs w:val="20"/>
          <w:color w:val="auto"/>
        </w:rPr>
      </w:pPr>
      <w:r>
        <w:rPr>
          <w:rFonts w:ascii="Times New Roman" w:cs="Times New Roman" w:eastAsia="Times New Roman" w:hAnsi="Times New Roman"/>
          <w:sz w:val="20"/>
          <w:szCs w:val="20"/>
          <w:color w:val="auto"/>
        </w:rPr>
        <w:t>Matters</w:t>
      </w:r>
      <w:r>
        <w:rPr>
          <w:sz w:val="20"/>
          <w:szCs w:val="20"/>
          <w:color w:val="auto"/>
        </w:rPr>
        <w:tab/>
      </w:r>
      <w:r>
        <w:rPr>
          <w:rFonts w:ascii="Times New Roman" w:cs="Times New Roman" w:eastAsia="Times New Roman" w:hAnsi="Times New Roman"/>
          <w:sz w:val="20"/>
          <w:szCs w:val="20"/>
          <w:color w:val="auto"/>
        </w:rPr>
        <w:t>41</w:t>
      </w:r>
    </w:p>
    <w:p>
      <w:pPr>
        <w:spacing w:after="0" w:line="103"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42</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Accounting Fees and Services</w:t>
      </w:r>
      <w:r>
        <w:rPr>
          <w:sz w:val="20"/>
          <w:szCs w:val="20"/>
          <w:color w:val="auto"/>
        </w:rPr>
        <w:tab/>
      </w:r>
      <w:r>
        <w:rPr>
          <w:rFonts w:ascii="Times New Roman" w:cs="Times New Roman" w:eastAsia="Times New Roman" w:hAnsi="Times New Roman"/>
          <w:sz w:val="20"/>
          <w:szCs w:val="20"/>
          <w:color w:val="auto"/>
        </w:rPr>
        <w:t>42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IV.</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43</w:t>
      </w:r>
    </w:p>
    <w:p>
      <w:pPr>
        <w:spacing w:after="0" w:line="131" w:lineRule="exact"/>
        <w:rPr>
          <w:sz w:val="20"/>
          <w:szCs w:val="20"/>
          <w:color w:val="auto"/>
        </w:rPr>
      </w:pPr>
    </w:p>
    <w:p>
      <w:pPr>
        <w:spacing w:after="0"/>
        <w:tabs>
          <w:tab w:leader="none" w:pos="2220" w:val="left"/>
          <w:tab w:leader="dot" w:pos="1034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45</w:t>
      </w:r>
    </w:p>
    <w:p>
      <w:pPr>
        <w:spacing w:after="0" w:line="131" w:lineRule="exact"/>
        <w:rPr>
          <w:sz w:val="20"/>
          <w:szCs w:val="20"/>
          <w:color w:val="auto"/>
        </w:rPr>
      </w:pPr>
    </w:p>
    <w:p>
      <w:pPr>
        <w:spacing w:after="0"/>
        <w:tabs>
          <w:tab w:leader="dot" w:pos="1034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46</w:t>
      </w:r>
    </w:p>
    <w:p>
      <w:pPr>
        <w:sectPr>
          <w:pgSz w:w="12240" w:h="15840" w:orient="portrait"/>
          <w:cols w:equalWidth="0" w:num="1">
            <w:col w:w="10560"/>
          </w:cols>
          <w:pgMar w:left="840" w:top="1065" w:right="840"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220" w:lineRule="exact"/>
        <w:rPr>
          <w:sz w:val="20"/>
          <w:szCs w:val="20"/>
          <w:color w:val="auto"/>
        </w:rPr>
      </w:pPr>
    </w:p>
    <w:p>
      <w:pPr>
        <w:ind w:left="720" w:right="28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sensitivity of our business to economic and financial market conditions generally and economic conditions in CECO’s service areas;</w:t>
      </w:r>
    </w:p>
    <w:p>
      <w:pPr>
        <w:spacing w:after="0" w:line="79" w:lineRule="exact"/>
        <w:rPr>
          <w:rFonts w:ascii="PMingLiU" w:cs="PMingLiU" w:eastAsia="PMingLiU" w:hAnsi="PMingLiU"/>
          <w:sz w:val="20"/>
          <w:szCs w:val="20"/>
          <w:color w:val="auto"/>
        </w:rPr>
      </w:pPr>
    </w:p>
    <w:p>
      <w:pPr>
        <w:ind w:left="720" w:right="60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dependence on fixed price contracts and the risks associated therewith, including actual costs exceeding estimates and method of accounting for revenue;</w:t>
      </w:r>
    </w:p>
    <w:p>
      <w:pPr>
        <w:spacing w:after="0" w:line="79"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effect of growth on CECO’s infrastructure, resources and existing sales;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ability to expand operations in both new and existing markets;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potential for contract delay or cancellation as a result of on-going or worsening supply chain challenges;</w:t>
      </w:r>
    </w:p>
    <w:p>
      <w:pPr>
        <w:spacing w:after="0" w:line="113" w:lineRule="exact"/>
        <w:rPr>
          <w:rFonts w:ascii="PMingLiU" w:cs="PMingLiU" w:eastAsia="PMingLiU" w:hAnsi="PMingLiU"/>
          <w:sz w:val="20"/>
          <w:szCs w:val="20"/>
          <w:color w:val="auto"/>
        </w:rPr>
      </w:pPr>
    </w:p>
    <w:p>
      <w:pPr>
        <w:ind w:left="720" w:right="6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liabilities arising from faulty services or products that could result in significant professional or product liability, warranty or other claims;</w:t>
      </w:r>
    </w:p>
    <w:p>
      <w:pPr>
        <w:spacing w:after="0" w:line="79"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changes in or developments with respect to any litigation or investigation;</w:t>
      </w:r>
    </w:p>
    <w:p>
      <w:pPr>
        <w:spacing w:after="0" w:line="113" w:lineRule="exact"/>
        <w:rPr>
          <w:rFonts w:ascii="PMingLiU" w:cs="PMingLiU" w:eastAsia="PMingLiU" w:hAnsi="PMingLiU"/>
          <w:sz w:val="20"/>
          <w:szCs w:val="20"/>
          <w:color w:val="auto"/>
        </w:rPr>
      </w:pPr>
    </w:p>
    <w:p>
      <w:pPr>
        <w:ind w:left="720" w:right="26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failure to meet timely completion or performance standards that could result in higher cost and reduced profits or, in some cases, losses on projects;</w:t>
      </w:r>
    </w:p>
    <w:p>
      <w:pPr>
        <w:spacing w:after="0" w:line="79" w:lineRule="exact"/>
        <w:rPr>
          <w:rFonts w:ascii="PMingLiU" w:cs="PMingLiU" w:eastAsia="PMingLiU" w:hAnsi="PMingLiU"/>
          <w:sz w:val="20"/>
          <w:szCs w:val="20"/>
          <w:color w:val="auto"/>
        </w:rPr>
      </w:pPr>
    </w:p>
    <w:p>
      <w:pPr>
        <w:ind w:left="720" w:right="32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potential for fluctuations in prices for manufactured components and raw materials, including as a result of tariffs and surcharges;</w:t>
      </w:r>
    </w:p>
    <w:p>
      <w:pPr>
        <w:spacing w:after="0" w:line="79" w:lineRule="exact"/>
        <w:rPr>
          <w:rFonts w:ascii="PMingLiU" w:cs="PMingLiU" w:eastAsia="PMingLiU" w:hAnsi="PMingLiU"/>
          <w:sz w:val="20"/>
          <w:szCs w:val="20"/>
          <w:color w:val="auto"/>
        </w:rPr>
      </w:pPr>
    </w:p>
    <w:p>
      <w:pPr>
        <w:ind w:left="720" w:right="2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substantial amount of debt incurred in connection with our strategic transactions and our ability to repay or refinance it or incur additional debt in the future;</w:t>
      </w:r>
    </w:p>
    <w:p>
      <w:pPr>
        <w:spacing w:after="0" w:line="79"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impact of federal, state or local government regulations;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repurchase shares of our common stock and the amounts and timing of repurchases, if any;</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economic and political conditions generally;</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successfully realize the expected benefits of our restructuring program;</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successfully integrate acquired businesses and realize the synergies from strategic transactions; and</w:t>
      </w:r>
    </w:p>
    <w:p>
      <w:pPr>
        <w:spacing w:after="0" w:line="113" w:lineRule="exact"/>
        <w:rPr>
          <w:rFonts w:ascii="PMingLiU" w:cs="PMingLiU" w:eastAsia="PMingLiU" w:hAnsi="PMingLiU"/>
          <w:sz w:val="20"/>
          <w:szCs w:val="20"/>
          <w:color w:val="auto"/>
        </w:rPr>
      </w:pPr>
    </w:p>
    <w:p>
      <w:pPr>
        <w:ind w:left="720" w:right="240" w:hanging="359"/>
        <w:spacing w:after="0" w:line="255" w:lineRule="auto"/>
        <w:tabs>
          <w:tab w:leader="none" w:pos="72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18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ectPr>
          <w:pgSz w:w="12240" w:h="15840" w:orient="portrait"/>
          <w:cols w:equalWidth="0" w:num="1">
            <w:col w:w="10560"/>
          </w:cols>
          <w:pgMar w:left="820" w:top="1065" w:right="86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10560"/>
          </w:cols>
          <w:pgMar w:left="820" w:top="1065" w:right="860" w:bottom="361" w:gutter="0" w:footer="0" w:header="0"/>
          <w:type w:val="continuous"/>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2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CECO Environmental Corp. (“CECO”, “we”, “us”, "our" or the “Company”) is a leading environmentally focused, diversified industrial company, serving the broad landscape of industrial air, industrial water and energy transition markets globally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efficiency for highly 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w:t>
      </w:r>
    </w:p>
    <w:p>
      <w:pPr>
        <w:spacing w:after="0" w:line="199" w:lineRule="exact"/>
        <w:rPr>
          <w:sz w:val="20"/>
          <w:szCs w:val="20"/>
          <w:color w:val="auto"/>
        </w:rPr>
      </w:pPr>
    </w:p>
    <w:p>
      <w:pPr>
        <w:ind w:right="800"/>
        <w:spacing w:after="0" w:line="252" w:lineRule="auto"/>
        <w:rPr>
          <w:sz w:val="20"/>
          <w:szCs w:val="20"/>
          <w:color w:val="auto"/>
        </w:rPr>
      </w:pPr>
      <w:r>
        <w:rPr>
          <w:rFonts w:ascii="Times New Roman" w:cs="Times New Roman" w:eastAsia="Times New Roman" w:hAnsi="Times New Roman"/>
          <w:sz w:val="20"/>
          <w:szCs w:val="20"/>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8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We believe our value differentiators include, but are not limited to, our product and solutions performance quality, reliability, durability, on-time delivery and safety, all of which are underpinned by our core capabilities in advanced design and systems engineering, commercial excellence, and operational excellence. We believe these differentiators and core capabilities are critical to maintaining our competitive position. Additionally, we have built a spirit of continuous improvement to ensure we maintain our market leadership position.</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With an installed base of operating systems and equipment in excess of $6 billion, we are targeting to grow a higher share of recurring revenue from aftermarket products and installed base value-added services, which we believe will provide a greater customer retention and loyalty, and increased business resiliency.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Industry Overview</w:t>
      </w:r>
    </w:p>
    <w:p>
      <w:pPr>
        <w:spacing w:after="0" w:line="229"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We serve a growing multi-billion dollar global industrial market that is highly fragmented and comprised of many industrial sectors and niche applications. Our legacy sectors include industrial wastewater treatment, industrial ventilation systems and contamination controls and filtration, semiconductor fabrication, electronics manufacturing, baseload and backup power generation, hydrocarbon processing, chemical processing, natural gas processing and transport, automobile and aircraft production, polysilicon production, battery recycling, metals processing and production, and produced water treatment. Emerging sectors and applications include electric vehicle and battery production, desalination water transport, ultra-high purity water treatment for electrolysis and electronics production, naval/marine vessel oily water treatment, aluminum beverage can production, and lightweight, high-strength metals production.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demand for our products and services will continue to be driven by the following factors:</w:t>
      </w:r>
    </w:p>
    <w:p>
      <w:pPr>
        <w:spacing w:after="0" w:line="245" w:lineRule="exact"/>
        <w:rPr>
          <w:sz w:val="20"/>
          <w:szCs w:val="20"/>
          <w:color w:val="auto"/>
        </w:rPr>
      </w:pPr>
    </w:p>
    <w:p>
      <w:pPr>
        <w:ind w:left="960" w:right="100" w:hanging="472"/>
        <w:spacing w:after="0" w:line="239" w:lineRule="auto"/>
        <w:tabs>
          <w:tab w:leader="none" w:pos="960" w:val="left"/>
        </w:tabs>
        <w:numPr>
          <w:ilvl w:val="0"/>
          <w:numId w:val="9"/>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Global Focus on the Environment. </w:t>
      </w:r>
      <w:r>
        <w:rPr>
          <w:rFonts w:ascii="Times New Roman" w:cs="Times New Roman" w:eastAsia="Times New Roman" w:hAnsi="Times New Roman"/>
          <w:sz w:val="20"/>
          <w:szCs w:val="20"/>
          <w:color w:val="auto"/>
        </w:rPr>
        <w:t>Increased demand for efficient solutions and reduced air and water emissions remains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the forefront of sustainable production. As our customers and end markets navigate this changing landscape, we are making production and power generation cleaner, more efficient and flexible, and workplaces safer. Increasingly society, along with government regulation, is calling for companies to commit to the preservation and protection of the environment. We believe that through our air and water quality and emissions control offerings, companies want to work with us to protect people and our planet from the harmful effects of industrial processes.</w:t>
      </w:r>
    </w:p>
    <w:p>
      <w:pPr>
        <w:spacing w:after="0" w:line="96" w:lineRule="exact"/>
        <w:rPr>
          <w:rFonts w:ascii="PMingLiU" w:cs="PMingLiU" w:eastAsia="PMingLiU" w:hAnsi="PMingLiU"/>
          <w:sz w:val="20"/>
          <w:szCs w:val="20"/>
          <w:color w:val="auto"/>
        </w:rPr>
      </w:pPr>
    </w:p>
    <w:p>
      <w:pPr>
        <w:ind w:left="960" w:hanging="472"/>
        <w:spacing w:after="0" w:line="256" w:lineRule="auto"/>
        <w:tabs>
          <w:tab w:leader="none" w:pos="960" w:val="left"/>
        </w:tabs>
        <w:numPr>
          <w:ilvl w:val="0"/>
          <w:numId w:val="9"/>
        </w:numPr>
        <w:rPr>
          <w:rFonts w:ascii="PMingLiU" w:cs="PMingLiU" w:eastAsia="PMingLiU" w:hAnsi="PMingLiU"/>
          <w:sz w:val="19"/>
          <w:szCs w:val="19"/>
          <w:color w:val="auto"/>
        </w:rPr>
      </w:pPr>
      <w:r>
        <w:rPr>
          <w:rFonts w:ascii="Times New Roman" w:cs="Times New Roman" w:eastAsia="Times New Roman" w:hAnsi="Times New Roman"/>
          <w:sz w:val="19"/>
          <w:szCs w:val="19"/>
          <w:i w:val="1"/>
          <w:iCs w:val="1"/>
          <w:color w:val="auto"/>
        </w:rPr>
        <w:t>Increasingly Stringent Regulatory Environment</w:t>
      </w:r>
      <w:r>
        <w:rPr>
          <w:rFonts w:ascii="Times New Roman" w:cs="Times New Roman" w:eastAsia="Times New Roman" w:hAnsi="Times New Roman"/>
          <w:sz w:val="19"/>
          <w:szCs w:val="19"/>
          <w:color w:val="auto"/>
        </w:rPr>
        <w:t>. The adoption of increasingly stringent environmental regulations globally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requires businesses to pay strict attention to environmental protection and efficient production processes. The businesses and industries we serve must comply with these various international, federal, state and local government regulations or potentially face substantial fines or be forced to suspend production or alter their production processes. Providing assistance in meeting or exceeding stringent environmental regulations are a principal factor that drives our business.</w:t>
      </w:r>
    </w:p>
    <w:p>
      <w:pPr>
        <w:spacing w:after="0" w:line="80" w:lineRule="exact"/>
        <w:rPr>
          <w:rFonts w:ascii="PMingLiU" w:cs="PMingLiU" w:eastAsia="PMingLiU" w:hAnsi="PMingLiU"/>
          <w:sz w:val="19"/>
          <w:szCs w:val="19"/>
          <w:color w:val="auto"/>
        </w:rPr>
      </w:pPr>
    </w:p>
    <w:p>
      <w:pPr>
        <w:ind w:left="960" w:right="60" w:hanging="472"/>
        <w:spacing w:after="0" w:line="255" w:lineRule="auto"/>
        <w:tabs>
          <w:tab w:leader="none" w:pos="960" w:val="left"/>
        </w:tabs>
        <w:numPr>
          <w:ilvl w:val="0"/>
          <w:numId w:val="9"/>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Favorable Investment Climate for Net-zero Technologies. </w:t>
      </w:r>
      <w:r>
        <w:rPr>
          <w:rFonts w:ascii="Times New Roman" w:cs="Times New Roman" w:eastAsia="Times New Roman" w:hAnsi="Times New Roman"/>
          <w:sz w:val="20"/>
          <w:szCs w:val="20"/>
          <w:color w:val="auto"/>
        </w:rPr>
        <w:t>Our businesses are positively impacted by capital expenditures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technologies to address climate change and improve environmental outcomes.</w:t>
      </w:r>
    </w:p>
    <w:p>
      <w:pPr>
        <w:spacing w:after="0" w:line="79" w:lineRule="exact"/>
        <w:rPr>
          <w:rFonts w:ascii="PMingLiU" w:cs="PMingLiU" w:eastAsia="PMingLiU" w:hAnsi="PMingLiU"/>
          <w:sz w:val="20"/>
          <w:szCs w:val="20"/>
          <w:color w:val="auto"/>
        </w:rPr>
      </w:pPr>
    </w:p>
    <w:p>
      <w:pPr>
        <w:ind w:left="960" w:right="120" w:hanging="472"/>
        <w:spacing w:after="0" w:line="282" w:lineRule="auto"/>
        <w:tabs>
          <w:tab w:leader="none" w:pos="960" w:val="left"/>
        </w:tabs>
        <w:numPr>
          <w:ilvl w:val="0"/>
          <w:numId w:val="9"/>
        </w:numPr>
        <w:rPr>
          <w:rFonts w:ascii="PMingLiU" w:cs="PMingLiU" w:eastAsia="PMingLiU" w:hAnsi="PMingLiU"/>
          <w:sz w:val="19"/>
          <w:szCs w:val="19"/>
          <w:color w:val="auto"/>
        </w:rPr>
      </w:pPr>
      <w:r>
        <w:rPr>
          <w:rFonts w:ascii="Times New Roman" w:cs="Times New Roman" w:eastAsia="Times New Roman" w:hAnsi="Times New Roman"/>
          <w:sz w:val="19"/>
          <w:szCs w:val="19"/>
          <w:i w:val="1"/>
          <w:iCs w:val="1"/>
          <w:color w:val="auto"/>
        </w:rPr>
        <w:t xml:space="preserve">Emerging Market Industrialization. </w:t>
      </w:r>
      <w:r>
        <w:rPr>
          <w:rFonts w:ascii="Times New Roman" w:cs="Times New Roman" w:eastAsia="Times New Roman" w:hAnsi="Times New Roman"/>
          <w:sz w:val="19"/>
          <w:szCs w:val="19"/>
          <w:color w:val="auto"/>
        </w:rPr>
        <w:t>The rapid expansion of manufacturing in emerging economies increases the demand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for our industrial air treatment and pollution controls for newly constructed and upgraded facilities. For investments in</w:t>
      </w:r>
    </w:p>
    <w:p>
      <w:pPr>
        <w:sectPr>
          <w:pgSz w:w="12240" w:h="15840" w:orient="portrait"/>
          <w:cols w:equalWidth="0" w:num="1">
            <w:col w:w="10580"/>
          </w:cols>
          <w:pgMar w:left="820" w:top="1065" w:right="840" w:bottom="361"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10580"/>
          </w:cols>
          <w:pgMar w:left="820" w:top="1065" w:right="840" w:bottom="361" w:gutter="0" w:footer="0" w:header="0"/>
          <w:type w:val="continuous"/>
        </w:sectPr>
      </w:pPr>
    </w:p>
    <w:bookmarkStart w:id="16" w:name="page17"/>
    <w:bookmarkEnd w:id="16"/>
    <w:p>
      <w:pPr>
        <w:ind w:left="960" w:right="20"/>
        <w:spacing w:after="0" w:line="252" w:lineRule="auto"/>
        <w:rPr>
          <w:sz w:val="20"/>
          <w:szCs w:val="20"/>
          <w:color w:val="auto"/>
        </w:rPr>
      </w:pPr>
      <w:r>
        <w:rPr>
          <w:rFonts w:ascii="Times New Roman" w:cs="Times New Roman" w:eastAsia="Times New Roman" w:hAnsi="Times New Roman"/>
          <w:sz w:val="20"/>
          <w:szCs w:val="20"/>
          <w:color w:val="auto"/>
        </w:rPr>
        <w:t>semiconductor and electronics production, sources of ultra-pure water are required as are emission controls and scrubbers. We expect that more rigorous regulations being introduced to protect the workforce, the environment, and the operating equipment will favorably impact demand for our products and solutions.</w:t>
      </w:r>
    </w:p>
    <w:p>
      <w:pPr>
        <w:spacing w:after="0" w:line="83" w:lineRule="exact"/>
        <w:rPr>
          <w:sz w:val="20"/>
          <w:szCs w:val="20"/>
          <w:color w:val="auto"/>
        </w:rPr>
      </w:pPr>
    </w:p>
    <w:p>
      <w:pPr>
        <w:ind w:left="960" w:right="180" w:hanging="472"/>
        <w:spacing w:after="0" w:line="241"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Developed Market Industrial Reshoring. </w:t>
      </w:r>
      <w:r>
        <w:rPr>
          <w:rFonts w:ascii="Times New Roman" w:cs="Times New Roman" w:eastAsia="Times New Roman" w:hAnsi="Times New Roman"/>
          <w:sz w:val="20"/>
          <w:szCs w:val="20"/>
          <w:color w:val="auto"/>
        </w:rPr>
        <w:t>The industries in which we operate have historically embraced a global supply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chain which has provided certain advantages by offshoring select production and services. Today many companies are relocating their global supply chains to resume in-region. We believe the re-shoring of manufacturing operations is a driver of business growth.</w:t>
      </w:r>
    </w:p>
    <w:p>
      <w:pPr>
        <w:spacing w:after="0" w:line="96" w:lineRule="exact"/>
        <w:rPr>
          <w:rFonts w:ascii="PMingLiU" w:cs="PMingLiU" w:eastAsia="PMingLiU" w:hAnsi="PMingLiU"/>
          <w:sz w:val="20"/>
          <w:szCs w:val="20"/>
          <w:color w:val="auto"/>
        </w:rPr>
      </w:pPr>
    </w:p>
    <w:p>
      <w:pPr>
        <w:ind w:left="960" w:right="140" w:hanging="472"/>
        <w:spacing w:after="0" w:line="239"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Expansion and Renewal of Infrastructure. </w:t>
      </w:r>
      <w:r>
        <w:rPr>
          <w:rFonts w:ascii="Times New Roman" w:cs="Times New Roman" w:eastAsia="Times New Roman" w:hAnsi="Times New Roman"/>
          <w:sz w:val="20"/>
          <w:szCs w:val="20"/>
          <w:color w:val="auto"/>
        </w:rPr>
        <w:t>There is a growing trend to better manage and reduce air and water emissions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our products and solutions equipment will serve. In 2021, the US Congress passed the Infrastructure Investment and Jobs Act with $550 billion of new federal spending aimed at rebuilding roads and bridges, improving climate resilience, and improving environmental outcomes. As industrial capital expenditures grow, corporations are seeking to make these investments with a smaller environmental impact. This new spending serves as a driver of increased interest for our portfolio of products and solutions.</w:t>
      </w:r>
    </w:p>
    <w:p>
      <w:pPr>
        <w:spacing w:after="0" w:line="96" w:lineRule="exact"/>
        <w:rPr>
          <w:rFonts w:ascii="PMingLiU" w:cs="PMingLiU" w:eastAsia="PMingLiU" w:hAnsi="PMingLiU"/>
          <w:sz w:val="20"/>
          <w:szCs w:val="20"/>
          <w:color w:val="auto"/>
        </w:rPr>
      </w:pPr>
    </w:p>
    <w:p>
      <w:pPr>
        <w:ind w:left="960" w:right="40" w:hanging="472"/>
        <w:spacing w:after="0" w:line="241"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Water Scarcity. </w:t>
      </w:r>
      <w:r>
        <w:rPr>
          <w:rFonts w:ascii="Times New Roman" w:cs="Times New Roman" w:eastAsia="Times New Roman" w:hAnsi="Times New Roman"/>
          <w:sz w:val="20"/>
          <w:szCs w:val="20"/>
          <w:color w:val="auto"/>
        </w:rPr>
        <w:t>There are increasing risks associated with water quality and water access around the globe. Protecting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water resources is crucial for the health and resiliency of our communities, ecosystems and our customers. We expect that more rigorous regulations are being, and will be introduced, to protect water as a natural resource. We are well-positioned to deliver solutions to our customers to meet this growing need.</w:t>
      </w:r>
    </w:p>
    <w:p>
      <w:pPr>
        <w:spacing w:after="0" w:line="96" w:lineRule="exact"/>
        <w:rPr>
          <w:rFonts w:ascii="PMingLiU" w:cs="PMingLiU" w:eastAsia="PMingLiU" w:hAnsi="PMingLiU"/>
          <w:sz w:val="20"/>
          <w:szCs w:val="20"/>
          <w:color w:val="auto"/>
        </w:rPr>
      </w:pPr>
    </w:p>
    <w:p>
      <w:pPr>
        <w:ind w:left="960" w:hanging="472"/>
        <w:spacing w:after="0" w:line="237"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 xml:space="preserve">Increased Demand for Electrical Power Generation. </w:t>
      </w:r>
      <w:r>
        <w:rPr>
          <w:rFonts w:ascii="Times New Roman" w:cs="Times New Roman" w:eastAsia="Times New Roman" w:hAnsi="Times New Roman"/>
          <w:sz w:val="20"/>
          <w:szCs w:val="20"/>
          <w:color w:val="auto"/>
        </w:rPr>
        <w:t>An accelerating shift away from traditional fossil fuel powered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electricity generation and transportation towards cleaner and sustainable forms of power generation and mass “electrification” of transportation is underway. Demand for cleaner burning natural gas, renewable natural gas, hydrogen and its derivatives, renewables including solar and wind, and a resurgence in interest in nuclear is growing. In addition, the planned retirements of the coal- and oil-fired plants require greater investments in natural gas-fired and renewables generation. Natural gas-fired power plants have lower initial capital requirements and are more flexible in terms of operations. The transition to hydrogen and other “green” fuels (such as HVO’s, biogas, and green ammonia) are in their infancy but will be part of the energy transition over the next decade. Even though considered “green” fuels, power plants using these fuels will continue to require exhaust emissions control solutions which we provide, as will the production facilities and producers of the lightweight materials, batteries, and electronics required to build and operate the new vehicles being deployed.</w:t>
      </w:r>
    </w:p>
    <w:p>
      <w:pPr>
        <w:spacing w:after="0" w:line="99" w:lineRule="exact"/>
        <w:rPr>
          <w:rFonts w:ascii="PMingLiU" w:cs="PMingLiU" w:eastAsia="PMingLiU" w:hAnsi="PMingLiU"/>
          <w:sz w:val="20"/>
          <w:szCs w:val="20"/>
          <w:color w:val="auto"/>
        </w:rPr>
      </w:pPr>
    </w:p>
    <w:p>
      <w:pPr>
        <w:ind w:left="960" w:hanging="472"/>
        <w:spacing w:after="0" w:line="239"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Expanding Natural Gas Infrastructure</w:t>
      </w:r>
      <w:r>
        <w:rPr>
          <w:rFonts w:ascii="Times New Roman" w:cs="Times New Roman" w:eastAsia="Times New Roman" w:hAnsi="Times New Roman"/>
          <w:sz w:val="20"/>
          <w:szCs w:val="20"/>
          <w:color w:val="auto"/>
        </w:rPr>
        <w:t>. The International Energy Association projects a pronounced shift in Organization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Economic Cooperation and Development countries for electricity generation away from oil and coal towards natural gas, including liquified natural gas (“LNG”), and renewables. Natural gas, including LNG, continues to be the growth fuel of choice for the electrical power and industrial sectors in many of the world’s regions in primary power generation, and as a complement to renewables as a source of backup and standby power. The pipeline and storage infrastructure required to supply these new users creates increased interest in our products and services.</w:t>
      </w:r>
    </w:p>
    <w:p>
      <w:pPr>
        <w:spacing w:after="0" w:line="96" w:lineRule="exact"/>
        <w:rPr>
          <w:rFonts w:ascii="PMingLiU" w:cs="PMingLiU" w:eastAsia="PMingLiU" w:hAnsi="PMingLiU"/>
          <w:sz w:val="20"/>
          <w:szCs w:val="20"/>
          <w:color w:val="auto"/>
        </w:rPr>
      </w:pPr>
    </w:p>
    <w:p>
      <w:pPr>
        <w:ind w:left="960" w:right="20" w:hanging="472"/>
        <w:spacing w:after="0" w:line="238" w:lineRule="auto"/>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i w:val="1"/>
          <w:iCs w:val="1"/>
          <w:color w:val="auto"/>
        </w:rPr>
        <w:t>Hydrocarbon Processing</w:t>
      </w:r>
      <w:r>
        <w:rPr>
          <w:rFonts w:ascii="Times New Roman" w:cs="Times New Roman" w:eastAsia="Times New Roman" w:hAnsi="Times New Roman"/>
          <w:sz w:val="20"/>
          <w:szCs w:val="20"/>
          <w:color w:val="auto"/>
        </w:rPr>
        <w:t>. Hydrocarbon processing involves the production, refining, and processing of hydrocarbons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organic chemicals (petrochemicals) for use in a variety of downstream applications, such as gasoline, aviation fuel, fertilizers, lubricants, polymers, plastics, paints and coatings, and additives that keep industry and our economies operating. In response to increasing global demand for petrochemicals and refined products, companies are producing a wider range of intermediate and final products from new sources, upgrading and expanding existing facilities and process lines, and constructing new production and processing. These new and expanded facilities must comply with stricter environmental regulations, wastewater discharge, and emission controls requirements, and the adaptation of production processes will require new or modified catalyst recovery and regeneration systems which we provide.</w:t>
      </w:r>
    </w:p>
    <w:p>
      <w:pPr>
        <w:spacing w:after="0" w:line="20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These factors, individually or collectively, tend to drive increases in industrial capital spending that are not directly impacted by general economic conditions. In contrast, favorable conditions in the economy generally lead to plant expansions and the construction of new industrial sites. However, in a weak economy, customers tend to lengthen the time from initial inquiry to the purchase order or may elect to defer purchases.</w:t>
      </w:r>
    </w:p>
    <w:p>
      <w:pPr>
        <w:sectPr>
          <w:pgSz w:w="12240" w:h="15840" w:orient="portrait"/>
          <w:cols w:equalWidth="0" w:num="1">
            <w:col w:w="10580"/>
          </w:cols>
          <w:pgMar w:left="820" w:top="1069" w:right="84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10580"/>
          </w:cols>
          <w:pgMar w:left="820" w:top="1069" w:right="840" w:bottom="36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Mission and Strategy</w:t>
      </w:r>
    </w:p>
    <w:p>
      <w:pPr>
        <w:spacing w:after="0" w:line="22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mission is to help companies grow their business with safe, clean and more efficient solutions that help protect their people, the environment and their industrial equipment and facilities.</w:t>
      </w:r>
    </w:p>
    <w:p>
      <w:pPr>
        <w:spacing w:after="0" w:line="170"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20"/>
          <w:szCs w:val="20"/>
          <w:color w:val="auto"/>
        </w:rPr>
        <w:t>We seek to fulfill this mission by providing leading solutions for niche, engineered applications in industrial air treatment and management, industrial water treatment, and the energy transition. We will continue to leverage our technologies and application expertise for customers around the world.</w:t>
      </w:r>
    </w:p>
    <w:p>
      <w:pPr>
        <w:spacing w:after="0" w:line="187"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Our strategy to become a global leader in niche applications in industrial air treatment and management, industrial water treatment, and the energy transition is supported by an operating environment of performance excellence across the Company.</w:t>
      </w:r>
    </w:p>
    <w:p>
      <w:pPr>
        <w:spacing w:after="0" w:line="170"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We constantly look for opportunities to apply our technology and expertise to new customers and in new geographies in our existing end markets, and to enter new end markets with our existing set of products and solutions. Acquisitions are a big part of our growth model and we constantly are seeking out value-added, accretive additions to the CECO portfolio aligned with our strategic focus in industrial air, industrial water and the energy transition.</w:t>
      </w:r>
    </w:p>
    <w:p>
      <w:pPr>
        <w:spacing w:after="0" w:line="1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intend to continue to expand our customer base and end markets and have continued to pursue potential attractive growth opportunities both domestically and internationally. In the past few years, we have expanded our international presence with new sales &amp; engineering hubs in the United Kingdom, Shanghai (China), Singapore, Pune (India), and Dubai.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22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Our reportable segments continue to be focused on attractive end markets and each segment is aligned to generate profitable growth for the Company with a compelling technology and solution set to benefit customers.</w:t>
      </w:r>
    </w:p>
    <w:p>
      <w:pPr>
        <w:spacing w:after="0" w:line="181" w:lineRule="exact"/>
        <w:rPr>
          <w:sz w:val="20"/>
          <w:szCs w:val="20"/>
          <w:color w:val="auto"/>
        </w:rPr>
      </w:pPr>
    </w:p>
    <w:p>
      <w:pPr>
        <w:ind w:left="720" w:right="40" w:hanging="359"/>
        <w:spacing w:after="0" w:line="241" w:lineRule="auto"/>
        <w:tabs>
          <w:tab w:leader="none" w:pos="720" w:val="left"/>
        </w:tabs>
        <w:numPr>
          <w:ilvl w:val="0"/>
          <w:numId w:val="1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Engineered Systems segment: </w:t>
      </w:r>
      <w:r>
        <w:rPr>
          <w:rFonts w:ascii="Times New Roman" w:cs="Times New Roman" w:eastAsia="Times New Roman" w:hAnsi="Times New Roman"/>
          <w:sz w:val="20"/>
          <w:szCs w:val="20"/>
          <w:color w:val="auto"/>
        </w:rPr>
        <w:t>Our Engineered Systems segment serves the power generation, hydrocarbon processing,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water/wastewater treatment, oily water separation and treatment, marine and naval vessels, and midstream oil &amp; gas sectors. We are a key part of helping meet the global demand for environmental and equipment protection solutions with our highly engineered platforms including emissions control, fluid bed cyclones, thermal acoustics, separation &amp; filtration, and dampers &amp; expansion joints.</w:t>
      </w:r>
    </w:p>
    <w:p>
      <w:pPr>
        <w:spacing w:after="0" w:line="208" w:lineRule="exact"/>
        <w:rPr>
          <w:rFonts w:ascii="PMingLiU" w:cs="PMingLiU" w:eastAsia="PMingLiU" w:hAnsi="PMingLiU"/>
          <w:sz w:val="20"/>
          <w:szCs w:val="20"/>
          <w:color w:val="auto"/>
        </w:rPr>
      </w:pPr>
    </w:p>
    <w:p>
      <w:pPr>
        <w:ind w:left="720" w:right="100" w:hanging="359"/>
        <w:spacing w:after="0" w:line="238" w:lineRule="auto"/>
        <w:tabs>
          <w:tab w:leader="none" w:pos="720" w:val="left"/>
        </w:tabs>
        <w:numPr>
          <w:ilvl w:val="0"/>
          <w:numId w:val="1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Industrial Process Solutions segment: </w:t>
      </w:r>
      <w:r>
        <w:rPr>
          <w:rFonts w:ascii="Times New Roman" w:cs="Times New Roman" w:eastAsia="Times New Roman" w:hAnsi="Times New Roman"/>
          <w:sz w:val="20"/>
          <w:szCs w:val="20"/>
          <w:color w:val="auto"/>
        </w:rPr>
        <w:t>Our Industrial Process Solutions segment serves the broad industrial sector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we assist companies maintain clean and safe operations for employees, reduce energy consumption, minimize waste for customers, and ensure they meet regulatory standards for toxic emissions, fumes, volatile organic compounds, and odor elimination through our platforms including duct fabrication &amp; installation, industrial air, and fluid handling.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Strengths</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i w:val="1"/>
          <w:iCs w:val="1"/>
          <w:color w:val="auto"/>
        </w:rPr>
        <w:t>Leading market position as a complete solution provider</w:t>
      </w:r>
      <w:r>
        <w:rPr>
          <w:rFonts w:ascii="Times New Roman" w:cs="Times New Roman" w:eastAsia="Times New Roman" w:hAnsi="Times New Roman"/>
          <w:sz w:val="20"/>
          <w:szCs w:val="20"/>
          <w:color w:val="auto"/>
        </w:rPr>
        <w:t>. We believe we are a leading provider of critical solutions in industrial 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quality, industrial water treatment, and energy transition solutions.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9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i w:val="1"/>
          <w:iCs w:val="1"/>
          <w:color w:val="auto"/>
        </w:rPr>
        <w:t>Long-standing experience and customer relationships in growing industry</w:t>
      </w:r>
      <w:r>
        <w:rPr>
          <w:rFonts w:ascii="Times New Roman" w:cs="Times New Roman" w:eastAsia="Times New Roman" w:hAnsi="Times New Roman"/>
          <w:sz w:val="19"/>
          <w:szCs w:val="19"/>
          <w:color w:val="auto"/>
        </w:rPr>
        <w:t>. We have serviced the needs of our target markets for over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50 years. Our 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ectPr>
          <w:pgSz w:w="12240" w:h="15840" w:orient="portrait"/>
          <w:cols w:equalWidth="0" w:num="1">
            <w:col w:w="10560"/>
          </w:cols>
          <w:pgMar w:left="820" w:top="1071" w:right="86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10560"/>
          </w:cols>
          <w:pgMar w:left="820" w:top="1071" w:right="860" w:bottom="361"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i w:val="1"/>
          <w:iCs w:val="1"/>
          <w:color w:val="auto"/>
        </w:rPr>
        <w:t xml:space="preserve">Diversified equipment and solution portfolio and broad customer base. </w:t>
      </w:r>
      <w:r>
        <w:rPr>
          <w:rFonts w:ascii="Times New Roman" w:cs="Times New Roman" w:eastAsia="Times New Roman" w:hAnsi="Times New Roman"/>
          <w:sz w:val="20"/>
          <w:szCs w:val="20"/>
          <w:color w:val="auto"/>
        </w:rPr>
        <w:t>The global diversity of our offering and footprint and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 provides us with multiple growth opportunities. We have a diversified customer base across a range of industries. We believe that the diversity of our customers, solutions,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20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i w:val="1"/>
          <w:iCs w:val="1"/>
          <w:color w:val="auto"/>
        </w:rPr>
        <w:t xml:space="preserve">Experienced management and engineering team. </w:t>
      </w:r>
      <w:r>
        <w:rPr>
          <w:rFonts w:ascii="Times New Roman" w:cs="Times New Roman" w:eastAsia="Times New Roman" w:hAnsi="Times New Roman"/>
          <w:sz w:val="20"/>
          <w:szCs w:val="20"/>
          <w:color w:val="auto"/>
        </w:rPr>
        <w:t>Our business management team has substantial experience in delivering highly-engineered solutions for industrial air quality, industrial water treatment, and energy transition applications. The collective experience of our teams enables us to pursue our strategy, and to successfully execute on our strategic and growth priorities. Our team includes approximately 400 engineers, designers, solution experts, and project managers whose industry experience and technical expertise enables them to have a deep understanding of the solutions that will best suit the needs of our customers. The experience and stability of our senior management, operating and engineering teams have been crucial to our recent growth and to developing and maintaining customer relationships, and increasing our market position.</w:t>
      </w:r>
    </w:p>
    <w:p>
      <w:pPr>
        <w:spacing w:after="0" w:line="203"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i w:val="1"/>
          <w:iCs w:val="1"/>
          <w:color w:val="auto"/>
        </w:rPr>
        <w:t>Innovative solutions</w:t>
      </w:r>
      <w:r>
        <w:rPr>
          <w:rFonts w:ascii="Times New Roman" w:cs="Times New Roman" w:eastAsia="Times New Roman" w:hAnsi="Times New Roman"/>
          <w:sz w:val="20"/>
          <w:szCs w:val="20"/>
          <w:color w:val="auto"/>
        </w:rPr>
        <w:t>. We leverage our engineering and manufacturing expertise, fabrication partner network, and strong customer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relationships to develop and deliver new products and solutions to address the identified needs of our customers or a particular end market. We thoroughly analyze each new opportunity by considering projected demand, pricing, and cost to deliver, and only pursue those opportunities that we believe will contribute to sustainable earnings growth. In addition, we seek to continually improve our legacy technologies, solutions, and applications with the aim to maintain competitiveness in our existing customer segments, and to adapt them to new industries and customers.</w:t>
      </w:r>
    </w:p>
    <w:p>
      <w:pPr>
        <w:spacing w:after="0" w:line="19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i w:val="1"/>
          <w:iCs w:val="1"/>
          <w:color w:val="auto"/>
        </w:rPr>
        <w:t>Disciplined acquisition program with successful integration</w:t>
      </w:r>
      <w:r>
        <w:rPr>
          <w:rFonts w:ascii="Times New Roman" w:cs="Times New Roman" w:eastAsia="Times New Roman" w:hAnsi="Times New Roman"/>
          <w:sz w:val="20"/>
          <w:szCs w:val="20"/>
          <w:color w:val="auto"/>
        </w:rPr>
        <w:t>. We believe that we have demonstrated an ability to successfully acquire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integrate companies with complementary product or service offerings. We will continue to seek and execute additional strategic acquisitions and focus on expanding our solution and product breadth and reach, as well as entering into adjacent customer segments and applications. We believe that the breadth and diversity of our products and services and our ability to deliver full solutions to various end markets provides us with multiple sources of stable growth, relative scale benefits, and a competitive advantage relative to other players in the industry, and we will continue to reinforce this advantage.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Products and Services</w:t>
      </w:r>
    </w:p>
    <w:p>
      <w:pPr>
        <w:spacing w:after="0" w:line="22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provide a wide range of engineered and configured products and solutions including dampers and diverters, expansion joints, selective catalytic reduction systems, severe-service and industrial cyclones, dust collectors, thermal oxidizers, filtration systems, wet and dry scrubbers, separators and coalescers, water treatment packages, metallic and non-metallic pumps, industrial silencers and fluid handling equipment, and plant engineering services and engineered design build fabrication. Our products and solutions primarily compete on the basis of performance, track record, speed of delivery, quality, price and customer service.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Project Design and Research and Development</w:t>
      </w:r>
    </w:p>
    <w:p>
      <w:pPr>
        <w:spacing w:after="0" w:line="229"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9"/>
          <w:szCs w:val="19"/>
          <w:color w:val="auto"/>
        </w:rPr>
        <w:t>Our strategy is to produce and supply, differentiated specialized or configured products and solutions that are often tailored to the specifications of a customer or application. We start by understanding our customers’ needs, then by focusing our new product development efforts on those criteria that help protect our shared environment while improving a variety of operational outcomes including, but not limited to, facility uptime, production quality, employee safety, equipment protection and process performance.</w:t>
      </w:r>
    </w:p>
    <w:p>
      <w:pPr>
        <w:spacing w:after="0" w:line="17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continually collaborate with our customers on projects to ensure the proper solution and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Marketing and Support</w:t>
      </w:r>
    </w:p>
    <w:p>
      <w:pPr>
        <w:spacing w:after="0" w:line="22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color w:val="auto"/>
        </w:rPr>
        <w:t>Our global commercial strategy is to provide a solutions-based approach for our customers, which may take on the role of single source provider of technology, products and equipment for a particular project. When called upon, this strategy involves expanding our scope of supply by utilizing our portfolio of in-house technologies and those of third-party equipment suppliers, many of which have been long-standing partners evolved from pure supplier roles to value-added business partners. Where we identify a technology that is a critical element or commonly required for a solution, we will consider acquiring such technology to ensure we have the appropriate degree of strategic control. This enables us to leverage existing business with selective alliances of suppliers and</w:t>
      </w:r>
    </w:p>
    <w:p>
      <w:pPr>
        <w:sectPr>
          <w:pgSz w:w="12240" w:h="15840" w:orient="portrait"/>
          <w:cols w:equalWidth="0" w:num="1">
            <w:col w:w="10580"/>
          </w:cols>
          <w:pgMar w:left="820" w:top="1069" w:right="840" w:bottom="361"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10580"/>
          </w:cols>
          <w:pgMar w:left="820" w:top="1069" w:right="840" w:bottom="361" w:gutter="0" w:footer="0" w:header="0"/>
          <w:type w:val="continuous"/>
        </w:sectPr>
      </w:pPr>
    </w:p>
    <w:bookmarkStart w:id="19" w:name="page20"/>
    <w:bookmarkEnd w:id="19"/>
    <w:p>
      <w:pPr>
        <w:jc w:val="both"/>
        <w:ind w:right="400"/>
        <w:spacing w:after="0" w:line="271" w:lineRule="auto"/>
        <w:rPr>
          <w:sz w:val="20"/>
          <w:szCs w:val="20"/>
          <w:color w:val="auto"/>
        </w:rPr>
      </w:pPr>
      <w:r>
        <w:rPr>
          <w:rFonts w:ascii="Times New Roman" w:cs="Times New Roman" w:eastAsia="Times New Roman" w:hAnsi="Times New Roman"/>
          <w:sz w:val="19"/>
          <w:szCs w:val="19"/>
          <w:color w:val="auto"/>
        </w:rPr>
        <w:t>application specific engineering expertise. Our value proposition to our customers is to provide competitively priced, customized solutions that leverage our vast project experience base and design library. Our industry-specific knowledge, accompanied by our product and service offerings, provides valuable benefits for our customers and synergies across our network of partners.</w:t>
      </w:r>
    </w:p>
    <w:p>
      <w:pPr>
        <w:spacing w:after="0" w:line="171"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color w:val="auto"/>
        </w:rPr>
        <w:t>We sell and market our products and services with our own direct sales force, in key regions including the United States, the Netherlands, United Kingdom, Canada, United Arab Emirates, India, China, Korea, and Singapore. Our direct sales and business development teams when appropriate will work in conjunction with outside sales representatives in the North America, South America, Europe, Middle East, Southeast and East Asia, and India regions. We expect to continue expanding our sales and support capabilities and our network of outside sales representatives in key regions domestically and internationally.</w:t>
      </w:r>
    </w:p>
    <w:p>
      <w:pPr>
        <w:spacing w:after="0" w:line="19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Quality Assurance</w:t>
      </w:r>
    </w:p>
    <w:p>
      <w:pPr>
        <w:spacing w:after="0" w:line="22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 used to help ensure that all work is done to specification and that project schedules are met. Equipment is tested at the site to ensure it is functioning properly.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not dependent upon any single customer, and no customer contributed 10% or more of our consolidated revenues for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Suppliers and Subcontractors</w:t>
      </w:r>
    </w:p>
    <w:p>
      <w:pPr>
        <w:spacing w:after="0" w:line="2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We purchase our raw materials and supplies from a variety of global sources. When possible, we directly secure iron and steel sheet and plate products from steel mills, whereas other materials are purchased from a variety of steel service centers. Steel prices have traditionally been volatile, but we typically mitigate the risk of higher prices by including a “surcharge” on our standard products. On contract work, we try to mitigate the risk of higher prices by including the current price in our estimate and generally include price inflation clauses for protection.</w:t>
      </w:r>
    </w:p>
    <w:p>
      <w:pPr>
        <w:spacing w:after="0" w:line="19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Our asset-light business model focuses on effective management of subcontractors and flow of raw and finished materials, which allows us to optimize working capital levels through reduction in certain assets and reduce capital expenditures.</w:t>
      </w:r>
    </w:p>
    <w:p>
      <w:pPr>
        <w:spacing w:after="0" w:line="19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continue to recover and supply chains further normalize.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ectPr>
          <w:pgSz w:w="12240" w:h="15840" w:orient="portrait"/>
          <w:cols w:equalWidth="0" w:num="1">
            <w:col w:w="10560"/>
          </w:cols>
          <w:pgMar w:left="820" w:top="1069" w:right="86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10560"/>
          </w:cols>
          <w:pgMar w:left="820" w:top="1069" w:right="860" w:bottom="361"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Backlog</w:t>
      </w:r>
    </w:p>
    <w:p>
      <w:pPr>
        <w:spacing w:after="0" w:line="22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Backlog (i.e., unfulfilled or remaining performance obligations) represents the sales we expect to recognize for our products and services for which control has not yet transferred to the customer. Backlog was $311.7 million as of December 31, 2022 as compared to $213.9 million as of December 31, 2021, an increase of $97.8 million or 45.7%. Backlog is adjusted on a quarterly basis for fluctuations in foreign currency exchange rates. Substantially all backlog is expected to be delivered within 18 months, with a majority within 12 months. Backlog is not defined by United States generally accepted accounting principles ("GAAP") and our methodology for calculating backlog may not be consistent with methodologies used by other companies.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2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The markets we serve are highly fragmented with numerous small and regional participants. We believe no single company competes with us across the full range of our solutions and products. Competition in the markets we serve is based on a number of considerations, including past performance, track record, customer approvals, lead times, technology, applications experience, know-how, reputation, product warranties, service and price. Demand for our product can vary period over period depending on conditions in the markets we serve. We believe our product performance and quality, reliability, durability, on-time delivery, and safety supported by advanced engineering and operational excellence differentiate us from many of our competitors, including those competitors who often offer products at a lower price.</w:t>
      </w:r>
    </w:p>
    <w:p>
      <w:pPr>
        <w:spacing w:after="0" w:line="20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stability, continuously evolving environmental regulations, and increasing customer requirements. We believe that the additional competitive factors in our markets include:</w:t>
      </w:r>
    </w:p>
    <w:p>
      <w:pPr>
        <w:spacing w:after="0" w:line="90" w:lineRule="exact"/>
        <w:rPr>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performance track record and reputation;</w:t>
      </w:r>
    </w:p>
    <w:p>
      <w:pPr>
        <w:spacing w:after="0" w:line="113" w:lineRule="exact"/>
        <w:rPr>
          <w:rFonts w:ascii="PMingLiU" w:cs="PMingLiU" w:eastAsia="PMingLiU" w:hAnsi="PMingLiU"/>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comprehensive portfolio of solutions;</w:t>
      </w:r>
    </w:p>
    <w:p>
      <w:pPr>
        <w:spacing w:after="0" w:line="113" w:lineRule="exact"/>
        <w:rPr>
          <w:rFonts w:ascii="PMingLiU" w:cs="PMingLiU" w:eastAsia="PMingLiU" w:hAnsi="PMingLiU"/>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brand recognition;</w:t>
      </w:r>
    </w:p>
    <w:p>
      <w:pPr>
        <w:spacing w:after="0" w:line="113" w:lineRule="exact"/>
        <w:rPr>
          <w:rFonts w:ascii="PMingLiU" w:cs="PMingLiU" w:eastAsia="PMingLiU" w:hAnsi="PMingLiU"/>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high design standard;</w:t>
      </w:r>
    </w:p>
    <w:p>
      <w:pPr>
        <w:spacing w:after="0" w:line="113" w:lineRule="exact"/>
        <w:rPr>
          <w:rFonts w:ascii="PMingLiU" w:cs="PMingLiU" w:eastAsia="PMingLiU" w:hAnsi="PMingLiU"/>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quality customer service and support; and</w:t>
      </w:r>
    </w:p>
    <w:p>
      <w:pPr>
        <w:spacing w:after="0" w:line="113" w:lineRule="exact"/>
        <w:rPr>
          <w:rFonts w:ascii="PMingLiU" w:cs="PMingLiU" w:eastAsia="PMingLiU" w:hAnsi="PMingLiU"/>
          <w:sz w:val="20"/>
          <w:szCs w:val="20"/>
          <w:color w:val="auto"/>
        </w:rPr>
      </w:pPr>
    </w:p>
    <w:p>
      <w:pPr>
        <w:ind w:left="960" w:hanging="472"/>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financial and operational stability.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we compete favorably with respect to these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Regulations</w:t>
      </w:r>
    </w:p>
    <w:p>
      <w:pPr>
        <w:spacing w:after="0" w:line="229" w:lineRule="exact"/>
        <w:rPr>
          <w:sz w:val="20"/>
          <w:szCs w:val="20"/>
          <w:color w:val="auto"/>
        </w:rPr>
      </w:pPr>
    </w:p>
    <w:p>
      <w:pPr>
        <w:ind w:right="760"/>
        <w:spacing w:after="0" w:line="269" w:lineRule="auto"/>
        <w:rPr>
          <w:sz w:val="20"/>
          <w:szCs w:val="20"/>
          <w:color w:val="auto"/>
        </w:rPr>
      </w:pPr>
      <w:r>
        <w:rPr>
          <w:rFonts w:ascii="Times New Roman" w:cs="Times New Roman" w:eastAsia="Times New Roman" w:hAnsi="Times New Roman"/>
          <w:sz w:val="20"/>
          <w:szCs w:val="20"/>
          <w:color w:val="auto"/>
        </w:rPr>
        <w:t>We believe our operations are in compliance with applicable environmental laws and regulations. We believe that changes in environmental laws and regulations create opportunity given the nature of our business.</w:t>
      </w:r>
    </w:p>
    <w:p>
      <w:pPr>
        <w:spacing w:after="0" w:line="17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Our business is subject to numerous laws and regulations. While there are not currently regulations proposed or pending that we believe will result in material capital, operating or other costs to the business at this time, such regulations could be proposed and/or passed into law in 2023 or beyond. Other regulations currently in place could be withdrawn and replaced with more stringent requirements in 2023 or beyond. New laws and regulations and the costs of compliance with such new laws and regulations can only be broadly appraised until their implementation becomes more defined through regulatory guidance and enforcement.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w:t>
      </w:r>
    </w:p>
    <w:p>
      <w:pPr>
        <w:spacing w:after="0" w:line="229"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9"/>
          <w:szCs w:val="19"/>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 to Values and Ethics</w:t>
      </w:r>
    </w:p>
    <w:p>
      <w:pPr>
        <w:spacing w:after="0" w:line="26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9"/>
          <w:szCs w:val="19"/>
          <w:color w:val="auto"/>
        </w:rPr>
        <w:t>At CECO, we act in accordance with our Code of Business Conduct and Ethics (“Code of Conduct”), which sets forth expectations and guidance for employees to make appropriate decisions. Our Code of Conduct covers topics such as anti-corruption, discrimination, harassment, data privacy, appropriate use of company assets, protecting confidential information, and reporting Code</w:t>
      </w:r>
    </w:p>
    <w:p>
      <w:pPr>
        <w:sectPr>
          <w:pgSz w:w="12240" w:h="15840" w:orient="portrait"/>
          <w:cols w:equalWidth="0" w:num="1">
            <w:col w:w="10580"/>
          </w:cols>
          <w:pgMar w:left="820" w:top="1071" w:right="840" w:bottom="361"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10580"/>
          </w:cols>
          <w:pgMar w:left="820" w:top="1071" w:right="840" w:bottom="361" w:gutter="0" w:footer="0" w:header="0"/>
          <w:type w:val="continuous"/>
        </w:sectPr>
      </w:pPr>
    </w:p>
    <w:bookmarkStart w:id="21" w:name="page22"/>
    <w:bookmarkEnd w:id="21"/>
    <w:p>
      <w:pPr>
        <w:ind w:right="20"/>
        <w:spacing w:after="0" w:line="271" w:lineRule="auto"/>
        <w:rPr>
          <w:sz w:val="20"/>
          <w:szCs w:val="20"/>
          <w:color w:val="auto"/>
        </w:rPr>
      </w:pPr>
      <w:r>
        <w:rPr>
          <w:rFonts w:ascii="Times New Roman" w:cs="Times New Roman" w:eastAsia="Times New Roman" w:hAnsi="Times New Roman"/>
          <w:sz w:val="19"/>
          <w:szCs w:val="19"/>
          <w:color w:val="auto"/>
        </w:rPr>
        <w:t>of Conduct violations. The Code of Conduct reflects our commitment to operating in a fair, honest, responsible and ethical manner and also provides direction for reporting complaints in the event of alleged violations of our policies, including through an anonymous helpline. Our executive officers and managers maintain an “open door” policy, and any form of retaliation is strictly prohibited.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19"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20"/>
          <w:szCs w:val="20"/>
          <w:color w:val="auto"/>
        </w:rPr>
        <w:t>CECO recognizes that in order to drive innovation and operational excellence, we must identify, attract, retain and motivate world-class talent. As of December 31, 2022, CECO has approximately 1,000 employees, across nine countries. 126 of our US employees are unionized in our Pennsylvania, Tennessee and North Carolina facilities.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Talent, Leadership and People Development</w:t>
      </w:r>
    </w:p>
    <w:p>
      <w:pPr>
        <w:spacing w:after="0" w:line="21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To support personal and professional development, we have strategically committed resources to leadership and management development programs, product knowledge, job skills, and compliance training. In 2022, CECO continued to leverage an online learning platform so our employees can continue developing their skill sets and knowledge. Our learning platform offers over 16,000 courses and certifications ranging from job function to leadership and resource training. As of December 31, 2022, 85% of our employees have engaged with this learning platform and each is spending an average of approximately two hours per month building their knowledge and skills. Additionally, in 2021 we further invested in high performing leaders by partnering with top US Universities including Wharton, Yale, MIT University of CA Berkeley, University of Pennsylvania and more, to build strategic, leadership and operational excellence skills. We also partnered with the Center of Creative Leadership to further reinforce leadership skills by investing in executive level coaching of high performing leaders. We believe this investment in our team members and leaders results in a more knowledgeable and competent workforce today while strengthening our succession plan and leadership bench for the future.</w:t>
      </w:r>
    </w:p>
    <w:p>
      <w:pPr>
        <w:spacing w:after="0" w:line="19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We provide a variety of resources to help our employees grow in their current roles and build new skills to thrive in the workplace of the future. Strategic talent reviews are conducted annually across all business areas. Our Board of Directors ("Board") is updated on the Company’s people strategy on an annual basis, which is refined based on business drivers, market factors and key initiatives designed to drive the corporate strategy and business results and meets to review our succession planning strategy and leadership pipeline for key roles, taking into account the Company’s long-term strategy.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 and Safety</w:t>
      </w:r>
    </w:p>
    <w:p>
      <w:pPr>
        <w:spacing w:after="0" w:line="21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At CECO, the health and safety of our employees is one of our highest priorities.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2022, CECO’s domestic Total Recordable Incident Rate (“TRIR”) was 1.1% as compared to our benchmark industry average TRIR of 4.1%.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Diversity, Equity, and an Inclusive Culture</w:t>
      </w:r>
    </w:p>
    <w:p>
      <w:pPr>
        <w:spacing w:after="0" w:line="21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At CECO 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part of our efforts to expand CECO’s diverse workforce, we:</w:t>
      </w:r>
    </w:p>
    <w:p>
      <w:pPr>
        <w:spacing w:after="0" w:line="127" w:lineRule="exact"/>
        <w:rPr>
          <w:sz w:val="20"/>
          <w:szCs w:val="20"/>
          <w:color w:val="auto"/>
        </w:rPr>
      </w:pPr>
    </w:p>
    <w:p>
      <w:pPr>
        <w:ind w:left="920" w:right="300" w:hanging="489"/>
        <w:spacing w:after="0" w:line="245" w:lineRule="auto"/>
        <w:tabs>
          <w:tab w:leader="none" w:pos="9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initiated and implemented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w:t>
      </w:r>
    </w:p>
    <w:p>
      <w:pPr>
        <w:spacing w:after="0" w:line="90" w:lineRule="exact"/>
        <w:rPr>
          <w:rFonts w:ascii="PMingLiU" w:cs="PMingLiU" w:eastAsia="PMingLiU" w:hAnsi="PMingLiU"/>
          <w:sz w:val="20"/>
          <w:szCs w:val="20"/>
          <w:color w:val="auto"/>
        </w:rPr>
      </w:pPr>
    </w:p>
    <w:p>
      <w:pPr>
        <w:ind w:left="920" w:hanging="489"/>
        <w:spacing w:after="0"/>
        <w:tabs>
          <w:tab w:leader="none" w:pos="92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are developing a comprehensive Diversity, Equity and Inclusive roadmap to align with our operational structure.</w:t>
      </w:r>
    </w:p>
    <w:p>
      <w:pPr>
        <w:sectPr>
          <w:pgSz w:w="12240" w:h="15840" w:orient="portrait"/>
          <w:cols w:equalWidth="0" w:num="1">
            <w:col w:w="10580"/>
          </w:cols>
          <w:pgMar w:left="820" w:top="1069" w:right="84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10580"/>
          </w:cols>
          <w:pgMar w:left="820" w:top="1069" w:right="840" w:bottom="361" w:gutter="0" w:footer="0" w:header="0"/>
          <w:type w:val="continuous"/>
        </w:sectPr>
      </w:pPr>
    </w:p>
    <w:bookmarkStart w:id="22" w:name="page23"/>
    <w:bookmarkEnd w:id="22"/>
    <w:p>
      <w:pPr>
        <w:ind w:right="80"/>
        <w:spacing w:after="0" w:line="252" w:lineRule="auto"/>
        <w:rPr>
          <w:sz w:val="20"/>
          <w:szCs w:val="20"/>
          <w:color w:val="auto"/>
        </w:rPr>
      </w:pPr>
      <w:r>
        <w:rPr>
          <w:rFonts w:ascii="Times New Roman" w:cs="Times New Roman" w:eastAsia="Times New Roman" w:hAnsi="Times New Roman"/>
          <w:sz w:val="20"/>
          <w:szCs w:val="20"/>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 to problem solving, development, performance, and business success.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Officers of CECO</w:t>
      </w:r>
    </w:p>
    <w:p>
      <w:pPr>
        <w:spacing w:after="0" w:line="22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following are the executive officers of the Company as of February 28, 2023. All officers serve for a one year term and until their successors are elected and qualified.</w:t>
      </w:r>
    </w:p>
    <w:p>
      <w:pPr>
        <w:spacing w:after="0" w:line="17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Todd Gleason </w:t>
      </w:r>
      <w:r>
        <w:rPr>
          <w:rFonts w:ascii="Times New Roman" w:cs="Times New Roman" w:eastAsia="Times New Roman" w:hAnsi="Times New Roman"/>
          <w:sz w:val="19"/>
          <w:szCs w:val="19"/>
          <w:color w:val="auto"/>
        </w:rPr>
        <w:t>(52) has served as a director and Chief Executive Officer since July 2020. Prior to joining the Company, Mr. Gleason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most recently served, 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 Mr. Gleason holds a Masters of Science degrees in Management and Public Policy from Carnegie Mellon University and a Bachelors of Arts in International Studies and History from Wesleyan University.</w:t>
      </w:r>
    </w:p>
    <w:p>
      <w:pPr>
        <w:spacing w:after="0" w:line="191"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i w:val="1"/>
          <w:iCs w:val="1"/>
          <w:color w:val="auto"/>
        </w:rPr>
        <w:t xml:space="preserve">Peter Johansson </w:t>
      </w:r>
      <w:r>
        <w:rPr>
          <w:rFonts w:ascii="Times New Roman" w:cs="Times New Roman" w:eastAsia="Times New Roman" w:hAnsi="Times New Roman"/>
          <w:sz w:val="20"/>
          <w:szCs w:val="20"/>
          <w:color w:val="auto"/>
        </w:rPr>
        <w:t>(58) has served as SVP, Chief Financial and Strategy Officer since August 2022. Prior to joining the Company, Mr.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Johansson had more than 35 years of diversified industrial business experience with Accudyne Industries, IDEX Corporation, ITT Corporation, American Standard Companies (Trane Technologies, WABCO), and Honeywell. He has led complex organizations through transformational growth, and brings perspectives and capabilities around financial analysis, capital market programs and leading concepts in strategy formulation and deployment, business development programs and operational effectiveness. Mr. Johansson holds a Masters of Business Administration from the Anderson Graduate School of Management at UCLA, a Masters of Science degree in Mechanical Engineering from California State University-Fullerton, and a Bachelors of Science degree in Mechanical Engineering from Southern Methodist University in Dallas, Texas.</w:t>
      </w:r>
    </w:p>
    <w:p>
      <w:pPr>
        <w:spacing w:after="0" w:line="1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Ramesh Nuggihalli </w:t>
      </w:r>
      <w:r>
        <w:rPr>
          <w:rFonts w:ascii="Times New Roman" w:cs="Times New Roman" w:eastAsia="Times New Roman" w:hAnsi="Times New Roman"/>
          <w:sz w:val="19"/>
          <w:szCs w:val="19"/>
          <w:color w:val="auto"/>
        </w:rPr>
        <w:t>(57) has served as Chief Operating Officer since April 2021. Prior to joining the Company, Mr. Nuggihalli held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Chief Operating Officer role for NovaTech, LLC, a private industrial automation company, from July 2018 to November 2019. Prior to that, Mr. Nuggihalli was the President and Managing Director of Xylem Asia, a provider of premium field, portable, online and laboratory analytical instruments and software serving the water sector. Before Xylem, he was the Managing Director of Pentair Middle East based out of Dubai, UAE, serving the energy sector. Mr. Nuggihalli has more than 20 years of experience working in more than 25 countries managing complex international businesses in emerging markets. Mr. Nuggihalli has held executive leadership roles at Tyco International, a security systems company, Ametek, a global manufacturer of electronic instruments and electromechanical devices, General Electric, Babcock &amp; Wilcox, an American renewable environmental and thermal energy technologies and service provider and SNC-Lavalin, a Canadian company based in Montreal that provides engineering, procurement, and construction services to various industries, including mining and metallurgy, oil and gas, environment and water, infrastructure, and clean power. Mr. Nuggihalli holds a Master of Business Administration from Wilfred Laurier University in Canada, a Master of Engineering degree from McGill University in Canada and a Bachelor’s degree in Engineering from the University of Mysore, India.</w:t>
      </w:r>
    </w:p>
    <w:p>
      <w:pPr>
        <w:spacing w:after="0" w:line="18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Lynn Watkins-Asiyanbi </w:t>
      </w:r>
      <w:r>
        <w:rPr>
          <w:rFonts w:ascii="Times New Roman" w:cs="Times New Roman" w:eastAsia="Times New Roman" w:hAnsi="Times New Roman"/>
          <w:sz w:val="20"/>
          <w:szCs w:val="20"/>
          <w:color w:val="auto"/>
        </w:rPr>
        <w:t>(48) has served as SVP, Chief Administrative and Legal Officer, and Corporate Secretary since August 2022.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Ms. Watkins-Asiyanbi previously served as Senior Vice President, General Counsel and Corporate Secretary since joining the Company in June 2022. Ms. Watkins-Asiyanbi brings more than 25 years of industrial business experience, with global industrial companies such as John Bean Technologies Corporation, W.W. Grainger, Inc., U.S. Foods, Inc., Mars, Inc. and General Mills. Lynn holds a joint J.D. and MBA from Northwestern University’s Pritzker School of Law and the Kellogg School of Management and a bachelor’s degree in Chemical Engineering and Economics from the University of Wisconsin-Madison.</w:t>
      </w:r>
    </w:p>
    <w:p>
      <w:pPr>
        <w:spacing w:after="0" w:line="19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Paul Gohr </w:t>
      </w:r>
      <w:r>
        <w:rPr>
          <w:rFonts w:ascii="Times New Roman" w:cs="Times New Roman" w:eastAsia="Times New Roman" w:hAnsi="Times New Roman"/>
          <w:sz w:val="20"/>
          <w:szCs w:val="20"/>
          <w:color w:val="auto"/>
        </w:rPr>
        <w:t>(41) has served as Chief Accounting Officer since May 2017. Mr. Gohr previously served as Vice President of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Reporting since joining the Company in September 2014. From 2004 to 2014, Mr. Gohr 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holds a Masters of Accountancy degree from Miami University and a Bachelor’s degree in Business, Accountancy from Miami University.</w:t>
      </w:r>
    </w:p>
    <w:p>
      <w:pPr>
        <w:sectPr>
          <w:pgSz w:w="12240" w:h="15840" w:orient="portrait"/>
          <w:cols w:equalWidth="0" w:num="1">
            <w:col w:w="10580"/>
          </w:cols>
          <w:pgMar w:left="820" w:top="1069" w:right="840" w:bottom="3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10580"/>
          </w:cols>
          <w:pgMar w:left="820" w:top="1069" w:right="840" w:bottom="361"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9"/>
          <w:szCs w:val="19"/>
          <w:color w:val="auto"/>
        </w:rPr>
        <w:t xml:space="preserve">We use the Investor Relations section of our website, </w:t>
      </w:r>
      <w:r>
        <w:rPr>
          <w:rFonts w:ascii="Times New Roman" w:cs="Times New Roman" w:eastAsia="Times New Roman" w:hAnsi="Times New Roman"/>
          <w:sz w:val="19"/>
          <w:szCs w:val="19"/>
          <w:u w:val="single" w:color="auto"/>
          <w:color w:val="auto"/>
        </w:rPr>
        <w:t>www.cecoenviro.com</w:t>
      </w:r>
      <w:r>
        <w:rPr>
          <w:rFonts w:ascii="Times New Roman" w:cs="Times New Roman" w:eastAsia="Times New Roman" w:hAnsi="Times New Roman"/>
          <w:sz w:val="19"/>
          <w:szCs w:val="19"/>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ectPr>
          <w:pgSz w:w="12240" w:h="15840" w:orient="portrait"/>
          <w:cols w:equalWidth="0" w:num="1">
            <w:col w:w="10540"/>
          </w:cols>
          <w:pgMar w:left="820" w:top="1071" w:right="88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540"/>
          </w:cols>
          <w:pgMar w:left="820" w:top="1071" w:right="880" w:bottom="315"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may be adversely affected by global economic conditions.</w:t>
      </w:r>
    </w:p>
    <w:p>
      <w:pPr>
        <w:spacing w:after="0" w:line="2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9"/>
          <w:szCs w:val="19"/>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61" w:lineRule="exact"/>
        <w:rPr>
          <w:sz w:val="20"/>
          <w:szCs w:val="20"/>
          <w:color w:val="auto"/>
        </w:rPr>
      </w:pPr>
    </w:p>
    <w:p>
      <w:pPr>
        <w:ind w:left="720" w:hanging="359"/>
        <w:spacing w:after="0"/>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customers or potential customers may reduce or delay their procurement or new product development;</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key suppliers may have difficulties resulting in delays for our material purchases;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vendors, suppliers and other third parties may fail to perform their contractual obligations; and</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customers may become insolvent and/or unable to obtain credit to finance purchases of our products and services.</w:t>
      </w:r>
    </w:p>
    <w:p>
      <w:pPr>
        <w:spacing w:after="0" w:line="21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dependence upon fixed-price contracts could adversely affect our operating results.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19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20"/>
          <w:szCs w:val="20"/>
          <w:i w:val="1"/>
          <w:iCs w:val="1"/>
          <w:color w:val="auto"/>
        </w:rPr>
        <w:t>Accounting for contract revenue may result in material adjustments that would adversely affect our financial condition and results of operations.</w:t>
      </w:r>
    </w:p>
    <w:p>
      <w:pPr>
        <w:spacing w:after="0" w:line="17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203"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9"/>
          <w:szCs w:val="19"/>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w:t>
      </w:r>
    </w:p>
    <w:p>
      <w:pPr>
        <w:sectPr>
          <w:pgSz w:w="12240" w:h="15840" w:orient="portrait"/>
          <w:cols w:equalWidth="0" w:num="1">
            <w:col w:w="10580"/>
          </w:cols>
          <w:pgMar w:left="820" w:top="1065" w:right="840" w:bottom="315"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580"/>
          </w:cols>
          <w:pgMar w:left="820" w:top="1065" w:right="840" w:bottom="315" w:gutter="0" w:footer="0" w:header="0"/>
          <w:type w:val="continuous"/>
        </w:sectPr>
      </w:pPr>
    </w:p>
    <w:bookmarkStart w:id="25" w:name="page26"/>
    <w:bookmarkEnd w:id="25"/>
    <w:p>
      <w:pPr>
        <w:ind w:right="100"/>
        <w:spacing w:after="0" w:line="246" w:lineRule="auto"/>
        <w:rPr>
          <w:sz w:val="20"/>
          <w:szCs w:val="20"/>
          <w:color w:val="auto"/>
        </w:rPr>
      </w:pPr>
      <w:r>
        <w:rPr>
          <w:rFonts w:ascii="Times New Roman" w:cs="Times New Roman" w:eastAsia="Times New Roman" w:hAnsi="Times New Roman"/>
          <w:sz w:val="20"/>
          <w:szCs w:val="20"/>
          <w:color w:val="auto"/>
        </w:rPr>
        <w:t>on management’s reasonable assumptions and our historical experience, and are only estimates. Variation of actual results from these assumptions, which are outside the control of management and can differ from our historical experience could be material. To the extent that these adjustments result in an increase, a reduction or the elimination of previously reported contract revenue, we would recognize a credit or a charge against current earnings, which could be material.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inability to deliver our backlog on time could affect our future sales and profitability, and our relationships with our customers.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backlog was $311.7 million at December 31, 2022 and $213.9 million at December 31, 2021.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oil and natural gas prices can adversely affect demand for our products and services.</w:t>
      </w:r>
    </w:p>
    <w:p>
      <w:pPr>
        <w:spacing w:after="0" w:line="22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0"/>
          <w:szCs w:val="20"/>
          <w:color w:val="auto"/>
        </w:rPr>
        <w:t>Volatility in oil and natural gas prices can impact our customers’ activity levels and spending for our products and services. Current energy prices are important contributors to cash flow for our customers and their ability to fund capital expenditures.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20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0"/>
          <w:szCs w:val="20"/>
          <w:i w:val="1"/>
          <w:iCs w:val="1"/>
          <w:color w:val="auto"/>
        </w:rPr>
        <w:t>Increasing costs for manufactured components, raw materials, transportation, health care and energy prices may adversely affect our profitability.</w:t>
      </w:r>
    </w:p>
    <w:p>
      <w:pPr>
        <w:spacing w:after="0" w:line="17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The current economic environment has resulted, and may continue to result, in price volatility and inflation of these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financial performance may vary significantly from period to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Customers may cancel or delay projects. As a result, our backlog may not be indicative of our future revenue.</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color w:val="auto"/>
        </w:rPr>
        <w:t>Customers may cancel or delay projects for reasons beyond our control.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w:t>
      </w:r>
    </w:p>
    <w:p>
      <w:pPr>
        <w:sectPr>
          <w:pgSz w:w="12240" w:h="15840" w:orient="portrait"/>
          <w:cols w:equalWidth="0" w:num="1">
            <w:col w:w="10580"/>
          </w:cols>
          <w:pgMar w:left="820" w:top="1069" w:right="840" w:bottom="31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580"/>
          </w:cols>
          <w:pgMar w:left="820" w:top="1069" w:right="840" w:bottom="315" w:gutter="0" w:footer="0" w:header="0"/>
          <w:type w:val="continuous"/>
        </w:sectPr>
      </w:pPr>
    </w:p>
    <w:bookmarkStart w:id="26" w:name="page27"/>
    <w:bookmarkEnd w:id="26"/>
    <w:p>
      <w:pPr>
        <w:ind w:right="80"/>
        <w:spacing w:after="0" w:line="269" w:lineRule="auto"/>
        <w:rPr>
          <w:sz w:val="20"/>
          <w:szCs w:val="20"/>
          <w:color w:val="auto"/>
        </w:rPr>
      </w:pPr>
      <w:r>
        <w:rPr>
          <w:rFonts w:ascii="Times New Roman" w:cs="Times New Roman" w:eastAsia="Times New Roman" w:hAnsi="Times New Roman"/>
          <w:sz w:val="20"/>
          <w:szCs w:val="20"/>
          <w:color w:val="auto"/>
        </w:rPr>
        <w:t>example, in a year-long project as opposed to a three-month project, more time is available for the customer to experience a softening in its business, which may cause the customer to cancel a project.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face significant competition in the markets we serve.</w:t>
      </w:r>
    </w:p>
    <w:p>
      <w:pPr>
        <w:spacing w:after="0" w:line="22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All of the product and solution categories in which we compete are highly fragmented and competitive. We compete in industrial markets against a number of local, regional and national manufacturers and suppliers in each of our product or service lines, many of which have been in existence longer than us and some of which have substantially greater financial resources than we do. Our products primarily compete on the basis of performance, quality, reliability, lead time, on-time delivery, and safety supported by advanced engineering and operational excellence. We must also be responsive to any technological developments and related changing customer requirements. Any failure by us to compete effectively in the markets we serve could have a material adverse effect on our financial condition, results of operations and cash flows.</w:t>
      </w:r>
    </w:p>
    <w:p>
      <w:pPr>
        <w:spacing w:after="0" w:line="2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 defend and can divert the attention of management and other personnel for significant periods of time, regardless of the ultimate outcome.</w:t>
      </w:r>
    </w:p>
    <w:p>
      <w:pPr>
        <w:spacing w:after="0" w:line="18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9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20"/>
          <w:szCs w:val="20"/>
          <w:i w:val="1"/>
          <w:iCs w:val="1"/>
          <w:color w:val="auto"/>
        </w:rPr>
        <w:t>Liability to customers under warranties may adversely affect our reputation, our ability to obtain future business and our results of operations.</w:t>
      </w:r>
    </w:p>
    <w:p>
      <w:pPr>
        <w:spacing w:after="0" w:line="17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Model and Capital Structure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gross profit may be affected by shifts in our product mix.</w:t>
      </w:r>
    </w:p>
    <w:p>
      <w:pPr>
        <w:spacing w:after="0" w:line="2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manufacturing operations are dependent on third-party suppliers.</w:t>
      </w:r>
    </w:p>
    <w:p>
      <w:pPr>
        <w:spacing w:after="0" w:line="22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Although we are not dependent on any one supplier, we are dependent on the ability of our third-party suppliers to supply our raw materials, as well as certain specific component parts and sub-assemblies. The third-party suppliers upon which we depend may default on their obligations to us due to bankruptcy, insolvency, lack of liquidity, adverse economic conditions, operational failure, fraud, loss of key personnel, health-related shutdowns, or other reasons. We cannot assure you that our third-party suppliers will dedicate sufficient resources to meet our scheduled delivery requirements or that our suppliers will have sufficient resources to satisfy</w:t>
      </w:r>
    </w:p>
    <w:p>
      <w:pPr>
        <w:sectPr>
          <w:pgSz w:w="12240" w:h="15840" w:orient="portrait"/>
          <w:cols w:equalWidth="0" w:num="1">
            <w:col w:w="10560"/>
          </w:cols>
          <w:pgMar w:left="820" w:top="1069" w:right="860" w:bottom="315"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560"/>
          </w:cols>
          <w:pgMar w:left="820" w:top="1069" w:right="860" w:bottom="315" w:gutter="0" w:footer="0" w:header="0"/>
          <w:type w:val="continuous"/>
        </w:sectPr>
      </w:pPr>
    </w:p>
    <w:bookmarkStart w:id="27" w:name="page28"/>
    <w:bookmarkEnd w:id="27"/>
    <w:p>
      <w:pPr>
        <w:spacing w:after="0" w:line="257" w:lineRule="auto"/>
        <w:rPr>
          <w:sz w:val="20"/>
          <w:szCs w:val="20"/>
          <w:color w:val="auto"/>
        </w:rPr>
      </w:pPr>
      <w:r>
        <w:rPr>
          <w:rFonts w:ascii="Times New Roman" w:cs="Times New Roman" w:eastAsia="Times New Roman" w:hAnsi="Times New Roman"/>
          <w:sz w:val="19"/>
          <w:szCs w:val="19"/>
          <w:color w:val="auto"/>
        </w:rPr>
        <w:t>our requirements during any period of sustained demand.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(such as COVID-19), fires or other natural disasters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use of subcontractors could potentially harm our profitability and business reputation.</w:t>
      </w:r>
    </w:p>
    <w:p>
      <w:pPr>
        <w:spacing w:after="0" w:line="22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Occasionally we act as a prime contractor in some of the projects we undertake. In our capacity as lead provider, and when acting as a prime contractor, we perform a portion of the work on our projects with our own resources and typically subcontract 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 significant portion of our accounts receivable are related to larger contracts, which increases our exposure to credit risk.</w:t>
      </w:r>
    </w:p>
    <w:p>
      <w:pPr>
        <w:spacing w:after="0" w:line="2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Significant portions of our sales are to customers who place large orders for custom products and whose activities are related to the power generation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billing terms can increase our exposure to working capital and credit risk.</w:t>
      </w:r>
    </w:p>
    <w:p>
      <w:pPr>
        <w:spacing w:after="0" w:line="2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02" w:lineRule="exact"/>
        <w:rPr>
          <w:sz w:val="20"/>
          <w:szCs w:val="20"/>
          <w:color w:val="auto"/>
        </w:rPr>
      </w:pPr>
    </w:p>
    <w:p>
      <w:pPr>
        <w:ind w:right="660"/>
        <w:spacing w:after="0" w:line="265" w:lineRule="auto"/>
        <w:rPr>
          <w:sz w:val="20"/>
          <w:szCs w:val="20"/>
          <w:color w:val="auto"/>
        </w:rPr>
      </w:pPr>
      <w:r>
        <w:rPr>
          <w:rFonts w:ascii="Times New Roman" w:cs="Times New Roman" w:eastAsia="Times New Roman" w:hAnsi="Times New Roman"/>
          <w:sz w:val="20"/>
          <w:szCs w:val="20"/>
          <w:i w:val="1"/>
          <w:iCs w:val="1"/>
          <w:color w:val="auto"/>
        </w:rPr>
        <w:t>Currency fluctuations may reduce profits on our foreign sales or increase our costs, either of which could adversely affect our financial results.</w:t>
      </w:r>
    </w:p>
    <w:p>
      <w:pPr>
        <w:spacing w:after="0" w:line="174"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Given that approximately 35% of our 2022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ectPr>
          <w:pgSz w:w="12240" w:h="15840" w:orient="portrait"/>
          <w:cols w:equalWidth="0" w:num="1">
            <w:col w:w="10580"/>
          </w:cols>
          <w:pgMar w:left="820" w:top="1069"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580"/>
          </w:cols>
          <w:pgMar w:left="820" w:top="1069" w:right="840" w:bottom="315" w:gutter="0" w:footer="0" w:header="0"/>
          <w:type w:val="continuous"/>
        </w:sectPr>
      </w:pPr>
    </w:p>
    <w:bookmarkStart w:id="28" w:name="page29"/>
    <w:bookmarkEnd w:id="28"/>
    <w:p>
      <w:pPr>
        <w:ind w:right="40"/>
        <w:spacing w:after="0" w:line="265" w:lineRule="auto"/>
        <w:rPr>
          <w:sz w:val="20"/>
          <w:szCs w:val="20"/>
          <w:color w:val="auto"/>
        </w:rPr>
      </w:pPr>
      <w:r>
        <w:rPr>
          <w:rFonts w:ascii="Times New Roman" w:cs="Times New Roman" w:eastAsia="Times New Roman" w:hAnsi="Times New Roman"/>
          <w:sz w:val="20"/>
          <w:szCs w:val="20"/>
          <w:i w:val="1"/>
          <w:iCs w:val="1"/>
          <w:color w:val="auto"/>
        </w:rPr>
        <w:t>If our goodwill or indefinite lived intangibles become impaired, we may be required to recognize charges that would adversely impact our results of operations.</w:t>
      </w:r>
    </w:p>
    <w:p>
      <w:pPr>
        <w:spacing w:after="0" w:line="17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As of December 31, 2022, goodwill and indefinite lived intangibles were $192.7 million, or 38.2%,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could adversely materially impact our results of operations.</w:t>
      </w:r>
    </w:p>
    <w:p>
      <w:pPr>
        <w:spacing w:after="0" w:line="207"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20"/>
          <w:szCs w:val="20"/>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7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20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20"/>
          <w:szCs w:val="20"/>
          <w:i w:val="1"/>
          <w:iCs w:val="1"/>
          <w:color w:val="auto"/>
        </w:rPr>
        <w:t>We are party to asbestos-containing product litigation that could adversely affect our financial condition, results of operations and cash flows.</w:t>
      </w:r>
    </w:p>
    <w:p>
      <w:pPr>
        <w:spacing w:after="0" w:line="17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9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See Note 12 to the Consolidated Financial Statements contained in Part II, Item 8 of this Annual Report on Form 10-K for information regarding the asbestos-related litigation in which we are involved.</w:t>
      </w:r>
    </w:p>
    <w:p>
      <w:pPr>
        <w:spacing w:after="0" w:line="174"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9"/>
          <w:szCs w:val="19"/>
          <w:i w:val="1"/>
          <w:iCs w:val="1"/>
          <w:color w:val="auto"/>
        </w:rPr>
        <w:t>We have $112.7 million of indebtedness as of December 31, 2022, and incurrence of additional indebtedness could adversely affect our ability to operate our business, remain in compliance with debt covenants, make payments on our debt and limit our growth.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outstanding indebtedness could have important consequences for investors, including the following:</w:t>
      </w:r>
    </w:p>
    <w:p>
      <w:pPr>
        <w:spacing w:after="0" w:line="245" w:lineRule="exact"/>
        <w:rPr>
          <w:sz w:val="20"/>
          <w:szCs w:val="20"/>
          <w:color w:val="auto"/>
        </w:rPr>
      </w:pPr>
    </w:p>
    <w:p>
      <w:pPr>
        <w:ind w:left="720" w:right="40" w:hanging="359"/>
        <w:spacing w:after="0" w:line="241"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it may be more difficult for us to satisfy our obligations with respect to the agreement governing our Credit Facility (as defined in Note 8 to the Consolidated Financial Statements contained in Part II, Item 8 of this Annual Report on Form 10-K), and any failure to comply with the obligations of any of the agreements governing any additional indebtedness, including financial and other restrictive covenants, could result in an event of default under such agreements;</w:t>
      </w:r>
    </w:p>
    <w:p>
      <w:pPr>
        <w:spacing w:after="0" w:line="96" w:lineRule="exact"/>
        <w:rPr>
          <w:rFonts w:ascii="PMingLiU" w:cs="PMingLiU" w:eastAsia="PMingLiU" w:hAnsi="PMingLiU"/>
          <w:sz w:val="20"/>
          <w:szCs w:val="20"/>
          <w:color w:val="auto"/>
        </w:rPr>
      </w:pPr>
    </w:p>
    <w:p>
      <w:pPr>
        <w:ind w:left="720" w:right="80" w:hanging="359"/>
        <w:spacing w:after="0" w:line="255"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79" w:lineRule="exact"/>
        <w:rPr>
          <w:rFonts w:ascii="PMingLiU" w:cs="PMingLiU" w:eastAsia="PMingLiU" w:hAnsi="PMingLiU"/>
          <w:sz w:val="20"/>
          <w:szCs w:val="20"/>
          <w:color w:val="auto"/>
        </w:rPr>
      </w:pPr>
    </w:p>
    <w:p>
      <w:pPr>
        <w:ind w:left="720" w:right="620" w:hanging="359"/>
        <w:spacing w:after="0" w:line="255" w:lineRule="auto"/>
        <w:tabs>
          <w:tab w:leader="none" w:pos="720" w:val="left"/>
        </w:tabs>
        <w:numPr>
          <w:ilvl w:val="0"/>
          <w:numId w:val="1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amount of our interest expense may increase because a substantial portion of our borrowings is at variable rates of interest, which, if interest rates increase, could result in higher interest expense;</w:t>
      </w:r>
    </w:p>
    <w:p>
      <w:pPr>
        <w:spacing w:after="0" w:line="79" w:lineRule="exact"/>
        <w:rPr>
          <w:rFonts w:ascii="PMingLiU" w:cs="PMingLiU" w:eastAsia="PMingLiU" w:hAnsi="PMingLiU"/>
          <w:sz w:val="20"/>
          <w:szCs w:val="20"/>
          <w:color w:val="auto"/>
        </w:rPr>
      </w:pPr>
    </w:p>
    <w:p>
      <w:pPr>
        <w:ind w:left="720" w:right="40" w:hanging="359"/>
        <w:spacing w:after="0" w:line="282" w:lineRule="auto"/>
        <w:tabs>
          <w:tab w:leader="none" w:pos="720" w:val="left"/>
        </w:tabs>
        <w:numPr>
          <w:ilvl w:val="0"/>
          <w:numId w:val="15"/>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ectPr>
          <w:pgSz w:w="12240" w:h="15840" w:orient="portrait"/>
          <w:cols w:equalWidth="0" w:num="1">
            <w:col w:w="10580"/>
          </w:cols>
          <w:pgMar w:left="820" w:top="1073" w:right="840" w:bottom="315"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580"/>
          </w:cols>
          <w:pgMar w:left="820" w:top="1073" w:right="840" w:bottom="315" w:gutter="0" w:footer="0" w:header="0"/>
          <w:type w:val="continuous"/>
        </w:sectPr>
      </w:pPr>
    </w:p>
    <w:bookmarkStart w:id="29" w:name="page30"/>
    <w:bookmarkEnd w:id="29"/>
    <w:p>
      <w:pPr>
        <w:ind w:left="720" w:hanging="359"/>
        <w:spacing w:after="0"/>
        <w:tabs>
          <w:tab w:leader="none" w:pos="72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have a higher level of debt than some of our competitors, which could put us at a competitive disadvantage;</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6"/>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we may be more vulnerable to economic downturns and adverse developments in our industry or the economy in general; and</w:t>
      </w:r>
    </w:p>
    <w:p>
      <w:pPr>
        <w:spacing w:after="0" w:line="126" w:lineRule="exact"/>
        <w:rPr>
          <w:rFonts w:ascii="PMingLiU" w:cs="PMingLiU" w:eastAsia="PMingLiU" w:hAnsi="PMingLiU"/>
          <w:sz w:val="19"/>
          <w:szCs w:val="19"/>
          <w:color w:val="auto"/>
        </w:rPr>
      </w:pPr>
    </w:p>
    <w:p>
      <w:pPr>
        <w:ind w:left="720" w:right="120" w:hanging="359"/>
        <w:spacing w:after="0" w:line="255" w:lineRule="auto"/>
        <w:tabs>
          <w:tab w:leader="none" w:pos="72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debt level could limit our flexibility in planning for, or reacting to, changes in our business and the industry in which we operate.</w:t>
      </w:r>
    </w:p>
    <w:p>
      <w:pPr>
        <w:spacing w:after="0" w:line="18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91"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20"/>
          <w:szCs w:val="20"/>
          <w:i w:val="1"/>
          <w:iCs w:val="1"/>
          <w:color w:val="auto"/>
        </w:rPr>
        <w:t>We might be unable to protect our intellectual property rights and our products could infringe the intellectual property rights of others, which could expose us to costly disputes.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Risks related to our pension plan may adversely impact our results of operations and cash flow.</w:t>
      </w:r>
    </w:p>
    <w:p>
      <w:pPr>
        <w:spacing w:after="0" w:line="22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w:t>
      </w:r>
    </w:p>
    <w:p>
      <w:pPr>
        <w:spacing w:after="0" w:line="203" w:lineRule="exact"/>
        <w:rPr>
          <w:sz w:val="20"/>
          <w:szCs w:val="20"/>
          <w:color w:val="auto"/>
        </w:rPr>
      </w:pPr>
    </w:p>
    <w:p>
      <w:pPr>
        <w:ind w:right="560"/>
        <w:spacing w:after="0" w:line="265" w:lineRule="auto"/>
        <w:rPr>
          <w:sz w:val="20"/>
          <w:szCs w:val="20"/>
          <w:color w:val="auto"/>
        </w:rPr>
      </w:pPr>
      <w:r>
        <w:rPr>
          <w:rFonts w:ascii="Times New Roman" w:cs="Times New Roman" w:eastAsia="Times New Roman" w:hAnsi="Times New Roman"/>
          <w:sz w:val="20"/>
          <w:szCs w:val="20"/>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7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7" w:lineRule="exact"/>
        <w:rPr>
          <w:sz w:val="20"/>
          <w:szCs w:val="20"/>
          <w:color w:val="auto"/>
        </w:rPr>
      </w:pPr>
    </w:p>
    <w:p>
      <w:pPr>
        <w:ind w:right="640"/>
        <w:spacing w:after="0" w:line="265" w:lineRule="auto"/>
        <w:rPr>
          <w:sz w:val="20"/>
          <w:szCs w:val="20"/>
          <w:color w:val="auto"/>
        </w:rPr>
      </w:pPr>
      <w:r>
        <w:rPr>
          <w:rFonts w:ascii="Times New Roman" w:cs="Times New Roman" w:eastAsia="Times New Roman" w:hAnsi="Times New Roman"/>
          <w:sz w:val="20"/>
          <w:szCs w:val="20"/>
          <w:i w:val="1"/>
          <w:iCs w:val="1"/>
          <w:color w:val="auto"/>
        </w:rPr>
        <w:t>We have made and may make future acquisitions or divestitures, which involve numerous risks that could impact our financial condition, results of operations and cash flows.</w:t>
      </w:r>
    </w:p>
    <w:p>
      <w:pPr>
        <w:spacing w:after="0" w:line="17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ectPr>
          <w:pgSz w:w="12240" w:h="15840" w:orient="portrait"/>
          <w:cols w:equalWidth="0" w:num="1">
            <w:col w:w="10580"/>
          </w:cols>
          <w:pgMar w:left="820" w:top="1083"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580"/>
          </w:cols>
          <w:pgMar w:left="820" w:top="1083" w:right="840" w:bottom="315" w:gutter="0" w:footer="0" w:header="0"/>
          <w:type w:val="continuous"/>
        </w:sectPr>
      </w:pPr>
    </w:p>
    <w:bookmarkStart w:id="30" w:name="page31"/>
    <w:bookmarkEnd w:id="30"/>
    <w:p>
      <w:pPr>
        <w:ind w:right="20"/>
        <w:spacing w:after="0" w:line="243" w:lineRule="auto"/>
        <w:rPr>
          <w:sz w:val="20"/>
          <w:szCs w:val="20"/>
          <w:color w:val="auto"/>
        </w:rPr>
      </w:pPr>
      <w:r>
        <w:rPr>
          <w:rFonts w:ascii="Times New Roman" w:cs="Times New Roman" w:eastAsia="Times New Roman" w:hAnsi="Times New Roman"/>
          <w:sz w:val="20"/>
          <w:szCs w:val="20"/>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8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8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20"/>
          <w:szCs w:val="20"/>
          <w:i w:val="1"/>
          <w:iCs w:val="1"/>
          <w:color w:val="auto"/>
        </w:rPr>
        <w:t>Societal responses to climate change could adversely affect our business and performance, including indirectly through impacts on our customers.</w:t>
      </w:r>
    </w:p>
    <w:p>
      <w:pPr>
        <w:spacing w:after="0" w:line="1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&amp;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20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0"/>
          <w:szCs w:val="20"/>
          <w:i w:val="1"/>
          <w:iCs w:val="1"/>
          <w:color w:val="auto"/>
        </w:rPr>
        <w:t>Global climate change and related emphasis on environmental, social and governance ("ESG") matters by various stakeholders could negatively affect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Customer, investor and employee expectations relating to ESG have been rapidly evolving and increasing. In addition, government organizations are enhancing or advancing legal and regulatory requirements specific to ESG matters. The heightened stakeholder focus on ESG issues related to our business requires the continuous monitoring of various and evolving laws, regulations, standards and expectations and the associated reporting requirements. A failure to adequately meet stakeholder expectations may result in noncompliance, the loss of business, reputational impacts, diluted market valuation, an inability to attract customers and an inability to attract and retain top talent. In addition, our adoption of certain standards or mandated compliance to certain requirements could necessitate additional investments that could impact our profitability.</w:t>
      </w:r>
    </w:p>
    <w:p>
      <w:pPr>
        <w:spacing w:after="0" w:line="20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Climate changes, such as extreme weather conditions, create financial risk to our business. Global physical climate changes, including unseasonable weather conditions, could result in reduced demand or product obsolescence for certain of our customers’ products and/or price modifications for our customers’ products and the resources needed to produce them. This could in turn put pressure on our manufacturing costs and result in reduced profit margin associated with certain of our customer programs, or loss of customer programs that we may not be able to replace.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Human Capital Management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may not be able to attract and retain qualified employees.</w:t>
      </w:r>
    </w:p>
    <w:p>
      <w:pPr>
        <w:spacing w:after="0" w:line="22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including by establishing local offices near our headquarters. If we are unable to attract and retain qualified employees, our business may be harmed.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Work stoppages or similar difficulties could significantly disrupt our operations.</w:t>
      </w:r>
    </w:p>
    <w:p>
      <w:pPr>
        <w:spacing w:after="0" w:line="22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As of December 31, 2022, approximately 200 of our approximately 1,000 employees are represented by international or independent labor unions under various union contracts that expire from May 1, 2023 to November 12, 2025. It is possible that our workforce will become more unionized in the future. Although we consider our employee relations to generally be good, our existing labor agreements may not prevent a strike or work stoppage at one or more of our facilities, including due to the effects of COVID-19, may have a material adverse effect on our business. Unionization activities could also increase our costs, which could have an adverse effect on our profitability.</w:t>
      </w:r>
    </w:p>
    <w:p>
      <w:pPr>
        <w:sectPr>
          <w:pgSz w:w="12240" w:h="15840" w:orient="portrait"/>
          <w:cols w:equalWidth="0" w:num="1">
            <w:col w:w="10560"/>
          </w:cols>
          <w:pgMar w:left="820" w:top="1069" w:right="860" w:bottom="315"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560"/>
          </w:cols>
          <w:pgMar w:left="820" w:top="1069" w:right="860" w:bottom="315" w:gutter="0" w:footer="0" w:header="0"/>
          <w:type w:val="continuous"/>
        </w:sectPr>
      </w:pPr>
    </w:p>
    <w:bookmarkStart w:id="31" w:name="page32"/>
    <w:bookmarkEnd w:id="31"/>
    <w:p>
      <w:pPr>
        <w:ind w:right="80"/>
        <w:spacing w:after="0" w:line="269" w:lineRule="auto"/>
        <w:rPr>
          <w:sz w:val="20"/>
          <w:szCs w:val="20"/>
          <w:color w:val="auto"/>
        </w:rPr>
      </w:pPr>
      <w:r>
        <w:rPr>
          <w:rFonts w:ascii="Times New Roman" w:cs="Times New Roman" w:eastAsia="Times New Roman" w:hAnsi="Times New Roman"/>
          <w:sz w:val="20"/>
          <w:szCs w:val="20"/>
          <w:color w:val="auto"/>
        </w:rPr>
        <w:t>Additionally, a work stoppage at one of our suppliers could adversely affect our operations if an alternative source of supply were not readily available. Work stoppages by employees of our customers also could result in reduced demand for our products.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Technology and Cybersecurity Risks</w:t>
      </w:r>
    </w:p>
    <w:p>
      <w:pPr>
        <w:spacing w:after="0" w:line="23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0"/>
          <w:szCs w:val="20"/>
          <w:i w:val="1"/>
          <w:iCs w:val="1"/>
          <w:color w:val="auto"/>
        </w:rPr>
        <w:t>Our dependence on information systems and the failure of such systems, could significantly disrupt our business and negatively affect our financial condition, results of operations and cash flows.</w:t>
      </w:r>
    </w:p>
    <w:p>
      <w:pPr>
        <w:spacing w:after="0" w:line="17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force majeure, telecommunications failures, criminal acts, including hardware or software break-ins or extortion attempts, or viruses, or other cybersecurity incidents, we will have limited ability to affect the timing and success of systems restoration and any resulting interruption in our ability to manage and operate our business could have a material adverse effect on our operating results.</w:t>
      </w:r>
    </w:p>
    <w:p>
      <w:pPr>
        <w:spacing w:after="0" w:line="20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20"/>
          <w:szCs w:val="20"/>
          <w:i w:val="1"/>
          <w:iCs w:val="1"/>
          <w:color w:val="auto"/>
        </w:rPr>
        <w:t>Increased information technology cybersecurity threats and more sophisticated and targeted computer crime could pose a risk to our systems, networks, and products.</w:t>
      </w:r>
    </w:p>
    <w:p>
      <w:pPr>
        <w:spacing w:after="0" w:line="174"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cybersecurity program updates including cybersecurity posture, risk management activities, and emerging risk.</w:t>
      </w:r>
    </w:p>
    <w:p>
      <w:pPr>
        <w:spacing w:after="0" w:line="19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Compliance and International Operations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can be significantly affected by changes in regulatory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ectPr>
          <w:pgSz w:w="12240" w:h="15840" w:orient="portrait"/>
          <w:cols w:equalWidth="0" w:num="1">
            <w:col w:w="10580"/>
          </w:cols>
          <w:pgMar w:left="820" w:top="1069"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580"/>
          </w:cols>
          <w:pgMar w:left="820" w:top="1069" w:right="840" w:bottom="315" w:gutter="0" w:footer="0" w:header="0"/>
          <w:type w:val="continuous"/>
        </w:sectPr>
      </w:pPr>
    </w:p>
    <w:bookmarkStart w:id="32" w:name="page33"/>
    <w:bookmarkEnd w:id="32"/>
    <w:p>
      <w:pPr>
        <w:ind w:right="40"/>
        <w:spacing w:after="0" w:line="265" w:lineRule="auto"/>
        <w:rPr>
          <w:sz w:val="20"/>
          <w:szCs w:val="20"/>
          <w:color w:val="auto"/>
        </w:rPr>
      </w:pPr>
      <w:r>
        <w:rPr>
          <w:rFonts w:ascii="Times New Roman" w:cs="Times New Roman" w:eastAsia="Times New Roman" w:hAnsi="Times New Roman"/>
          <w:sz w:val="20"/>
          <w:szCs w:val="20"/>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7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9"/>
          <w:szCs w:val="19"/>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operations outside of the United States are subject to political, investment and local business risks.</w:t>
      </w:r>
    </w:p>
    <w:p>
      <w:pPr>
        <w:spacing w:after="0" w:line="22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For the year ended December 31, 2022, approximately 35%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and (ix) the results of new trade agreements and changes in membership to international coalitions or unions.</w:t>
      </w:r>
    </w:p>
    <w:p>
      <w:pPr>
        <w:spacing w:after="0" w:line="19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9"/>
          <w:szCs w:val="19"/>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8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occurrence of one or more of the foregoing factors could have a material adverse effect on our international operations or upon our financial condition, results of operations and cash flows.</w:t>
      </w:r>
    </w:p>
    <w:p>
      <w:pPr>
        <w:spacing w:after="0" w:line="174" w:lineRule="exact"/>
        <w:rPr>
          <w:sz w:val="20"/>
          <w:szCs w:val="20"/>
          <w:color w:val="auto"/>
        </w:rPr>
      </w:pPr>
    </w:p>
    <w:p>
      <w:pPr>
        <w:ind w:right="1020"/>
        <w:spacing w:after="0" w:line="265" w:lineRule="auto"/>
        <w:rPr>
          <w:sz w:val="20"/>
          <w:szCs w:val="20"/>
          <w:color w:val="auto"/>
        </w:rPr>
      </w:pPr>
      <w:r>
        <w:rPr>
          <w:rFonts w:ascii="Times New Roman" w:cs="Times New Roman" w:eastAsia="Times New Roman" w:hAnsi="Times New Roman"/>
          <w:sz w:val="20"/>
          <w:szCs w:val="20"/>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7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Biden administration makes to United States administrative policy could result in changes to existing trade agreements, greater restrictions on free trade generally and significant increases in tariffs on goods imported into the United States, particularly tariffs on products manufactured in Mexico and China, among other possible changes. A trade war or other governmental action related to tariffs or</w:t>
      </w:r>
    </w:p>
    <w:p>
      <w:pPr>
        <w:sectPr>
          <w:pgSz w:w="12240" w:h="15840" w:orient="portrait"/>
          <w:cols w:equalWidth="0" w:num="1">
            <w:col w:w="10580"/>
          </w:cols>
          <w:pgMar w:left="820" w:top="1073" w:right="840" w:bottom="315"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580"/>
          </w:cols>
          <w:pgMar w:left="820" w:top="1073" w:right="840" w:bottom="315" w:gutter="0" w:footer="0" w:header="0"/>
          <w:type w:val="continuous"/>
        </w:sectPr>
      </w:pPr>
    </w:p>
    <w:bookmarkStart w:id="33" w:name="page34"/>
    <w:bookmarkEnd w:id="33"/>
    <w:p>
      <w:pPr>
        <w:ind w:right="160"/>
        <w:spacing w:after="0" w:line="296" w:lineRule="auto"/>
        <w:rPr>
          <w:sz w:val="20"/>
          <w:szCs w:val="20"/>
          <w:color w:val="auto"/>
        </w:rPr>
      </w:pPr>
      <w:r>
        <w:rPr>
          <w:rFonts w:ascii="Times New Roman" w:cs="Times New Roman" w:eastAsia="Times New Roman" w:hAnsi="Times New Roman"/>
          <w:sz w:val="19"/>
          <w:szCs w:val="19"/>
          <w:color w:val="auto"/>
        </w:rPr>
        <w:t>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23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20"/>
          <w:szCs w:val="20"/>
          <w:i w:val="1"/>
          <w:iCs w:val="1"/>
          <w:color w:val="auto"/>
        </w:rPr>
        <w:t>The market price of our common stock may be volatile or may decline regardless of our operating performance and investors may not be able to resell shares they purchase at their purchase price.</w:t>
      </w:r>
    </w:p>
    <w:p>
      <w:pPr>
        <w:spacing w:after="0" w:line="17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2022, the sales price of our common stock on the NASDAQ ranged from $4.09 to $12.89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93" w:lineRule="exact"/>
        <w:rPr>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actual or anticipated variations in operating results;</w:t>
      </w:r>
    </w:p>
    <w:p>
      <w:pPr>
        <w:spacing w:after="0" w:line="113" w:lineRule="exact"/>
        <w:rPr>
          <w:rFonts w:ascii="PMingLiU" w:cs="PMingLiU" w:eastAsia="PMingLiU" w:hAnsi="PMingLiU"/>
          <w:sz w:val="20"/>
          <w:szCs w:val="20"/>
          <w:color w:val="auto"/>
        </w:rPr>
      </w:pPr>
    </w:p>
    <w:p>
      <w:pPr>
        <w:jc w:val="both"/>
        <w:ind w:left="720" w:right="20" w:hanging="359"/>
        <w:spacing w:after="0" w:line="245" w:lineRule="auto"/>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90"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other domestic and international macroeconomic factors unrelated to our performance;</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health epidemics and other outbreaks;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failure to meet the expectations of the investment community;</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industry trends and the business success of our customers;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loss of key customers;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announcements of technological advances by us or our competitors;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current events affecting the political and economic environment in the United States;</w:t>
      </w:r>
    </w:p>
    <w:p>
      <w:pPr>
        <w:spacing w:after="0" w:line="113" w:lineRule="exact"/>
        <w:rPr>
          <w:rFonts w:ascii="PMingLiU" w:cs="PMingLiU" w:eastAsia="PMingLiU" w:hAnsi="PMingLiU"/>
          <w:sz w:val="20"/>
          <w:szCs w:val="20"/>
          <w:color w:val="auto"/>
        </w:rPr>
      </w:pPr>
    </w:p>
    <w:p>
      <w:pPr>
        <w:ind w:left="720" w:right="1020" w:hanging="359"/>
        <w:spacing w:after="0" w:line="255" w:lineRule="auto"/>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conditions or trends in our industry, including demand for our products and services, technological advances and governmental regulations;</w:t>
      </w:r>
    </w:p>
    <w:p>
      <w:pPr>
        <w:spacing w:after="0" w:line="79"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litigation or other proceedings involving or affecting us; and</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additions or departures of our key personnel.</w:t>
      </w:r>
    </w:p>
    <w:p>
      <w:pPr>
        <w:spacing w:after="0" w:line="21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realization of any of these risks and other factors beyond our control could cause the market price of our common stock to decline significantly.</w:t>
      </w:r>
    </w:p>
    <w:p>
      <w:pPr>
        <w:spacing w:after="0" w:line="174" w:lineRule="exact"/>
        <w:rPr>
          <w:sz w:val="20"/>
          <w:szCs w:val="20"/>
          <w:color w:val="auto"/>
        </w:rPr>
      </w:pPr>
    </w:p>
    <w:p>
      <w:pPr>
        <w:ind w:right="760"/>
        <w:spacing w:after="0" w:line="265" w:lineRule="auto"/>
        <w:rPr>
          <w:sz w:val="20"/>
          <w:szCs w:val="20"/>
          <w:color w:val="auto"/>
        </w:rPr>
      </w:pPr>
      <w:r>
        <w:rPr>
          <w:rFonts w:ascii="Times New Roman" w:cs="Times New Roman" w:eastAsia="Times New Roman" w:hAnsi="Times New Roman"/>
          <w:sz w:val="20"/>
          <w:szCs w:val="20"/>
          <w:i w:val="1"/>
          <w:iCs w:val="1"/>
          <w:color w:val="auto"/>
        </w:rPr>
        <w:t>We are not currently paying dividends and cannot make assurances that we will pay dividends on our common stock and our indebtedness could limit our ability to pay dividends.</w:t>
      </w:r>
    </w:p>
    <w:p>
      <w:pPr>
        <w:spacing w:after="0" w:line="174"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2022, 2021 or 2020 and currently intend to retain future earnings, if any, to finance the operations, growth and development of our business into the foreseeable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ability to issue preferred stock could adversely affect the rights of holders of our common stock.</w:t>
      </w:r>
    </w:p>
    <w:p>
      <w:pPr>
        <w:spacing w:after="0" w:line="2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ectPr>
          <w:pgSz w:w="12240" w:h="15840" w:orient="portrait"/>
          <w:cols w:equalWidth="0" w:num="1">
            <w:col w:w="10580"/>
          </w:cols>
          <w:pgMar w:left="820" w:top="1069"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580"/>
          </w:cols>
          <w:pgMar w:left="820" w:top="1069" w:right="840" w:bottom="31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i w:val="1"/>
          <w:iCs w:val="1"/>
          <w:color w:val="auto"/>
        </w:rPr>
        <w:t>Certain provisions in our charter documents have anti-takeover effects.</w:t>
      </w:r>
    </w:p>
    <w:p>
      <w:pPr>
        <w:spacing w:after="0" w:line="2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Failure to maintain adequate internal controls could adversely affect our business.</w:t>
      </w:r>
    </w:p>
    <w:p>
      <w:pPr>
        <w:spacing w:after="0" w:line="22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8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20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20"/>
          <w:szCs w:val="20"/>
          <w:i w:val="1"/>
          <w:iCs w:val="1"/>
          <w:color w:val="auto"/>
        </w:rPr>
        <w:t>There are inherent limitations in all internal control systems over financial reporting, and misstatements due to error or fraud may occur and not be detected.</w:t>
      </w:r>
    </w:p>
    <w:p>
      <w:pPr>
        <w:spacing w:after="0" w:line="17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9"/>
          <w:szCs w:val="19"/>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and Strategy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580"/>
          </w:cols>
          <w:pgMar w:left="820" w:top="1073"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580"/>
          </w:cols>
          <w:pgMar w:left="820" w:top="1073" w:right="840" w:bottom="315"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The Company has 30 principal operating facilities across twelve states and nine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2022.</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Owned</w:t>
            </w:r>
          </w:p>
        </w:tc>
        <w:tc>
          <w:tcPr>
            <w:tcW w:w="200" w:type="dxa"/>
            <w:vAlign w:val="bottom"/>
            <w:gridSpan w:val="2"/>
            <w:vMerge w:val="restart"/>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Leased</w:t>
            </w:r>
          </w:p>
        </w:tc>
        <w:tc>
          <w:tcPr>
            <w:tcW w:w="120" w:type="dxa"/>
            <w:vAlign w:val="bottom"/>
            <w:vMerge w:val="restart"/>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tcBorders>
              <w:bottom w:val="single" w:sz="8" w:color="auto"/>
            </w:tcBorders>
            <w:gridSpan w:val="3"/>
          </w:tcPr>
          <w:p>
            <w:pPr>
              <w:ind w:left="2020"/>
              <w:spacing w:after="0"/>
              <w:rPr>
                <w:sz w:val="20"/>
                <w:szCs w:val="20"/>
                <w:color w:val="auto"/>
              </w:rPr>
            </w:pPr>
            <w:r>
              <w:rPr>
                <w:rFonts w:ascii="Times New Roman" w:cs="Times New Roman" w:eastAsia="Times New Roman" w:hAnsi="Times New Roman"/>
                <w:sz w:val="20"/>
                <w:szCs w:val="20"/>
                <w:b w:val="1"/>
                <w:bCs w:val="1"/>
                <w:color w:val="auto"/>
              </w:rPr>
              <w:t>Location of Facilities</w:t>
            </w:r>
          </w:p>
        </w:tc>
        <w:tc>
          <w:tcPr>
            <w:tcW w:w="0" w:type="dxa"/>
            <w:vAlign w:val="bottom"/>
          </w:tcPr>
          <w:p>
            <w:pPr>
              <w:spacing w:after="0"/>
              <w:rPr>
                <w:sz w:val="1"/>
                <w:szCs w:val="1"/>
                <w:color w:val="auto"/>
              </w:rPr>
            </w:pPr>
          </w:p>
        </w:tc>
      </w:tr>
      <w:tr>
        <w:trPr>
          <w:trHeight w:val="215"/>
        </w:trPr>
        <w:tc>
          <w:tcPr>
            <w:tcW w:w="2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E6E6E6"/>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E6E6E6"/>
            </w:tcBorders>
            <w:vMerge w:val="continue"/>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2820" w:type="dxa"/>
            <w:vAlign w:val="bottom"/>
            <w:tcBorders>
              <w:bottom w:val="single" w:sz="8" w:color="auto"/>
            </w:tcBorders>
          </w:tcPr>
          <w:p>
            <w:pPr>
              <w:ind w:left="1160"/>
              <w:spacing w:after="0" w:line="215" w:lineRule="exact"/>
              <w:rPr>
                <w:sz w:val="20"/>
                <w:szCs w:val="20"/>
                <w:color w:val="auto"/>
              </w:rPr>
            </w:pPr>
            <w:r>
              <w:rPr>
                <w:rFonts w:ascii="Times New Roman" w:cs="Times New Roman" w:eastAsia="Times New Roman" w:hAnsi="Times New Roman"/>
                <w:sz w:val="20"/>
                <w:szCs w:val="20"/>
                <w:b w:val="1"/>
                <w:bCs w:val="1"/>
                <w:color w:val="auto"/>
              </w:rPr>
              <w:t>States</w:t>
            </w:r>
          </w:p>
        </w:tc>
        <w:tc>
          <w:tcPr>
            <w:tcW w:w="140" w:type="dxa"/>
            <w:vAlign w:val="bottom"/>
            <w:tcBorders>
              <w:bottom w:val="single" w:sz="8" w:color="E6E6E6"/>
            </w:tcBorders>
          </w:tcPr>
          <w:p>
            <w:pPr>
              <w:spacing w:after="0"/>
              <w:rPr>
                <w:sz w:val="18"/>
                <w:szCs w:val="18"/>
                <w:color w:val="auto"/>
              </w:rPr>
            </w:pPr>
          </w:p>
        </w:tc>
        <w:tc>
          <w:tcPr>
            <w:tcW w:w="2840" w:type="dxa"/>
            <w:vAlign w:val="bottom"/>
            <w:tcBorders>
              <w:bottom w:val="single" w:sz="8" w:color="auto"/>
            </w:tcBorders>
          </w:tcPr>
          <w:p>
            <w:pPr>
              <w:ind w:left="1000"/>
              <w:spacing w:after="0" w:line="215" w:lineRule="exact"/>
              <w:rPr>
                <w:sz w:val="20"/>
                <w:szCs w:val="20"/>
                <w:color w:val="auto"/>
              </w:rPr>
            </w:pPr>
            <w:r>
              <w:rPr>
                <w:rFonts w:ascii="Times New Roman" w:cs="Times New Roman" w:eastAsia="Times New Roman" w:hAnsi="Times New Roman"/>
                <w:sz w:val="20"/>
                <w:szCs w:val="20"/>
                <w:b w:val="1"/>
                <w:bCs w:val="1"/>
                <w:color w:val="auto"/>
              </w:rPr>
              <w:t>Countries</w:t>
            </w:r>
          </w:p>
        </w:tc>
        <w:tc>
          <w:tcPr>
            <w:tcW w:w="0" w:type="dxa"/>
            <w:vAlign w:val="bottom"/>
          </w:tcPr>
          <w:p>
            <w:pPr>
              <w:spacing w:after="0"/>
              <w:rPr>
                <w:sz w:val="1"/>
                <w:szCs w:val="1"/>
                <w:color w:val="auto"/>
              </w:rPr>
            </w:pPr>
          </w:p>
        </w:tc>
      </w:tr>
      <w:tr>
        <w:trPr>
          <w:trHeight w:val="196"/>
        </w:trPr>
        <w:tc>
          <w:tcPr>
            <w:tcW w:w="2840" w:type="dxa"/>
            <w:vAlign w:val="bottom"/>
            <w:shd w:val="clear" w:color="auto" w:fill="E6E6E6"/>
          </w:tcPr>
          <w:p>
            <w:pPr>
              <w:spacing w:after="0" w:line="19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00" w:type="dxa"/>
            <w:vAlign w:val="bottom"/>
            <w:shd w:val="clear" w:color="auto" w:fill="E6E6E6"/>
          </w:tcPr>
          <w:p>
            <w:pPr>
              <w:spacing w:after="0"/>
              <w:rPr>
                <w:sz w:val="17"/>
                <w:szCs w:val="17"/>
                <w:color w:val="auto"/>
              </w:rPr>
            </w:pPr>
          </w:p>
        </w:tc>
        <w:tc>
          <w:tcPr>
            <w:tcW w:w="700" w:type="dxa"/>
            <w:vAlign w:val="bottom"/>
            <w:gridSpan w:val="2"/>
            <w:shd w:val="clear" w:color="auto" w:fill="E6E6E6"/>
          </w:tcPr>
          <w:p>
            <w:pPr>
              <w:jc w:val="right"/>
              <w:spacing w:after="0" w:line="196"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720" w:type="dxa"/>
            <w:vAlign w:val="bottom"/>
            <w:gridSpan w:val="2"/>
            <w:shd w:val="clear" w:color="auto" w:fill="E6E6E6"/>
          </w:tcPr>
          <w:p>
            <w:pPr>
              <w:jc w:val="right"/>
              <w:spacing w:after="0" w:line="196" w:lineRule="exact"/>
              <w:rPr>
                <w:sz w:val="20"/>
                <w:szCs w:val="20"/>
                <w:color w:val="auto"/>
              </w:rPr>
            </w:pPr>
            <w:r>
              <w:rPr>
                <w:rFonts w:ascii="Times New Roman" w:cs="Times New Roman" w:eastAsia="Times New Roman" w:hAnsi="Times New Roman"/>
                <w:sz w:val="20"/>
                <w:szCs w:val="20"/>
                <w:color w:val="auto"/>
              </w:rPr>
              <w:t>15</w:t>
            </w: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820" w:type="dxa"/>
            <w:vAlign w:val="bottom"/>
            <w:shd w:val="clear" w:color="auto" w:fill="E6E6E6"/>
          </w:tcPr>
          <w:p>
            <w:pPr>
              <w:spacing w:after="0" w:line="196" w:lineRule="exact"/>
              <w:rPr>
                <w:sz w:val="20"/>
                <w:szCs w:val="20"/>
                <w:color w:val="auto"/>
              </w:rPr>
            </w:pPr>
            <w:r>
              <w:rPr>
                <w:rFonts w:ascii="Times New Roman" w:cs="Times New Roman" w:eastAsia="Times New Roman" w:hAnsi="Times New Roman"/>
                <w:sz w:val="20"/>
                <w:szCs w:val="20"/>
                <w:color w:val="auto"/>
              </w:rPr>
              <w:t>Arizona, California, Connecticut,</w:t>
            </w:r>
          </w:p>
        </w:tc>
        <w:tc>
          <w:tcPr>
            <w:tcW w:w="140" w:type="dxa"/>
            <w:vAlign w:val="bottom"/>
            <w:shd w:val="clear" w:color="auto" w:fill="E6E6E6"/>
          </w:tcPr>
          <w:p>
            <w:pPr>
              <w:spacing w:after="0"/>
              <w:rPr>
                <w:sz w:val="17"/>
                <w:szCs w:val="17"/>
                <w:color w:val="auto"/>
              </w:rPr>
            </w:pPr>
          </w:p>
        </w:tc>
        <w:tc>
          <w:tcPr>
            <w:tcW w:w="2840" w:type="dxa"/>
            <w:vAlign w:val="bottom"/>
            <w:shd w:val="clear" w:color="auto" w:fill="E6E6E6"/>
          </w:tcPr>
          <w:p>
            <w:pPr>
              <w:spacing w:after="0" w:line="196" w:lineRule="exact"/>
              <w:rPr>
                <w:sz w:val="20"/>
                <w:szCs w:val="20"/>
                <w:color w:val="auto"/>
              </w:rPr>
            </w:pPr>
            <w:r>
              <w:rPr>
                <w:rFonts w:ascii="Times New Roman" w:cs="Times New Roman" w:eastAsia="Times New Roman" w:hAnsi="Times New Roman"/>
                <w:sz w:val="20"/>
                <w:szCs w:val="20"/>
                <w:color w:val="auto"/>
              </w:rPr>
              <w:t>United States, The Netherlands,</w:t>
            </w:r>
          </w:p>
        </w:tc>
        <w:tc>
          <w:tcPr>
            <w:tcW w:w="0" w:type="dxa"/>
            <w:vAlign w:val="bottom"/>
          </w:tcPr>
          <w:p>
            <w:pPr>
              <w:spacing w:after="0"/>
              <w:rPr>
                <w:sz w:val="1"/>
                <w:szCs w:val="1"/>
                <w:color w:val="auto"/>
              </w:rPr>
            </w:pPr>
          </w:p>
        </w:tc>
      </w:tr>
      <w:tr>
        <w:trPr>
          <w:trHeight w:val="225"/>
        </w:trPr>
        <w:tc>
          <w:tcPr>
            <w:tcW w:w="28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New York, Ohio, Texas</w:t>
            </w:r>
          </w:p>
        </w:tc>
        <w:tc>
          <w:tcPr>
            <w:tcW w:w="140" w:type="dxa"/>
            <w:vAlign w:val="bottom"/>
            <w:shd w:val="clear" w:color="auto" w:fill="E6E6E6"/>
          </w:tcPr>
          <w:p>
            <w:pPr>
              <w:spacing w:after="0"/>
              <w:rPr>
                <w:sz w:val="19"/>
                <w:szCs w:val="19"/>
                <w:color w:val="auto"/>
              </w:rPr>
            </w:pPr>
          </w:p>
        </w:tc>
        <w:tc>
          <w:tcPr>
            <w:tcW w:w="2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Canada, India, United Arab</w:t>
            </w:r>
          </w:p>
        </w:tc>
        <w:tc>
          <w:tcPr>
            <w:tcW w:w="0" w:type="dxa"/>
            <w:vAlign w:val="bottom"/>
          </w:tcPr>
          <w:p>
            <w:pPr>
              <w:spacing w:after="0"/>
              <w:rPr>
                <w:sz w:val="1"/>
                <w:szCs w:val="1"/>
                <w:color w:val="auto"/>
              </w:rPr>
            </w:pPr>
          </w:p>
        </w:tc>
      </w:tr>
      <w:tr>
        <w:trPr>
          <w:trHeight w:val="225"/>
        </w:trPr>
        <w:tc>
          <w:tcPr>
            <w:tcW w:w="28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8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Emirates, Singapore, United</w:t>
            </w:r>
          </w:p>
        </w:tc>
        <w:tc>
          <w:tcPr>
            <w:tcW w:w="0" w:type="dxa"/>
            <w:vAlign w:val="bottom"/>
          </w:tcPr>
          <w:p>
            <w:pPr>
              <w:spacing w:after="0"/>
              <w:rPr>
                <w:sz w:val="1"/>
                <w:szCs w:val="1"/>
                <w:color w:val="auto"/>
              </w:rPr>
            </w:pPr>
          </w:p>
        </w:tc>
      </w:tr>
      <w:tr>
        <w:trPr>
          <w:trHeight w:val="225"/>
        </w:trPr>
        <w:tc>
          <w:tcPr>
            <w:tcW w:w="28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8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2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Kingdom, People's Republic of</w:t>
            </w:r>
          </w:p>
        </w:tc>
        <w:tc>
          <w:tcPr>
            <w:tcW w:w="0" w:type="dxa"/>
            <w:vAlign w:val="bottom"/>
          </w:tcPr>
          <w:p>
            <w:pPr>
              <w:spacing w:after="0"/>
              <w:rPr>
                <w:sz w:val="1"/>
                <w:szCs w:val="1"/>
                <w:color w:val="auto"/>
              </w:rPr>
            </w:pPr>
          </w:p>
        </w:tc>
      </w:tr>
      <w:tr>
        <w:trPr>
          <w:trHeight w:val="245"/>
        </w:trPr>
        <w:tc>
          <w:tcPr>
            <w:tcW w:w="28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70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2820" w:type="dxa"/>
            <w:vAlign w:val="bottom"/>
            <w:shd w:val="clear" w:color="auto" w:fill="E6E6E6"/>
          </w:tcPr>
          <w:p>
            <w:pPr>
              <w:spacing w:after="0"/>
              <w:rPr>
                <w:sz w:val="21"/>
                <w:szCs w:val="21"/>
                <w:color w:val="auto"/>
              </w:rPr>
            </w:pPr>
          </w:p>
        </w:tc>
        <w:tc>
          <w:tcPr>
            <w:tcW w:w="140" w:type="dxa"/>
            <w:vAlign w:val="bottom"/>
            <w:shd w:val="clear" w:color="auto" w:fill="E6E6E6"/>
          </w:tcPr>
          <w:p>
            <w:pPr>
              <w:spacing w:after="0"/>
              <w:rPr>
                <w:sz w:val="21"/>
                <w:szCs w:val="21"/>
                <w:color w:val="auto"/>
              </w:rPr>
            </w:pPr>
          </w:p>
        </w:tc>
        <w:tc>
          <w:tcPr>
            <w:tcW w:w="2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China, South Korea</w:t>
            </w:r>
          </w:p>
        </w:tc>
        <w:tc>
          <w:tcPr>
            <w:tcW w:w="0" w:type="dxa"/>
            <w:vAlign w:val="bottom"/>
          </w:tcPr>
          <w:p>
            <w:pPr>
              <w:spacing w:after="0"/>
              <w:rPr>
                <w:sz w:val="1"/>
                <w:szCs w:val="1"/>
                <w:color w:val="auto"/>
              </w:rPr>
            </w:pPr>
          </w:p>
        </w:tc>
      </w:tr>
      <w:tr>
        <w:trPr>
          <w:trHeight w:val="206"/>
        </w:trPr>
        <w:tc>
          <w:tcPr>
            <w:tcW w:w="28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Industrial Process Solutions</w:t>
            </w:r>
          </w:p>
        </w:tc>
        <w:tc>
          <w:tcPr>
            <w:tcW w:w="100" w:type="dxa"/>
            <w:vAlign w:val="bottom"/>
          </w:tcPr>
          <w:p>
            <w:pPr>
              <w:spacing w:after="0"/>
              <w:rPr>
                <w:sz w:val="17"/>
                <w:szCs w:val="17"/>
                <w:color w:val="auto"/>
              </w:rPr>
            </w:pPr>
          </w:p>
        </w:tc>
        <w:tc>
          <w:tcPr>
            <w:tcW w:w="7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California, Illinois, Indiana,</w:t>
            </w:r>
          </w:p>
        </w:tc>
        <w:tc>
          <w:tcPr>
            <w:tcW w:w="140" w:type="dxa"/>
            <w:vAlign w:val="bottom"/>
          </w:tcPr>
          <w:p>
            <w:pPr>
              <w:spacing w:after="0"/>
              <w:rPr>
                <w:sz w:val="17"/>
                <w:szCs w:val="17"/>
                <w:color w:val="auto"/>
              </w:rPr>
            </w:pPr>
          </w:p>
        </w:tc>
        <w:tc>
          <w:tcPr>
            <w:tcW w:w="284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United States, United Kingdom,</w:t>
            </w:r>
          </w:p>
        </w:tc>
        <w:tc>
          <w:tcPr>
            <w:tcW w:w="0" w:type="dxa"/>
            <w:vAlign w:val="bottom"/>
          </w:tcPr>
          <w:p>
            <w:pPr>
              <w:spacing w:after="0"/>
              <w:rPr>
                <w:sz w:val="1"/>
                <w:szCs w:val="1"/>
                <w:color w:val="auto"/>
              </w:rPr>
            </w:pPr>
          </w:p>
        </w:tc>
      </w:tr>
      <w:tr>
        <w:trPr>
          <w:trHeight w:val="225"/>
        </w:trPr>
        <w:tc>
          <w:tcPr>
            <w:tcW w:w="2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Segment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2"/>
          </w:tcPr>
          <w:p>
            <w:pPr>
              <w:ind w:left="120"/>
              <w:spacing w:after="0" w:line="226" w:lineRule="exact"/>
              <w:rPr>
                <w:sz w:val="20"/>
                <w:szCs w:val="20"/>
                <w:color w:val="auto"/>
              </w:rPr>
            </w:pPr>
            <w:r>
              <w:rPr>
                <w:rFonts w:ascii="Times New Roman" w:cs="Times New Roman" w:eastAsia="Times New Roman" w:hAnsi="Times New Roman"/>
                <w:sz w:val="20"/>
                <w:szCs w:val="20"/>
                <w:color w:val="auto"/>
              </w:rPr>
              <w:t>Michigan, North Carolina,</w:t>
            </w:r>
          </w:p>
        </w:tc>
        <w:tc>
          <w:tcPr>
            <w:tcW w:w="140" w:type="dxa"/>
            <w:vAlign w:val="bottom"/>
          </w:tcPr>
          <w:p>
            <w:pPr>
              <w:spacing w:after="0"/>
              <w:rPr>
                <w:sz w:val="19"/>
                <w:szCs w:val="19"/>
                <w:color w:val="auto"/>
              </w:rPr>
            </w:pPr>
          </w:p>
        </w:tc>
        <w:tc>
          <w:tcPr>
            <w:tcW w:w="2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w w:val="98"/>
              </w:rPr>
              <w:t>The Netherlands, People's Republic</w:t>
            </w: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Pennsylvania, Tennessee</w:t>
            </w:r>
          </w:p>
        </w:tc>
        <w:tc>
          <w:tcPr>
            <w:tcW w:w="14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of China</w:t>
            </w:r>
          </w:p>
        </w:tc>
        <w:tc>
          <w:tcPr>
            <w:tcW w:w="0" w:type="dxa"/>
            <w:vAlign w:val="bottom"/>
          </w:tcPr>
          <w:p>
            <w:pPr>
              <w:spacing w:after="0"/>
              <w:rPr>
                <w:sz w:val="1"/>
                <w:szCs w:val="1"/>
                <w:color w:val="auto"/>
              </w:rPr>
            </w:pPr>
          </w:p>
        </w:tc>
      </w:tr>
      <w:tr>
        <w:trPr>
          <w:trHeight w:val="245"/>
        </w:trPr>
        <w:tc>
          <w:tcPr>
            <w:tcW w:w="2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Corporate</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80" w:type="dxa"/>
            <w:vAlign w:val="bottom"/>
            <w:gridSpan w:val="3"/>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120" w:type="dxa"/>
            <w:vAlign w:val="bottom"/>
            <w:shd w:val="clear" w:color="auto" w:fill="E6E6E6"/>
          </w:tcPr>
          <w:p>
            <w:pPr>
              <w:spacing w:after="0"/>
              <w:rPr>
                <w:sz w:val="21"/>
                <w:szCs w:val="21"/>
                <w:color w:val="auto"/>
              </w:rPr>
            </w:pPr>
          </w:p>
        </w:tc>
        <w:tc>
          <w:tcPr>
            <w:tcW w:w="2940" w:type="dxa"/>
            <w:vAlign w:val="bottom"/>
            <w:gridSpan w:val="2"/>
            <w:shd w:val="clear" w:color="auto" w:fill="E6E6E6"/>
          </w:tcPr>
          <w:p>
            <w:pPr>
              <w:ind w:left="120"/>
              <w:spacing w:after="0" w:line="226" w:lineRule="exact"/>
              <w:rPr>
                <w:sz w:val="20"/>
                <w:szCs w:val="20"/>
                <w:color w:val="auto"/>
              </w:rPr>
            </w:pPr>
            <w:r>
              <w:rPr>
                <w:rFonts w:ascii="Times New Roman" w:cs="Times New Roman" w:eastAsia="Times New Roman" w:hAnsi="Times New Roman"/>
                <w:sz w:val="20"/>
                <w:szCs w:val="20"/>
                <w:color w:val="auto"/>
              </w:rPr>
              <w:t>Ohio, Texas</w:t>
            </w:r>
          </w:p>
        </w:tc>
        <w:tc>
          <w:tcPr>
            <w:tcW w:w="140" w:type="dxa"/>
            <w:vAlign w:val="bottom"/>
            <w:shd w:val="clear" w:color="auto" w:fill="E6E6E6"/>
          </w:tcPr>
          <w:p>
            <w:pPr>
              <w:spacing w:after="0"/>
              <w:rPr>
                <w:sz w:val="21"/>
                <w:szCs w:val="21"/>
                <w:color w:val="auto"/>
              </w:rPr>
            </w:pPr>
          </w:p>
        </w:tc>
        <w:tc>
          <w:tcPr>
            <w:tcW w:w="2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195"/>
        </w:trPr>
        <w:tc>
          <w:tcPr>
            <w:tcW w:w="2840" w:type="dxa"/>
            <w:vAlign w:val="bottom"/>
            <w:tcBorders>
              <w:top w:val="single" w:sz="8" w:color="E6E6E6"/>
            </w:tcBorders>
          </w:tcPr>
          <w:p>
            <w:pPr>
              <w:spacing w:after="0"/>
              <w:rPr>
                <w:sz w:val="16"/>
                <w:szCs w:val="16"/>
                <w:color w:val="auto"/>
              </w:rPr>
            </w:pPr>
          </w:p>
        </w:tc>
        <w:tc>
          <w:tcPr>
            <w:tcW w:w="120" w:type="dxa"/>
            <w:vAlign w:val="bottom"/>
            <w:tcBorders>
              <w:top w:val="single" w:sz="8" w:color="E6E6E6"/>
            </w:tcBorders>
            <w:gridSpan w:val="2"/>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top w:val="single" w:sz="8" w:color="E6E6E6"/>
            </w:tcBorders>
          </w:tcPr>
          <w:p>
            <w:pPr>
              <w:spacing w:after="0"/>
              <w:rPr>
                <w:sz w:val="16"/>
                <w:szCs w:val="16"/>
                <w:color w:val="auto"/>
              </w:rPr>
            </w:pPr>
          </w:p>
        </w:tc>
        <w:tc>
          <w:tcPr>
            <w:tcW w:w="18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28</w:t>
            </w:r>
          </w:p>
        </w:tc>
        <w:tc>
          <w:tcPr>
            <w:tcW w:w="120" w:type="dxa"/>
            <w:vAlign w:val="bottom"/>
            <w:tcBorders>
              <w:top w:val="single" w:sz="8" w:color="E6E6E6"/>
            </w:tcBorders>
          </w:tcPr>
          <w:p>
            <w:pPr>
              <w:spacing w:after="0"/>
              <w:rPr>
                <w:sz w:val="16"/>
                <w:szCs w:val="16"/>
                <w:color w:val="auto"/>
              </w:rPr>
            </w:pPr>
          </w:p>
        </w:tc>
        <w:tc>
          <w:tcPr>
            <w:tcW w:w="120" w:type="dxa"/>
            <w:vAlign w:val="bottom"/>
            <w:tcBorders>
              <w:top w:val="single" w:sz="8" w:color="E6E6E6"/>
            </w:tcBorders>
          </w:tcPr>
          <w:p>
            <w:pPr>
              <w:spacing w:after="0"/>
              <w:rPr>
                <w:sz w:val="16"/>
                <w:szCs w:val="16"/>
                <w:color w:val="auto"/>
              </w:rPr>
            </w:pPr>
          </w:p>
        </w:tc>
        <w:tc>
          <w:tcPr>
            <w:tcW w:w="2820" w:type="dxa"/>
            <w:vAlign w:val="bottom"/>
            <w:tcBorders>
              <w:top w:val="single" w:sz="8" w:color="E6E6E6"/>
            </w:tcBorders>
          </w:tcPr>
          <w:p>
            <w:pPr>
              <w:spacing w:after="0"/>
              <w:rPr>
                <w:sz w:val="16"/>
                <w:szCs w:val="16"/>
                <w:color w:val="auto"/>
              </w:rPr>
            </w:pPr>
          </w:p>
        </w:tc>
        <w:tc>
          <w:tcPr>
            <w:tcW w:w="140" w:type="dxa"/>
            <w:vAlign w:val="bottom"/>
            <w:tcBorders>
              <w:top w:val="single" w:sz="8" w:color="E6E6E6"/>
            </w:tcBorders>
          </w:tcPr>
          <w:p>
            <w:pPr>
              <w:spacing w:after="0"/>
              <w:rPr>
                <w:sz w:val="16"/>
                <w:szCs w:val="16"/>
                <w:color w:val="auto"/>
              </w:rPr>
            </w:pPr>
          </w:p>
        </w:tc>
        <w:tc>
          <w:tcPr>
            <w:tcW w:w="284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5" w:lineRule="exact"/>
        <w:rPr>
          <w:sz w:val="20"/>
          <w:szCs w:val="20"/>
          <w:color w:val="auto"/>
        </w:rPr>
      </w:pPr>
    </w:p>
    <w:p>
      <w:pPr>
        <w:jc w:val="both"/>
        <w:ind w:right="40"/>
        <w:spacing w:after="0" w:line="269" w:lineRule="auto"/>
        <w:rPr>
          <w:sz w:val="20"/>
          <w:szCs w:val="20"/>
          <w:color w:val="auto"/>
        </w:rPr>
      </w:pPr>
      <w:r>
        <w:rPr>
          <w:rFonts w:ascii="Times New Roman" w:cs="Times New Roman" w:eastAsia="Times New Roman" w:hAnsi="Times New Roman"/>
          <w:sz w:val="20"/>
          <w:szCs w:val="20"/>
          <w:color w:val="auto"/>
        </w:rPr>
        <w:t>See Note 12 to the Consolidated Financial Statements contained in Part II, Item 8 of this Annual Report on Form 10-K for information regarding legal proceedings in which we are involved.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600"/>
          </w:cols>
          <w:pgMar w:left="820" w:top="1065" w:right="820" w:bottom="315" w:gutter="0" w:footer="0" w:header="0"/>
          <w:type w:val="continuous"/>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traded on The Nasdaq Global Select Market under the symbol “CECO.”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235"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20"/>
          <w:szCs w:val="20"/>
          <w:color w:val="auto"/>
        </w:rPr>
        <w:t>The following graph sets forth the cumulative total return to CECO’s stockholders during the five years ended December 31, 2022, as well as the following indices: Russell 2000 Index, Standard and Poor’s (“S&amp;P”) 600 Small Cap Industrial Machinery Index, and S&amp;P 500 Index. The following graph assumes $100 was invested on December 31, 2017,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6475730" cy="31222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extLst>
                    </a:blip>
                    <a:srcRect/>
                    <a:stretch>
                      <a:fillRect/>
                    </a:stretch>
                  </pic:blipFill>
                  <pic:spPr bwMode="auto">
                    <a:xfrm>
                      <a:off x="0" y="0"/>
                      <a:ext cx="6475730" cy="312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2022, 2021 or 2020 and currently intend to retain future earnings, if any, to finance the operations, growth and development of our business into the foreseeable future, or for other uses such as the continuation of our share repurchase program. Payment of dividends is also subject to the continuing compliance with our financial covenants under our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approximate number of registered stockholders of record of our common stock as of February 28, 2023 was 259, although there is a larger number of beneficial owners.</w:t>
      </w:r>
    </w:p>
    <w:p>
      <w:pPr>
        <w:sectPr>
          <w:pgSz w:w="12240" w:h="15840" w:orient="portrait"/>
          <w:cols w:equalWidth="0" w:num="1">
            <w:col w:w="10560"/>
          </w:cols>
          <w:pgMar w:left="820" w:top="1065" w:right="8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560"/>
          </w:cols>
          <w:pgMar w:left="820" w:top="1065" w:right="860" w:bottom="315"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provides information about our purchases of our equity securities for the quarter ended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Issuer's Purchases of Equity Securities</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40"/>
              <w:spacing w:after="0" w:line="153" w:lineRule="exact"/>
              <w:rPr>
                <w:sz w:val="20"/>
                <w:szCs w:val="20"/>
                <w:color w:val="auto"/>
              </w:rPr>
            </w:pPr>
            <w:r>
              <w:rPr>
                <w:rFonts w:ascii="Times New Roman" w:cs="Times New Roman" w:eastAsia="Times New Roman" w:hAnsi="Times New Roman"/>
                <w:sz w:val="16"/>
                <w:szCs w:val="16"/>
                <w:b w:val="1"/>
                <w:bCs w:val="1"/>
                <w:color w:val="auto"/>
                <w:w w:val="99"/>
              </w:rPr>
              <w:t>Approximate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5"/>
                <w:szCs w:val="15"/>
                <w:color w:val="auto"/>
              </w:rPr>
            </w:pPr>
          </w:p>
        </w:tc>
        <w:tc>
          <w:tcPr>
            <w:tcW w:w="13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7"/>
              </w:rPr>
              <w:t>Dollar Value of</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6"/>
              </w:rPr>
              <w:t>Shares That May</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Yet Be</w:t>
            </w: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Total Number of</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as Part of Publicly</w:t>
            </w:r>
          </w:p>
        </w:tc>
        <w:tc>
          <w:tcPr>
            <w:tcW w:w="220" w:type="dxa"/>
            <w:vAlign w:val="bottom"/>
          </w:tcPr>
          <w:p>
            <w:pPr>
              <w:spacing w:after="0"/>
              <w:rPr>
                <w:sz w:val="15"/>
                <w:szCs w:val="15"/>
                <w:color w:val="auto"/>
              </w:rPr>
            </w:pPr>
          </w:p>
        </w:tc>
        <w:tc>
          <w:tcPr>
            <w:tcW w:w="13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Purchased Under</w:t>
            </w:r>
          </w:p>
        </w:tc>
        <w:tc>
          <w:tcPr>
            <w:tcW w:w="0" w:type="dxa"/>
            <w:vAlign w:val="bottom"/>
          </w:tcPr>
          <w:p>
            <w:pPr>
              <w:spacing w:after="0"/>
              <w:rPr>
                <w:sz w:val="1"/>
                <w:szCs w:val="1"/>
                <w:color w:val="auto"/>
              </w:rPr>
            </w:pPr>
          </w:p>
        </w:tc>
      </w:tr>
      <w:tr>
        <w:trPr>
          <w:trHeight w:val="18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Period (amounts in thousands, except per share data)</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Announced Plans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the Plans or</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 xml:space="preserve">Shares Purchased </w:t>
            </w:r>
            <w:r>
              <w:rPr>
                <w:rFonts w:ascii="Times New Roman" w:cs="Times New Roman" w:eastAsia="Times New Roman" w:hAnsi="Times New Roman"/>
                <w:sz w:val="9"/>
                <w:szCs w:val="9"/>
                <w:b w:val="1"/>
                <w:bCs w:val="1"/>
                <w:color w:val="auto"/>
                <w:w w:val="97"/>
              </w:rPr>
              <w:t>1</w:t>
            </w:r>
          </w:p>
        </w:tc>
        <w:tc>
          <w:tcPr>
            <w:tcW w:w="200" w:type="dxa"/>
            <w:vAlign w:val="bottom"/>
          </w:tcPr>
          <w:p>
            <w:pPr>
              <w:spacing w:after="0"/>
              <w:rPr>
                <w:sz w:val="17"/>
                <w:szCs w:val="17"/>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Paid per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Programs</w:t>
            </w:r>
          </w:p>
        </w:tc>
        <w:tc>
          <w:tcPr>
            <w:tcW w:w="0" w:type="dxa"/>
            <w:vAlign w:val="bottom"/>
          </w:tcPr>
          <w:p>
            <w:pPr>
              <w:spacing w:after="0"/>
              <w:rPr>
                <w:sz w:val="1"/>
                <w:szCs w:val="1"/>
                <w:color w:val="auto"/>
              </w:rPr>
            </w:pPr>
          </w:p>
        </w:tc>
      </w:tr>
      <w:tr>
        <w:trPr>
          <w:trHeight w:val="215"/>
        </w:trPr>
        <w:tc>
          <w:tcPr>
            <w:tcW w:w="474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October 1, 2022 - October 31, 2022</w:t>
            </w:r>
          </w:p>
        </w:tc>
        <w:tc>
          <w:tcPr>
            <w:tcW w:w="120" w:type="dxa"/>
            <w:vAlign w:val="bottom"/>
            <w:tcBorders>
              <w:top w:val="single" w:sz="8" w:color="E6E6E6"/>
            </w:tcBorders>
            <w:shd w:val="clear" w:color="auto" w:fill="E6E6E6"/>
          </w:tcPr>
          <w:p>
            <w:pPr>
              <w:spacing w:after="0"/>
              <w:rPr>
                <w:sz w:val="18"/>
                <w:szCs w:val="18"/>
                <w:color w:val="auto"/>
              </w:rPr>
            </w:pPr>
          </w:p>
        </w:tc>
        <w:tc>
          <w:tcPr>
            <w:tcW w:w="13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51,257</w:t>
            </w:r>
          </w:p>
        </w:tc>
        <w:tc>
          <w:tcPr>
            <w:tcW w:w="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9.79</w:t>
            </w:r>
          </w:p>
        </w:tc>
        <w:tc>
          <w:tcPr>
            <w:tcW w:w="200" w:type="dxa"/>
            <w:vAlign w:val="bottom"/>
            <w:tcBorders>
              <w:top w:val="single" w:sz="8" w:color="E6E6E6"/>
            </w:tcBorders>
            <w:shd w:val="clear" w:color="auto" w:fill="E6E6E6"/>
          </w:tcPr>
          <w:p>
            <w:pPr>
              <w:spacing w:after="0"/>
              <w:rPr>
                <w:sz w:val="18"/>
                <w:szCs w:val="18"/>
                <w:color w:val="auto"/>
              </w:rPr>
            </w:pPr>
          </w:p>
        </w:tc>
        <w:tc>
          <w:tcPr>
            <w:tcW w:w="12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51,257</w:t>
            </w:r>
          </w:p>
        </w:tc>
        <w:tc>
          <w:tcPr>
            <w:tcW w:w="2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13,000</w:t>
            </w: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November 1, 2022 - November 30, 2022</w:t>
            </w:r>
          </w:p>
        </w:tc>
        <w:tc>
          <w:tcPr>
            <w:tcW w:w="120" w:type="dxa"/>
            <w:vAlign w:val="bottom"/>
          </w:tcPr>
          <w:p>
            <w:pPr>
              <w:spacing w:after="0"/>
              <w:rPr>
                <w:sz w:val="19"/>
                <w:szCs w:val="19"/>
                <w:color w:val="auto"/>
              </w:rPr>
            </w:pPr>
          </w:p>
        </w:tc>
        <w:tc>
          <w:tcPr>
            <w:tcW w:w="13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12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13,000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December 1, 2022 - December 31, 2022</w:t>
            </w:r>
          </w:p>
        </w:tc>
        <w:tc>
          <w:tcPr>
            <w:tcW w:w="1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08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13,000</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w:t>
            </w:r>
          </w:p>
        </w:tc>
        <w:tc>
          <w:tcPr>
            <w:tcW w:w="1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51,257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9.79</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51,257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60" w:firstLine="8"/>
        <w:spacing w:after="0" w:line="269" w:lineRule="auto"/>
        <w:tabs>
          <w:tab w:leader="none" w:pos="27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10, 2022, the Board of Directors authorized a $20.0 million share repurchase program as described within Note 9 to the Consolidated Financial Statements. The program expires on April 30,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600"/>
          </w:cols>
          <w:pgMar w:left="820" w:top="1065" w:right="820" w:bottom="315"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Overview</w:t>
      </w:r>
    </w:p>
    <w:p>
      <w:pPr>
        <w:spacing w:after="0" w:line="227"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CECO is a leading environmentally focused, diversified industrial company, serving the broad landscape of industrial air, industrial water and energy transition markets globally providing innovative technology and application expertise. We help companies grow their business with safe, clean, and more efficient solutions that help protect people, the environment and industrial equipment. Our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Industry Trends and Corporate Strategy</w:t>
      </w:r>
    </w:p>
    <w:p>
      <w:pPr>
        <w:spacing w:after="0" w:line="22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9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about corporate social responsibility and interest to procure equipment and solutions that protects employees, the environment and their industrial equipment.</w:t>
      </w:r>
    </w:p>
    <w:p>
      <w:pPr>
        <w:spacing w:after="0" w:line="1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value chain and believe expansion will drive growth within our Engineered Systems segment for our gas separation &amp; filtration, pressure products, acoustical equipment , water treatment solutions and DeNOx SCR systems for natural-gas-fired power plants. Increases in global natural gas, installed miles of new pipeline, including future CO2 and hydrogen pipelines, and liquified natural gas ("LNG") demand and supply all stand to drive the need for our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believe there is a growing demand to control and reduce air and water emissions from industrial facilities for which our pollution control equipment will serve. In 2021, the US Congress passed the Infrastructure Investment and Jobs Act with $550 billion of new federal spending aimed at rebuilding roads and bridges, climate resilience, and other environmental initiatives. Similar investments are being made in many other countries in which we do business. As industrial capital expenditures grow, corporations are seeking to do so with a smaller environmental impact. These regulatory and economic tailwinds coupled with shareholder pressure on companies to improve their sustainability and reduce their global carbon footprint serve as catalysts for a growing set of opportunities for our portfolio of equipment and solutions.</w:t>
      </w:r>
    </w:p>
    <w:p>
      <w:pPr>
        <w:spacing w:after="0" w:line="20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We continue to focus on increasing revenues and profitability in developing markets, where environmental awareness and associated regulatory standards are increasing, while continuing to strengthen and expand our product offerings and channels in our domestic market of the United States. Our enterprise strategy consists of a combined operational strategy and capital allocation strategy.</w:t>
      </w:r>
    </w:p>
    <w:p>
      <w:pPr>
        <w:sectPr>
          <w:pgSz w:w="12240" w:h="15840" w:orient="portrait"/>
          <w:cols w:equalWidth="0" w:num="1">
            <w:col w:w="10560"/>
          </w:cols>
          <w:pgMar w:left="820" w:top="1065" w:right="8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560"/>
          </w:cols>
          <w:pgMar w:left="820" w:top="1065" w:right="860" w:bottom="315" w:gutter="0" w:footer="0" w:header="0"/>
          <w:type w:val="continuous"/>
        </w:sectPr>
      </w:pPr>
    </w:p>
    <w:bookmarkStart w:id="39" w:name="page40"/>
    <w:bookmarkEnd w:id="39"/>
    <w:p>
      <w:pPr>
        <w:ind w:right="80"/>
        <w:spacing w:after="0" w:line="246" w:lineRule="auto"/>
        <w:rPr>
          <w:sz w:val="20"/>
          <w:szCs w:val="20"/>
          <w:color w:val="auto"/>
        </w:rPr>
      </w:pPr>
      <w:r>
        <w:rPr>
          <w:rFonts w:ascii="Times New Roman" w:cs="Times New Roman" w:eastAsia="Times New Roman" w:hAnsi="Times New Roman"/>
          <w:sz w:val="20"/>
          <w:szCs w:val="20"/>
          <w:color w:val="auto"/>
        </w:rPr>
        <w:t>Our operational strategy is implemented through our technology and application-based platforms aligned around target customers and end markets where our solutions are particularly valuable. Core elements of our operational strategy are commercial and operational excellence, margin expansion, recurring revenue growth, cash flow generation, product management, and project management execution.</w:t>
      </w:r>
    </w:p>
    <w:p>
      <w:pPr>
        <w:spacing w:after="0" w:line="19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capital allocation strategy supports the growth and value creation generated by our operational strategy. We will focus our capital deployment on building out our leading industrial air solutions portfolio, advancing our emerging industrial water treatment position, and supporting our customers as they make the transition to cleaner more sustainable forms of energy, while also shifting our portfolio mix towards businesses with more recurring revenue and more predictable cash flows, strong secular growth trends and less cyclicality.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 Pressures</w:t>
      </w:r>
    </w:p>
    <w:p>
      <w:pPr>
        <w:spacing w:after="0" w:line="2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The senior management team monitors and manages the Company’s ability to operate effectively as the result of market pressures, including lingering impacts of the coronavirus pandemic. In particular,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 Overview</w:t>
      </w:r>
    </w:p>
    <w:p>
      <w:pPr>
        <w:spacing w:after="0" w:line="23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operate our platforms serving their respective niche end markets. Our platforms are structured to win in their target markets with a core focus on understanding customer needs and providing best-in-class solutions. Our business model provides scalable efficiencies enabling us to serve our customers with a variety of products that we typically classify into three categories: make-to-order, configure-to-order, and engineer-to-order. For our project-based platforms, we use an asset light business model leveraging third-party subcontract fabrication partners in a global network to execute for our customers world-wide. Our platforms are focused on sales, application engineering, product management, project management, and supply chain execution for our customers.</w:t>
      </w:r>
    </w:p>
    <w:p>
      <w:pPr>
        <w:spacing w:after="0" w:line="19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Our operations management team has distinct industry expertise coupled with strong leadership skills resulting in a customer-first mindset across the business. Our operations management team works closely with our Chief Executive Officer and Chief Operating Officer on global fulfillment strategies, operational excellence, resource allocation, and employee development.</w:t>
      </w:r>
    </w:p>
    <w:p>
      <w:pPr>
        <w:spacing w:after="0" w:line="18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Within our segments we have monthly business reviews to ensure we are serving customers, achieving our operating plan, and executing on strategic growth initiatives. These reviews include, but are not limited to pipeline reviews, quotation reviews, project management reviews, financial performance, manufacturing scorecards, safety, and customer feedback. In these reviews we focus on metrics such as quality, customer satisfaction, on-time-delivery, lead-times, price, inflation, project margins, backlog, and above all, safety.</w:t>
      </w:r>
    </w:p>
    <w:p>
      <w:pPr>
        <w:spacing w:after="0" w:line="198"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In support of the platforms, centralized teams provide back-office functions for scale, efficiency, and compliance. These key functions include: accounting, treasury, tax, payroll, benefits management, legal, information technology, marketing, and internal control over financial reporting. We have excellent collaboration between our platforms and our centralized service teams ensuring optimal efficiency and alignment on growth and improvement initiatives.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reportable segments are:</w:t>
      </w:r>
    </w:p>
    <w:p>
      <w:pPr>
        <w:spacing w:after="0" w:line="241" w:lineRule="exact"/>
        <w:rPr>
          <w:sz w:val="20"/>
          <w:szCs w:val="20"/>
          <w:color w:val="auto"/>
        </w:rPr>
      </w:pPr>
    </w:p>
    <w:p>
      <w:pPr>
        <w:ind w:left="720" w:right="60" w:hanging="359"/>
        <w:spacing w:after="0" w:line="241" w:lineRule="auto"/>
        <w:tabs>
          <w:tab w:leader="none" w:pos="72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Engineered Systems segment: </w:t>
      </w:r>
      <w:r>
        <w:rPr>
          <w:rFonts w:ascii="Times New Roman" w:cs="Times New Roman" w:eastAsia="Times New Roman" w:hAnsi="Times New Roman"/>
          <w:sz w:val="20"/>
          <w:szCs w:val="20"/>
          <w:color w:val="auto"/>
        </w:rPr>
        <w:t>Our Engineered Systems segment serves the power generation, hydrocarbon processing,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water/wastewater treatment, oily water separation and treatment, marine and naval vessels, and midstream oil &amp; gas sectors. We are a key part of helping meet the global demand for environmental and equipment protection solutions with our highly engineered platforms including emissions control, fluid bed cyclones, thermal acoustics, separation &amp; filtration, and dampers &amp; expansion joints.</w:t>
      </w:r>
    </w:p>
    <w:p>
      <w:pPr>
        <w:spacing w:after="0" w:line="208" w:lineRule="exact"/>
        <w:rPr>
          <w:rFonts w:ascii="PMingLiU" w:cs="PMingLiU" w:eastAsia="PMingLiU" w:hAnsi="PMingLiU"/>
          <w:sz w:val="20"/>
          <w:szCs w:val="20"/>
          <w:color w:val="auto"/>
        </w:rPr>
      </w:pPr>
    </w:p>
    <w:p>
      <w:pPr>
        <w:ind w:left="720" w:hanging="359"/>
        <w:spacing w:after="0" w:line="257" w:lineRule="auto"/>
        <w:tabs>
          <w:tab w:leader="none" w:pos="720" w:val="left"/>
        </w:tabs>
        <w:numPr>
          <w:ilvl w:val="0"/>
          <w:numId w:val="19"/>
        </w:numPr>
        <w:rPr>
          <w:rFonts w:ascii="PMingLiU" w:cs="PMingLiU" w:eastAsia="PMingLiU" w:hAnsi="PMingLiU"/>
          <w:sz w:val="19"/>
          <w:szCs w:val="19"/>
          <w:color w:val="auto"/>
        </w:rPr>
      </w:pPr>
      <w:r>
        <w:rPr>
          <w:rFonts w:ascii="Times New Roman" w:cs="Times New Roman" w:eastAsia="Times New Roman" w:hAnsi="Times New Roman"/>
          <w:sz w:val="19"/>
          <w:szCs w:val="19"/>
          <w:b w:val="1"/>
          <w:bCs w:val="1"/>
          <w:color w:val="auto"/>
        </w:rPr>
        <w:t xml:space="preserve">Industrial Solutions segment: </w:t>
      </w:r>
      <w:r>
        <w:rPr>
          <w:rFonts w:ascii="Times New Roman" w:cs="Times New Roman" w:eastAsia="Times New Roman" w:hAnsi="Times New Roman"/>
          <w:sz w:val="19"/>
          <w:szCs w:val="19"/>
          <w:color w:val="auto"/>
        </w:rPr>
        <w:t>Our Industrial Process Solutions segment serves the broad industrial sector with solutions for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For Industrial Air applications, we assist companies maintain clean and safe operations for employees, reduce energy consumption, minimize waste for</w:t>
      </w:r>
    </w:p>
    <w:p>
      <w:pPr>
        <w:sectPr>
          <w:pgSz w:w="12240" w:h="15840" w:orient="portrait"/>
          <w:cols w:equalWidth="0" w:num="1">
            <w:col w:w="10580"/>
          </w:cols>
          <w:pgMar w:left="820" w:top="1069"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580"/>
          </w:cols>
          <w:pgMar w:left="820" w:top="1069" w:right="840" w:bottom="315" w:gutter="0" w:footer="0" w:header="0"/>
          <w:type w:val="continuous"/>
        </w:sectPr>
      </w:pPr>
    </w:p>
    <w:bookmarkStart w:id="40" w:name="page41"/>
    <w:bookmarkEnd w:id="40"/>
    <w:p>
      <w:pPr>
        <w:ind w:left="720" w:right="460"/>
        <w:spacing w:after="0" w:line="269" w:lineRule="auto"/>
        <w:rPr>
          <w:sz w:val="20"/>
          <w:szCs w:val="20"/>
          <w:color w:val="auto"/>
        </w:rPr>
      </w:pPr>
      <w:r>
        <w:rPr>
          <w:rFonts w:ascii="Times New Roman" w:cs="Times New Roman" w:eastAsia="Times New Roman" w:hAnsi="Times New Roman"/>
          <w:sz w:val="20"/>
          <w:szCs w:val="20"/>
          <w:color w:val="auto"/>
        </w:rPr>
        <w:t>customers, and ensure they meet regulatory standards for toxic emissions, fumes, volatile organic compounds, and odor elimination through our platforms including duct fabrication &amp; installation, industrial air, and fluid handling.</w:t>
      </w:r>
    </w:p>
    <w:p>
      <w:pPr>
        <w:spacing w:after="0" w:line="17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cost of sales is principally driven by a number of factors, including material and subcontract prices and labor cost and availability.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these factors may have a material impact on our overall gross profit margins.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break down costs of sales into five categories. They are:</w:t>
      </w:r>
    </w:p>
    <w:p>
      <w:pPr>
        <w:spacing w:after="0" w:line="245" w:lineRule="exact"/>
        <w:rPr>
          <w:sz w:val="20"/>
          <w:szCs w:val="20"/>
          <w:color w:val="auto"/>
        </w:rPr>
      </w:pPr>
    </w:p>
    <w:p>
      <w:pPr>
        <w:ind w:left="720" w:hanging="359"/>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Subcontracts—Electrical work, concrete work, subcomponents and other subcontracts necessary to produce our products;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Labor—Our direct labor both in the shop and in the field;</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Material—Raw material that we buy to build our products;</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Equipment—Fans, motors, control panels and other equipment necessary for turnkey systems; and</w:t>
      </w:r>
    </w:p>
    <w:p>
      <w:pPr>
        <w:spacing w:after="0" w:line="113" w:lineRule="exact"/>
        <w:rPr>
          <w:rFonts w:ascii="PMingLiU" w:cs="PMingLiU" w:eastAsia="PMingLiU" w:hAnsi="PMingLiU"/>
          <w:sz w:val="20"/>
          <w:szCs w:val="20"/>
          <w:color w:val="auto"/>
        </w:rPr>
      </w:pPr>
    </w:p>
    <w:p>
      <w:pPr>
        <w:ind w:left="720" w:hanging="359"/>
        <w:spacing w:after="0"/>
        <w:tabs>
          <w:tab w:leader="none" w:pos="72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Factory overhead—Costs of facilities and supervision wages necessary to produce our products.</w:t>
      </w:r>
    </w:p>
    <w:p>
      <w:pPr>
        <w:spacing w:after="0" w:line="21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fast, which also reduces gross margin percentage. As material cost inflation occurs, the Company seeks to pass this cost onto our customers as price increases.</w:t>
      </w:r>
    </w:p>
    <w:p>
      <w:pPr>
        <w:spacing w:after="0" w:line="203"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An advantage of our asset light model is that as revenue grows, we have significant operating leverage on our fixed selling and administrative cost structure.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Regarding Use of Non-GAAP Financial Measures</w:t>
      </w:r>
    </w:p>
    <w:p>
      <w:pPr>
        <w:spacing w:after="0" w:line="235"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8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As a result, the Company provides financial information in this MD&amp;A that was not prepared in accordance with GAAP and should not be considered as an alternative to the information prepared in accordance with GAAP. The Company provides this supplemental non-GAAP financial information, which the Company’s management utilizes to evaluate its ongoing financial performance, and which the Company believes provides greater transparency to investors as supplemental information to its GAAP results.</w:t>
      </w:r>
    </w:p>
    <w:p>
      <w:pPr>
        <w:spacing w:after="0" w:line="1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generated substantial income associated with acquisitions and divestitures. While the Company cannot predict the exact timing or amounts of such charges, it does expect to treat these charges as special items in its future presentation of non-GAAP results.</w:t>
      </w:r>
    </w:p>
    <w:p>
      <w:pPr>
        <w:sectPr>
          <w:pgSz w:w="12240" w:h="15840" w:orient="portrait"/>
          <w:cols w:equalWidth="0" w:num="1">
            <w:col w:w="10560"/>
          </w:cols>
          <w:pgMar w:left="820" w:top="1069" w:right="8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560"/>
          </w:cols>
          <w:pgMar w:left="820" w:top="1069" w:right="860" w:bottom="315"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consolidated statements of income for the years ended December 31, 2022, 2021 and 2020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780" w:type="dxa"/>
            <w:vAlign w:val="bottom"/>
            <w:tcBorders>
              <w:bottom w:val="single" w:sz="8" w:color="E6E6E6"/>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3"/>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6E6E6"/>
            </w:tcBorders>
          </w:tcPr>
          <w:p>
            <w:pPr>
              <w:spacing w:after="0"/>
              <w:rPr>
                <w:sz w:val="14"/>
                <w:szCs w:val="14"/>
                <w:color w:val="auto"/>
              </w:rPr>
            </w:pPr>
          </w:p>
        </w:tc>
        <w:tc>
          <w:tcPr>
            <w:tcW w:w="6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3"/>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3"/>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sales</w:t>
            </w: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422.6</w:t>
            </w:r>
          </w:p>
        </w:tc>
        <w:tc>
          <w:tcPr>
            <w:tcW w:w="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324.1</w:t>
            </w:r>
          </w:p>
        </w:tc>
        <w:tc>
          <w:tcPr>
            <w:tcW w:w="28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316.0</w:t>
            </w: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294.4</w:t>
            </w:r>
          </w:p>
        </w:tc>
        <w:tc>
          <w:tcPr>
            <w:tcW w:w="22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223.2</w:t>
            </w:r>
          </w:p>
        </w:tc>
        <w:tc>
          <w:tcPr>
            <w:tcW w:w="28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210.9</w:t>
            </w:r>
          </w:p>
        </w:tc>
        <w:tc>
          <w:tcPr>
            <w:tcW w:w="18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128.2</w:t>
            </w:r>
          </w:p>
        </w:tc>
        <w:tc>
          <w:tcPr>
            <w:tcW w:w="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100.9</w:t>
            </w:r>
          </w:p>
        </w:tc>
        <w:tc>
          <w:tcPr>
            <w:tcW w:w="28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105.1</w:t>
            </w: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i w:val="1"/>
                <w:iCs w:val="1"/>
                <w:color w:val="auto"/>
              </w:rPr>
              <w:t>Percent of sales</w:t>
            </w:r>
          </w:p>
        </w:tc>
        <w:tc>
          <w:tcPr>
            <w:tcW w:w="320" w:type="dxa"/>
            <w:vAlign w:val="bottom"/>
          </w:tcPr>
          <w:p>
            <w:pPr>
              <w:spacing w:after="0"/>
              <w:rPr>
                <w:sz w:val="19"/>
                <w:szCs w:val="19"/>
                <w:color w:val="auto"/>
              </w:rPr>
            </w:pPr>
          </w:p>
        </w:tc>
        <w:tc>
          <w:tcPr>
            <w:tcW w:w="12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30.3%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i w:val="1"/>
                <w:iCs w:val="1"/>
                <w:color w:val="auto"/>
              </w:rPr>
              <w:t>31.1%</w:t>
            </w:r>
          </w:p>
        </w:tc>
        <w:tc>
          <w:tcPr>
            <w:tcW w:w="320" w:type="dxa"/>
            <w:vAlign w:val="bottom"/>
          </w:tcPr>
          <w:p>
            <w:pPr>
              <w:spacing w:after="0"/>
              <w:rPr>
                <w:sz w:val="19"/>
                <w:szCs w:val="19"/>
                <w:color w:val="auto"/>
              </w:rPr>
            </w:pPr>
          </w:p>
        </w:tc>
        <w:tc>
          <w:tcPr>
            <w:tcW w:w="12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33.3%</w:t>
            </w:r>
          </w:p>
        </w:tc>
        <w:tc>
          <w:tcPr>
            <w:tcW w:w="0" w:type="dxa"/>
            <w:vAlign w:val="bottom"/>
          </w:tcPr>
          <w:p>
            <w:pPr>
              <w:spacing w:after="0"/>
              <w:rPr>
                <w:sz w:val="1"/>
                <w:szCs w:val="1"/>
                <w:color w:val="auto"/>
              </w:rPr>
            </w:pPr>
          </w:p>
        </w:tc>
      </w:tr>
      <w:tr>
        <w:trPr>
          <w:trHeight w:val="225"/>
        </w:trPr>
        <w:tc>
          <w:tcPr>
            <w:tcW w:w="57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Selling and administrative expenses</w:t>
            </w:r>
          </w:p>
        </w:tc>
        <w:tc>
          <w:tcPr>
            <w:tcW w:w="320" w:type="dxa"/>
            <w:vAlign w:val="bottom"/>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93.4</w:t>
            </w:r>
          </w:p>
        </w:tc>
        <w:tc>
          <w:tcPr>
            <w:tcW w:w="220" w:type="dxa"/>
            <w:vAlign w:val="bottom"/>
            <w:shd w:val="clear" w:color="auto" w:fill="E6E6E6"/>
          </w:tcPr>
          <w:p>
            <w:pPr>
              <w:spacing w:after="0"/>
              <w:rPr>
                <w:sz w:val="19"/>
                <w:szCs w:val="19"/>
                <w:color w:val="auto"/>
              </w:rPr>
            </w:pPr>
          </w:p>
        </w:tc>
        <w:tc>
          <w:tcPr>
            <w:tcW w:w="380" w:type="dxa"/>
            <w:vAlign w:val="bottom"/>
            <w:gridSpan w:val="2"/>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81.8</w:t>
            </w:r>
          </w:p>
        </w:tc>
        <w:tc>
          <w:tcPr>
            <w:tcW w:w="280" w:type="dxa"/>
            <w:vAlign w:val="bottom"/>
            <w:shd w:val="clear" w:color="auto" w:fill="E6E6E6"/>
          </w:tcPr>
          <w:p>
            <w:pPr>
              <w:spacing w:after="0"/>
              <w:rPr>
                <w:sz w:val="19"/>
                <w:szCs w:val="19"/>
                <w:color w:val="auto"/>
              </w:rPr>
            </w:pPr>
          </w:p>
        </w:tc>
        <w:tc>
          <w:tcPr>
            <w:tcW w:w="320" w:type="dxa"/>
            <w:vAlign w:val="bottom"/>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76.9</w:t>
            </w:r>
          </w:p>
        </w:tc>
        <w:tc>
          <w:tcPr>
            <w:tcW w:w="0" w:type="dxa"/>
            <w:vAlign w:val="bottom"/>
          </w:tcPr>
          <w:p>
            <w:pPr>
              <w:spacing w:after="0"/>
              <w:rPr>
                <w:sz w:val="1"/>
                <w:szCs w:val="1"/>
                <w:color w:val="auto"/>
              </w:rPr>
            </w:pPr>
          </w:p>
        </w:tc>
      </w:tr>
      <w:tr>
        <w:trPr>
          <w:trHeight w:val="225"/>
        </w:trPr>
        <w:tc>
          <w:tcPr>
            <w:tcW w:w="57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i w:val="1"/>
                <w:iCs w:val="1"/>
                <w:color w:val="auto"/>
              </w:rPr>
              <w:t>Percent of sales</w:t>
            </w:r>
          </w:p>
        </w:tc>
        <w:tc>
          <w:tcPr>
            <w:tcW w:w="320" w:type="dxa"/>
            <w:vAlign w:val="bottom"/>
          </w:tcPr>
          <w:p>
            <w:pPr>
              <w:spacing w:after="0"/>
              <w:rPr>
                <w:sz w:val="19"/>
                <w:szCs w:val="19"/>
                <w:color w:val="auto"/>
              </w:rPr>
            </w:pPr>
          </w:p>
        </w:tc>
        <w:tc>
          <w:tcPr>
            <w:tcW w:w="126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22.1%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i w:val="1"/>
                <w:iCs w:val="1"/>
                <w:color w:val="auto"/>
              </w:rPr>
              <w:t>25.2%</w:t>
            </w:r>
          </w:p>
        </w:tc>
        <w:tc>
          <w:tcPr>
            <w:tcW w:w="320" w:type="dxa"/>
            <w:vAlign w:val="bottom"/>
          </w:tcPr>
          <w:p>
            <w:pPr>
              <w:spacing w:after="0"/>
              <w:rPr>
                <w:sz w:val="19"/>
                <w:szCs w:val="19"/>
                <w:color w:val="auto"/>
              </w:rPr>
            </w:pPr>
          </w:p>
        </w:tc>
        <w:tc>
          <w:tcPr>
            <w:tcW w:w="12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24.3%</w:t>
            </w:r>
          </w:p>
        </w:tc>
        <w:tc>
          <w:tcPr>
            <w:tcW w:w="0" w:type="dxa"/>
            <w:vAlign w:val="bottom"/>
          </w:tcPr>
          <w:p>
            <w:pPr>
              <w:spacing w:after="0"/>
              <w:rPr>
                <w:sz w:val="1"/>
                <w:szCs w:val="1"/>
                <w:color w:val="auto"/>
              </w:rPr>
            </w:pPr>
          </w:p>
        </w:tc>
      </w:tr>
      <w:tr>
        <w:trPr>
          <w:trHeight w:val="225"/>
        </w:trPr>
        <w:tc>
          <w:tcPr>
            <w:tcW w:w="57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Amortization and earnout expenses</w:t>
            </w:r>
          </w:p>
        </w:tc>
        <w:tc>
          <w:tcPr>
            <w:tcW w:w="32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6.8</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7.8</w:t>
            </w:r>
          </w:p>
        </w:tc>
        <w:tc>
          <w:tcPr>
            <w:tcW w:w="2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5"/>
        </w:trPr>
        <w:tc>
          <w:tcPr>
            <w:tcW w:w="57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Acquisition and integration expenses</w:t>
            </w:r>
          </w:p>
        </w:tc>
        <w:tc>
          <w:tcPr>
            <w:tcW w:w="3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0.8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25"/>
        </w:trPr>
        <w:tc>
          <w:tcPr>
            <w:tcW w:w="57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Executive transition expenses</w:t>
            </w:r>
          </w:p>
        </w:tc>
        <w:tc>
          <w:tcPr>
            <w:tcW w:w="32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28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25"/>
        </w:trPr>
        <w:tc>
          <w:tcPr>
            <w:tcW w:w="57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Restructuring expenses</w:t>
            </w:r>
          </w:p>
        </w:tc>
        <w:tc>
          <w:tcPr>
            <w:tcW w:w="3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0.6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25"/>
        </w:trPr>
        <w:tc>
          <w:tcPr>
            <w:tcW w:w="57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asset impairment</w:t>
            </w:r>
          </w:p>
        </w:tc>
        <w:tc>
          <w:tcPr>
            <w:tcW w:w="32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28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15"/>
        </w:trPr>
        <w:tc>
          <w:tcPr>
            <w:tcW w:w="57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Operating income</w:t>
            </w:r>
          </w:p>
        </w:tc>
        <w:tc>
          <w:tcPr>
            <w:tcW w:w="320" w:type="dxa"/>
            <w:vAlign w:val="bottom"/>
            <w:tcBorders>
              <w:top w:val="single" w:sz="8" w:color="auto"/>
            </w:tcBorders>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9.9</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i w:val="1"/>
                <w:iCs w:val="1"/>
                <w:color w:val="auto"/>
              </w:rPr>
              <w:t>Percent of sales</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5.3%</w:t>
            </w:r>
          </w:p>
        </w:tc>
        <w:tc>
          <w:tcPr>
            <w:tcW w:w="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i w:val="1"/>
                <w:iCs w:val="1"/>
                <w:color w:val="auto"/>
              </w:rPr>
              <w:t>3.1%</w:t>
            </w: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4.2%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Measures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To compare operating performance between the years ended December 31, 2022, 2021 and 2020,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(4) executive transition expenses, including severance for the Company's former executives, fees and expenses incurred in the search, for and hiring, of new executives and (5) intangible asset impairment.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100" w:type="dxa"/>
            <w:vAlign w:val="bottom"/>
            <w:tcBorders>
              <w:bottom w:val="single" w:sz="8" w:color="E6E6E6"/>
            </w:tcBorders>
            <w:vMerge w:val="continue"/>
          </w:tcPr>
          <w:p>
            <w:pPr>
              <w:spacing w:after="0"/>
              <w:rPr>
                <w:sz w:val="14"/>
                <w:szCs w:val="14"/>
                <w:color w:val="auto"/>
              </w:rPr>
            </w:pPr>
          </w:p>
        </w:tc>
        <w:tc>
          <w:tcPr>
            <w:tcW w:w="660" w:type="dxa"/>
            <w:vAlign w:val="bottom"/>
            <w:tcBorders>
              <w:bottom w:val="single" w:sz="8" w:color="E6E6E6"/>
            </w:tcBorders>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24"/>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6E6E6"/>
            </w:tcBorders>
          </w:tcPr>
          <w:p>
            <w:pPr>
              <w:spacing w:after="0"/>
              <w:rPr>
                <w:sz w:val="14"/>
                <w:szCs w:val="14"/>
                <w:color w:val="auto"/>
              </w:rPr>
            </w:pPr>
          </w:p>
        </w:tc>
        <w:tc>
          <w:tcPr>
            <w:tcW w:w="60" w:type="dxa"/>
            <w:vAlign w:val="bottom"/>
            <w:tcBorders>
              <w:bottom w:val="single" w:sz="8" w:color="E6E6E6"/>
            </w:tcBorders>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24"/>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E6E6E6"/>
            </w:tcBorders>
          </w:tcPr>
          <w:p>
            <w:pPr>
              <w:spacing w:after="0"/>
              <w:rPr>
                <w:sz w:val="14"/>
                <w:szCs w:val="14"/>
                <w:color w:val="auto"/>
              </w:rPr>
            </w:pPr>
          </w:p>
        </w:tc>
        <w:tc>
          <w:tcPr>
            <w:tcW w:w="40" w:type="dxa"/>
            <w:vAlign w:val="bottom"/>
            <w:tcBorders>
              <w:bottom w:val="single" w:sz="8" w:color="E6E6E6"/>
            </w:tcBorders>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20"/>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Operating income as reported in accordance with GAAP</w:t>
            </w:r>
          </w:p>
        </w:tc>
        <w:tc>
          <w:tcPr>
            <w:tcW w:w="6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22.2</w:t>
            </w:r>
          </w:p>
        </w:tc>
        <w:tc>
          <w:tcPr>
            <w:tcW w:w="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9.9</w:t>
            </w:r>
          </w:p>
        </w:tc>
        <w:tc>
          <w:tcPr>
            <w:tcW w:w="2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E6E6E6"/>
          </w:tcPr>
          <w:p>
            <w:pPr>
              <w:ind w:left="700"/>
              <w:spacing w:after="0" w:line="215" w:lineRule="exact"/>
              <w:rPr>
                <w:sz w:val="20"/>
                <w:szCs w:val="20"/>
                <w:color w:val="auto"/>
              </w:rPr>
            </w:pPr>
            <w:r>
              <w:rPr>
                <w:rFonts w:ascii="Times New Roman" w:cs="Times New Roman" w:eastAsia="Times New Roman" w:hAnsi="Times New Roman"/>
                <w:sz w:val="20"/>
                <w:szCs w:val="20"/>
                <w:color w:val="auto"/>
                <w:w w:val="91"/>
              </w:rPr>
              <w:t>13.3</w:t>
            </w: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i w:val="1"/>
                <w:iCs w:val="1"/>
                <w:color w:val="auto"/>
              </w:rPr>
              <w:t>Operating margin in accordance with GAAP</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80"/>
              <w:spacing w:after="0" w:line="226" w:lineRule="exact"/>
              <w:rPr>
                <w:sz w:val="20"/>
                <w:szCs w:val="20"/>
                <w:color w:val="auto"/>
              </w:rPr>
            </w:pPr>
            <w:r>
              <w:rPr>
                <w:rFonts w:ascii="Times New Roman" w:cs="Times New Roman" w:eastAsia="Times New Roman" w:hAnsi="Times New Roman"/>
                <w:sz w:val="20"/>
                <w:szCs w:val="20"/>
                <w:i w:val="1"/>
                <w:iCs w:val="1"/>
                <w:color w:val="auto"/>
              </w:rPr>
              <w:t>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00"/>
              <w:spacing w:after="0" w:line="226" w:lineRule="exact"/>
              <w:rPr>
                <w:sz w:val="20"/>
                <w:szCs w:val="20"/>
                <w:color w:val="auto"/>
              </w:rPr>
            </w:pPr>
            <w:r>
              <w:rPr>
                <w:rFonts w:ascii="Times New Roman" w:cs="Times New Roman" w:eastAsia="Times New Roman" w:hAnsi="Times New Roman"/>
                <w:sz w:val="20"/>
                <w:szCs w:val="20"/>
                <w:i w:val="1"/>
                <w:iCs w:val="1"/>
                <w:color w:val="auto"/>
                <w:w w:val="95"/>
              </w:rPr>
              <w:t>4.2%</w:t>
            </w: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Amortization and earnout expenses</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6.8</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7.8</w:t>
            </w:r>
          </w:p>
        </w:tc>
        <w:tc>
          <w:tcPr>
            <w:tcW w:w="2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Acquisition and integration expenses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0.8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00"/>
              <w:spacing w:after="0" w:line="226"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Executive transition expenses</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80" w:type="dxa"/>
            <w:vAlign w:val="bottom"/>
            <w:gridSpan w:val="3"/>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Restructuring expenses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0.1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0.6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00"/>
              <w:spacing w:after="0" w:line="226"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Intangible asset impairment</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80" w:type="dxa"/>
            <w:vAlign w:val="bottom"/>
            <w:gridSpan w:val="3"/>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15"/>
        </w:trPr>
        <w:tc>
          <w:tcPr>
            <w:tcW w:w="51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Non-GAAP operating income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34.8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top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19.1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ind w:left="700"/>
              <w:spacing w:after="0" w:line="215" w:lineRule="exact"/>
              <w:rPr>
                <w:sz w:val="20"/>
                <w:szCs w:val="20"/>
                <w:color w:val="auto"/>
              </w:rPr>
            </w:pPr>
            <w:r>
              <w:rPr>
                <w:rFonts w:ascii="Times New Roman" w:cs="Times New Roman" w:eastAsia="Times New Roman" w:hAnsi="Times New Roman"/>
                <w:sz w:val="20"/>
                <w:szCs w:val="20"/>
                <w:color w:val="auto"/>
                <w:w w:val="91"/>
              </w:rPr>
              <w:t>28.2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i w:val="1"/>
                <w:iCs w:val="1"/>
                <w:color w:val="auto"/>
              </w:rPr>
              <w:t>Non-GAAP operating margin</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i w:val="1"/>
                <w:iCs w:val="1"/>
                <w:color w:val="auto"/>
              </w:rPr>
              <w:t>8.2%</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80" w:type="dxa"/>
            <w:vAlign w:val="bottom"/>
            <w:gridSpan w:val="3"/>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i w:val="1"/>
                <w:iCs w:val="1"/>
                <w:color w:val="auto"/>
              </w:rPr>
              <w:t>5.9%</w:t>
            </w: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i w:val="1"/>
                <w:iCs w:val="1"/>
                <w:color w:val="auto"/>
                <w:w w:val="95"/>
              </w:rPr>
              <w:t>8.9%</w:t>
            </w:r>
          </w:p>
        </w:tc>
        <w:tc>
          <w:tcPr>
            <w:tcW w:w="0" w:type="dxa"/>
            <w:vAlign w:val="bottom"/>
          </w:tcPr>
          <w:p>
            <w:pPr>
              <w:spacing w:after="0"/>
              <w:rPr>
                <w:sz w:val="1"/>
                <w:szCs w:val="1"/>
                <w:color w:val="auto"/>
              </w:rPr>
            </w:pPr>
          </w:p>
        </w:tc>
      </w:tr>
      <w:tr>
        <w:trPr>
          <w:trHeight w:val="406"/>
        </w:trPr>
        <w:tc>
          <w:tcPr>
            <w:tcW w:w="5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100" w:type="dxa"/>
            <w:vAlign w:val="bottom"/>
            <w:tcBorders>
              <w:bottom w:val="single" w:sz="8" w:color="E6E6E6"/>
            </w:tcBorders>
            <w:vMerge w:val="continue"/>
          </w:tcPr>
          <w:p>
            <w:pPr>
              <w:spacing w:after="0"/>
              <w:rPr>
                <w:sz w:val="14"/>
                <w:szCs w:val="14"/>
                <w:color w:val="auto"/>
              </w:rPr>
            </w:pPr>
          </w:p>
        </w:tc>
        <w:tc>
          <w:tcPr>
            <w:tcW w:w="660" w:type="dxa"/>
            <w:vAlign w:val="bottom"/>
            <w:tcBorders>
              <w:bottom w:val="single" w:sz="8" w:color="E6E6E6"/>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4"/>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E6E6E6"/>
            </w:tcBorders>
          </w:tcPr>
          <w:p>
            <w:pPr>
              <w:spacing w:after="0"/>
              <w:rPr>
                <w:sz w:val="14"/>
                <w:szCs w:val="14"/>
                <w:color w:val="auto"/>
              </w:rPr>
            </w:pPr>
          </w:p>
        </w:tc>
        <w:tc>
          <w:tcPr>
            <w:tcW w:w="60" w:type="dxa"/>
            <w:vAlign w:val="bottom"/>
            <w:tcBorders>
              <w:bottom w:val="single" w:sz="8" w:color="E6E6E6"/>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24"/>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Borders>
              <w:bottom w:val="single" w:sz="8" w:color="E6E6E6"/>
            </w:tcBorders>
          </w:tcPr>
          <w:p>
            <w:pPr>
              <w:spacing w:after="0"/>
              <w:rPr>
                <w:sz w:val="14"/>
                <w:szCs w:val="14"/>
                <w:color w:val="auto"/>
              </w:rPr>
            </w:pPr>
          </w:p>
        </w:tc>
        <w:tc>
          <w:tcPr>
            <w:tcW w:w="220" w:type="dxa"/>
            <w:vAlign w:val="bottom"/>
            <w:tcBorders>
              <w:bottom w:val="single" w:sz="8" w:color="E6E6E6"/>
            </w:tcBorders>
          </w:tcPr>
          <w:p>
            <w:pPr>
              <w:spacing w:after="0"/>
              <w:rPr>
                <w:sz w:val="14"/>
                <w:szCs w:val="14"/>
                <w:color w:val="auto"/>
              </w:rPr>
            </w:pPr>
          </w:p>
        </w:tc>
        <w:tc>
          <w:tcPr>
            <w:tcW w:w="40" w:type="dxa"/>
            <w:vAlign w:val="bottom"/>
            <w:tcBorders>
              <w:bottom w:val="single" w:sz="8" w:color="E6E6E6"/>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200"/>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income as reported in accordance with GAAP</w:t>
            </w:r>
          </w:p>
        </w:tc>
        <w:tc>
          <w:tcPr>
            <w:tcW w:w="660" w:type="dxa"/>
            <w:vAlign w:val="bottom"/>
            <w:shd w:val="clear" w:color="auto" w:fill="E6E6E6"/>
          </w:tcPr>
          <w:p>
            <w:pPr>
              <w:spacing w:after="0"/>
              <w:rPr>
                <w:sz w:val="18"/>
                <w:szCs w:val="18"/>
                <w:color w:val="auto"/>
              </w:rPr>
            </w:pPr>
          </w:p>
        </w:tc>
        <w:tc>
          <w:tcPr>
            <w:tcW w:w="320" w:type="dxa"/>
            <w:vAlign w:val="bottom"/>
            <w:gridSpan w:val="2"/>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17.4</w:t>
            </w:r>
          </w:p>
        </w:tc>
        <w:tc>
          <w:tcPr>
            <w:tcW w:w="22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320" w:type="dxa"/>
            <w:vAlign w:val="bottom"/>
            <w:gridSpan w:val="2"/>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w:t>
            </w: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20" w:type="dxa"/>
            <w:vAlign w:val="bottom"/>
            <w:gridSpan w:val="2"/>
            <w:shd w:val="clear" w:color="auto" w:fill="E6E6E6"/>
          </w:tcPr>
          <w:p>
            <w:pPr>
              <w:jc w:val="right"/>
              <w:ind w:right="133"/>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ind w:left="800"/>
              <w:spacing w:after="0" w:line="215" w:lineRule="exact"/>
              <w:rPr>
                <w:sz w:val="20"/>
                <w:szCs w:val="20"/>
                <w:color w:val="auto"/>
              </w:rPr>
            </w:pPr>
            <w:r>
              <w:rPr>
                <w:rFonts w:ascii="Times New Roman" w:cs="Times New Roman" w:eastAsia="Times New Roman" w:hAnsi="Times New Roman"/>
                <w:sz w:val="20"/>
                <w:szCs w:val="20"/>
                <w:color w:val="auto"/>
                <w:w w:val="87"/>
              </w:rPr>
              <w:t>8.2</w:t>
            </w: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Amortization and earnout expenses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800"/>
              <w:spacing w:after="0" w:line="226" w:lineRule="exact"/>
              <w:rPr>
                <w:sz w:val="20"/>
                <w:szCs w:val="20"/>
                <w:color w:val="auto"/>
              </w:rPr>
            </w:pPr>
            <w:r>
              <w:rPr>
                <w:rFonts w:ascii="Times New Roman" w:cs="Times New Roman" w:eastAsia="Times New Roman" w:hAnsi="Times New Roman"/>
                <w:sz w:val="20"/>
                <w:szCs w:val="20"/>
                <w:color w:val="auto"/>
                <w:w w:val="87"/>
              </w:rPr>
              <w:t>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Acquisition and integration expenses</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4.5</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0.8</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Executive transition expenses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00"/>
              <w:spacing w:after="0" w:line="226" w:lineRule="exact"/>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Restructuring expenses</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0.1</w:t>
            </w:r>
          </w:p>
        </w:tc>
        <w:tc>
          <w:tcPr>
            <w:tcW w:w="2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0.6</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Intangible asset impairment</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00"/>
              <w:spacing w:after="0" w:line="226" w:lineRule="exact"/>
              <w:rPr>
                <w:sz w:val="20"/>
                <w:szCs w:val="20"/>
                <w:color w:val="auto"/>
              </w:rPr>
            </w:pPr>
            <w:r>
              <w:rPr>
                <w:rFonts w:ascii="Times New Roman" w:cs="Times New Roman" w:eastAsia="Times New Roman" w:hAnsi="Times New Roman"/>
                <w:sz w:val="20"/>
                <w:szCs w:val="20"/>
                <w:color w:val="auto"/>
              </w:rPr>
              <w:t>0.9</w:t>
            </w:r>
          </w:p>
        </w:tc>
        <w:tc>
          <w:tcPr>
            <w:tcW w:w="0" w:type="dxa"/>
            <w:vAlign w:val="bottom"/>
          </w:tcPr>
          <w:p>
            <w:pPr>
              <w:spacing w:after="0"/>
              <w:rPr>
                <w:sz w:val="1"/>
                <w:szCs w:val="1"/>
                <w:color w:val="auto"/>
              </w:rPr>
            </w:pPr>
          </w:p>
        </w:tc>
      </w:tr>
      <w:tr>
        <w:trPr>
          <w:trHeight w:val="225"/>
        </w:trPr>
        <w:tc>
          <w:tcPr>
            <w:tcW w:w="510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Foreign currency remeasurement</w:t>
            </w:r>
          </w:p>
        </w:tc>
        <w:tc>
          <w:tcPr>
            <w:tcW w:w="6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(1.3)</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2.0</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ind w:left="800"/>
              <w:spacing w:after="0" w:line="226" w:lineRule="exact"/>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25"/>
        </w:trPr>
        <w:tc>
          <w:tcPr>
            <w:tcW w:w="5100" w:type="dxa"/>
            <w:vAlign w:val="bottom"/>
          </w:tcPr>
          <w:p>
            <w:pPr>
              <w:ind w:left="400"/>
              <w:spacing w:after="0" w:line="226" w:lineRule="exact"/>
              <w:rPr>
                <w:sz w:val="20"/>
                <w:szCs w:val="20"/>
                <w:color w:val="auto"/>
              </w:rPr>
            </w:pPr>
            <w:r>
              <w:rPr>
                <w:rFonts w:ascii="Times New Roman" w:cs="Times New Roman" w:eastAsia="Times New Roman" w:hAnsi="Times New Roman"/>
                <w:sz w:val="20"/>
                <w:szCs w:val="20"/>
                <w:color w:val="auto"/>
              </w:rPr>
              <w:t>Tax (benefit) expense of adjustments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82"/>
              <w:spacing w:after="0" w:line="226" w:lineRule="exact"/>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3"/>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740"/>
              <w:spacing w:after="0" w:line="226" w:lineRule="exact"/>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15"/>
        </w:trPr>
        <w:tc>
          <w:tcPr>
            <w:tcW w:w="510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Non-GAAP net income</w:t>
            </w:r>
          </w:p>
        </w:tc>
        <w:tc>
          <w:tcPr>
            <w:tcW w:w="66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tcBorders>
            <w:gridSpan w:val="2"/>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25.9</w:t>
            </w:r>
          </w:p>
        </w:tc>
        <w:tc>
          <w:tcPr>
            <w:tcW w:w="2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tcBorders>
            <w:gridSpan w:val="2"/>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9.8</w:t>
            </w:r>
          </w:p>
        </w:tc>
        <w:tc>
          <w:tcPr>
            <w:tcW w:w="2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E6E6E6"/>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tcBorders>
            <w:gridSpan w:val="2"/>
            <w:shd w:val="clear" w:color="auto" w:fill="E6E6E6"/>
          </w:tcPr>
          <w:p>
            <w:pPr>
              <w:jc w:val="right"/>
              <w:ind w:right="133"/>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shd w:val="clear" w:color="auto" w:fill="E6E6E6"/>
          </w:tcPr>
          <w:p>
            <w:pPr>
              <w:ind w:left="700"/>
              <w:spacing w:after="0" w:line="215" w:lineRule="exact"/>
              <w:rPr>
                <w:sz w:val="20"/>
                <w:szCs w:val="20"/>
                <w:color w:val="auto"/>
              </w:rPr>
            </w:pPr>
            <w:r>
              <w:rPr>
                <w:rFonts w:ascii="Times New Roman" w:cs="Times New Roman" w:eastAsia="Times New Roman" w:hAnsi="Times New Roman"/>
                <w:sz w:val="20"/>
                <w:szCs w:val="20"/>
                <w:color w:val="auto"/>
                <w:w w:val="91"/>
              </w:rPr>
              <w:t>19.5</w:t>
            </w:r>
          </w:p>
        </w:tc>
        <w:tc>
          <w:tcPr>
            <w:tcW w:w="18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100" w:type="dxa"/>
            <w:vAlign w:val="bottom"/>
          </w:tcPr>
          <w:p>
            <w:pPr>
              <w:ind w:left="200"/>
              <w:spacing w:after="0"/>
              <w:rPr>
                <w:sz w:val="20"/>
                <w:szCs w:val="20"/>
                <w:color w:val="auto"/>
              </w:rPr>
            </w:pPr>
            <w:r>
              <w:rPr>
                <w:rFonts w:ascii="Times New Roman" w:cs="Times New Roman" w:eastAsia="Times New Roman" w:hAnsi="Times New Roman"/>
                <w:sz w:val="20"/>
                <w:szCs w:val="20"/>
                <w:i w:val="1"/>
                <w:iCs w:val="1"/>
                <w:color w:val="auto"/>
              </w:rPr>
              <w:t>Non-GAAP net income as a percentage of sales</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i w:val="1"/>
                <w:iCs w:val="1"/>
                <w:color w:val="auto"/>
              </w:rPr>
              <w:t>6.1%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i w:val="1"/>
                <w:iCs w:val="1"/>
                <w:color w:val="auto"/>
              </w:rPr>
              <w:t>3.0%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20"/>
                <w:szCs w:val="20"/>
                <w:i w:val="1"/>
                <w:iCs w:val="1"/>
                <w:color w:val="auto"/>
                <w:w w:val="95"/>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600"/>
          </w:cols>
          <w:pgMar w:left="820" w:top="1065" w:right="820" w:bottom="31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2022 and 2021</w:t>
      </w:r>
    </w:p>
    <w:p>
      <w:pPr>
        <w:spacing w:after="0" w:line="23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Consolidated net sales in 2022 were $422.6 million compared with $324.1 million in 2021, an increase of $98.5 million. The increase is broad-based, led by increases of $23.0 million in our thermal acoustics technologies, $22.2 million across our entire industrial process solutions platforms, $17.8 million in our emissions management technologies, $14.4 million in our dampers and expansion joint products, and $6.9 million in engineered cyclone systems. Approximately 80.9%, or $79.7 million, of the increase in net sales is attributable to organic revenue growth, while $18.8 million is attributable to current year acquisitions.</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Gross profit increased by $27.3 million, or 27.1%, to $128.2 million in 2022 compared with $100.9 million in 2021. The increase in gross profit is primarily attributable to the increase in sales volume as described above. Gross profit as a percentage of sales decreased to 30.3% in 2022 compared with 31.1% in 2021 due to inflation, supply chain challenges, and lower project margin mix executed during 2022, partially offset by price increases. We continue to experience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applying material surcharges, we cannot guarantee that we can continue to do so in the future. In this event, our business, results and financial condition could be adversely affected.</w:t>
      </w:r>
    </w:p>
    <w:p>
      <w:pPr>
        <w:spacing w:after="0" w:line="18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Orders booked were $526.6 million in 2022 compared with $360.8 million in 2021. This 46% increase is attributable to increases of $66.8 million in our separation and filtration technologies, $53.9 million in our emissions management technologies, $22.0 million in industrial air control technologies and $21.4 million in our thermal acoustics technologies. Of the $165.8 million increase in orders, $143.2 million, or 86.4%, is attributable to organic growth while $22.6 million is attributable to current year acquisitions.</w:t>
      </w:r>
    </w:p>
    <w:p>
      <w:pPr>
        <w:spacing w:after="0" w:line="179"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Selling and administrative expenses were $93.4 million in 2022 compared with $81.8 million in 2021. The increase is primarily attributed to acquisitions during 2022, as well as increased headcount in order to support our revenue growth. Selling and administrative expenses as a percentage of sales were 22.1% in 2022 compared with 25.2% in 2021. The decrease in percentage is primarily attributable to gaining operating leverage on increased organic revenues.</w:t>
      </w:r>
    </w:p>
    <w:p>
      <w:pPr>
        <w:spacing w:after="0" w:line="194" w:lineRule="exact"/>
        <w:rPr>
          <w:sz w:val="20"/>
          <w:szCs w:val="20"/>
          <w:color w:val="auto"/>
        </w:rPr>
      </w:pPr>
    </w:p>
    <w:p>
      <w:pPr>
        <w:jc w:val="both"/>
        <w:ind w:right="840"/>
        <w:spacing w:after="0" w:line="271" w:lineRule="auto"/>
        <w:rPr>
          <w:sz w:val="20"/>
          <w:szCs w:val="20"/>
          <w:color w:val="auto"/>
        </w:rPr>
      </w:pPr>
      <w:r>
        <w:rPr>
          <w:rFonts w:ascii="Times New Roman" w:cs="Times New Roman" w:eastAsia="Times New Roman" w:hAnsi="Times New Roman"/>
          <w:sz w:val="19"/>
          <w:szCs w:val="19"/>
          <w:color w:val="auto"/>
        </w:rPr>
        <w:t>Amortization and earnout expense was $6.8 million in 2022 and $7.8 million in 2021. The decrease in expense is primarily attributable to a decrease of $1.3 million in earnout expense, partially offset by a $0.3 million increase in definite lived asset amortization. See Note 7 to the Consolidated Financial Statements for further discussion on earnout expenses.</w:t>
      </w:r>
    </w:p>
    <w:p>
      <w:pPr>
        <w:spacing w:after="0" w:line="17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Acquisitions and integration expenses related to various merger and acquisition diligence activities, which include legal, accounting and banking expenses, were $4.5 million in 2022, as compared with $0.8 million in 2021. The increase is due to an increase in acquisition activity (including General Rubber LLC, Compass Water Solutions, Inc., Western Air Ducts Limited and DS21 Co., Ltd. as described in Note 14 to the Consolidated Financial Statements) during 2022.</w:t>
      </w:r>
    </w:p>
    <w:p>
      <w:pPr>
        <w:spacing w:after="0" w:line="194"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Operating income for 2022 was $22.2 million, an increase of $12.3 million from $9.9 million in 2021. Operating income as a percentage of sales for 2022 was 5.3% compared with 3.1% for 2021. The increase in operating income is primarily attributable to increases in net organic sales and gaining operating leverage.</w:t>
      </w:r>
    </w:p>
    <w:p>
      <w:pPr>
        <w:spacing w:after="0" w:line="187"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auto"/>
        </w:rPr>
        <w:t>Non-GAAP operating income was $34.8 million in 2022 and $19.1 million in 2021. The increase in non-GAAP operating income is primarily attributable to the increase in net organic sales. Non-GAAP operating income as a percentage of sales for 2022 was 8.2% compared with 5.9% for 2021.</w:t>
      </w:r>
    </w:p>
    <w:p>
      <w:pPr>
        <w:spacing w:after="0" w:line="187"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20"/>
          <w:szCs w:val="20"/>
          <w:color w:val="auto"/>
        </w:rPr>
        <w:t>Other income for 2022 was $6.9 million, an increase of $9.1 million from $2.2 million other expense in 2021. The increase in other income was primarily attributable to net foreign currency transaction gains in the current year based on changes in exchange rates at our foreign subsidiaries.</w:t>
      </w:r>
    </w:p>
    <w:p>
      <w:pPr>
        <w:spacing w:after="0" w:line="187"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Interest expense increased to $5.4 million in 2022 from $3.0 million in 2021. The increase in interest expense is primarily due to increased debt balances to fund current year acquisitions.</w:t>
      </w:r>
    </w:p>
    <w:p>
      <w:pPr>
        <w:spacing w:after="0" w:line="17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Income tax expense was $5.4 million and $2.7 million in 2022 and 2021, respectively. The effective tax rate for 2022 was 22.9% compared with 57.6% in 2021. Income tax expense and the effective tax rate for 2022 were affected by certain permanent differences, including state income taxes, non-deductible incentive stock-based compensation, and differences in tax rates among the jurisdictions in which we operate.</w:t>
      </w:r>
    </w:p>
    <w:p>
      <w:pPr>
        <w:sectPr>
          <w:pgSz w:w="12240" w:h="15840" w:orient="portrait"/>
          <w:cols w:equalWidth="0" w:num="1">
            <w:col w:w="10580"/>
          </w:cols>
          <w:pgMar w:left="820" w:top="1065"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580"/>
          </w:cols>
          <w:pgMar w:left="820" w:top="1065" w:right="840" w:bottom="315"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2021 and 2020</w:t>
      </w:r>
    </w:p>
    <w:p>
      <w:pPr>
        <w:spacing w:after="0" w:line="2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See the Management Discussion and Analysis section of our Annual Report on Form 10-K for the year ended December 31, 2021 for a discussion of our consolidated results of operations for the year ended December 31, 2021 compared to the year ended December 31, 2020, which information is incorporated by reference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Segments</w:t>
      </w:r>
    </w:p>
    <w:p>
      <w:pPr>
        <w:spacing w:after="0" w:line="23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(loss) at the reportable segment level include both intra-segment and inter-segment operating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6E6E6"/>
            </w:tcBorders>
          </w:tcPr>
          <w:p>
            <w:pPr>
              <w:spacing w:after="0"/>
              <w:rPr>
                <w:sz w:val="17"/>
                <w:szCs w:val="17"/>
                <w:color w:val="auto"/>
              </w:rPr>
            </w:pPr>
          </w:p>
        </w:tc>
        <w:tc>
          <w:tcPr>
            <w:tcW w:w="14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7"/>
                <w:szCs w:val="17"/>
                <w:color w:val="auto"/>
              </w:rPr>
            </w:pPr>
          </w:p>
        </w:tc>
      </w:tr>
      <w:tr>
        <w:trPr>
          <w:trHeight w:val="215"/>
        </w:trPr>
        <w:tc>
          <w:tcPr>
            <w:tcW w:w="58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Sales (less intra-, inter-segment sales)</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63"/>
        </w:trPr>
        <w:tc>
          <w:tcPr>
            <w:tcW w:w="58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Engineered Systems Segment</w:t>
            </w:r>
          </w:p>
        </w:tc>
        <w:tc>
          <w:tcPr>
            <w:tcW w:w="320" w:type="dxa"/>
            <w:vAlign w:val="bottom"/>
            <w:gridSpan w:val="2"/>
            <w:shd w:val="clear" w:color="auto" w:fill="E6E6E6"/>
          </w:tcPr>
          <w:p>
            <w:pPr>
              <w:jc w:val="right"/>
              <w:ind w:right="133"/>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263,224</w:t>
            </w:r>
          </w:p>
        </w:tc>
        <w:tc>
          <w:tcPr>
            <w:tcW w:w="100" w:type="dxa"/>
            <w:vAlign w:val="bottom"/>
            <w:shd w:val="clear" w:color="auto" w:fill="E6E6E6"/>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186,926</w:t>
            </w:r>
          </w:p>
        </w:tc>
        <w:tc>
          <w:tcPr>
            <w:tcW w:w="160" w:type="dxa"/>
            <w:vAlign w:val="bottom"/>
            <w:shd w:val="clear" w:color="auto" w:fill="E6E6E6"/>
          </w:tcPr>
          <w:p>
            <w:pPr>
              <w:spacing w:after="0"/>
              <w:rPr>
                <w:sz w:val="22"/>
                <w:szCs w:val="22"/>
                <w:color w:val="auto"/>
              </w:rPr>
            </w:pPr>
          </w:p>
        </w:tc>
        <w:tc>
          <w:tcPr>
            <w:tcW w:w="420" w:type="dxa"/>
            <w:vAlign w:val="bottom"/>
            <w:gridSpan w:val="2"/>
            <w:shd w:val="clear" w:color="auto" w:fill="E6E6E6"/>
          </w:tcPr>
          <w:p>
            <w:pPr>
              <w:jc w:val="right"/>
              <w:ind w:right="153"/>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205,494</w:t>
            </w:r>
          </w:p>
        </w:tc>
      </w:tr>
      <w:tr>
        <w:trPr>
          <w:trHeight w:val="263"/>
        </w:trPr>
        <w:tc>
          <w:tcPr>
            <w:tcW w:w="58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137,214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110,517</w:t>
            </w:r>
          </w:p>
        </w:tc>
      </w:tr>
      <w:tr>
        <w:trPr>
          <w:trHeight w:val="215"/>
        </w:trPr>
        <w:tc>
          <w:tcPr>
            <w:tcW w:w="582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net sales</w:t>
            </w:r>
          </w:p>
        </w:tc>
        <w:tc>
          <w:tcPr>
            <w:tcW w:w="2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bottom w:val="single" w:sz="8" w:color="auto"/>
            </w:tcBorders>
            <w:shd w:val="clear" w:color="auto" w:fill="E6E6E6"/>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422,627</w:t>
            </w:r>
          </w:p>
        </w:tc>
        <w:tc>
          <w:tcPr>
            <w:tcW w:w="10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324,140</w:t>
            </w:r>
          </w:p>
        </w:tc>
        <w:tc>
          <w:tcPr>
            <w:tcW w:w="1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316,011</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5"/>
        </w:trPr>
        <w:tc>
          <w:tcPr>
            <w:tcW w:w="58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24"/>
                <w:szCs w:val="24"/>
                <w:color w:val="auto"/>
              </w:rPr>
            </w:pPr>
          </w:p>
        </w:tc>
      </w:tr>
      <w:tr>
        <w:trPr>
          <w:trHeight w:val="215"/>
        </w:trPr>
        <w:tc>
          <w:tcPr>
            <w:tcW w:w="58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320" w:type="dxa"/>
            <w:vAlign w:val="bottom"/>
            <w:gridSpan w:val="2"/>
            <w:shd w:val="clear" w:color="auto" w:fill="E6E6E6"/>
          </w:tcPr>
          <w:p>
            <w:pPr>
              <w:jc w:val="right"/>
              <w:ind w:right="133"/>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36,200</w:t>
            </w:r>
          </w:p>
        </w:tc>
        <w:tc>
          <w:tcPr>
            <w:tcW w:w="100" w:type="dxa"/>
            <w:vAlign w:val="bottom"/>
            <w:shd w:val="clear" w:color="auto" w:fill="E6E6E6"/>
          </w:tcPr>
          <w:p>
            <w:pPr>
              <w:spacing w:after="0"/>
              <w:rPr>
                <w:sz w:val="19"/>
                <w:szCs w:val="19"/>
                <w:color w:val="auto"/>
              </w:rPr>
            </w:pPr>
          </w:p>
        </w:tc>
        <w:tc>
          <w:tcPr>
            <w:tcW w:w="460" w:type="dxa"/>
            <w:vAlign w:val="bottom"/>
            <w:gridSpan w:val="2"/>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25,770</w:t>
            </w:r>
          </w:p>
        </w:tc>
        <w:tc>
          <w:tcPr>
            <w:tcW w:w="160" w:type="dxa"/>
            <w:vAlign w:val="bottom"/>
            <w:shd w:val="clear" w:color="auto" w:fill="E6E6E6"/>
          </w:tcPr>
          <w:p>
            <w:pPr>
              <w:spacing w:after="0"/>
              <w:rPr>
                <w:sz w:val="19"/>
                <w:szCs w:val="19"/>
                <w:color w:val="auto"/>
              </w:rPr>
            </w:pPr>
          </w:p>
        </w:tc>
        <w:tc>
          <w:tcPr>
            <w:tcW w:w="420" w:type="dxa"/>
            <w:vAlign w:val="bottom"/>
            <w:gridSpan w:val="2"/>
            <w:shd w:val="clear" w:color="auto" w:fill="E6E6E6"/>
          </w:tcPr>
          <w:p>
            <w:pPr>
              <w:jc w:val="right"/>
              <w:ind w:right="153"/>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34,170</w:t>
            </w:r>
          </w:p>
        </w:tc>
      </w:tr>
      <w:tr>
        <w:trPr>
          <w:trHeight w:val="22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22,705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15,054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7,220</w:t>
            </w: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Corporate and Other (1)</w:t>
            </w: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(36,744)</w:t>
            </w:r>
          </w:p>
        </w:tc>
        <w:tc>
          <w:tcPr>
            <w:tcW w:w="1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(30,967)</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(28,044)</w:t>
            </w:r>
          </w:p>
        </w:tc>
      </w:tr>
      <w:tr>
        <w:trPr>
          <w:trHeight w:val="215"/>
        </w:trPr>
        <w:tc>
          <w:tcPr>
            <w:tcW w:w="582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income from operations</w:t>
            </w: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22,161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13,346</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left="840" w:right="20" w:hanging="479"/>
        <w:spacing w:after="0" w:line="252" w:lineRule="auto"/>
        <w:tabs>
          <w:tab w:leader="none" w:pos="8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corporate compensation, professional services, information technology, and other general, administrative corporate expenses. This figure excludes earnout expenses / income, which are recorded in the segment in which the expense / income occurs.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2022 and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Engineered Systems segment</w:t>
      </w:r>
    </w:p>
    <w:p>
      <w:pPr>
        <w:spacing w:after="0" w:line="227"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Our Engineered Systems segment net sales increased $76.3 million to $263.2 million in 2022 compared with $186.9 million in 2021, an increase of 40.8%. The increase is broad-based, led by increases of $23.0 million in our thermal acoustics technologies, $17.8 million in our emissions management technologies, $14.4 million in our dampers and expansion joint products, and $6.9 million in engineered cyclone systems. Approximately 77.3%, or $59.0 million, of the increase in net sales is attributable to organic revenue growth, while $17.3 million is attributable to current year acquisitions.</w:t>
      </w:r>
    </w:p>
    <w:p>
      <w:pPr>
        <w:spacing w:after="0" w:line="19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Operating income for the Engineered Systems segment increased $10.4 million to $36.2 million for 2022 compared with $25.8 million in 2021, an increase of 40.3%. The increase in operating income in primarily attributable to higher gross profit related to increased sales of $76.3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Industrial Process Solutions segment</w:t>
      </w:r>
    </w:p>
    <w:p>
      <w:pPr>
        <w:spacing w:after="0" w:line="22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Our Industrial Process Solutions segment net sales increased $22.2 million to $159.4 million in 2022 compared with $137.2 million in 2021, an increase of 16.2%. The increase is primarily attributable to increases across all products serving industrial air end markets. Approximately 93.2%, or $20.7 million, of the increase in net sales is attributable to organic revenue growth, while $1.5 million is attributable to current year acquisitions.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600"/>
          </w:cols>
          <w:pgMar w:left="820" w:top="1065" w:right="820" w:bottom="315" w:gutter="0" w:footer="0" w:header="0"/>
          <w:type w:val="continuous"/>
        </w:sectPr>
      </w:pPr>
    </w:p>
    <w:bookmarkStart w:id="44" w:name="page45"/>
    <w:bookmarkEnd w:id="44"/>
    <w:p>
      <w:pPr>
        <w:jc w:val="both"/>
        <w:ind w:right="340"/>
        <w:spacing w:after="0" w:line="252" w:lineRule="auto"/>
        <w:rPr>
          <w:sz w:val="20"/>
          <w:szCs w:val="20"/>
          <w:color w:val="auto"/>
        </w:rPr>
      </w:pPr>
      <w:r>
        <w:rPr>
          <w:rFonts w:ascii="Times New Roman" w:cs="Times New Roman" w:eastAsia="Times New Roman" w:hAnsi="Times New Roman"/>
          <w:sz w:val="20"/>
          <w:szCs w:val="20"/>
          <w:color w:val="auto"/>
        </w:rPr>
        <w:t>Operating income increased $7.6 million to $22.7 million for 2022 compared with $15.1 million in 2021. The increase is primarily attributable to higher gross profit driven by increased net sales and a $1.1 million decrease in earnout expense, partially offset by a $2.9 million increase in selling, general and administrative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Corporate and Other segment</w:t>
      </w:r>
    </w:p>
    <w:p>
      <w:pPr>
        <w:spacing w:after="0" w:line="2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Operating expense for the Corporate and Other segment increased $5.7 million to $36.7 million for 2022 compared with $31.0 million for 2021. The increase is primarily attributable to inflationary increases in wages and services, and executive transition expenses of $1.2 million, partially offset by a $2.5 million favorable insurance settlement received in the first quarter of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Comparison of the years ended December 31, 2021 and 2020</w:t>
      </w:r>
    </w:p>
    <w:p>
      <w:pPr>
        <w:spacing w:after="0" w:line="23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See the Management Discussion and Analysis section of our Annual Report on Form 10-K for the year ended December 31, 2021 for a discussion of business segment results of operations for the year ended December 31, 2021 compared to the year ended December 31, 2020, which information is incorporated by reference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9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At December 31, 2022, the Company had working capital of $94.0 million, compared with $72.3 million at December 31, 2021. The ratio of current assets to current liabilities was 1.64 to 1.00 at December 31, 2022 as compared with a ratio of 1.62 to 1.00 at December 31, 2021.</w:t>
      </w:r>
    </w:p>
    <w:p>
      <w:pPr>
        <w:spacing w:after="0" w:line="187"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At December 31, 2022 and 2021, cash and cash equivalents totaled $45.5 million and $29.9 million, respectively. As of December 31, 2022 and 2021, $31.7 million and $24.8 million, respectively, of our cash and cash equivalents were held by non-U.S. subsidiaries, as well as being denominated in foreign currencies.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Debt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28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4"/>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line="196" w:lineRule="exact"/>
              <w:rPr>
                <w:sz w:val="20"/>
                <w:szCs w:val="20"/>
                <w:color w:val="auto"/>
              </w:rPr>
            </w:pPr>
            <w:r>
              <w:rPr>
                <w:rFonts w:ascii="Times New Roman" w:cs="Times New Roman" w:eastAsia="Times New Roman" w:hAnsi="Times New Roman"/>
                <w:sz w:val="20"/>
                <w:szCs w:val="20"/>
                <w:color w:val="auto"/>
              </w:rPr>
              <w:t>Outstanding borrowings under Credit Facility</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auto"/>
              </w:rPr>
              <w:t>Term loan payable in quarterly principal installments of $550 through September 2023,</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tcPr>
          <w:p>
            <w:pPr>
              <w:ind w:left="160"/>
              <w:spacing w:after="0" w:line="226" w:lineRule="exact"/>
              <w:rPr>
                <w:sz w:val="20"/>
                <w:szCs w:val="20"/>
                <w:color w:val="auto"/>
              </w:rPr>
            </w:pPr>
            <w:r>
              <w:rPr>
                <w:rFonts w:ascii="Times New Roman" w:cs="Times New Roman" w:eastAsia="Times New Roman" w:hAnsi="Times New Roman"/>
                <w:sz w:val="20"/>
                <w:szCs w:val="20"/>
                <w:color w:val="auto"/>
              </w:rPr>
              <w:t>$825 through September 2025 and $1,100 thereafter with balance due upon maturity in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December 2026.</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 Term loan</w:t>
            </w:r>
          </w:p>
        </w:tc>
        <w:tc>
          <w:tcPr>
            <w:tcW w:w="320" w:type="dxa"/>
            <w:vAlign w:val="bottom"/>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41,309</w:t>
            </w:r>
          </w:p>
        </w:tc>
        <w:tc>
          <w:tcPr>
            <w:tcW w:w="280" w:type="dxa"/>
            <w:vAlign w:val="bottom"/>
            <w:shd w:val="clear" w:color="auto" w:fill="E6E6E6"/>
          </w:tcPr>
          <w:p>
            <w:pPr>
              <w:spacing w:after="0"/>
              <w:rPr>
                <w:sz w:val="19"/>
                <w:szCs w:val="19"/>
                <w:color w:val="auto"/>
              </w:rPr>
            </w:pPr>
          </w:p>
        </w:tc>
        <w:tc>
          <w:tcPr>
            <w:tcW w:w="440" w:type="dxa"/>
            <w:vAlign w:val="bottom"/>
            <w:shd w:val="clear" w:color="auto" w:fill="E6E6E6"/>
          </w:tcPr>
          <w:p>
            <w:pPr>
              <w:jc w:val="right"/>
              <w:ind w:right="2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43,511</w:t>
            </w:r>
          </w:p>
        </w:tc>
        <w:tc>
          <w:tcPr>
            <w:tcW w:w="0" w:type="dxa"/>
            <w:vAlign w:val="bottom"/>
          </w:tcPr>
          <w:p>
            <w:pPr>
              <w:spacing w:after="0"/>
              <w:rPr>
                <w:sz w:val="1"/>
                <w:szCs w:val="1"/>
                <w:color w:val="auto"/>
              </w:rPr>
            </w:pPr>
          </w:p>
        </w:tc>
      </w:tr>
      <w:tr>
        <w:trPr>
          <w:trHeight w:val="225"/>
        </w:trPr>
        <w:tc>
          <w:tcPr>
            <w:tcW w:w="72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 Revolving Credit Loan</w:t>
            </w:r>
          </w:p>
        </w:tc>
        <w:tc>
          <w:tcPr>
            <w:tcW w:w="320" w:type="dxa"/>
            <w:vAlign w:val="bottom"/>
          </w:tcPr>
          <w:p>
            <w:pPr>
              <w:spacing w:after="0"/>
              <w:rPr>
                <w:sz w:val="19"/>
                <w:szCs w:val="19"/>
                <w:color w:val="auto"/>
              </w:rPr>
            </w:pP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61,300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22,000</w:t>
            </w:r>
          </w:p>
        </w:tc>
        <w:tc>
          <w:tcPr>
            <w:tcW w:w="0" w:type="dxa"/>
            <w:vAlign w:val="bottom"/>
          </w:tcPr>
          <w:p>
            <w:pPr>
              <w:spacing w:after="0"/>
              <w:rPr>
                <w:sz w:val="1"/>
                <w:szCs w:val="1"/>
                <w:color w:val="auto"/>
              </w:rPr>
            </w:pPr>
          </w:p>
        </w:tc>
      </w:tr>
      <w:tr>
        <w:trPr>
          <w:trHeight w:val="215"/>
        </w:trPr>
        <w:tc>
          <w:tcPr>
            <w:tcW w:w="72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outstanding borrowings under the Credit Facility</w:t>
            </w:r>
          </w:p>
        </w:tc>
        <w:tc>
          <w:tcPr>
            <w:tcW w:w="320" w:type="dxa"/>
            <w:vAlign w:val="bottom"/>
            <w:tcBorders>
              <w:top w:val="single" w:sz="8" w:color="auto"/>
            </w:tcBorders>
            <w:shd w:val="clear" w:color="auto" w:fill="E6E6E6"/>
          </w:tcPr>
          <w:p>
            <w:pPr>
              <w:spacing w:after="0"/>
              <w:rPr>
                <w:sz w:val="18"/>
                <w:szCs w:val="18"/>
                <w:color w:val="auto"/>
              </w:rPr>
            </w:pPr>
          </w:p>
        </w:tc>
        <w:tc>
          <w:tcPr>
            <w:tcW w:w="11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102,609</w:t>
            </w:r>
          </w:p>
        </w:tc>
        <w:tc>
          <w:tcPr>
            <w:tcW w:w="280" w:type="dxa"/>
            <w:vAlign w:val="bottom"/>
            <w:tcBorders>
              <w:top w:val="single" w:sz="8" w:color="E6E6E6"/>
            </w:tcBorders>
            <w:shd w:val="clear" w:color="auto" w:fill="E6E6E6"/>
          </w:tcPr>
          <w:p>
            <w:pPr>
              <w:spacing w:after="0"/>
              <w:rPr>
                <w:sz w:val="18"/>
                <w:szCs w:val="18"/>
                <w:color w:val="auto"/>
              </w:rPr>
            </w:pPr>
          </w:p>
        </w:tc>
        <w:tc>
          <w:tcPr>
            <w:tcW w:w="440" w:type="dxa"/>
            <w:vAlign w:val="bottom"/>
            <w:tcBorders>
              <w:top w:val="single" w:sz="8" w:color="auto"/>
            </w:tcBorders>
            <w:shd w:val="clear" w:color="auto" w:fill="E6E6E6"/>
          </w:tcPr>
          <w:p>
            <w:pPr>
              <w:spacing w:after="0"/>
              <w:rPr>
                <w:sz w:val="18"/>
                <w:szCs w:val="18"/>
                <w:color w:val="auto"/>
              </w:rPr>
            </w:pPr>
          </w:p>
        </w:tc>
        <w:tc>
          <w:tcPr>
            <w:tcW w:w="10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65,511</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Outstanding borrowings under the joint venture term debt</w:t>
            </w:r>
          </w:p>
        </w:tc>
        <w:tc>
          <w:tcPr>
            <w:tcW w:w="320" w:type="dxa"/>
            <w:vAlign w:val="bottom"/>
          </w:tcPr>
          <w:p>
            <w:pPr>
              <w:spacing w:after="0"/>
              <w:rPr>
                <w:sz w:val="19"/>
                <w:szCs w:val="19"/>
                <w:color w:val="auto"/>
              </w:rPr>
            </w:pP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10,083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Unamortized debt discount</w:t>
            </w:r>
          </w:p>
        </w:tc>
        <w:tc>
          <w:tcPr>
            <w:tcW w:w="320" w:type="dxa"/>
            <w:vAlign w:val="bottom"/>
            <w:shd w:val="clear" w:color="auto" w:fill="E6E6E6"/>
          </w:tcPr>
          <w:p>
            <w:pPr>
              <w:spacing w:after="0"/>
              <w:rPr>
                <w:sz w:val="19"/>
                <w:szCs w:val="19"/>
                <w:color w:val="auto"/>
              </w:rPr>
            </w:pPr>
          </w:p>
        </w:tc>
        <w:tc>
          <w:tcPr>
            <w:tcW w:w="1420" w:type="dxa"/>
            <w:vAlign w:val="bottom"/>
            <w:gridSpan w:val="2"/>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(1,488)</w:t>
            </w:r>
          </w:p>
        </w:tc>
        <w:tc>
          <w:tcPr>
            <w:tcW w:w="440" w:type="dxa"/>
            <w:vAlign w:val="bottom"/>
            <w:shd w:val="clear" w:color="auto" w:fill="E6E6E6"/>
          </w:tcPr>
          <w:p>
            <w:pPr>
              <w:spacing w:after="0"/>
              <w:rPr>
                <w:sz w:val="19"/>
                <w:szCs w:val="19"/>
                <w:color w:val="auto"/>
              </w:rPr>
            </w:pPr>
          </w:p>
        </w:tc>
        <w:tc>
          <w:tcPr>
            <w:tcW w:w="114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(1,731)</w:t>
            </w:r>
          </w:p>
        </w:tc>
        <w:tc>
          <w:tcPr>
            <w:tcW w:w="0" w:type="dxa"/>
            <w:vAlign w:val="bottom"/>
          </w:tcPr>
          <w:p>
            <w:pPr>
              <w:spacing w:after="0"/>
              <w:rPr>
                <w:sz w:val="1"/>
                <w:szCs w:val="1"/>
                <w:color w:val="auto"/>
              </w:rPr>
            </w:pPr>
          </w:p>
        </w:tc>
      </w:tr>
      <w:tr>
        <w:trPr>
          <w:trHeight w:val="215"/>
        </w:trPr>
        <w:tc>
          <w:tcPr>
            <w:tcW w:w="72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outstanding borrowings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111,204</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63,780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E6E6E6"/>
          </w:tcPr>
          <w:p>
            <w:pPr>
              <w:ind w:left="160"/>
              <w:spacing w:after="0" w:line="226" w:lineRule="exact"/>
              <w:rPr>
                <w:sz w:val="20"/>
                <w:szCs w:val="20"/>
                <w:color w:val="auto"/>
              </w:rPr>
            </w:pPr>
            <w:r>
              <w:rPr>
                <w:rFonts w:ascii="Times New Roman" w:cs="Times New Roman" w:eastAsia="Times New Roman" w:hAnsi="Times New Roman"/>
                <w:sz w:val="20"/>
                <w:szCs w:val="20"/>
                <w:color w:val="auto"/>
              </w:rPr>
              <w:t>Less: current portion</w:t>
            </w:r>
          </w:p>
        </w:tc>
        <w:tc>
          <w:tcPr>
            <w:tcW w:w="320" w:type="dxa"/>
            <w:vAlign w:val="bottom"/>
            <w:shd w:val="clear" w:color="auto" w:fill="E6E6E6"/>
          </w:tcPr>
          <w:p>
            <w:pPr>
              <w:spacing w:after="0"/>
              <w:rPr>
                <w:sz w:val="19"/>
                <w:szCs w:val="19"/>
                <w:color w:val="auto"/>
              </w:rPr>
            </w:pPr>
          </w:p>
        </w:tc>
        <w:tc>
          <w:tcPr>
            <w:tcW w:w="1420" w:type="dxa"/>
            <w:vAlign w:val="bottom"/>
            <w:gridSpan w:val="2"/>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(3,579)</w:t>
            </w:r>
          </w:p>
        </w:tc>
        <w:tc>
          <w:tcPr>
            <w:tcW w:w="440" w:type="dxa"/>
            <w:vAlign w:val="bottom"/>
            <w:shd w:val="clear" w:color="auto" w:fill="E6E6E6"/>
          </w:tcPr>
          <w:p>
            <w:pPr>
              <w:spacing w:after="0"/>
              <w:rPr>
                <w:sz w:val="19"/>
                <w:szCs w:val="19"/>
                <w:color w:val="auto"/>
              </w:rPr>
            </w:pPr>
          </w:p>
        </w:tc>
        <w:tc>
          <w:tcPr>
            <w:tcW w:w="114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(2,203)</w:t>
            </w:r>
          </w:p>
        </w:tc>
        <w:tc>
          <w:tcPr>
            <w:tcW w:w="0" w:type="dxa"/>
            <w:vAlign w:val="bottom"/>
          </w:tcPr>
          <w:p>
            <w:pPr>
              <w:spacing w:after="0"/>
              <w:rPr>
                <w:sz w:val="1"/>
                <w:szCs w:val="1"/>
                <w:color w:val="auto"/>
              </w:rPr>
            </w:pPr>
          </w:p>
        </w:tc>
      </w:tr>
      <w:tr>
        <w:trPr>
          <w:trHeight w:val="215"/>
        </w:trPr>
        <w:tc>
          <w:tcPr>
            <w:tcW w:w="72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debt, less current portion</w:t>
            </w:r>
          </w:p>
        </w:tc>
        <w:tc>
          <w:tcPr>
            <w:tcW w:w="3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107,625</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61,577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In 2022, the Company made repayments of $2.2 million on the term loan and $0.9 million on the joint venture term debt, and net borrowings on the revolving credit line of $39.3 million</w:t>
      </w:r>
      <w:r>
        <w:rPr>
          <w:rFonts w:ascii="Times New Roman" w:cs="Times New Roman" w:eastAsia="Times New Roman" w:hAnsi="Times New Roman"/>
          <w:sz w:val="20"/>
          <w:szCs w:val="20"/>
          <w:color w:val="242424"/>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Facility</w:t>
      </w:r>
    </w:p>
    <w:p>
      <w:pPr>
        <w:spacing w:after="0" w:line="22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Company's outstanding borrowings in the United States consist of a senior secured term loan and a senior secured revolver loan with sub-facilities for letters of credit, swing-line loans and multi-currency loans (collectively, the "Credit Facility").</w:t>
      </w:r>
    </w:p>
    <w:p>
      <w:pPr>
        <w:spacing w:after="0" w:line="1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ectPr>
          <w:pgSz w:w="12240" w:h="15840" w:orient="portrait"/>
          <w:cols w:equalWidth="0" w:num="1">
            <w:col w:w="10600"/>
          </w:cols>
          <w:pgMar w:left="820" w:top="1069" w:right="820" w:bottom="315"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600"/>
          </w:cols>
          <w:pgMar w:left="820" w:top="1069" w:right="820" w:bottom="315" w:gutter="0" w:footer="0" w:header="0"/>
          <w:type w:val="continuous"/>
        </w:sectPr>
      </w:pPr>
    </w:p>
    <w:bookmarkStart w:id="45" w:name="page46"/>
    <w:bookmarkEnd w:id="45"/>
    <w:p>
      <w:pPr>
        <w:ind w:right="240"/>
        <w:spacing w:after="0" w:line="269" w:lineRule="auto"/>
        <w:rPr>
          <w:sz w:val="20"/>
          <w:szCs w:val="20"/>
          <w:color w:val="auto"/>
        </w:rPr>
      </w:pPr>
      <w:r>
        <w:rPr>
          <w:rFonts w:ascii="Times New Roman" w:cs="Times New Roman" w:eastAsia="Times New Roman" w:hAnsi="Times New Roman"/>
          <w:sz w:val="20"/>
          <w:szCs w:val="20"/>
          <w:color w:val="auto"/>
        </w:rPr>
        <w:t>As of December 31, 2022 and 2021, the Company was in compliance with all related financial and other restrictive covenants under the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Joint Venture Debt</w:t>
      </w:r>
    </w:p>
    <w:p>
      <w:pPr>
        <w:spacing w:after="0" w:line="22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to the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Debt</w:t>
      </w:r>
    </w:p>
    <w:p>
      <w:pPr>
        <w:spacing w:after="0" w:line="227"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 for further information on the Company’s debt facilities.</w:t>
      </w:r>
    </w:p>
    <w:p>
      <w:pPr>
        <w:spacing w:after="0" w:line="231"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Total unused credit availability under our Credit Facility and other non-U.S. credit facilities and agreements, exclusive of any potential asset base limitations,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260" w:type="dxa"/>
            <w:vAlign w:val="bottom"/>
            <w:tcBorders>
              <w:bottom w:val="single" w:sz="8" w:color="E6E6E6"/>
            </w:tcBorders>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E6E6E6"/>
            </w:tcBorders>
          </w:tcPr>
          <w:p>
            <w:pPr>
              <w:spacing w:after="0"/>
              <w:rPr>
                <w:sz w:val="14"/>
                <w:szCs w:val="14"/>
                <w:color w:val="auto"/>
              </w:rPr>
            </w:pPr>
          </w:p>
        </w:tc>
        <w:tc>
          <w:tcPr>
            <w:tcW w:w="120" w:type="dxa"/>
            <w:vAlign w:val="bottom"/>
            <w:tcBorders>
              <w:bottom w:val="single" w:sz="8" w:color="E6E6E6"/>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260" w:type="dxa"/>
            <w:vAlign w:val="bottom"/>
            <w:shd w:val="clear" w:color="auto" w:fill="E6E6E6"/>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(dollars in millions)</w:t>
            </w:r>
          </w:p>
        </w:tc>
        <w:tc>
          <w:tcPr>
            <w:tcW w:w="20" w:type="dxa"/>
            <w:vAlign w:val="bottom"/>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5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440" w:type="dxa"/>
            <w:vAlign w:val="bottom"/>
            <w:shd w:val="clear" w:color="auto" w:fill="E6E6E6"/>
          </w:tcPr>
          <w:p>
            <w:pPr>
              <w:spacing w:after="0"/>
              <w:rPr>
                <w:sz w:val="14"/>
                <w:szCs w:val="14"/>
                <w:color w:val="auto"/>
              </w:rPr>
            </w:pPr>
          </w:p>
        </w:tc>
        <w:tc>
          <w:tcPr>
            <w:tcW w:w="102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2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Credit Facility, revolving loans</w:t>
            </w:r>
          </w:p>
        </w:tc>
        <w:tc>
          <w:tcPr>
            <w:tcW w:w="20" w:type="dxa"/>
            <w:vAlign w:val="bottom"/>
          </w:tcPr>
          <w:p>
            <w:pPr>
              <w:spacing w:after="0"/>
              <w:rPr>
                <w:sz w:val="19"/>
                <w:szCs w:val="19"/>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2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6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Draw down</w:t>
            </w:r>
          </w:p>
        </w:tc>
        <w:tc>
          <w:tcPr>
            <w:tcW w:w="20" w:type="dxa"/>
            <w:vAlign w:val="bottom"/>
            <w:shd w:val="clear" w:color="auto" w:fill="E6E6E6"/>
          </w:tcPr>
          <w:p>
            <w:pPr>
              <w:spacing w:after="0"/>
              <w:rPr>
                <w:sz w:val="19"/>
                <w:szCs w:val="19"/>
                <w:color w:val="auto"/>
              </w:rPr>
            </w:pPr>
          </w:p>
        </w:tc>
        <w:tc>
          <w:tcPr>
            <w:tcW w:w="940" w:type="dxa"/>
            <w:vAlign w:val="bottom"/>
            <w:shd w:val="clear" w:color="auto" w:fill="E6E6E6"/>
          </w:tcPr>
          <w:p>
            <w:pPr>
              <w:spacing w:after="0"/>
              <w:rPr>
                <w:sz w:val="19"/>
                <w:szCs w:val="19"/>
                <w:color w:val="auto"/>
              </w:rPr>
            </w:pPr>
          </w:p>
        </w:tc>
        <w:tc>
          <w:tcPr>
            <w:tcW w:w="68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(61.3)</w:t>
            </w:r>
          </w:p>
        </w:tc>
        <w:tc>
          <w:tcPr>
            <w:tcW w:w="120" w:type="dxa"/>
            <w:vAlign w:val="bottom"/>
            <w:shd w:val="clear" w:color="auto" w:fill="E6E6E6"/>
          </w:tcPr>
          <w:p>
            <w:pPr>
              <w:spacing w:after="0"/>
              <w:rPr>
                <w:sz w:val="19"/>
                <w:szCs w:val="19"/>
                <w:color w:val="auto"/>
              </w:rPr>
            </w:pPr>
          </w:p>
        </w:tc>
        <w:tc>
          <w:tcPr>
            <w:tcW w:w="440" w:type="dxa"/>
            <w:vAlign w:val="bottom"/>
            <w:shd w:val="clear" w:color="auto" w:fill="E6E6E6"/>
          </w:tcPr>
          <w:p>
            <w:pPr>
              <w:spacing w:after="0"/>
              <w:rPr>
                <w:sz w:val="19"/>
                <w:szCs w:val="19"/>
                <w:color w:val="auto"/>
              </w:rPr>
            </w:pPr>
          </w:p>
        </w:tc>
        <w:tc>
          <w:tcPr>
            <w:tcW w:w="114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(22.0)</w:t>
            </w:r>
          </w:p>
        </w:tc>
        <w:tc>
          <w:tcPr>
            <w:tcW w:w="0" w:type="dxa"/>
            <w:vAlign w:val="bottom"/>
          </w:tcPr>
          <w:p>
            <w:pPr>
              <w:spacing w:after="0"/>
              <w:rPr>
                <w:sz w:val="1"/>
                <w:szCs w:val="1"/>
                <w:color w:val="auto"/>
              </w:rPr>
            </w:pPr>
          </w:p>
        </w:tc>
      </w:tr>
      <w:tr>
        <w:trPr>
          <w:trHeight w:val="225"/>
        </w:trPr>
        <w:tc>
          <w:tcPr>
            <w:tcW w:w="726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Letters of credit open</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15"/>
        </w:trPr>
        <w:tc>
          <w:tcPr>
            <w:tcW w:w="726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unused credit availability</w:t>
            </w:r>
          </w:p>
        </w:tc>
        <w:tc>
          <w:tcPr>
            <w:tcW w:w="20" w:type="dxa"/>
            <w:vAlign w:val="bottom"/>
            <w:tcBorders>
              <w:top w:val="single" w:sz="8" w:color="E6E6E6"/>
            </w:tcBorders>
            <w:shd w:val="clear" w:color="auto" w:fill="E6E6E6"/>
          </w:tcPr>
          <w:p>
            <w:pPr>
              <w:spacing w:after="0"/>
              <w:rPr>
                <w:sz w:val="18"/>
                <w:szCs w:val="18"/>
                <w:color w:val="auto"/>
              </w:rPr>
            </w:pPr>
          </w:p>
        </w:tc>
        <w:tc>
          <w:tcPr>
            <w:tcW w:w="940" w:type="dxa"/>
            <w:vAlign w:val="bottom"/>
            <w:tcBorders>
              <w:top w:val="single" w:sz="8" w:color="auto"/>
              <w:bottom w:val="single" w:sz="8" w:color="auto"/>
            </w:tcBorders>
            <w:shd w:val="clear" w:color="auto" w:fill="E6E6E6"/>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59.8</w:t>
            </w:r>
          </w:p>
        </w:tc>
        <w:tc>
          <w:tcPr>
            <w:tcW w:w="16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440" w:type="dxa"/>
            <w:vAlign w:val="bottom"/>
            <w:tcBorders>
              <w:top w:val="single" w:sz="8" w:color="auto"/>
              <w:bottom w:val="single" w:sz="8" w:color="auto"/>
            </w:tcBorders>
            <w:shd w:val="clear" w:color="auto" w:fill="E6E6E6"/>
          </w:tcPr>
          <w:p>
            <w:pPr>
              <w:jc w:val="right"/>
              <w:ind w:right="242"/>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E6E6E6"/>
              </w:rPr>
              <w:t>$</w:t>
            </w:r>
          </w:p>
        </w:tc>
        <w:tc>
          <w:tcPr>
            <w:tcW w:w="10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103.5</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Amount available based on borrowing limitations</w:t>
            </w:r>
          </w:p>
        </w:tc>
        <w:tc>
          <w:tcPr>
            <w:tcW w:w="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59.8</w:t>
            </w: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tcBorders>
              <w:bottom w:val="single" w:sz="8" w:color="auto"/>
            </w:tcBorders>
          </w:tcPr>
          <w:p>
            <w:pPr>
              <w:jc w:val="right"/>
              <w:ind w:right="242"/>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45.9</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Cash Flows and Liquidity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2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6"/>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40" w:type="dxa"/>
            <w:vAlign w:val="bottom"/>
            <w:tcBorders>
              <w:bottom w:val="single" w:sz="8" w:color="E6E6E6"/>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E6E6E6"/>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5"/>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operating cash flow provided by operating activities</w:t>
            </w: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29,649</w:t>
            </w:r>
          </w:p>
        </w:tc>
        <w:tc>
          <w:tcPr>
            <w:tcW w:w="24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13,298</w:t>
            </w:r>
          </w:p>
        </w:tc>
        <w:tc>
          <w:tcPr>
            <w:tcW w:w="240" w:type="dxa"/>
            <w:vAlign w:val="bottom"/>
            <w:shd w:val="clear" w:color="auto" w:fill="E6E6E6"/>
          </w:tcPr>
          <w:p>
            <w:pPr>
              <w:spacing w:after="0"/>
              <w:rPr>
                <w:sz w:val="18"/>
                <w:szCs w:val="18"/>
                <w:color w:val="auto"/>
              </w:rPr>
            </w:pPr>
          </w:p>
        </w:tc>
        <w:tc>
          <w:tcPr>
            <w:tcW w:w="360" w:type="dxa"/>
            <w:vAlign w:val="bottom"/>
            <w:shd w:val="clear" w:color="auto" w:fill="E6E6E6"/>
          </w:tcPr>
          <w:p>
            <w:pPr>
              <w:jc w:val="right"/>
              <w:ind w:right="1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4,421</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Net 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(48,257)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(2,083)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32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38,176</w:t>
            </w: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(15,556)</w:t>
            </w:r>
          </w:p>
        </w:tc>
        <w:tc>
          <w:tcPr>
            <w:tcW w:w="360" w:type="dxa"/>
            <w:vAlign w:val="bottom"/>
            <w:shd w:val="clear" w:color="auto" w:fill="E6E6E6"/>
          </w:tcPr>
          <w:p>
            <w:pPr>
              <w:spacing w:after="0"/>
              <w:rPr>
                <w:sz w:val="19"/>
                <w:szCs w:val="19"/>
                <w:color w:val="auto"/>
              </w:rPr>
            </w:pPr>
          </w:p>
        </w:tc>
        <w:tc>
          <w:tcPr>
            <w:tcW w:w="11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3,724</w:t>
            </w:r>
          </w:p>
        </w:tc>
        <w:tc>
          <w:tcPr>
            <w:tcW w:w="0" w:type="dxa"/>
            <w:vAlign w:val="bottom"/>
          </w:tcPr>
          <w:p>
            <w:pPr>
              <w:spacing w:after="0"/>
              <w:rPr>
                <w:sz w:val="1"/>
                <w:szCs w:val="1"/>
                <w:color w:val="auto"/>
              </w:rPr>
            </w:pPr>
          </w:p>
        </w:tc>
      </w:tr>
      <w:tr>
        <w:trPr>
          <w:trHeight w:val="225"/>
        </w:trPr>
        <w:tc>
          <w:tcPr>
            <w:tcW w:w="58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Effect of exchange rate changes on cash and cash equivalents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(4,978)</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(1,475)</w:t>
            </w:r>
          </w:p>
        </w:tc>
        <w:tc>
          <w:tcPr>
            <w:tcW w:w="360" w:type="dxa"/>
            <w:vAlign w:val="bottom"/>
          </w:tcPr>
          <w:p>
            <w:pPr>
              <w:spacing w:after="0"/>
              <w:rPr>
                <w:sz w:val="19"/>
                <w:szCs w:val="19"/>
                <w:color w:val="auto"/>
              </w:rPr>
            </w:pPr>
          </w:p>
        </w:tc>
        <w:tc>
          <w:tcPr>
            <w:tcW w:w="11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1,943</w:t>
            </w:r>
          </w:p>
        </w:tc>
        <w:tc>
          <w:tcPr>
            <w:tcW w:w="0" w:type="dxa"/>
            <w:vAlign w:val="bottom"/>
          </w:tcPr>
          <w:p>
            <w:pPr>
              <w:spacing w:after="0"/>
              <w:rPr>
                <w:sz w:val="1"/>
                <w:szCs w:val="1"/>
                <w:color w:val="auto"/>
              </w:rPr>
            </w:pPr>
          </w:p>
        </w:tc>
      </w:tr>
      <w:tr>
        <w:trPr>
          <w:trHeight w:val="235"/>
        </w:trPr>
        <w:tc>
          <w:tcPr>
            <w:tcW w:w="5840" w:type="dxa"/>
            <w:vAlign w:val="bottom"/>
            <w:tcBorders>
              <w:top w:val="single" w:sz="8" w:color="E6E6E6"/>
              <w:bottom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14,590</w:t>
            </w:r>
          </w:p>
        </w:tc>
        <w:tc>
          <w:tcPr>
            <w:tcW w:w="240" w:type="dxa"/>
            <w:vAlign w:val="bottom"/>
            <w:tcBorders>
              <w:top w:val="single" w:sz="8" w:color="E6E6E6"/>
              <w:bottom w:val="single" w:sz="8" w:color="E6E6E6"/>
            </w:tcBorders>
            <w:shd w:val="clear" w:color="auto" w:fill="E6E6E6"/>
          </w:tcPr>
          <w:p>
            <w:pPr>
              <w:spacing w:after="0"/>
              <w:rPr>
                <w:sz w:val="20"/>
                <w:szCs w:val="20"/>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(5,816)</w:t>
            </w:r>
          </w:p>
        </w:tc>
        <w:tc>
          <w:tcPr>
            <w:tcW w:w="240" w:type="dxa"/>
            <w:vAlign w:val="bottom"/>
            <w:tcBorders>
              <w:top w:val="single" w:sz="8" w:color="E6E6E6"/>
              <w:bottom w:val="single" w:sz="8" w:color="E6E6E6"/>
            </w:tcBorders>
            <w:shd w:val="clear" w:color="auto" w:fill="E6E6E6"/>
          </w:tcPr>
          <w:p>
            <w:pPr>
              <w:spacing w:after="0"/>
              <w:rPr>
                <w:sz w:val="20"/>
                <w:szCs w:val="20"/>
                <w:color w:val="auto"/>
              </w:rPr>
            </w:pPr>
          </w:p>
        </w:tc>
        <w:tc>
          <w:tcPr>
            <w:tcW w:w="360" w:type="dxa"/>
            <w:vAlign w:val="bottom"/>
            <w:tcBorders>
              <w:top w:val="single" w:sz="8" w:color="auto"/>
              <w:bottom w:val="single" w:sz="8" w:color="auto"/>
            </w:tcBorders>
            <w:shd w:val="clear" w:color="auto" w:fill="E6E6E6"/>
          </w:tcPr>
          <w:p>
            <w:pPr>
              <w:jc w:val="right"/>
              <w:ind w:right="1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853</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p>
      <w:pPr>
        <w:spacing w:after="0" w:line="23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In 2022, $29.6 million of cash was provided by operating activities compared with $13.3 million provided by operating activities in 2021, an increase of $16.3 million. Cash flow from operating activities in 2022 had a favorable impact year-over-year primarily due to increases in net earnings, partially offset by increases in net working capital.</w:t>
      </w:r>
    </w:p>
    <w:p>
      <w:pPr>
        <w:spacing w:after="0" w:line="187"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color w:val="auto"/>
        </w:rPr>
        <w:t>In 2021, $13.2 million of cash was provided by operating activities compared with $4.4 million in 2020, an increase of $8.8 million. Cash flow from operating activities in 2021 had a favorable impact year-over-year primarily due to certain improvements in net working capital, partially offset by decreases in net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p>
      <w:pPr>
        <w:spacing w:after="0" w:line="235"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In 2022, $48.3 million of cash was used in investing activities, which consisted of $44.9 for current year acquisitions and $3.4 million for acquisition of property and equipment.</w:t>
      </w:r>
    </w:p>
    <w:p>
      <w:pPr>
        <w:spacing w:after="0" w:line="170"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In 2021, $2.1 million of cash was used in investing activities, which consisted of $2.6 million for acquisition of property and equipment, offset by $0.5 million of proceeds from the disposal of assets held for sale.</w:t>
      </w:r>
    </w:p>
    <w:p>
      <w:pPr>
        <w:sectPr>
          <w:pgSz w:w="12240" w:h="15840" w:orient="portrait"/>
          <w:cols w:equalWidth="0" w:num="1">
            <w:col w:w="10600"/>
          </w:cols>
          <w:pgMar w:left="820" w:top="1069"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600"/>
          </w:cols>
          <w:pgMar w:left="820" w:top="1069" w:right="820" w:bottom="315"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p>
      <w:pPr>
        <w:spacing w:after="0" w:line="235"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Financing activities in 2022 provided cash of $38.2 million, which consisted primarily of $39.3 million net borrowings on our revolving credit line and $11.0 million borrowings of joint venture term debt, both of which were used to finance current year acquisitions. These were partially offset by $3.1 million paydown of our term debt, $7.0 million for the repurchase and retirement of our common stock, $1.4 million in distributions to non-controlling interest, and $0.6 million in payments on our capital leases.</w:t>
      </w:r>
    </w:p>
    <w:p>
      <w:pPr>
        <w:spacing w:after="0" w:line="1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Financing activities in 2021 used cash of $15.6 million, which consisted primarily of $5.7 million net payments on our revolving credit line, $2.7 million paydown of our term debt, $5.0 million for the repurchase and retirement of our common stock, $0.8 million in deferred financing fees paid, $0.8 million in earnout payments, and $0.6 million in payments on our capital leases.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9"/>
          <w:szCs w:val="19"/>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8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Our material cash requirements included (i) debt repayments under with respect to our Credit Facility and joint venture term debt,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87" w:lineRule="exact"/>
        <w:rPr>
          <w:sz w:val="20"/>
          <w:szCs w:val="20"/>
          <w:color w:val="auto"/>
        </w:rPr>
      </w:pPr>
    </w:p>
    <w:p>
      <w:pPr>
        <w:ind w:right="560"/>
        <w:spacing w:after="0" w:line="252" w:lineRule="auto"/>
        <w:rPr>
          <w:sz w:val="20"/>
          <w:szCs w:val="20"/>
          <w:color w:val="auto"/>
        </w:rPr>
      </w:pPr>
      <w:r>
        <w:rPr>
          <w:rFonts w:ascii="Times New Roman" w:cs="Times New Roman" w:eastAsia="Times New Roman" w:hAnsi="Times New Roman"/>
          <w:sz w:val="20"/>
          <w:szCs w:val="20"/>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2022:</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vMerge w:val="restart"/>
          </w:tcPr>
          <w:p>
            <w:pPr>
              <w:jc w:val="right"/>
              <w:ind w:right="24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47"/>
              <w:spacing w:after="0" w:line="153" w:lineRule="exact"/>
              <w:rPr>
                <w:sz w:val="20"/>
                <w:szCs w:val="20"/>
                <w:color w:val="auto"/>
              </w:rPr>
            </w:pPr>
            <w:r>
              <w:rPr>
                <w:rFonts w:ascii="Times New Roman" w:cs="Times New Roman" w:eastAsia="Times New Roman" w:hAnsi="Times New Roman"/>
                <w:sz w:val="16"/>
                <w:szCs w:val="16"/>
                <w:b w:val="1"/>
                <w:bCs w:val="1"/>
                <w:color w:val="auto"/>
                <w:w w:val="98"/>
              </w:rPr>
              <w:t>Less than 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24"/>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00" w:type="dxa"/>
            <w:vAlign w:val="bottom"/>
          </w:tcPr>
          <w:p>
            <w:pPr>
              <w:spacing w:after="0"/>
              <w:rPr>
                <w:sz w:val="13"/>
                <w:szCs w:val="13"/>
                <w:color w:val="auto"/>
              </w:rPr>
            </w:pPr>
          </w:p>
        </w:tc>
        <w:tc>
          <w:tcPr>
            <w:tcW w:w="920" w:type="dxa"/>
            <w:vAlign w:val="bottom"/>
            <w:gridSpan w:val="2"/>
          </w:tcPr>
          <w:p>
            <w:pPr>
              <w:jc w:val="center"/>
              <w:ind w:right="140"/>
              <w:spacing w:after="0" w:line="153" w:lineRule="exact"/>
              <w:rPr>
                <w:sz w:val="20"/>
                <w:szCs w:val="20"/>
                <w:color w:val="auto"/>
              </w:rPr>
            </w:pPr>
            <w:r>
              <w:rPr>
                <w:rFonts w:ascii="Times New Roman" w:cs="Times New Roman" w:eastAsia="Times New Roman" w:hAnsi="Times New Roman"/>
                <w:sz w:val="16"/>
                <w:szCs w:val="16"/>
                <w:b w:val="1"/>
                <w:bCs w:val="1"/>
                <w:color w:val="auto"/>
                <w:w w:val="96"/>
              </w:rPr>
              <w:t>More than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4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year</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5 years</w:t>
            </w:r>
          </w:p>
        </w:tc>
        <w:tc>
          <w:tcPr>
            <w:tcW w:w="0" w:type="dxa"/>
            <w:vAlign w:val="bottom"/>
          </w:tcPr>
          <w:p>
            <w:pPr>
              <w:spacing w:after="0"/>
              <w:rPr>
                <w:sz w:val="1"/>
                <w:szCs w:val="1"/>
                <w:color w:val="auto"/>
              </w:rPr>
            </w:pPr>
          </w:p>
        </w:tc>
      </w:tr>
      <w:tr>
        <w:trPr>
          <w:trHeight w:val="215"/>
        </w:trPr>
        <w:tc>
          <w:tcPr>
            <w:tcW w:w="44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Term Loan Debt, including joint venture debt</w:t>
            </w: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6E6E6"/>
              </w:rPr>
              <w:t>$</w:t>
            </w: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E6E6E6"/>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51,392</w:t>
            </w:r>
          </w:p>
        </w:tc>
        <w:tc>
          <w:tcPr>
            <w:tcW w:w="2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E6E6E6"/>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3,579</w:t>
            </w:r>
          </w:p>
        </w:tc>
        <w:tc>
          <w:tcPr>
            <w:tcW w:w="2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E6E6E6"/>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10,093</w:t>
            </w:r>
          </w:p>
        </w:tc>
        <w:tc>
          <w:tcPr>
            <w:tcW w:w="2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E6E6E6"/>
            </w:tcBorders>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37,720</w:t>
            </w:r>
          </w:p>
        </w:tc>
        <w:tc>
          <w:tcPr>
            <w:tcW w:w="2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E6E6E6"/>
            </w:tcBorders>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8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Revolving Credit Loan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61,300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61,300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Interest expense (estimated)</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25,438</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7,508</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14,145</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100" w:type="dxa"/>
            <w:vAlign w:val="bottom"/>
            <w:gridSpan w:val="3"/>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3,785</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20" w:type="dxa"/>
            <w:vAlign w:val="bottom"/>
            <w:gridSpan w:val="3"/>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4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Purchase obligations (1)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131,225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131,225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020" w:type="dxa"/>
            <w:vAlign w:val="bottom"/>
            <w:gridSpan w:val="3"/>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4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Operating lease obligations</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12,861</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3,405</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5,354</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100" w:type="dxa"/>
            <w:vAlign w:val="bottom"/>
            <w:gridSpan w:val="3"/>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2,211</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20" w:type="dxa"/>
            <w:vAlign w:val="bottom"/>
            <w:gridSpan w:val="3"/>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1,891</w:t>
            </w:r>
          </w:p>
        </w:tc>
        <w:tc>
          <w:tcPr>
            <w:tcW w:w="0" w:type="dxa"/>
            <w:vAlign w:val="bottom"/>
          </w:tcPr>
          <w:p>
            <w:pPr>
              <w:spacing w:after="0"/>
              <w:rPr>
                <w:sz w:val="1"/>
                <w:szCs w:val="1"/>
                <w:color w:val="auto"/>
              </w:rPr>
            </w:pPr>
          </w:p>
        </w:tc>
      </w:tr>
      <w:tr>
        <w:trPr>
          <w:trHeight w:val="225"/>
        </w:trPr>
        <w:tc>
          <w:tcPr>
            <w:tcW w:w="44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Capital lease obligations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7,316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907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1,868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1,944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2,597</w:t>
            </w:r>
          </w:p>
        </w:tc>
        <w:tc>
          <w:tcPr>
            <w:tcW w:w="0" w:type="dxa"/>
            <w:vAlign w:val="bottom"/>
          </w:tcPr>
          <w:p>
            <w:pPr>
              <w:spacing w:after="0"/>
              <w:rPr>
                <w:sz w:val="1"/>
                <w:szCs w:val="1"/>
                <w:color w:val="auto"/>
              </w:rPr>
            </w:pPr>
          </w:p>
        </w:tc>
      </w:tr>
      <w:tr>
        <w:trPr>
          <w:trHeight w:val="225"/>
        </w:trPr>
        <w:tc>
          <w:tcPr>
            <w:tcW w:w="44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Liabilities related to acquisitions (2)</w:t>
            </w: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2,700</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1,200</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1,500</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120" w:type="dxa"/>
            <w:vAlign w:val="bottom"/>
            <w:gridSpan w:val="4"/>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19"/>
                <w:szCs w:val="19"/>
                <w:color w:val="auto"/>
              </w:rPr>
            </w:pPr>
          </w:p>
        </w:tc>
        <w:tc>
          <w:tcPr>
            <w:tcW w:w="1020" w:type="dxa"/>
            <w:vAlign w:val="bottom"/>
            <w:gridSpan w:val="3"/>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5"/>
        </w:trPr>
        <w:tc>
          <w:tcPr>
            <w:tcW w:w="4480" w:type="dxa"/>
            <w:vAlign w:val="bottom"/>
          </w:tcPr>
          <w:p>
            <w:pPr>
              <w:ind w:left="160"/>
              <w:spacing w:after="0" w:line="215" w:lineRule="exact"/>
              <w:rPr>
                <w:sz w:val="20"/>
                <w:szCs w:val="20"/>
                <w:color w:val="auto"/>
              </w:rPr>
            </w:pPr>
            <w:r>
              <w:rPr>
                <w:rFonts w:ascii="Times New Roman" w:cs="Times New Roman" w:eastAsia="Times New Roman" w:hAnsi="Times New Roman"/>
                <w:sz w:val="20"/>
                <w:szCs w:val="20"/>
                <w:color w:val="auto"/>
              </w:rPr>
              <w:t>Totals</w:t>
            </w:r>
          </w:p>
        </w:tc>
        <w:tc>
          <w:tcPr>
            <w:tcW w:w="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292,232</w:t>
            </w:r>
          </w:p>
        </w:tc>
        <w:tc>
          <w:tcPr>
            <w:tcW w:w="20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147,824</w:t>
            </w:r>
          </w:p>
        </w:tc>
        <w:tc>
          <w:tcPr>
            <w:tcW w:w="20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32,960</w:t>
            </w:r>
          </w:p>
        </w:tc>
        <w:tc>
          <w:tcPr>
            <w:tcW w:w="22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106,960</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4,488</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Primarily consists of purchase obligations for costs associated with uncompleted sales contracts.</w:t>
      </w:r>
    </w:p>
    <w:p>
      <w:pPr>
        <w:spacing w:after="0" w:line="23"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notes payable and expected earnout liability.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9"/>
          <w:szCs w:val="19"/>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2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warranties,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600"/>
          </w:cols>
          <w:pgMar w:left="820" w:top="1065" w:right="820" w:bottom="315"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22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8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9"/>
          <w:szCs w:val="19"/>
          <w:color w:val="auto"/>
        </w:rPr>
        <w:t>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8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20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Provisions for estimated losses on uncompleted contracts are made in the period in which such losses are determined. No provision for estimated losses on uncompleted contracts was needed at December 31, 2022, 2021 and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2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Long-lived assets</w:t>
      </w:r>
    </w:p>
    <w:p>
      <w:pPr>
        <w:spacing w:after="0" w:line="22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99" w:lineRule="exact"/>
        <w:rPr>
          <w:sz w:val="20"/>
          <w:szCs w:val="20"/>
          <w:color w:val="auto"/>
        </w:rPr>
      </w:pPr>
    </w:p>
    <w:p>
      <w:pPr>
        <w:ind w:right="500"/>
        <w:spacing w:after="0" w:line="252" w:lineRule="auto"/>
        <w:rPr>
          <w:sz w:val="20"/>
          <w:szCs w:val="20"/>
          <w:color w:val="auto"/>
        </w:rPr>
      </w:pPr>
      <w:r>
        <w:rPr>
          <w:rFonts w:ascii="Times New Roman" w:cs="Times New Roman" w:eastAsia="Times New Roman" w:hAnsi="Times New Roman"/>
          <w:sz w:val="20"/>
          <w:szCs w:val="20"/>
          <w:color w:val="auto"/>
        </w:rPr>
        <w:t>During 2022 and 2021, our annual impairment test indicated no impairment of our indefinite-lived tradenames. Accordingly, we recognized no impairment charges in our financial results for the years ended December 31, 2022 and 2021, respectively. For additional information on impairment testing results, see Note 6 to the Consolidated Financial Statements.</w:t>
      </w:r>
    </w:p>
    <w:p>
      <w:pPr>
        <w:sectPr>
          <w:pgSz w:w="12240" w:h="15840" w:orient="portrait"/>
          <w:cols w:equalWidth="0" w:num="1">
            <w:col w:w="10580"/>
          </w:cols>
          <w:pgMar w:left="820" w:top="1073" w:right="840" w:bottom="315"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580"/>
          </w:cols>
          <w:pgMar w:left="820" w:top="1073" w:right="840" w:bottom="31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20"/>
          <w:szCs w:val="20"/>
          <w:i w:val="1"/>
          <w:iCs w:val="1"/>
          <w:color w:val="auto"/>
        </w:rPr>
        <w:t>Goodwill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2022. For additional information on goodwill impairment testing results, see Note 6 to the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227" w:lineRule="exact"/>
        <w:rPr>
          <w:sz w:val="20"/>
          <w:szCs w:val="20"/>
          <w:color w:val="auto"/>
        </w:rPr>
      </w:pPr>
    </w:p>
    <w:p>
      <w:pPr>
        <w:jc w:val="both"/>
        <w:ind w:right="660"/>
        <w:spacing w:after="0" w:line="252" w:lineRule="auto"/>
        <w:rPr>
          <w:sz w:val="20"/>
          <w:szCs w:val="20"/>
          <w:color w:val="auto"/>
        </w:rPr>
      </w:pPr>
      <w:r>
        <w:rPr>
          <w:rFonts w:ascii="Times New Roman" w:cs="Times New Roman" w:eastAsia="Times New Roman" w:hAnsi="Times New Roman"/>
          <w:sz w:val="20"/>
          <w:szCs w:val="20"/>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4"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0"/>
          <w:szCs w:val="2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9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203"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ectPr>
          <w:pgSz w:w="12240" w:h="15840" w:orient="portrait"/>
          <w:cols w:equalWidth="0" w:num="1">
            <w:col w:w="10580"/>
          </w:cols>
          <w:pgMar w:left="820" w:top="1073" w:right="840" w:bottom="31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580"/>
          </w:cols>
          <w:pgMar w:left="820" w:top="1073" w:right="840" w:bottom="31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0"/>
          <w:szCs w:val="20"/>
          <w:i w:val="1"/>
          <w:iCs w:val="1"/>
          <w:color w:val="auto"/>
        </w:rPr>
        <w:t>Other significant accounting policies</w:t>
      </w:r>
    </w:p>
    <w:p>
      <w:pPr>
        <w:spacing w:after="0" w:line="227" w:lineRule="exact"/>
        <w:rPr>
          <w:sz w:val="20"/>
          <w:szCs w:val="20"/>
          <w:color w:val="auto"/>
        </w:rPr>
      </w:pPr>
    </w:p>
    <w:p>
      <w:pPr>
        <w:ind w:right="660"/>
        <w:spacing w:after="0" w:line="246" w:lineRule="auto"/>
        <w:rPr>
          <w:sz w:val="20"/>
          <w:szCs w:val="20"/>
          <w:color w:val="auto"/>
        </w:rPr>
      </w:pPr>
      <w:r>
        <w:rPr>
          <w:rFonts w:ascii="Times New Roman" w:cs="Times New Roman" w:eastAsia="Times New Roman" w:hAnsi="Times New Roman"/>
          <w:sz w:val="20"/>
          <w:szCs w:val="20"/>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23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For information regarding recent accounting pronouncements, see Note 1 to the Consolidated Financial Statements included in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The amount of interest expense may increase because a substantial portion of our borrowings is at variable rates of interest, which, if interest rates increase, could result in higher interest expense. We do not currently hold any derivatives or other financial instruments purely for trading or speculative purposes.</w:t>
      </w:r>
    </w:p>
    <w:p>
      <w:pPr>
        <w:spacing w:after="0" w:line="19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carrying value of the Company’s total long-term debt and current maturities of long-term debt at December 31, 2022 was $112.7 million. Market risk was estimated as the potential decrease (increase) in future earnings and cash flows resulting from a hypothetical 10% increase (decrease) in the Company’s estimated weighted average borrowing rate at December 31, 2022. Most of the interest on the Company’s debt is indexed to SOFR market rates. The estimated annual impact of a hypothetical 10% change in the estimated weighted average borrowing rate at December 31, 2022 is $0.8 million.</w:t>
      </w:r>
    </w:p>
    <w:p>
      <w:pPr>
        <w:spacing w:after="0" w:line="19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The Company has wholly-owned subsidiaries in several countries, including in the Netherlands, Canada, the People’s Republic of China, United Kingdom, Singapore, India, United Arab Emirates and South Korea. In the past, we have not hedged our foreign currency exposure. Future changes in exchange rates may positively or negatively impact our revenues, operating expenses and earnings. Transaction gains (losses) included in “Other income (expense), net” line of the Consolidated Statements of Income were $6.3 million, $(3.1) million and $1.3 million in 2022, 2021 and 2020, respectively.</w:t>
      </w:r>
    </w:p>
    <w:p>
      <w:pPr>
        <w:sectPr>
          <w:pgSz w:w="12240" w:h="15840" w:orient="portrait"/>
          <w:cols w:equalWidth="0" w:num="1">
            <w:col w:w="10480"/>
          </w:cols>
          <w:pgMar w:left="820" w:top="1073" w:right="9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80"/>
          </w:cols>
          <w:pgMar w:left="820" w:top="1073" w:right="940" w:bottom="31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Consolidated Financial Statements of CECO Environmental Corp. and subsidiaries for the years ended December 31, 2022, 2021 and 2020 and other data are included in this report following the signature page of this report and incorporated into this Item 8 by reference:</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(BDO USA, LLP, Cincinnati, Ohio, PCAOB #243)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F-1</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F-3</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Income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F-4</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Income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F-5</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w w:val="99"/>
              </w:rPr>
              <w:t>Consolidated Statements of Shareholders’ Equity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F-6</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F-7</w:t>
            </w:r>
          </w:p>
        </w:tc>
      </w:tr>
      <w:tr>
        <w:trPr>
          <w:trHeight w:val="240"/>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F-8</w:t>
            </w:r>
          </w:p>
        </w:tc>
      </w:tr>
      <w:tr>
        <w:trPr>
          <w:trHeight w:val="263"/>
        </w:trPr>
        <w:tc>
          <w:tcPr>
            <w:tcW w:w="100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for the Years Ended December 31, 2022, 2021 and 2020.......................................</w:t>
            </w:r>
          </w:p>
        </w:tc>
        <w:tc>
          <w:tcPr>
            <w:tcW w:w="5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86"/>
              </w:rPr>
              <w:t>F-9</w:t>
            </w:r>
          </w:p>
        </w:tc>
      </w:tr>
    </w:tbl>
    <w:p>
      <w:pPr>
        <w:spacing w:after="0" w:line="316" w:lineRule="exact"/>
        <w:rPr>
          <w:sz w:val="20"/>
          <w:szCs w:val="20"/>
          <w:color w:val="auto"/>
        </w:rPr>
      </w:pPr>
    </w:p>
    <w:p>
      <w:pPr>
        <w:ind w:right="2460"/>
        <w:spacing w:after="0" w:line="480" w:lineRule="auto"/>
        <w:rPr>
          <w:sz w:val="20"/>
          <w:szCs w:val="20"/>
          <w:color w:val="auto"/>
        </w:rPr>
      </w:pPr>
      <w:r>
        <w:rPr>
          <w:rFonts w:ascii="Times New Roman" w:cs="Times New Roman" w:eastAsia="Times New Roman" w:hAnsi="Times New Roman"/>
          <w:sz w:val="20"/>
          <w:szCs w:val="20"/>
          <w:b w:val="1"/>
          <w:bCs w:val="1"/>
          <w:color w:val="auto"/>
        </w:rPr>
        <w:t xml:space="preserve">Item 9. Changes in and Disagreements with Accountants on Accounting and Financial Disclosure </w:t>
      </w:r>
      <w:r>
        <w:rPr>
          <w:rFonts w:ascii="Times New Roman" w:cs="Times New Roman" w:eastAsia="Times New Roman" w:hAnsi="Times New Roman"/>
          <w:sz w:val="20"/>
          <w:szCs w:val="20"/>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3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2022. Based on that evaluation, our management, including our Chief Executive Officer and Chief Financial Officer, concluded that our disclosure controls and procedures were effective as of December 31, 2022.</w:t>
      </w:r>
    </w:p>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2022, based on the criteria set forth in Internal Control – Integrated Framework (2013) (the “Framework”) issued by the Committee of Sponsoring Organizations of the Treadway Commission (“COSO”). Based on this assessment, management concluded that, as of December 31, 2022, its internal control over financial reporting was effective based on the Framework.</w:t>
      </w:r>
    </w:p>
    <w:p>
      <w:pPr>
        <w:spacing w:after="0" w:line="203"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ectPr>
          <w:pgSz w:w="12240" w:h="15840" w:orient="portrait"/>
          <w:cols w:equalWidth="0" w:num="1">
            <w:col w:w="10580"/>
          </w:cols>
          <w:pgMar w:left="820" w:top="1065" w:right="840" w:bottom="315"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580"/>
          </w:cols>
          <w:pgMar w:left="820" w:top="1065" w:right="840" w:bottom="315" w:gutter="0" w:footer="0" w:header="0"/>
          <w:type w:val="continuous"/>
        </w:sectPr>
      </w:pPr>
    </w:p>
    <w:bookmarkStart w:id="51" w:name="page52"/>
    <w:bookmarkEnd w:id="51"/>
    <w:p>
      <w:pPr>
        <w:ind w:right="140"/>
        <w:spacing w:after="0" w:line="269" w:lineRule="auto"/>
        <w:rPr>
          <w:sz w:val="20"/>
          <w:szCs w:val="20"/>
          <w:color w:val="auto"/>
        </w:rPr>
      </w:pPr>
      <w:r>
        <w:rPr>
          <w:rFonts w:ascii="Times New Roman" w:cs="Times New Roman" w:eastAsia="Times New Roman" w:hAnsi="Times New Roman"/>
          <w:sz w:val="20"/>
          <w:szCs w:val="20"/>
          <w:color w:val="auto"/>
        </w:rPr>
        <w:t>Item 9A includes the audit report of BDO USA, LLP on the Company’s internal control over financial reporting as of December 31,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 13a-15(f) of the Exchange Act) during the fiscal quarter ended December 31, 2022 that have materially affected, or are reasonably likely to materially affect, our internal control over financial reporting.</w:t>
      </w:r>
    </w:p>
    <w:p>
      <w:pPr>
        <w:sectPr>
          <w:pgSz w:w="12240" w:h="15840" w:orient="portrait"/>
          <w:cols w:equalWidth="0" w:num="1">
            <w:col w:w="10520"/>
          </w:cols>
          <w:pgMar w:left="820" w:top="1069" w:right="90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520"/>
          </w:cols>
          <w:pgMar w:left="820" w:top="1069" w:right="900" w:bottom="31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Shareholders and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CECO Environmental Corp. and Subsidiaries</w:t>
      </w:r>
    </w:p>
    <w:p>
      <w:pPr>
        <w:spacing w:after="0"/>
        <w:rPr>
          <w:sz w:val="20"/>
          <w:szCs w:val="20"/>
          <w:color w:val="auto"/>
        </w:rPr>
      </w:pPr>
      <w:r>
        <w:rPr>
          <w:rFonts w:ascii="Times New Roman" w:cs="Times New Roman" w:eastAsia="Times New Roman" w:hAnsi="Times New Roman"/>
          <w:sz w:val="19"/>
          <w:szCs w:val="19"/>
          <w:color w:val="auto"/>
        </w:rPr>
        <w:t>Dallas, Texas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 on Internal Control over Financial Reporting</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9"/>
          <w:szCs w:val="19"/>
          <w:color w:val="auto"/>
        </w:rPr>
        <w:t xml:space="preserve">We have audited CECO Environmental Corp. and Subsidiaries’ (the “Company’s”) internal control over financial reporting as of December 31, 2022, based on criteria established in </w:t>
      </w:r>
      <w:r>
        <w:rPr>
          <w:rFonts w:ascii="Times New Roman" w:cs="Times New Roman" w:eastAsia="Times New Roman" w:hAnsi="Times New Roman"/>
          <w:sz w:val="19"/>
          <w:szCs w:val="19"/>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(the “COSO criteria”). In our opinion, the Company maintained, in all material respects, effective internal control over financial reporting as of December 31, 2022, based on the COSO criteria</w:t>
      </w:r>
      <w:r>
        <w:rPr>
          <w:rFonts w:ascii="Times New Roman" w:cs="Times New Roman" w:eastAsia="Times New Roman" w:hAnsi="Times New Roman"/>
          <w:sz w:val="19"/>
          <w:szCs w:val="19"/>
          <w:i w:val="1"/>
          <w:iCs w:val="1"/>
          <w:color w:val="auto"/>
        </w:rPr>
        <w: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2022 and 2021, the related consolidated statements of income and comprehensive income, shareholders’ equity and accumulated other comprehensive loss, and cash flows for each of the three years in the period ended December 31, 2022, and the related notes and our report dated March 6, 2023, expressed an unqualified opinion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Cincinnati, Ohio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6, 2023</w:t>
      </w:r>
    </w:p>
    <w:p>
      <w:pPr>
        <w:sectPr>
          <w:pgSz w:w="12240" w:h="15840" w:orient="portrait"/>
          <w:cols w:equalWidth="0" w:num="1">
            <w:col w:w="10600"/>
          </w:cols>
          <w:pgMar w:left="820" w:top="1067"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600"/>
          </w:cols>
          <w:pgMar w:left="820" w:top="1067" w:right="820" w:bottom="315" w:gutter="0" w:footer="0" w:header="0"/>
          <w:type w:val="continuous"/>
        </w:sectPr>
      </w:pPr>
    </w:p>
    <w:bookmarkStart w:id="53" w:name="page54"/>
    <w:bookmarkEnd w:id="5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80"/>
          </w:cols>
          <w:pgMar w:left="820" w:top="1440" w:right="14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80"/>
          </w:cols>
          <w:pgMar w:left="820" w:top="1440" w:right="1440" w:bottom="315" w:gutter="0" w:footer="0" w:header="0"/>
          <w:type w:val="continuous"/>
        </w:sectPr>
      </w:pPr>
    </w:p>
    <w:bookmarkStart w:id="54" w:name="page55"/>
    <w:bookmarkEnd w:id="54"/>
    <w:p>
      <w:pPr>
        <w:ind w:left="49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17" w:lineRule="exact"/>
        <w:rPr>
          <w:sz w:val="20"/>
          <w:szCs w:val="20"/>
          <w:color w:val="auto"/>
        </w:rPr>
      </w:pPr>
    </w:p>
    <w:p>
      <w:pPr>
        <w:ind w:left="20" w:right="20"/>
        <w:spacing w:after="0" w:line="246" w:lineRule="auto"/>
        <w:rPr>
          <w:sz w:val="20"/>
          <w:szCs w:val="20"/>
          <w:color w:val="auto"/>
        </w:rPr>
      </w:pPr>
      <w:r>
        <w:rPr>
          <w:rFonts w:ascii="Times New Roman" w:cs="Times New Roman" w:eastAsia="Times New Roman" w:hAnsi="Times New Roman"/>
          <w:sz w:val="20"/>
          <w:szCs w:val="20"/>
          <w:color w:val="auto"/>
        </w:rPr>
        <w:t>The information called for by this Item 10 of Part III of Form 10-K is incorporated by reference to the information set forth in our definitive proxy statement relating to our 2023 Annual Meeting of Stockholders to be filed pursuant to Regulation 14A under the Exchange Act within 120 days from December 31, 2022 (the “Proxy Statement”). Reference is also made to the information appearing in Item 1 of Part I of this Annual Report on Form 10-K under the caption “Business— Executive Officers of CECO.”</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information called for by this Item 11 of Part III of Form 10-K is incorporated by reference to the Proxy Statement.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information called for by this Item 12 of Part III of Form 10-K will be incorporated by reference to the Proxy Statement.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Number of securities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remaining available for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securities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vMerge w:val="restart"/>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future issuance under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equity compensation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to be issued upon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tcPr>
          <w:p>
            <w:pPr>
              <w:jc w:val="center"/>
              <w:ind w:right="131"/>
              <w:spacing w:after="0" w:line="181" w:lineRule="exact"/>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plans (excluding</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exercise of outstanding</w:t>
            </w:r>
          </w:p>
        </w:tc>
        <w:tc>
          <w:tcPr>
            <w:tcW w:w="100" w:type="dxa"/>
            <w:vAlign w:val="bottom"/>
          </w:tcPr>
          <w:p>
            <w:pPr>
              <w:spacing w:after="0"/>
              <w:rPr>
                <w:sz w:val="15"/>
                <w:szCs w:val="15"/>
                <w:color w:val="auto"/>
              </w:rPr>
            </w:pPr>
          </w:p>
        </w:tc>
        <w:tc>
          <w:tcPr>
            <w:tcW w:w="21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outstanding options and rights,</w:t>
            </w:r>
          </w:p>
        </w:tc>
        <w:tc>
          <w:tcPr>
            <w:tcW w:w="6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securities reflected in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40" w:type="dxa"/>
            <w:vAlign w:val="bottom"/>
            <w:tcBorders>
              <w:bottom w:val="single" w:sz="8" w:color="E6E6E6"/>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options and rights</w:t>
            </w:r>
          </w:p>
        </w:tc>
        <w:tc>
          <w:tcPr>
            <w:tcW w:w="10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compensation plans</w:t>
            </w:r>
          </w:p>
        </w:tc>
        <w:tc>
          <w:tcPr>
            <w:tcW w:w="60" w:type="dxa"/>
            <w:vAlign w:val="bottom"/>
            <w:tcBorders>
              <w:bottom w:val="single" w:sz="8" w:color="E6E6E6"/>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column (a))</w:t>
            </w:r>
          </w:p>
        </w:tc>
        <w:tc>
          <w:tcPr>
            <w:tcW w:w="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shd w:val="clear" w:color="auto" w:fill="E6E6E6"/>
          </w:tcPr>
          <w:p>
            <w:pPr>
              <w:spacing w:after="0" w:line="196" w:lineRule="exact"/>
              <w:rPr>
                <w:sz w:val="20"/>
                <w:szCs w:val="20"/>
                <w:color w:val="auto"/>
              </w:rPr>
            </w:pPr>
            <w:r>
              <w:rPr>
                <w:rFonts w:ascii="Times New Roman" w:cs="Times New Roman" w:eastAsia="Times New Roman" w:hAnsi="Times New Roman"/>
                <w:sz w:val="20"/>
                <w:szCs w:val="20"/>
                <w:color w:val="auto"/>
              </w:rPr>
              <w:t>Equity compensation plans approved by security</w:t>
            </w:r>
          </w:p>
        </w:tc>
        <w:tc>
          <w:tcPr>
            <w:tcW w:w="40" w:type="dxa"/>
            <w:vAlign w:val="bottom"/>
            <w:shd w:val="clear" w:color="auto" w:fill="E6E6E6"/>
          </w:tcPr>
          <w:p>
            <w:pPr>
              <w:spacing w:after="0"/>
              <w:rPr>
                <w:sz w:val="17"/>
                <w:szCs w:val="17"/>
                <w:color w:val="auto"/>
              </w:rPr>
            </w:pPr>
          </w:p>
        </w:tc>
        <w:tc>
          <w:tcPr>
            <w:tcW w:w="15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86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56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40" w:type="dxa"/>
            <w:vAlign w:val="bottom"/>
            <w:gridSpan w:val="3"/>
            <w:shd w:val="clear" w:color="auto" w:fill="E6E6E6"/>
          </w:tcPr>
          <w:p>
            <w:pPr>
              <w:ind w:left="160"/>
              <w:spacing w:after="0"/>
              <w:rPr>
                <w:sz w:val="20"/>
                <w:szCs w:val="20"/>
                <w:color w:val="auto"/>
              </w:rPr>
            </w:pPr>
            <w:r>
              <w:rPr>
                <w:rFonts w:ascii="Times New Roman" w:cs="Times New Roman" w:eastAsia="Times New Roman" w:hAnsi="Times New Roman"/>
                <w:sz w:val="20"/>
                <w:szCs w:val="20"/>
                <w:color w:val="auto"/>
              </w:rPr>
              <w:t>holders</w:t>
            </w:r>
          </w:p>
        </w:tc>
        <w:tc>
          <w:tcPr>
            <w:tcW w:w="40" w:type="dxa"/>
            <w:vAlign w:val="bottom"/>
            <w:shd w:val="clear" w:color="auto" w:fill="E6E6E6"/>
          </w:tcPr>
          <w:p>
            <w:pPr>
              <w:spacing w:after="0"/>
              <w:rPr>
                <w:sz w:val="21"/>
                <w:szCs w:val="21"/>
                <w:color w:val="auto"/>
              </w:rPr>
            </w:pPr>
          </w:p>
        </w:tc>
        <w:tc>
          <w:tcPr>
            <w:tcW w:w="15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86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1560" w:type="dxa"/>
            <w:vAlign w:val="bottom"/>
            <w:shd w:val="clear" w:color="auto" w:fill="E6E6E6"/>
          </w:tcPr>
          <w:p>
            <w:pPr>
              <w:spacing w:after="0"/>
              <w:rPr>
                <w:sz w:val="21"/>
                <w:szCs w:val="21"/>
                <w:color w:val="auto"/>
              </w:rPr>
            </w:pPr>
          </w:p>
        </w:tc>
        <w:tc>
          <w:tcPr>
            <w:tcW w:w="4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w w:val="99"/>
              </w:rPr>
              <w:t>2007</w:t>
            </w:r>
          </w:p>
        </w:tc>
        <w:tc>
          <w:tcPr>
            <w:tcW w:w="452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20"/>
                <w:szCs w:val="20"/>
                <w:color w:val="auto"/>
              </w:rPr>
              <w:t xml:space="preserve">Equity Incentive Plan </w:t>
            </w:r>
            <w:r>
              <w:rPr>
                <w:rFonts w:ascii="Times New Roman" w:cs="Times New Roman" w:eastAsia="Times New Roman" w:hAnsi="Times New Roman"/>
                <w:sz w:val="25"/>
                <w:szCs w:val="25"/>
                <w:color w:val="auto"/>
                <w:vertAlign w:val="superscript"/>
              </w:rPr>
              <w:t>1</w:t>
            </w:r>
          </w:p>
        </w:tc>
        <w:tc>
          <w:tcPr>
            <w:tcW w:w="40" w:type="dxa"/>
            <w:vAlign w:val="bottom"/>
          </w:tcPr>
          <w:p>
            <w:pPr>
              <w:spacing w:after="0"/>
              <w:rPr>
                <w:sz w:val="19"/>
                <w:szCs w:val="19"/>
                <w:color w:val="auto"/>
              </w:rPr>
            </w:pPr>
          </w:p>
        </w:tc>
        <w:tc>
          <w:tcPr>
            <w:tcW w:w="15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225,000</w:t>
            </w:r>
          </w:p>
        </w:tc>
        <w:tc>
          <w:tcPr>
            <w:tcW w:w="100" w:type="dxa"/>
            <w:vAlign w:val="bottom"/>
          </w:tcPr>
          <w:p>
            <w:pPr>
              <w:spacing w:after="0"/>
              <w:rPr>
                <w:sz w:val="19"/>
                <w:szCs w:val="19"/>
                <w:color w:val="auto"/>
              </w:rPr>
            </w:pPr>
          </w:p>
        </w:tc>
        <w:tc>
          <w:tcPr>
            <w:tcW w:w="240" w:type="dxa"/>
            <w:vAlign w:val="bottom"/>
          </w:tcPr>
          <w:p>
            <w:pPr>
              <w:jc w:val="right"/>
              <w:ind w:right="5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12.57</w:t>
            </w:r>
          </w:p>
        </w:tc>
        <w:tc>
          <w:tcPr>
            <w:tcW w:w="60" w:type="dxa"/>
            <w:vAlign w:val="bottom"/>
          </w:tcPr>
          <w:p>
            <w:pPr>
              <w:spacing w:after="0"/>
              <w:rPr>
                <w:sz w:val="19"/>
                <w:szCs w:val="19"/>
                <w:color w:val="auto"/>
              </w:rPr>
            </w:pPr>
          </w:p>
        </w:tc>
        <w:tc>
          <w:tcPr>
            <w:tcW w:w="15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w w:val="99"/>
              </w:rPr>
              <w:t>2017</w:t>
            </w:r>
          </w:p>
        </w:tc>
        <w:tc>
          <w:tcPr>
            <w:tcW w:w="4520" w:type="dxa"/>
            <w:vAlign w:val="bottom"/>
            <w:gridSpan w:val="2"/>
            <w:shd w:val="clear" w:color="auto" w:fill="E6E6E6"/>
          </w:tcPr>
          <w:p>
            <w:pPr>
              <w:ind w:left="20"/>
              <w:spacing w:after="0" w:line="226" w:lineRule="exact"/>
              <w:rPr>
                <w:sz w:val="20"/>
                <w:szCs w:val="20"/>
                <w:color w:val="auto"/>
              </w:rPr>
            </w:pPr>
            <w:r>
              <w:rPr>
                <w:rFonts w:ascii="Times New Roman" w:cs="Times New Roman" w:eastAsia="Times New Roman" w:hAnsi="Times New Roman"/>
                <w:sz w:val="20"/>
                <w:szCs w:val="20"/>
                <w:color w:val="auto"/>
              </w:rPr>
              <w:t xml:space="preserve">Equity and Incentive Plan </w:t>
            </w:r>
            <w:r>
              <w:rPr>
                <w:rFonts w:ascii="Times New Roman" w:cs="Times New Roman" w:eastAsia="Times New Roman" w:hAnsi="Times New Roman"/>
                <w:sz w:val="25"/>
                <w:szCs w:val="25"/>
                <w:color w:val="auto"/>
                <w:vertAlign w:val="superscript"/>
              </w:rPr>
              <w:t>2</w:t>
            </w:r>
          </w:p>
        </w:tc>
        <w:tc>
          <w:tcPr>
            <w:tcW w:w="160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405,469</w:t>
            </w:r>
          </w:p>
        </w:tc>
        <w:tc>
          <w:tcPr>
            <w:tcW w:w="340" w:type="dxa"/>
            <w:vAlign w:val="bottom"/>
            <w:gridSpan w:val="2"/>
            <w:shd w:val="clear" w:color="auto" w:fill="E6E6E6"/>
          </w:tcPr>
          <w:p>
            <w:pPr>
              <w:jc w:val="right"/>
              <w:ind w:right="5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6E6E6"/>
          </w:tcPr>
          <w:p>
            <w:pPr>
              <w:spacing w:after="0"/>
              <w:rPr>
                <w:sz w:val="19"/>
                <w:szCs w:val="19"/>
                <w:color w:val="auto"/>
              </w:rPr>
            </w:pPr>
          </w:p>
        </w:tc>
        <w:tc>
          <w:tcPr>
            <w:tcW w:w="15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w w:val="99"/>
              </w:rPr>
              <w:t>2021</w:t>
            </w:r>
          </w:p>
        </w:tc>
        <w:tc>
          <w:tcPr>
            <w:tcW w:w="452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20"/>
                <w:szCs w:val="20"/>
                <w:color w:val="auto"/>
              </w:rPr>
              <w:t xml:space="preserve">Equity and Incentive Plan </w:t>
            </w:r>
            <w:r>
              <w:rPr>
                <w:rFonts w:ascii="Times New Roman" w:cs="Times New Roman" w:eastAsia="Times New Roman" w:hAnsi="Times New Roman"/>
                <w:sz w:val="25"/>
                <w:szCs w:val="25"/>
                <w:color w:val="auto"/>
                <w:vertAlign w:val="superscript"/>
              </w:rPr>
              <w:t>3</w:t>
            </w:r>
          </w:p>
        </w:tc>
        <w:tc>
          <w:tcPr>
            <w:tcW w:w="16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723,283</w:t>
            </w:r>
          </w:p>
        </w:tc>
        <w:tc>
          <w:tcPr>
            <w:tcW w:w="340" w:type="dxa"/>
            <w:vAlign w:val="bottom"/>
            <w:gridSpan w:val="2"/>
          </w:tcPr>
          <w:p>
            <w:pPr>
              <w:jc w:val="right"/>
              <w:ind w:right="5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2,063,083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w w:val="99"/>
              </w:rPr>
              <w:t>2020</w:t>
            </w:r>
          </w:p>
        </w:tc>
        <w:tc>
          <w:tcPr>
            <w:tcW w:w="4520" w:type="dxa"/>
            <w:vAlign w:val="bottom"/>
            <w:gridSpan w:val="2"/>
            <w:shd w:val="clear" w:color="auto" w:fill="E6E6E6"/>
          </w:tcPr>
          <w:p>
            <w:pPr>
              <w:ind w:left="20"/>
              <w:spacing w:after="0" w:line="226" w:lineRule="exact"/>
              <w:rPr>
                <w:sz w:val="20"/>
                <w:szCs w:val="20"/>
                <w:color w:val="auto"/>
              </w:rPr>
            </w:pPr>
            <w:r>
              <w:rPr>
                <w:rFonts w:ascii="Times New Roman" w:cs="Times New Roman" w:eastAsia="Times New Roman" w:hAnsi="Times New Roman"/>
                <w:sz w:val="20"/>
                <w:szCs w:val="20"/>
                <w:color w:val="auto"/>
              </w:rPr>
              <w:t xml:space="preserve">Employee Stock Purchase Plan </w:t>
            </w:r>
            <w:r>
              <w:rPr>
                <w:rFonts w:ascii="Times New Roman" w:cs="Times New Roman" w:eastAsia="Times New Roman" w:hAnsi="Times New Roman"/>
                <w:sz w:val="25"/>
                <w:szCs w:val="25"/>
                <w:color w:val="auto"/>
                <w:vertAlign w:val="superscript"/>
              </w:rPr>
              <w:t>4</w:t>
            </w:r>
          </w:p>
        </w:tc>
        <w:tc>
          <w:tcPr>
            <w:tcW w:w="40" w:type="dxa"/>
            <w:vAlign w:val="bottom"/>
            <w:shd w:val="clear" w:color="auto" w:fill="E6E6E6"/>
          </w:tcPr>
          <w:p>
            <w:pPr>
              <w:spacing w:after="0"/>
              <w:rPr>
                <w:sz w:val="19"/>
                <w:szCs w:val="19"/>
                <w:color w:val="auto"/>
              </w:rPr>
            </w:pPr>
          </w:p>
        </w:tc>
        <w:tc>
          <w:tcPr>
            <w:tcW w:w="1900" w:type="dxa"/>
            <w:vAlign w:val="bottom"/>
            <w:gridSpan w:val="3"/>
            <w:shd w:val="clear" w:color="auto" w:fill="E6E6E6"/>
          </w:tcPr>
          <w:p>
            <w:pPr>
              <w:jc w:val="right"/>
              <w:ind w:right="52"/>
              <w:spacing w:after="0" w:line="226" w:lineRule="exact"/>
              <w:rPr>
                <w:sz w:val="20"/>
                <w:szCs w:val="20"/>
                <w:color w:val="auto"/>
              </w:rPr>
            </w:pPr>
            <w:r>
              <w:rPr>
                <w:rFonts w:ascii="Times New Roman" w:cs="Times New Roman" w:eastAsia="Times New Roman" w:hAnsi="Times New Roman"/>
                <w:sz w:val="20"/>
                <w:szCs w:val="20"/>
                <w:color w:val="auto"/>
              </w:rPr>
              <w:t>— $</w:t>
            </w:r>
          </w:p>
        </w:tc>
        <w:tc>
          <w:tcPr>
            <w:tcW w:w="18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1,203,992</w:t>
            </w:r>
          </w:p>
        </w:tc>
        <w:tc>
          <w:tcPr>
            <w:tcW w:w="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4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auto"/>
              </w:rPr>
              <w:t xml:space="preserve">Equity compensation plans not approved by security holders </w:t>
            </w:r>
            <w:r>
              <w:rPr>
                <w:rFonts w:ascii="Times New Roman" w:cs="Times New Roman" w:eastAsia="Times New Roman" w:hAnsi="Times New Roman"/>
                <w:sz w:val="25"/>
                <w:szCs w:val="25"/>
                <w:color w:val="auto"/>
                <w:vertAlign w:val="superscript"/>
              </w:rPr>
              <w:t>5</w:t>
            </w:r>
          </w:p>
        </w:tc>
        <w:tc>
          <w:tcPr>
            <w:tcW w:w="16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1,262,276</w:t>
            </w:r>
          </w:p>
        </w:tc>
        <w:tc>
          <w:tcPr>
            <w:tcW w:w="340" w:type="dxa"/>
            <w:vAlign w:val="bottom"/>
            <w:gridSpan w:val="2"/>
          </w:tcPr>
          <w:p>
            <w:pPr>
              <w:jc w:val="right"/>
              <w:ind w:right="5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10.65</w:t>
            </w:r>
          </w:p>
        </w:tc>
        <w:tc>
          <w:tcPr>
            <w:tcW w:w="60" w:type="dxa"/>
            <w:vAlign w:val="bottom"/>
          </w:tcPr>
          <w:p>
            <w:pPr>
              <w:spacing w:after="0"/>
              <w:rPr>
                <w:sz w:val="19"/>
                <w:szCs w:val="19"/>
                <w:color w:val="auto"/>
              </w:rPr>
            </w:pPr>
          </w:p>
        </w:tc>
        <w:tc>
          <w:tcPr>
            <w:tcW w:w="15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w:t>
            </w:r>
          </w:p>
        </w:tc>
        <w:tc>
          <w:tcPr>
            <w:tcW w:w="1180" w:type="dxa"/>
            <w:vAlign w:val="bottom"/>
            <w:tcBorders>
              <w:top w:val="single" w:sz="8" w:color="E6E6E6"/>
            </w:tcBorders>
            <w:shd w:val="clear" w:color="auto" w:fill="E6E6E6"/>
          </w:tcPr>
          <w:p>
            <w:pPr>
              <w:spacing w:after="0"/>
              <w:rPr>
                <w:sz w:val="18"/>
                <w:szCs w:val="18"/>
                <w:color w:val="auto"/>
              </w:rPr>
            </w:pPr>
          </w:p>
        </w:tc>
        <w:tc>
          <w:tcPr>
            <w:tcW w:w="3340" w:type="dxa"/>
            <w:vAlign w:val="bottom"/>
            <w:tcBorders>
              <w:top w:val="single" w:sz="8" w:color="E6E6E6"/>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15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2,616,028</w:t>
            </w:r>
          </w:p>
        </w:tc>
        <w:tc>
          <w:tcPr>
            <w:tcW w:w="10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E6E6E6"/>
            </w:tcBorders>
            <w:shd w:val="clear" w:color="auto" w:fill="E6E6E6"/>
          </w:tcPr>
          <w:p>
            <w:pPr>
              <w:spacing w:after="0"/>
              <w:rPr>
                <w:sz w:val="18"/>
                <w:szCs w:val="18"/>
                <w:color w:val="auto"/>
              </w:rPr>
            </w:pPr>
          </w:p>
        </w:tc>
        <w:tc>
          <w:tcPr>
            <w:tcW w:w="186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5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3,267,075</w:t>
            </w:r>
          </w:p>
        </w:tc>
        <w:tc>
          <w:tcPr>
            <w:tcW w:w="4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right="180" w:hanging="472"/>
        <w:spacing w:after="0" w:line="244" w:lineRule="auto"/>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2007 Equity Incentive Plan ("2007 Plan") was replaced with the 2017 Equity and Incentive Plan ("2017 Plan") and no further grants will be made under the 2007 Plan. The 2007 Plan remains in effect solely for the continued administration of the awards currently outstanding under the 2007 Plan.</w:t>
      </w:r>
    </w:p>
    <w:p>
      <w:pPr>
        <w:spacing w:after="0" w:line="2" w:lineRule="exact"/>
        <w:rPr>
          <w:rFonts w:ascii="Times New Roman" w:cs="Times New Roman" w:eastAsia="Times New Roman" w:hAnsi="Times New Roman"/>
          <w:sz w:val="20"/>
          <w:szCs w:val="20"/>
          <w:color w:val="auto"/>
        </w:rPr>
      </w:pPr>
    </w:p>
    <w:p>
      <w:pPr>
        <w:ind w:left="500" w:right="20" w:hanging="472"/>
        <w:spacing w:after="0" w:line="235" w:lineRule="auto"/>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2017 Equity and Incentive Plan was replaced with the 2021 Equity and Incentive Plan and no further grants will be made under the 2017 Plan. The 2017 Plan remains in effect solely for the continued administration of the awards currently outstanding under the 2017 Plan.</w:t>
      </w:r>
    </w:p>
    <w:p>
      <w:pPr>
        <w:ind w:left="500" w:hanging="472"/>
        <w:spacing w:after="0" w:line="235" w:lineRule="auto"/>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2021 Equity and Incentive Plan was approved by our stockholders on May 25, 2021. We have reserved 2.6 million shares of our common stock for issuance under our 2021 Equity Incentive Plan.</w:t>
      </w:r>
    </w:p>
    <w:p>
      <w:pPr>
        <w:ind w:left="500" w:hanging="472"/>
        <w:spacing w:after="0" w:line="235" w:lineRule="auto"/>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Employee Stock Purchase Plan was approved by our stockholders on June 11, 2020.</w:t>
      </w:r>
    </w:p>
    <w:p>
      <w:pPr>
        <w:ind w:left="500" w:right="60" w:hanging="472"/>
        <w:spacing w:after="0" w:line="237" w:lineRule="auto"/>
        <w:tabs>
          <w:tab w:leader="none" w:pos="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July 6, 2020, in connection with Mr. Gleason’s appointment as the Company’s Chief Executive Officer, the Company granted Mr. Gleason 0.1 million restricted stock units, 0.3 million in nonqualified stock options granted at market value, and approximately 0.9 million in premium-priced nonqualified stock options with an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ectPr>
          <w:pgSz w:w="12240" w:h="15840" w:orient="portrait"/>
          <w:cols w:equalWidth="0" w:num="1">
            <w:col w:w="10620"/>
          </w:cols>
          <w:pgMar w:left="80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620"/>
          </w:cols>
          <w:pgMar w:left="800" w:top="1065" w:right="820" w:bottom="31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called for by this Item 13 of Part III of Form 10-K is incorporated by reference to the Proxy Statement.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information called for by this Item 14 of Part III of Form 10-K is incorporated by reference to the Proxy Statement.</w:t>
      </w:r>
    </w:p>
    <w:p>
      <w:pPr>
        <w:sectPr>
          <w:pgSz w:w="12240" w:h="15840" w:orient="portrait"/>
          <w:cols w:equalWidth="0" w:num="1">
            <w:col w:w="9980"/>
          </w:cols>
          <w:pgMar w:left="820" w:top="1065" w:right="14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80"/>
          </w:cols>
          <w:pgMar w:left="820" w:top="1065" w:right="1440" w:bottom="315" w:gutter="0" w:footer="0" w:header="0"/>
          <w:type w:val="continuous"/>
        </w:sectPr>
      </w:pPr>
    </w:p>
    <w:bookmarkStart w:id="56" w:name="page57"/>
    <w:bookmarkEnd w:id="5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17"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 are set forth in this report following the signature page of this report.</w:t>
      </w:r>
    </w:p>
    <w:p>
      <w:pPr>
        <w:spacing w:after="0" w:line="230" w:lineRule="exact"/>
        <w:rPr>
          <w:rFonts w:ascii="Times New Roman" w:cs="Times New Roman" w:eastAsia="Times New Roman" w:hAnsi="Times New Roman"/>
          <w:sz w:val="20"/>
          <w:szCs w:val="20"/>
          <w:color w:val="auto"/>
        </w:rPr>
      </w:pPr>
    </w:p>
    <w:p>
      <w:pPr>
        <w:ind w:left="480" w:right="300" w:hanging="472"/>
        <w:spacing w:after="0" w:line="269" w:lineRule="auto"/>
        <w:tabs>
          <w:tab w:leader="none" w:pos="39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 are omitted because they are not applicable or because the required information is shown in the financial statements or in the notes thereto.</w:t>
      </w:r>
    </w:p>
    <w:p>
      <w:pPr>
        <w:spacing w:after="0" w:line="170" w:lineRule="exact"/>
        <w:rPr>
          <w:rFonts w:ascii="Times New Roman" w:cs="Times New Roman" w:eastAsia="Times New Roman" w:hAnsi="Times New Roman"/>
          <w:sz w:val="20"/>
          <w:szCs w:val="20"/>
          <w:color w:val="auto"/>
        </w:rPr>
      </w:pPr>
    </w:p>
    <w:p>
      <w:pPr>
        <w:ind w:left="480" w:right="20" w:hanging="472"/>
        <w:spacing w:after="0" w:line="269" w:lineRule="auto"/>
        <w:tabs>
          <w:tab w:leader="none" w:pos="39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 Index. The exhibits listed below, as part of Form 10-K, are numbered in conformity with the numbering used in Item 601 of Regulation S-K and relate to SEC File No. 0-07099, unless otherwise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9"/>
              </w:rPr>
              <w:t>Exhibit Number</w:t>
            </w:r>
          </w:p>
        </w:tc>
        <w:tc>
          <w:tcPr>
            <w:tcW w:w="9500" w:type="dxa"/>
            <w:vAlign w:val="bottom"/>
          </w:tcPr>
          <w:p>
            <w:pPr>
              <w:spacing w:after="0"/>
              <w:rPr>
                <w:sz w:val="17"/>
                <w:szCs w:val="17"/>
                <w:color w:val="auto"/>
              </w:rPr>
            </w:pPr>
          </w:p>
        </w:tc>
      </w:tr>
      <w:tr>
        <w:trPr>
          <w:trHeight w:val="40"/>
        </w:trPr>
        <w:tc>
          <w:tcPr>
            <w:tcW w:w="1060" w:type="dxa"/>
            <w:vAlign w:val="bottom"/>
            <w:tcBorders>
              <w:bottom w:val="single" w:sz="8" w:color="auto"/>
            </w:tcBorders>
          </w:tcPr>
          <w:p>
            <w:pPr>
              <w:spacing w:after="0"/>
              <w:rPr>
                <w:sz w:val="3"/>
                <w:szCs w:val="3"/>
                <w:color w:val="auto"/>
              </w:rPr>
            </w:pPr>
          </w:p>
        </w:tc>
        <w:tc>
          <w:tcPr>
            <w:tcW w:w="9500" w:type="dxa"/>
            <w:vAlign w:val="bottom"/>
          </w:tcPr>
          <w:p>
            <w:pPr>
              <w:spacing w:after="0"/>
              <w:rPr>
                <w:sz w:val="3"/>
                <w:szCs w:val="3"/>
                <w:color w:val="auto"/>
              </w:rPr>
            </w:pPr>
          </w:p>
        </w:tc>
      </w:tr>
      <w:tr>
        <w:trPr>
          <w:trHeight w:val="347"/>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Certificate of Incorporation (incorporated by reference to Exhibit 3(i) to the Company’s Annual Report on Form 10-K</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 the fiscal year ended December 31, 2001)</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Amended and Restated Bylaws (incorporated by reference to Exhibit 3.1 to the Company’s Current Report on Form 8-</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K filed with the SEC on December 13, 2017)</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Description of Securities (incorporated by reference to Exhibit 4.1 to the Company’s Annual Report on Form 10-K for</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the fiscal year ended December 31, 2019)</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Summary term sheet governing arrangement of consulting services provided by Icarus Investment Corp. (incorporated</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by reference to Exhibit 10.1 to the Company’s Annual Report on Form 10-K for the fiscal year ended December 31,</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2018)</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Summary term sheet governing arrangement of consulting services provided by JMP Fam Holdings Inc. to the</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w w:val="98"/>
              </w:rPr>
              <w:t>Company (incorporated by reference to Exhibit 10.7 to the Company’s Annual Report on Form 10-K for the fiscal year</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ended December 31, 2018)</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Form of Director and Officer Indemnification Agreement (incorporated by reference to Exhibit 10.1 to the Company’s</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Report on Form 8-K filed with the SEC on May 16, 2016)</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Executive Employment Agreement, effective as of January 9, 2017, by and between the Company and Matthew Eckl</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(incorporated by reference to Exhibit 10.1 to the Company’s Quarterly Report on Form 10-Q filed with the SEC on</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May 10, 2017)</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Employment Agreement, effective as of July 6, 2020, by and between CECO Environmental Corp. and Todd Gleason</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(Incorporated by reference to Exhibit 10.2 to the Company’s Quarterly Report on Form 10-Q filed with the SEC on</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November 4, 2020)</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Nonqualified Stock Option Inducement Award Agreement, by and between CECO Environmental Corp. and Todd</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w w:val="99"/>
              </w:rPr>
              <w:t>Gleason, dated as of July 6, 2020 (incorporated by reference to Exhibit 4.3 to the Registrant’s Registration Statement</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on Form S-8 (Commission File No. 333-239707) filed on July 6, 2020)</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Nonqualified Premium Stock Option Inducement Award Agreement, by and between CECO Environmental Corp. and</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rPr>
              <w:t>Todd Gleason, dated as of July 6, 2020 (incorporated by reference to Exhibit 4.4 to the Registrant’s Registration</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Statement on Form S-8 (Commission File No. 333-239707) filed on July 6, 2020)</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7"/>
              </w:rPr>
              <w:t>Restricted Stock Units Inducement Award Agreement, by and between CECO Environmental Corp. and Todd Gleason,</w:t>
            </w:r>
          </w:p>
        </w:tc>
      </w:tr>
      <w:tr>
        <w:trPr>
          <w:trHeight w:val="225"/>
        </w:trPr>
        <w:tc>
          <w:tcPr>
            <w:tcW w:w="1060" w:type="dxa"/>
            <w:vAlign w:val="bottom"/>
          </w:tcPr>
          <w:p>
            <w:pPr>
              <w:spacing w:after="0"/>
              <w:rPr>
                <w:sz w:val="19"/>
                <w:szCs w:val="19"/>
                <w:color w:val="auto"/>
              </w:rPr>
            </w:pPr>
          </w:p>
        </w:tc>
        <w:tc>
          <w:tcPr>
            <w:tcW w:w="9500" w:type="dxa"/>
            <w:vAlign w:val="bottom"/>
          </w:tcPr>
          <w:p>
            <w:pPr>
              <w:ind w:left="120"/>
              <w:spacing w:after="0" w:line="226" w:lineRule="exact"/>
              <w:rPr>
                <w:sz w:val="20"/>
                <w:szCs w:val="20"/>
                <w:color w:val="auto"/>
              </w:rPr>
            </w:pPr>
            <w:r>
              <w:rPr>
                <w:rFonts w:ascii="Times New Roman" w:cs="Times New Roman" w:eastAsia="Times New Roman" w:hAnsi="Times New Roman"/>
                <w:sz w:val="20"/>
                <w:szCs w:val="20"/>
                <w:color w:val="auto"/>
                <w:w w:val="97"/>
              </w:rPr>
              <w:t>dated as of July 6, 2020 (incorporated by reference to Exhibit 4.5 to the Registrant’s Registration Statement on Form S-</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 (Commission File No. 333-239707) filed on July 6, 2020)</w:t>
            </w:r>
          </w:p>
        </w:tc>
      </w:tr>
      <w:tr>
        <w:trPr>
          <w:trHeight w:val="441"/>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Second Amended and Restated CECO Environmental Corp. 2007 Equity Incentive Plan (incorporated by reference to</w:t>
            </w:r>
          </w:p>
        </w:tc>
      </w:tr>
      <w:tr>
        <w:trPr>
          <w:trHeight w:val="263"/>
        </w:trPr>
        <w:tc>
          <w:tcPr>
            <w:tcW w:w="1060" w:type="dxa"/>
            <w:vAlign w:val="bottom"/>
          </w:tcPr>
          <w:p>
            <w:pPr>
              <w:spacing w:after="0"/>
              <w:rPr>
                <w:sz w:val="22"/>
                <w:szCs w:val="22"/>
                <w:color w:val="auto"/>
              </w:rPr>
            </w:pPr>
          </w:p>
        </w:tc>
        <w:tc>
          <w:tcPr>
            <w:tcW w:w="9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Exhibit 10.6 to the Company’s Current Report on Form 8-K filed with the SEC on September 3, 2015)</w:t>
            </w:r>
          </w:p>
        </w:tc>
      </w:tr>
    </w:tbl>
    <w:p>
      <w:pPr>
        <w:spacing w:after="0" w:line="200" w:lineRule="exact"/>
        <w:rPr>
          <w:sz w:val="20"/>
          <w:szCs w:val="20"/>
          <w:color w:val="auto"/>
        </w:rPr>
      </w:pPr>
    </w:p>
    <w:p>
      <w:pPr>
        <w:sectPr>
          <w:pgSz w:w="12240" w:h="15840" w:orient="portrait"/>
          <w:cols w:equalWidth="0" w:num="1">
            <w:col w:w="10560"/>
          </w:cols>
          <w:pgMar w:left="820" w:top="1065" w:right="8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560"/>
          </w:cols>
          <w:pgMar w:left="820" w:top="1065" w:right="860" w:bottom="315" w:gutter="0" w:footer="0" w:header="0"/>
          <w:type w:val="continuous"/>
        </w:sectPr>
      </w:pPr>
    </w:p>
    <w:bookmarkStart w:id="57" w:name="page58"/>
    <w:bookmarkEnd w:id="57"/>
    <w:p>
      <w:pPr>
        <w:ind w:left="56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Form of Incentive Stock Option Agreement under the Second Amended and Restated CECO Environmental Corp. 2007 Equity Incentive Plan (incorporated by reference to Exhibit 10.12 to the Company’s Annual Report on Form 10-K for the fiscal year ended December 31, 2010)</w:t>
      </w:r>
    </w:p>
    <w:p>
      <w:pPr>
        <w:spacing w:after="0" w:line="205" w:lineRule="exact"/>
        <w:rPr>
          <w:sz w:val="20"/>
          <w:szCs w:val="20"/>
          <w:color w:val="auto"/>
        </w:rPr>
      </w:pPr>
    </w:p>
    <w:p>
      <w:pPr>
        <w:jc w:val="both"/>
        <w:ind w:left="56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Form of Non-Statutory Stock Option Agreement under the Second Amended and Restated CECO Environmental Corp. 2007 Equity Incentive Plan (incorporated by reference to Exhibit 10.13 to the Company’s Annual Report on Form 10-K for the fiscal year ended December 31, 2010)</w:t>
      </w:r>
    </w:p>
    <w:p>
      <w:pPr>
        <w:spacing w:after="0" w:line="205" w:lineRule="exact"/>
        <w:rPr>
          <w:sz w:val="20"/>
          <w:szCs w:val="20"/>
          <w:color w:val="auto"/>
        </w:rPr>
      </w:pPr>
    </w:p>
    <w:p>
      <w:pPr>
        <w:ind w:left="560" w:right="20" w:hanging="1179"/>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CECO Environmental Corp. 2017 Equity and Incentive Compensation Plan (incorporated by reference to Exhibit 4.3 to the Company’s Registration Statement on Form S-8 (Registration No. 333-218030) filed on May 16, 2017)</w:t>
      </w:r>
    </w:p>
    <w:p>
      <w:pPr>
        <w:spacing w:after="0" w:line="188" w:lineRule="exact"/>
        <w:rPr>
          <w:sz w:val="20"/>
          <w:szCs w:val="20"/>
          <w:color w:val="auto"/>
        </w:rPr>
      </w:pPr>
    </w:p>
    <w:p>
      <w:pPr>
        <w:ind w:left="560" w:right="12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Form of Incentive Stock Option Agreement under the CECO Environmental Corp. 2017 Equity and Incentive Compensation Plan (incorporated by reference to Exhibit 10.2 to the Company’s Quarterly Report on Form 10-Q filed with the SEC on August 9, 2017)</w:t>
      </w:r>
    </w:p>
    <w:p>
      <w:pPr>
        <w:spacing w:after="0" w:line="205" w:lineRule="exact"/>
        <w:rPr>
          <w:sz w:val="20"/>
          <w:szCs w:val="20"/>
          <w:color w:val="auto"/>
        </w:rPr>
      </w:pPr>
    </w:p>
    <w:p>
      <w:pPr>
        <w:ind w:left="560" w:right="12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Form of Nonqualified Stock Option Agreement under the CECO Environmental Corp. 2017 Equity and Incentive Compensation Plan (incorporated by reference to Exhibit 10.3 to the Company’s Quarterly Report on Form 10-Q filed with the SEC on August 9, 2017)</w:t>
      </w:r>
    </w:p>
    <w:p>
      <w:pPr>
        <w:spacing w:after="0" w:line="205" w:lineRule="exact"/>
        <w:rPr>
          <w:sz w:val="20"/>
          <w:szCs w:val="20"/>
          <w:color w:val="auto"/>
        </w:rPr>
      </w:pPr>
    </w:p>
    <w:p>
      <w:pPr>
        <w:ind w:left="560" w:right="20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Form of Restricted Stock Units Agreement for Directors under the CECO Environmental Corp. 2017 Equity and Incentive Compensation Plan (incorporated by reference to Exhibit 10.4 to the Company’s Quarterly Report on Form 10-Q filed with the SEC on August 9, 2017)</w:t>
      </w:r>
    </w:p>
    <w:p>
      <w:pPr>
        <w:spacing w:after="0" w:line="205" w:lineRule="exact"/>
        <w:rPr>
          <w:sz w:val="20"/>
          <w:szCs w:val="20"/>
          <w:color w:val="auto"/>
        </w:rPr>
      </w:pPr>
    </w:p>
    <w:p>
      <w:pPr>
        <w:ind w:left="560" w:right="20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Form of Restricted Stock Units Agreement for Employees under the CECO Environmental Corp. 2017 Equity and Incentive Compensation Plan (incorporated by reference to Exhibit 10.5 to the Company’s Quarterly Report on Form 10-Q filed with the SEC on August 9, 2017)</w:t>
      </w:r>
    </w:p>
    <w:p>
      <w:pPr>
        <w:spacing w:after="0" w:line="205" w:lineRule="exact"/>
        <w:rPr>
          <w:sz w:val="20"/>
          <w:szCs w:val="20"/>
          <w:color w:val="auto"/>
        </w:rPr>
      </w:pPr>
    </w:p>
    <w:p>
      <w:pPr>
        <w:ind w:left="560" w:right="400" w:hanging="1179"/>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CECO Environmental Corp. 2020 Employee Stock Purchase Plan (incorporated by reference to Exhibit 10.1 to the Company’s Current Report on Form 8-K filed with the SEC on June 16, 2020)</w:t>
      </w:r>
    </w:p>
    <w:p>
      <w:pPr>
        <w:spacing w:after="0" w:line="188" w:lineRule="exact"/>
        <w:rPr>
          <w:sz w:val="20"/>
          <w:szCs w:val="20"/>
          <w:color w:val="auto"/>
        </w:rPr>
      </w:pPr>
    </w:p>
    <w:p>
      <w:pPr>
        <w:ind w:left="560" w:right="140" w:hanging="1179"/>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20"/>
          <w:szCs w:val="20"/>
          <w:color w:val="auto"/>
        </w:rPr>
        <w:t>CECO Environmental Corp. 2021 Equity and Incentive Compensation Plan (incorporated by reference to Exhibit 10.1 to the Company’s Current Report on Form 8-K filed with the SEC on May 27, 2021)</w:t>
      </w:r>
    </w:p>
    <w:p>
      <w:pPr>
        <w:spacing w:after="0" w:line="188" w:lineRule="exact"/>
        <w:rPr>
          <w:sz w:val="20"/>
          <w:szCs w:val="20"/>
          <w:color w:val="auto"/>
        </w:rPr>
      </w:pPr>
    </w:p>
    <w:p>
      <w:pPr>
        <w:ind w:left="560" w:right="28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Form of Restricted Stock Units Agreement for Directors under the CECO Environmental Corp. 2021 Equity and Incentive Compensation Plan (incorporated by reference to Exhibit 10.19 to the Company’s Annual Report on Form 10-K for the fiscal year ended December 31, 2021)</w:t>
      </w:r>
    </w:p>
    <w:p>
      <w:pPr>
        <w:spacing w:after="0" w:line="205" w:lineRule="exact"/>
        <w:rPr>
          <w:sz w:val="20"/>
          <w:szCs w:val="20"/>
          <w:color w:val="auto"/>
        </w:rPr>
      </w:pPr>
    </w:p>
    <w:p>
      <w:pPr>
        <w:ind w:left="560" w:right="28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20"/>
          <w:szCs w:val="20"/>
          <w:color w:val="auto"/>
        </w:rPr>
        <w:t>Form of Restricted Stock Units Agreement for Employees under the CECO Environmental Corp. 2021 Equity and Incentive Compensation Plan (incorporated by reference to Exhibit 10.20 to the Company’s Annual Report on Form 10-K for the fiscal year ended December 31, 2021)</w:t>
      </w:r>
    </w:p>
    <w:p>
      <w:pPr>
        <w:spacing w:after="0" w:line="205" w:lineRule="exact"/>
        <w:rPr>
          <w:sz w:val="20"/>
          <w:szCs w:val="20"/>
          <w:color w:val="auto"/>
        </w:rPr>
      </w:pPr>
    </w:p>
    <w:p>
      <w:pPr>
        <w:ind w:left="560" w:right="60" w:hanging="1179"/>
        <w:spacing w:after="0" w:line="269" w:lineRule="auto"/>
        <w:tabs>
          <w:tab w:leader="none" w:pos="540" w:val="left"/>
        </w:tabs>
        <w:rPr>
          <w:sz w:val="20"/>
          <w:szCs w:val="20"/>
          <w:color w:val="auto"/>
        </w:rPr>
      </w:pPr>
      <w:r>
        <w:rPr>
          <w:rFonts w:ascii="Times New Roman" w:cs="Times New Roman" w:eastAsia="Times New Roman" w:hAnsi="Times New Roman"/>
          <w:sz w:val="20"/>
          <w:szCs w:val="20"/>
          <w:color w:val="auto"/>
        </w:rPr>
        <w:t>^10.21</w:t>
      </w:r>
      <w:r>
        <w:rPr>
          <w:sz w:val="20"/>
          <w:szCs w:val="20"/>
          <w:color w:val="auto"/>
        </w:rPr>
        <w:tab/>
      </w:r>
      <w:r>
        <w:rPr>
          <w:rFonts w:ascii="Times New Roman" w:cs="Times New Roman" w:eastAsia="Times New Roman" w:hAnsi="Times New Roman"/>
          <w:sz w:val="20"/>
          <w:szCs w:val="20"/>
          <w:color w:val="auto"/>
        </w:rPr>
        <w:t>CECO Environmental Corp. Executive Change in Control Severance Plan (incorporated by reference to Exhibit 10.1 to the Company’s Quarterly Report on Form 10-Q filed with the SEC on November 8, 2021)</w:t>
      </w:r>
    </w:p>
    <w:p>
      <w:pPr>
        <w:spacing w:after="0" w:line="188" w:lineRule="exact"/>
        <w:rPr>
          <w:sz w:val="20"/>
          <w:szCs w:val="20"/>
          <w:color w:val="auto"/>
        </w:rPr>
      </w:pPr>
    </w:p>
    <w:p>
      <w:pPr>
        <w:ind w:left="560" w:right="20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^10.22</w:t>
      </w:r>
      <w:r>
        <w:rPr>
          <w:sz w:val="20"/>
          <w:szCs w:val="20"/>
          <w:color w:val="auto"/>
        </w:rPr>
        <w:tab/>
      </w:r>
      <w:r>
        <w:rPr>
          <w:rFonts w:ascii="Times New Roman" w:cs="Times New Roman" w:eastAsia="Times New Roman" w:hAnsi="Times New Roman"/>
          <w:sz w:val="20"/>
          <w:szCs w:val="20"/>
          <w:color w:val="auto"/>
        </w:rPr>
        <w:t>Separation Agreement, dated as of September 30, 2022, by and between CECO Environmental Corp. and Matthew Eckl (incorporated by reference to Exhibit 10.1 to the Company’s Quarterly Report on Form 10-Q filed with the SEC on November 7, 2022)</w:t>
      </w:r>
    </w:p>
    <w:p>
      <w:pPr>
        <w:spacing w:after="0" w:line="205" w:lineRule="exact"/>
        <w:rPr>
          <w:sz w:val="20"/>
          <w:szCs w:val="20"/>
          <w:color w:val="auto"/>
        </w:rPr>
      </w:pPr>
    </w:p>
    <w:p>
      <w:pPr>
        <w:jc w:val="both"/>
        <w:ind w:left="560" w:right="320" w:hanging="1179"/>
        <w:spacing w:after="0" w:line="252" w:lineRule="auto"/>
        <w:tabs>
          <w:tab w:leader="none" w:pos="54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20"/>
          <w:szCs w:val="20"/>
          <w:color w:val="auto"/>
        </w:rPr>
        <w:t>Second Amended and Restated Credit Agreement, dated as of June 11, 2019, among the Company and certain of its subsidiaries, the Lenders party thereto, and Bank of America, N.A. (incorporated by reference to Exhibit 10.1 to the Company’s Current Report on Form 8-K filed with the SEC on June 12, 2019)</w:t>
      </w:r>
    </w:p>
    <w:p>
      <w:pPr>
        <w:spacing w:after="0" w:line="205" w:lineRule="exact"/>
        <w:rPr>
          <w:sz w:val="20"/>
          <w:szCs w:val="20"/>
          <w:color w:val="auto"/>
        </w:rPr>
      </w:pPr>
    </w:p>
    <w:p>
      <w:pPr>
        <w:ind w:left="560" w:right="440" w:hanging="1179"/>
        <w:spacing w:after="0" w:line="246" w:lineRule="auto"/>
        <w:tabs>
          <w:tab w:leader="none" w:pos="540" w:val="left"/>
        </w:tabs>
        <w:rPr>
          <w:sz w:val="20"/>
          <w:szCs w:val="20"/>
          <w:color w:val="auto"/>
        </w:rPr>
      </w:pPr>
      <w:r>
        <w:rPr>
          <w:rFonts w:ascii="Times New Roman" w:cs="Times New Roman" w:eastAsia="Times New Roman" w:hAnsi="Times New Roman"/>
          <w:sz w:val="20"/>
          <w:szCs w:val="20"/>
          <w:color w:val="auto"/>
        </w:rPr>
        <w:t>†10.24</w:t>
      </w:r>
      <w:r>
        <w:rPr>
          <w:sz w:val="20"/>
          <w:szCs w:val="20"/>
          <w:color w:val="auto"/>
        </w:rPr>
        <w:tab/>
      </w:r>
      <w:r>
        <w:rPr>
          <w:rFonts w:ascii="Times New Roman" w:cs="Times New Roman" w:eastAsia="Times New Roman" w:hAnsi="Times New Roman"/>
          <w:sz w:val="20"/>
          <w:szCs w:val="20"/>
          <w:color w:val="auto"/>
        </w:rPr>
        <w:t>Amendment No. 1 to Second Amended and Restated Credit Agreement, dated as of June 11, 2019, among the Company and certain of its subsidiaries, the lenders party thereto and Bank of America, N.A. (incorporated by reference to Exhibit 10.23 to the Company’s Annual Report on Form 10-K for the fiscal year ended December 31, 2021)</w:t>
      </w:r>
    </w:p>
    <w:p>
      <w:pPr>
        <w:sectPr>
          <w:pgSz w:w="12240" w:h="15840" w:orient="portrait"/>
          <w:cols w:equalWidth="0" w:num="1">
            <w:col w:w="9960"/>
          </w:cols>
          <w:pgMar w:left="1440" w:top="1083" w:right="84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60"/>
          </w:cols>
          <w:pgMar w:left="1440" w:top="1083" w:right="840" w:bottom="315"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Amendment No. 2 to Second Amended and Restated Credit Agreement, dated as of December 17, 2021, among the</w:t>
            </w:r>
          </w:p>
        </w:tc>
      </w:tr>
      <w:tr>
        <w:trPr>
          <w:trHeight w:val="263"/>
        </w:trPr>
        <w:tc>
          <w:tcPr>
            <w:tcW w:w="1000" w:type="dxa"/>
            <w:vAlign w:val="bottom"/>
          </w:tcPr>
          <w:p>
            <w:pPr>
              <w:spacing w:after="0"/>
              <w:rPr>
                <w:sz w:val="22"/>
                <w:szCs w:val="22"/>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Company and certain of its subsidiaries, the lenders party thereto and Bank of America, N.A.</w:t>
            </w: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Form of Restricted Stock Units Agreement for Employees under the CECO Environmental Corp. 2021 Equity and</w:t>
            </w:r>
          </w:p>
        </w:tc>
      </w:tr>
      <w:tr>
        <w:trPr>
          <w:trHeight w:val="263"/>
        </w:trPr>
        <w:tc>
          <w:tcPr>
            <w:tcW w:w="1000" w:type="dxa"/>
            <w:vAlign w:val="bottom"/>
          </w:tcPr>
          <w:p>
            <w:pPr>
              <w:spacing w:after="0"/>
              <w:rPr>
                <w:sz w:val="22"/>
                <w:szCs w:val="22"/>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Incentive Compensation Plan</w:t>
            </w:r>
          </w:p>
        </w:tc>
      </w:tr>
      <w:tr>
        <w:trPr>
          <w:trHeight w:val="441"/>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Form of Restricted Stock Units Agreement for Directors under the CECO Environmental Corp. 2021 Equity and</w:t>
            </w:r>
          </w:p>
        </w:tc>
      </w:tr>
      <w:tr>
        <w:trPr>
          <w:trHeight w:val="263"/>
        </w:trPr>
        <w:tc>
          <w:tcPr>
            <w:tcW w:w="1000" w:type="dxa"/>
            <w:vAlign w:val="bottom"/>
          </w:tcPr>
          <w:p>
            <w:pPr>
              <w:spacing w:after="0"/>
              <w:rPr>
                <w:sz w:val="22"/>
                <w:szCs w:val="22"/>
                <w:color w:val="auto"/>
              </w:rPr>
            </w:pP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Incentive Compensation Plan</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Subsidiaries of the Company</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Consent of BDO USA, LLP</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Rule 13(a)/15d-14(a) Certification by Chief Executive Officer</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Rule 13(a)/15d-14(a) Certification by Chief Financial Officer</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Chief Executive Officer (18 U.S. Section 1350)</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Certification of Chief Financial Officer (18 U.S. Section 1350)</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47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2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or furnished herewith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Management contracts or compensation plans or arrangement</w:t>
      </w:r>
    </w:p>
    <w:p>
      <w:pPr>
        <w:ind w:firstLine="8"/>
        <w:spacing w:after="0" w:line="265" w:lineRule="auto"/>
        <w:tabs>
          <w:tab w:leader="none" w:pos="14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540"/>
          </w:cols>
          <w:pgMar w:left="820" w:top="1078" w:right="88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540"/>
          </w:cols>
          <w:pgMar w:left="820" w:top="1078" w:right="880" w:bottom="315" w:gutter="0" w:footer="0" w:header="0"/>
          <w:type w:val="continuous"/>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color w:val="auto"/>
        </w:rPr>
        <w:t>CECO ENVIRONMENTAL CORP.</w:t>
      </w:r>
    </w:p>
    <w:p>
      <w:pPr>
        <w:spacing w:after="0" w:line="266" w:lineRule="exact"/>
        <w:rPr>
          <w:sz w:val="20"/>
          <w:szCs w:val="20"/>
          <w:color w:val="auto"/>
        </w:rPr>
      </w:pPr>
    </w:p>
    <w:p>
      <w:pPr>
        <w:ind w:left="6380"/>
        <w:spacing w:after="0"/>
        <w:tabs>
          <w:tab w:leader="none" w:pos="7720" w:val="left"/>
          <w:tab w:leader="none" w:pos="8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w:t>
        <w:tab/>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0"/>
          <w:szCs w:val="20"/>
          <w:color w:val="auto"/>
        </w:rPr>
        <w:t xml:space="preserve"> J</w:t>
      </w:r>
      <w:r>
        <w:rPr>
          <w:rFonts w:ascii="Times New Roman" w:cs="Times New Roman" w:eastAsia="Times New Roman" w:hAnsi="Times New Roman"/>
          <w:sz w:val="14"/>
          <w:szCs w:val="14"/>
          <w:color w:val="auto"/>
        </w:rPr>
        <w:t>OHANSSON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4244975</wp:posOffset>
                </wp:positionH>
                <wp:positionV relativeFrom="paragraph">
                  <wp:posOffset>12065</wp:posOffset>
                </wp:positionV>
                <wp:extent cx="24892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9200" cy="4763"/>
                        </a:xfrm>
                        <a:prstGeom prst="line">
                          <a:avLst/>
                        </a:prstGeom>
                        <a:solidFill>
                          <a:srgbClr val="FFFFFF"/>
                        </a:solidFill>
                        <a:ln w="6223">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25pt,0.95pt" to="530.25pt,0.95pt" o:allowincell="f" strokecolor="#000000" strokeweight="0.49pt"/>
            </w:pict>
          </mc:Fallback>
        </mc:AlternateContent>
      </w:r>
    </w:p>
    <w:p>
      <w:pPr>
        <w:spacing w:after="0" w:line="4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5"/>
          <w:szCs w:val="15"/>
          <w:b w:val="1"/>
          <w:bCs w:val="1"/>
          <w:color w:val="auto"/>
        </w:rPr>
        <w:t>Peter Johansson</w:t>
      </w:r>
    </w:p>
    <w:p>
      <w:pPr>
        <w:spacing w:after="0" w:line="5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5"/>
          <w:szCs w:val="15"/>
          <w:b w:val="1"/>
          <w:bCs w:val="1"/>
          <w:color w:val="auto"/>
        </w:rPr>
        <w:t>Chief Financial and Strategy Officer</w:t>
      </w:r>
    </w:p>
    <w:p>
      <w:pPr>
        <w:spacing w:after="0" w:line="5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5"/>
          <w:szCs w:val="15"/>
          <w:b w:val="1"/>
          <w:bCs w:val="1"/>
          <w:color w:val="auto"/>
        </w:rPr>
        <w:t>March 6, 2023</w:t>
      </w:r>
    </w:p>
    <w:p>
      <w:pPr>
        <w:spacing w:after="0" w:line="373"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7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w:t>
            </w:r>
          </w:p>
        </w:tc>
        <w:tc>
          <w:tcPr>
            <w:tcW w:w="3140" w:type="dxa"/>
            <w:vAlign w:val="bottom"/>
            <w:tcBorders>
              <w:bottom w:val="single" w:sz="8" w:color="auto"/>
            </w:tcBorders>
          </w:tcPr>
          <w:p>
            <w:pPr>
              <w:jc w:val="center"/>
              <w:ind w:right="1539"/>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4"/>
                <w:szCs w:val="14"/>
                <w:color w:val="auto"/>
              </w:rPr>
              <w:t>ODD</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4"/>
                <w:szCs w:val="14"/>
                <w:color w:val="auto"/>
              </w:rPr>
              <w:t>LEASON</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79"/>
              <w:spacing w:after="0" w:line="141" w:lineRule="exact"/>
              <w:rPr>
                <w:sz w:val="20"/>
                <w:szCs w:val="20"/>
                <w:color w:val="auto"/>
              </w:rPr>
            </w:pPr>
            <w:r>
              <w:rPr>
                <w:rFonts w:ascii="Times New Roman" w:cs="Times New Roman" w:eastAsia="Times New Roman" w:hAnsi="Times New Roman"/>
                <w:sz w:val="15"/>
                <w:szCs w:val="15"/>
                <w:b w:val="1"/>
                <w:bCs w:val="1"/>
                <w:color w:val="auto"/>
                <w:w w:val="98"/>
              </w:rPr>
              <w:t>Todd Gleason</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5220" w:type="dxa"/>
            <w:vAlign w:val="bottom"/>
            <w:gridSpan w:val="3"/>
          </w:tcPr>
          <w:p>
            <w:pPr>
              <w:ind w:left="1480"/>
              <w:spacing w:after="0"/>
              <w:rPr>
                <w:sz w:val="20"/>
                <w:szCs w:val="20"/>
                <w:color w:val="auto"/>
              </w:rPr>
            </w:pPr>
            <w:r>
              <w:rPr>
                <w:rFonts w:ascii="Times New Roman" w:cs="Times New Roman" w:eastAsia="Times New Roman" w:hAnsi="Times New Roman"/>
                <w:sz w:val="15"/>
                <w:szCs w:val="15"/>
                <w:b w:val="1"/>
                <w:bCs w:val="1"/>
                <w:color w:val="auto"/>
              </w:rPr>
              <w:t>Chief Executive Officer and 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77"/>
        </w:trPr>
        <w:tc>
          <w:tcPr>
            <w:tcW w:w="5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8"/>
        </w:trPr>
        <w:tc>
          <w:tcPr>
            <w:tcW w:w="2080" w:type="dxa"/>
            <w:vAlign w:val="bottom"/>
            <w:tcBorders>
              <w:bottom w:val="single" w:sz="8" w:color="auto"/>
            </w:tcBorders>
            <w:gridSpan w:val="2"/>
          </w:tcPr>
          <w:p>
            <w:pPr>
              <w:ind w:left="1700"/>
              <w:spacing w:after="0"/>
              <w:rPr>
                <w:sz w:val="20"/>
                <w:szCs w:val="20"/>
                <w:color w:val="auto"/>
              </w:rPr>
            </w:pPr>
            <w:r>
              <w:rPr>
                <w:rFonts w:ascii="Times New Roman" w:cs="Times New Roman" w:eastAsia="Times New Roman" w:hAnsi="Times New Roman"/>
                <w:sz w:val="20"/>
                <w:szCs w:val="20"/>
                <w:color w:val="auto"/>
              </w:rPr>
              <w:t>/S/</w:t>
            </w:r>
          </w:p>
        </w:tc>
        <w:tc>
          <w:tcPr>
            <w:tcW w:w="3140" w:type="dxa"/>
            <w:vAlign w:val="bottom"/>
            <w:tcBorders>
              <w:bottom w:val="single" w:sz="8" w:color="auto"/>
            </w:tcBorders>
          </w:tcPr>
          <w:p>
            <w:pPr>
              <w:jc w:val="center"/>
              <w:ind w:right="1579"/>
              <w:spacing w:after="0"/>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0"/>
                <w:szCs w:val="20"/>
                <w:color w:val="auto"/>
              </w:rPr>
              <w:t xml:space="preserve"> J</w:t>
            </w:r>
            <w:r>
              <w:rPr>
                <w:rFonts w:ascii="Times New Roman" w:cs="Times New Roman" w:eastAsia="Times New Roman" w:hAnsi="Times New Roman"/>
                <w:sz w:val="14"/>
                <w:szCs w:val="14"/>
                <w:color w:val="auto"/>
              </w:rPr>
              <w:t>OHANSSON</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99"/>
              <w:spacing w:after="0" w:line="141" w:lineRule="exact"/>
              <w:rPr>
                <w:sz w:val="20"/>
                <w:szCs w:val="20"/>
                <w:color w:val="auto"/>
              </w:rPr>
            </w:pPr>
            <w:r>
              <w:rPr>
                <w:rFonts w:ascii="Times New Roman" w:cs="Times New Roman" w:eastAsia="Times New Roman" w:hAnsi="Times New Roman"/>
                <w:sz w:val="15"/>
                <w:szCs w:val="15"/>
                <w:b w:val="1"/>
                <w:bCs w:val="1"/>
                <w:color w:val="auto"/>
                <w:w w:val="97"/>
              </w:rPr>
              <w:t>Peter Johansson</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5220" w:type="dxa"/>
            <w:vAlign w:val="bottom"/>
            <w:gridSpan w:val="3"/>
          </w:tcPr>
          <w:p>
            <w:pPr>
              <w:ind w:left="1460"/>
              <w:spacing w:after="0"/>
              <w:rPr>
                <w:sz w:val="20"/>
                <w:szCs w:val="20"/>
                <w:color w:val="auto"/>
              </w:rPr>
            </w:pPr>
            <w:r>
              <w:rPr>
                <w:rFonts w:ascii="Times New Roman" w:cs="Times New Roman" w:eastAsia="Times New Roman" w:hAnsi="Times New Roman"/>
                <w:sz w:val="15"/>
                <w:szCs w:val="15"/>
                <w:b w:val="1"/>
                <w:bCs w:val="1"/>
                <w:color w:val="auto"/>
              </w:rPr>
              <w:t>Chief Financial and Strategy Officer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67"/>
        </w:trPr>
        <w:tc>
          <w:tcPr>
            <w:tcW w:w="5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Principal Accounting Officer:</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3"/>
        </w:trPr>
        <w:tc>
          <w:tcPr>
            <w:tcW w:w="17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center"/>
              <w:ind w:right="1659"/>
              <w:spacing w:after="0"/>
              <w:rPr>
                <w:sz w:val="20"/>
                <w:szCs w:val="20"/>
                <w:color w:val="auto"/>
              </w:rPr>
            </w:pPr>
            <w:r>
              <w:rPr>
                <w:rFonts w:ascii="Times New Roman" w:cs="Times New Roman" w:eastAsia="Times New Roman" w:hAnsi="Times New Roman"/>
                <w:sz w:val="20"/>
                <w:szCs w:val="20"/>
                <w:color w:val="auto"/>
              </w:rPr>
              <w:t>/S/  P</w:t>
            </w:r>
            <w:r>
              <w:rPr>
                <w:rFonts w:ascii="Times New Roman" w:cs="Times New Roman" w:eastAsia="Times New Roman" w:hAnsi="Times New Roman"/>
                <w:sz w:val="14"/>
                <w:szCs w:val="14"/>
                <w:color w:val="auto"/>
              </w:rPr>
              <w:t>AUL</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4"/>
                <w:szCs w:val="14"/>
                <w:color w:val="auto"/>
              </w:rPr>
              <w:t>OHR</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99"/>
              <w:spacing w:after="0" w:line="141" w:lineRule="exact"/>
              <w:rPr>
                <w:sz w:val="20"/>
                <w:szCs w:val="20"/>
                <w:color w:val="auto"/>
              </w:rPr>
            </w:pPr>
            <w:r>
              <w:rPr>
                <w:rFonts w:ascii="Times New Roman" w:cs="Times New Roman" w:eastAsia="Times New Roman" w:hAnsi="Times New Roman"/>
                <w:sz w:val="15"/>
                <w:szCs w:val="15"/>
                <w:b w:val="1"/>
                <w:bCs w:val="1"/>
                <w:color w:val="auto"/>
                <w:w w:val="98"/>
              </w:rPr>
              <w:t>Paul Gohr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460" w:type="dxa"/>
            <w:vAlign w:val="bottom"/>
            <w:gridSpan w:val="2"/>
          </w:tcPr>
          <w:p>
            <w:pPr>
              <w:jc w:val="center"/>
              <w:ind w:right="1679"/>
              <w:spacing w:after="0"/>
              <w:rPr>
                <w:sz w:val="20"/>
                <w:szCs w:val="20"/>
                <w:color w:val="auto"/>
              </w:rPr>
            </w:pPr>
            <w:r>
              <w:rPr>
                <w:rFonts w:ascii="Times New Roman" w:cs="Times New Roman" w:eastAsia="Times New Roman" w:hAnsi="Times New Roman"/>
                <w:sz w:val="15"/>
                <w:szCs w:val="15"/>
                <w:b w:val="1"/>
                <w:bCs w:val="1"/>
                <w:color w:val="auto"/>
                <w:w w:val="97"/>
              </w:rPr>
              <w:t>Chief Accounting Officer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10"/>
        </w:trPr>
        <w:tc>
          <w:tcPr>
            <w:tcW w:w="1760" w:type="dxa"/>
            <w:vAlign w:val="bottom"/>
          </w:tcPr>
          <w:p>
            <w:pPr>
              <w:spacing w:after="0"/>
              <w:rPr>
                <w:sz w:val="20"/>
                <w:szCs w:val="20"/>
                <w:color w:val="auto"/>
              </w:rPr>
            </w:pPr>
            <w:r>
              <w:rPr>
                <w:rFonts w:ascii="Times New Roman" w:cs="Times New Roman" w:eastAsia="Times New Roman" w:hAnsi="Times New Roman"/>
                <w:sz w:val="20"/>
                <w:szCs w:val="20"/>
                <w:color w:val="auto"/>
              </w:rPr>
              <w:t>Directors:</w:t>
            </w: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8"/>
        </w:trPr>
        <w:tc>
          <w:tcPr>
            <w:tcW w:w="2080" w:type="dxa"/>
            <w:vAlign w:val="bottom"/>
            <w:tcBorders>
              <w:bottom w:val="single" w:sz="8" w:color="auto"/>
            </w:tcBorders>
            <w:gridSpan w:val="2"/>
          </w:tcPr>
          <w:p>
            <w:pPr>
              <w:ind w:left="1740"/>
              <w:spacing w:after="0"/>
              <w:rPr>
                <w:sz w:val="20"/>
                <w:szCs w:val="20"/>
                <w:color w:val="auto"/>
              </w:rPr>
            </w:pPr>
            <w:r>
              <w:rPr>
                <w:rFonts w:ascii="Times New Roman" w:cs="Times New Roman" w:eastAsia="Times New Roman" w:hAnsi="Times New Roman"/>
                <w:sz w:val="20"/>
                <w:szCs w:val="20"/>
                <w:color w:val="auto"/>
              </w:rPr>
              <w:t>/S/</w:t>
            </w:r>
          </w:p>
        </w:tc>
        <w:tc>
          <w:tcPr>
            <w:tcW w:w="3140" w:type="dxa"/>
            <w:vAlign w:val="bottom"/>
            <w:tcBorders>
              <w:bottom w:val="single" w:sz="8" w:color="auto"/>
            </w:tcBorders>
          </w:tcPr>
          <w:p>
            <w:pPr>
              <w:jc w:val="center"/>
              <w:ind w:right="1579"/>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4"/>
                <w:szCs w:val="14"/>
                <w:color w:val="auto"/>
              </w:rPr>
              <w:t>ASON</w:t>
            </w:r>
            <w:r>
              <w:rPr>
                <w:rFonts w:ascii="Times New Roman" w:cs="Times New Roman" w:eastAsia="Times New Roman" w:hAnsi="Times New Roman"/>
                <w:sz w:val="20"/>
                <w:szCs w:val="20"/>
                <w:color w:val="auto"/>
              </w:rPr>
              <w:t xml:space="preserve"> D</w:t>
            </w:r>
            <w:r>
              <w:rPr>
                <w:rFonts w:ascii="Times New Roman" w:cs="Times New Roman" w:eastAsia="Times New Roman" w:hAnsi="Times New Roman"/>
                <w:sz w:val="14"/>
                <w:szCs w:val="14"/>
                <w:color w:val="auto"/>
              </w:rPr>
              <w:t>EZWIREK</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99"/>
              <w:spacing w:after="0" w:line="141" w:lineRule="exact"/>
              <w:rPr>
                <w:sz w:val="20"/>
                <w:szCs w:val="20"/>
                <w:color w:val="auto"/>
              </w:rPr>
            </w:pPr>
            <w:r>
              <w:rPr>
                <w:rFonts w:ascii="Times New Roman" w:cs="Times New Roman" w:eastAsia="Times New Roman" w:hAnsi="Times New Roman"/>
                <w:sz w:val="15"/>
                <w:szCs w:val="15"/>
                <w:b w:val="1"/>
                <w:bCs w:val="1"/>
                <w:color w:val="auto"/>
                <w:w w:val="97"/>
              </w:rPr>
              <w:t>Jason DeZwirek</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522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Chairman of the Board and 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74"/>
        </w:trPr>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4"/>
                <w:szCs w:val="14"/>
                <w:color w:val="auto"/>
              </w:rPr>
              <w:t>ROBERT E. KNOWLING JR.</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460" w:type="dxa"/>
            <w:vAlign w:val="bottom"/>
            <w:gridSpan w:val="2"/>
          </w:tcPr>
          <w:p>
            <w:pPr>
              <w:jc w:val="center"/>
              <w:ind w:right="1659"/>
              <w:spacing w:after="0" w:line="141" w:lineRule="exact"/>
              <w:rPr>
                <w:sz w:val="20"/>
                <w:szCs w:val="20"/>
                <w:color w:val="auto"/>
              </w:rPr>
            </w:pPr>
            <w:r>
              <w:rPr>
                <w:rFonts w:ascii="Times New Roman" w:cs="Times New Roman" w:eastAsia="Times New Roman" w:hAnsi="Times New Roman"/>
                <w:sz w:val="15"/>
                <w:szCs w:val="15"/>
                <w:b w:val="1"/>
                <w:bCs w:val="1"/>
                <w:color w:val="auto"/>
                <w:w w:val="98"/>
              </w:rPr>
              <w:t>Robert E. Knowling Jr.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59"/>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w:t>
            </w:r>
          </w:p>
        </w:tc>
        <w:tc>
          <w:tcPr>
            <w:tcW w:w="3140" w:type="dxa"/>
            <w:vAlign w:val="bottom"/>
            <w:tcBorders>
              <w:bottom w:val="single" w:sz="8" w:color="auto"/>
            </w:tcBorders>
          </w:tcPr>
          <w:p>
            <w:pPr>
              <w:jc w:val="center"/>
              <w:ind w:right="1579"/>
              <w:spacing w:after="0"/>
              <w:rPr>
                <w:sz w:val="20"/>
                <w:szCs w:val="20"/>
                <w:color w:val="auto"/>
              </w:rPr>
            </w:pPr>
            <w:r>
              <w:rPr>
                <w:rFonts w:ascii="Times New Roman" w:cs="Times New Roman" w:eastAsia="Times New Roman" w:hAnsi="Times New Roman"/>
                <w:sz w:val="20"/>
                <w:szCs w:val="20"/>
                <w:color w:val="auto"/>
                <w:w w:val="99"/>
              </w:rPr>
              <w:t>D</w:t>
            </w:r>
            <w:r>
              <w:rPr>
                <w:rFonts w:ascii="Times New Roman" w:cs="Times New Roman" w:eastAsia="Times New Roman" w:hAnsi="Times New Roman"/>
                <w:sz w:val="14"/>
                <w:szCs w:val="14"/>
                <w:color w:val="auto"/>
                <w:w w:val="99"/>
              </w:rPr>
              <w:t>AVID</w:t>
            </w:r>
            <w:r>
              <w:rPr>
                <w:rFonts w:ascii="Times New Roman" w:cs="Times New Roman" w:eastAsia="Times New Roman" w:hAnsi="Times New Roman"/>
                <w:sz w:val="20"/>
                <w:szCs w:val="20"/>
                <w:color w:val="auto"/>
                <w:w w:val="99"/>
              </w:rPr>
              <w:t xml:space="preserve"> B</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20"/>
                <w:szCs w:val="20"/>
                <w:color w:val="auto"/>
                <w:w w:val="99"/>
              </w:rPr>
              <w:t xml:space="preserve"> L</w:t>
            </w:r>
            <w:r>
              <w:rPr>
                <w:rFonts w:ascii="Times New Roman" w:cs="Times New Roman" w:eastAsia="Times New Roman" w:hAnsi="Times New Roman"/>
                <w:sz w:val="14"/>
                <w:szCs w:val="14"/>
                <w:color w:val="auto"/>
                <w:w w:val="99"/>
              </w:rPr>
              <w:t>INER</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99"/>
              <w:spacing w:after="0" w:line="141" w:lineRule="exact"/>
              <w:rPr>
                <w:sz w:val="20"/>
                <w:szCs w:val="20"/>
                <w:color w:val="auto"/>
              </w:rPr>
            </w:pPr>
            <w:r>
              <w:rPr>
                <w:rFonts w:ascii="Times New Roman" w:cs="Times New Roman" w:eastAsia="Times New Roman" w:hAnsi="Times New Roman"/>
                <w:sz w:val="15"/>
                <w:szCs w:val="15"/>
                <w:b w:val="1"/>
                <w:bCs w:val="1"/>
                <w:color w:val="auto"/>
                <w:w w:val="98"/>
              </w:rPr>
              <w:t>David B. Liner</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67"/>
        </w:trPr>
        <w:tc>
          <w:tcPr>
            <w:tcW w:w="17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20"/>
                <w:szCs w:val="20"/>
                <w:color w:val="auto"/>
              </w:rPr>
              <w:t>/S/</w:t>
            </w:r>
          </w:p>
        </w:tc>
        <w:tc>
          <w:tcPr>
            <w:tcW w:w="3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4"/>
                <w:szCs w:val="14"/>
                <w:color w:val="auto"/>
              </w:rPr>
              <w:t>LAUDIO</w:t>
            </w:r>
            <w:r>
              <w:rPr>
                <w:rFonts w:ascii="Times New Roman" w:cs="Times New Roman" w:eastAsia="Times New Roman" w:hAnsi="Times New Roman"/>
                <w:sz w:val="20"/>
                <w:szCs w:val="20"/>
                <w:color w:val="auto"/>
              </w:rPr>
              <w:t xml:space="preserve"> A. M</w:t>
            </w:r>
            <w:r>
              <w:rPr>
                <w:rFonts w:ascii="Times New Roman" w:cs="Times New Roman" w:eastAsia="Times New Roman" w:hAnsi="Times New Roman"/>
                <w:sz w:val="14"/>
                <w:szCs w:val="14"/>
                <w:color w:val="auto"/>
              </w:rPr>
              <w:t>ANNARINO</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460" w:type="dxa"/>
            <w:vAlign w:val="bottom"/>
            <w:gridSpan w:val="2"/>
          </w:tcPr>
          <w:p>
            <w:pPr>
              <w:jc w:val="center"/>
              <w:ind w:right="1679"/>
              <w:spacing w:after="0" w:line="141" w:lineRule="exact"/>
              <w:rPr>
                <w:sz w:val="20"/>
                <w:szCs w:val="20"/>
                <w:color w:val="auto"/>
              </w:rPr>
            </w:pPr>
            <w:r>
              <w:rPr>
                <w:rFonts w:ascii="Times New Roman" w:cs="Times New Roman" w:eastAsia="Times New Roman" w:hAnsi="Times New Roman"/>
                <w:sz w:val="15"/>
                <w:szCs w:val="15"/>
                <w:b w:val="1"/>
                <w:bCs w:val="1"/>
                <w:color w:val="auto"/>
                <w:w w:val="97"/>
              </w:rPr>
              <w:t>Claudio A. Mannarino</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67"/>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w w:val="98"/>
              </w:rPr>
              <w:t>/S/</w:t>
            </w:r>
          </w:p>
        </w:tc>
        <w:tc>
          <w:tcPr>
            <w:tcW w:w="3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4"/>
                <w:szCs w:val="14"/>
                <w:color w:val="auto"/>
              </w:rPr>
              <w:t>UNISH</w:t>
            </w:r>
            <w:r>
              <w:rPr>
                <w:rFonts w:ascii="Times New Roman" w:cs="Times New Roman" w:eastAsia="Times New Roman" w:hAnsi="Times New Roman"/>
                <w:sz w:val="20"/>
                <w:szCs w:val="20"/>
                <w:color w:val="auto"/>
              </w:rPr>
              <w:t xml:space="preserve"> N</w:t>
            </w:r>
            <w:r>
              <w:rPr>
                <w:rFonts w:ascii="Times New Roman" w:cs="Times New Roman" w:eastAsia="Times New Roman" w:hAnsi="Times New Roman"/>
                <w:sz w:val="14"/>
                <w:szCs w:val="14"/>
                <w:color w:val="auto"/>
              </w:rPr>
              <w:t>ANDA</w:t>
            </w:r>
          </w:p>
        </w:tc>
        <w:tc>
          <w:tcPr>
            <w:tcW w:w="160" w:type="dxa"/>
            <w:vAlign w:val="bottom"/>
            <w:tcBorders>
              <w:bottom w:val="single" w:sz="8" w:color="auto"/>
            </w:tcBorders>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40" w:type="dxa"/>
            <w:vAlign w:val="bottom"/>
          </w:tcPr>
          <w:p>
            <w:pPr>
              <w:jc w:val="center"/>
              <w:ind w:right="1999"/>
              <w:spacing w:after="0" w:line="141" w:lineRule="exact"/>
              <w:rPr>
                <w:sz w:val="20"/>
                <w:szCs w:val="20"/>
                <w:color w:val="auto"/>
              </w:rPr>
            </w:pPr>
            <w:r>
              <w:rPr>
                <w:rFonts w:ascii="Times New Roman" w:cs="Times New Roman" w:eastAsia="Times New Roman" w:hAnsi="Times New Roman"/>
                <w:sz w:val="15"/>
                <w:szCs w:val="15"/>
                <w:b w:val="1"/>
                <w:bCs w:val="1"/>
                <w:color w:val="auto"/>
                <w:w w:val="98"/>
              </w:rPr>
              <w:t>Munish Nanda</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67"/>
        </w:trPr>
        <w:tc>
          <w:tcPr>
            <w:tcW w:w="17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20"/>
                <w:szCs w:val="20"/>
                <w:color w:val="auto"/>
              </w:rPr>
              <w:t>/S/</w:t>
            </w:r>
          </w:p>
        </w:tc>
        <w:tc>
          <w:tcPr>
            <w:tcW w:w="3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4"/>
                <w:szCs w:val="14"/>
                <w:color w:val="auto"/>
              </w:rPr>
              <w:t>ALERIE</w:t>
            </w:r>
            <w:r>
              <w:rPr>
                <w:rFonts w:ascii="Times New Roman" w:cs="Times New Roman" w:eastAsia="Times New Roman" w:hAnsi="Times New Roman"/>
                <w:sz w:val="20"/>
                <w:szCs w:val="20"/>
                <w:color w:val="auto"/>
              </w:rPr>
              <w:t xml:space="preserve"> G</w:t>
            </w:r>
            <w:r>
              <w:rPr>
                <w:rFonts w:ascii="Times New Roman" w:cs="Times New Roman" w:eastAsia="Times New Roman" w:hAnsi="Times New Roman"/>
                <w:sz w:val="14"/>
                <w:szCs w:val="14"/>
                <w:color w:val="auto"/>
              </w:rPr>
              <w:t>ENTILE</w:t>
            </w:r>
            <w:r>
              <w:rPr>
                <w:rFonts w:ascii="Times New Roman" w:cs="Times New Roman" w:eastAsia="Times New Roman" w:hAnsi="Times New Roman"/>
                <w:sz w:val="20"/>
                <w:szCs w:val="20"/>
                <w:color w:val="auto"/>
              </w:rPr>
              <w:t xml:space="preserve"> S</w:t>
            </w:r>
            <w:r>
              <w:rPr>
                <w:rFonts w:ascii="Times New Roman" w:cs="Times New Roman" w:eastAsia="Times New Roman" w:hAnsi="Times New Roman"/>
                <w:sz w:val="14"/>
                <w:szCs w:val="14"/>
                <w:color w:val="auto"/>
              </w:rPr>
              <w:t>ACHS</w:t>
            </w:r>
          </w:p>
        </w:tc>
        <w:tc>
          <w:tcPr>
            <w:tcW w:w="160" w:type="dxa"/>
            <w:vAlign w:val="bottom"/>
            <w:tcBorders>
              <w:bottom w:val="single" w:sz="8" w:color="auto"/>
            </w:tcBorders>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460" w:type="dxa"/>
            <w:vAlign w:val="bottom"/>
            <w:gridSpan w:val="2"/>
          </w:tcPr>
          <w:p>
            <w:pPr>
              <w:jc w:val="center"/>
              <w:ind w:right="1679"/>
              <w:spacing w:after="0" w:line="141" w:lineRule="exact"/>
              <w:rPr>
                <w:sz w:val="20"/>
                <w:szCs w:val="20"/>
                <w:color w:val="auto"/>
              </w:rPr>
            </w:pPr>
            <w:r>
              <w:rPr>
                <w:rFonts w:ascii="Times New Roman" w:cs="Times New Roman" w:eastAsia="Times New Roman" w:hAnsi="Times New Roman"/>
                <w:sz w:val="15"/>
                <w:szCs w:val="15"/>
                <w:b w:val="1"/>
                <w:bCs w:val="1"/>
                <w:color w:val="auto"/>
                <w:w w:val="97"/>
              </w:rPr>
              <w:t>Valerie Gentile Sachs</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67"/>
        </w:trPr>
        <w:tc>
          <w:tcPr>
            <w:tcW w:w="17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20"/>
                <w:szCs w:val="20"/>
                <w:color w:val="auto"/>
                <w:w w:val="89"/>
              </w:rPr>
              <w:t>/S/</w:t>
            </w:r>
          </w:p>
        </w:tc>
        <w:tc>
          <w:tcPr>
            <w:tcW w:w="3460" w:type="dxa"/>
            <w:vAlign w:val="bottom"/>
            <w:tcBorders>
              <w:bottom w:val="single" w:sz="8" w:color="auto"/>
            </w:tcBorders>
            <w:gridSpan w:val="2"/>
          </w:tcPr>
          <w:p>
            <w:pPr>
              <w:jc w:val="center"/>
              <w:ind w:right="1259"/>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4"/>
                <w:szCs w:val="14"/>
                <w:color w:val="auto"/>
              </w:rPr>
              <w:t>ICHARD</w:t>
            </w:r>
            <w:r>
              <w:rPr>
                <w:rFonts w:ascii="Times New Roman" w:cs="Times New Roman" w:eastAsia="Times New Roman" w:hAnsi="Times New Roman"/>
                <w:sz w:val="20"/>
                <w:szCs w:val="20"/>
                <w:color w:val="auto"/>
              </w:rPr>
              <w:t xml:space="preserve"> F. W</w:t>
            </w:r>
            <w:r>
              <w:rPr>
                <w:rFonts w:ascii="Times New Roman" w:cs="Times New Roman" w:eastAsia="Times New Roman" w:hAnsi="Times New Roman"/>
                <w:sz w:val="14"/>
                <w:szCs w:val="14"/>
                <w:color w:val="auto"/>
              </w:rPr>
              <w:t>ALLMAN</w:t>
            </w:r>
          </w:p>
        </w:tc>
        <w:tc>
          <w:tcPr>
            <w:tcW w:w="160" w:type="dxa"/>
            <w:vAlign w:val="bottom"/>
            <w:tcBorders>
              <w:bottom w:val="single" w:sz="8" w:color="auto"/>
            </w:tcBorders>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March 6, 2023</w:t>
            </w:r>
          </w:p>
        </w:tc>
      </w:tr>
      <w:tr>
        <w:trPr>
          <w:trHeight w:val="141"/>
        </w:trPr>
        <w:tc>
          <w:tcPr>
            <w:tcW w:w="1760" w:type="dxa"/>
            <w:vAlign w:val="bottom"/>
          </w:tcPr>
          <w:p>
            <w:pPr>
              <w:spacing w:after="0"/>
              <w:rPr>
                <w:sz w:val="12"/>
                <w:szCs w:val="12"/>
                <w:color w:val="auto"/>
              </w:rPr>
            </w:pPr>
          </w:p>
        </w:tc>
        <w:tc>
          <w:tcPr>
            <w:tcW w:w="3460" w:type="dxa"/>
            <w:vAlign w:val="bottom"/>
            <w:gridSpan w:val="2"/>
          </w:tcPr>
          <w:p>
            <w:pPr>
              <w:jc w:val="center"/>
              <w:ind w:right="1679"/>
              <w:spacing w:after="0" w:line="141" w:lineRule="exact"/>
              <w:rPr>
                <w:sz w:val="20"/>
                <w:szCs w:val="20"/>
                <w:color w:val="auto"/>
              </w:rPr>
            </w:pPr>
            <w:r>
              <w:rPr>
                <w:rFonts w:ascii="Times New Roman" w:cs="Times New Roman" w:eastAsia="Times New Roman" w:hAnsi="Times New Roman"/>
                <w:sz w:val="15"/>
                <w:szCs w:val="15"/>
                <w:b w:val="1"/>
                <w:bCs w:val="1"/>
                <w:color w:val="auto"/>
                <w:w w:val="98"/>
              </w:rPr>
              <w:t>Richard F. Wallman</w:t>
            </w: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03"/>
        </w:trPr>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40" w:type="dxa"/>
            <w:vAlign w:val="bottom"/>
          </w:tcPr>
          <w:p>
            <w:pPr>
              <w:jc w:val="center"/>
              <w:ind w:right="1979"/>
              <w:spacing w:after="0"/>
              <w:rPr>
                <w:sz w:val="20"/>
                <w:szCs w:val="20"/>
                <w:color w:val="auto"/>
              </w:rPr>
            </w:pPr>
            <w:r>
              <w:rPr>
                <w:rFonts w:ascii="Times New Roman" w:cs="Times New Roman" w:eastAsia="Times New Roman" w:hAnsi="Times New Roman"/>
                <w:sz w:val="15"/>
                <w:szCs w:val="15"/>
                <w:b w:val="1"/>
                <w:bCs w:val="1"/>
                <w:color w:val="auto"/>
                <w:w w:val="95"/>
              </w:rPr>
              <w:t>Director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3316605</wp:posOffset>
                </wp:positionH>
                <wp:positionV relativeFrom="paragraph">
                  <wp:posOffset>-5173980</wp:posOffset>
                </wp:positionV>
                <wp:extent cx="996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407.3999pt" to="269pt,-407.39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-4476750</wp:posOffset>
                </wp:positionV>
                <wp:extent cx="9969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352.4999pt" to="269pt,-352.49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-3731260</wp:posOffset>
                </wp:positionV>
                <wp:extent cx="9969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293.7999pt" to="269pt,-293.79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-3012440</wp:posOffset>
                </wp:positionV>
                <wp:extent cx="9969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237.1999pt" to="269pt,-237.19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-2543810</wp:posOffset>
                </wp:positionV>
                <wp:extent cx="9969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200.2999pt" to="269pt,-200.29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-2084705</wp:posOffset>
                </wp:positionV>
                <wp:extent cx="996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164.1499pt" to="269pt,-164.1499pt" o:allowincell="f" strokecolor="#FFFFFF" strokeweight="0.49pt"/>
            </w:pict>
          </mc:Fallback>
        </mc:AlternateContent>
        <mc:AlternateContent>
          <mc:Choice Requires="wps">
            <w:drawing>
              <wp:anchor simplePos="0" relativeHeight="251657728" behindDoc="1" locked="0" layoutInCell="0" allowOverlap="1">
                <wp:simplePos x="0" y="0"/>
                <wp:positionH relativeFrom="column">
                  <wp:posOffset>3316605</wp:posOffset>
                </wp:positionH>
                <wp:positionV relativeFrom="paragraph">
                  <wp:posOffset>-1620520</wp:posOffset>
                </wp:positionV>
                <wp:extent cx="9969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695" cy="4763"/>
                        </a:xfrm>
                        <a:prstGeom prst="line">
                          <a:avLst/>
                        </a:prstGeom>
                        <a:solidFill>
                          <a:srgbClr val="FFFFFF"/>
                        </a:solidFill>
                        <a:ln w="6223">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15pt,-127.5999pt" to="269pt,-127.5999pt" o:allowincell="f" strokecolor="#FFFFFF" strokeweight="0.49pt"/>
            </w:pict>
          </mc:Fallback>
        </mc:AlternateContent>
      </w:r>
    </w:p>
    <w:p>
      <w:pPr>
        <w:sectPr>
          <w:pgSz w:w="12240" w:h="15840" w:orient="portrait"/>
          <w:cols w:equalWidth="0" w:num="1">
            <w:col w:w="10520"/>
          </w:cols>
          <w:pgMar w:left="820" w:top="1065" w:right="90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520"/>
          </w:cols>
          <w:pgMar w:left="820" w:top="1065" w:right="900" w:bottom="31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CECO Environmental Corp. and Subsidiaries</w:t>
      </w:r>
    </w:p>
    <w:p>
      <w:pPr>
        <w:spacing w:after="0"/>
        <w:rPr>
          <w:sz w:val="20"/>
          <w:szCs w:val="20"/>
          <w:color w:val="auto"/>
        </w:rPr>
      </w:pPr>
      <w:r>
        <w:rPr>
          <w:rFonts w:ascii="Times New Roman" w:cs="Times New Roman" w:eastAsia="Times New Roman" w:hAnsi="Times New Roman"/>
          <w:sz w:val="20"/>
          <w:szCs w:val="20"/>
          <w:color w:val="auto"/>
        </w:rPr>
        <w:t>Dallas, Texas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22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We have audited the accompanying consolidated balance sheets of CECO Environmental Corp. and Subsidiaries (the “Company”) as of December 31, 2022 and 2021, the related consolidated statements of income and comprehensive income, shareholders’ equity and accumulated other comprehensive loss,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conformity with accounting principles generally accepted in the United States of America.</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Integrated Framework (2013) </w:t>
      </w:r>
      <w:r>
        <w:rPr>
          <w:rFonts w:ascii="Times New Roman" w:cs="Times New Roman" w:eastAsia="Times New Roman" w:hAnsi="Times New Roman"/>
          <w:sz w:val="20"/>
          <w:szCs w:val="20"/>
          <w:color w:val="auto"/>
        </w:rPr>
        <w:t>issued by the Committee of Sponsoring Organizations of the Treadway Commission (“COSO”) and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 dated March 6, 2023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5"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Over Time Revenue Recognition Using the Cost-to-Cost Input Approach</w:t>
      </w:r>
    </w:p>
    <w:p>
      <w:pPr>
        <w:spacing w:after="0" w:line="21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As described in Note 1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ratio of contract costs incurred to date compared to total estimated costs. Under this method, the Company must continually assess the total estimated costs and progress toward completion for each contract. Changes in these estimates can have a material impact on the amount of revenue and gross profit recognized each period.</w:t>
      </w:r>
    </w:p>
    <w:p>
      <w:pPr>
        <w:spacing w:after="0" w:line="18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We identified the accuracy of revenue recognized over time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600"/>
          </w:cols>
          <w:pgMar w:left="820" w:top="1065" w:right="820" w:bottom="315" w:gutter="0" w:footer="0" w:header="0"/>
        </w:sectPr>
      </w:pPr>
    </w:p>
    <w:bookmarkStart w:id="61" w:name="page62"/>
    <w:bookmarkEnd w:id="61"/>
    <w:p>
      <w:pPr>
        <w:ind w:right="120"/>
        <w:spacing w:after="0" w:line="269" w:lineRule="auto"/>
        <w:rPr>
          <w:sz w:val="20"/>
          <w:szCs w:val="20"/>
          <w:color w:val="auto"/>
        </w:rPr>
      </w:pPr>
      <w:r>
        <w:rPr>
          <w:rFonts w:ascii="Times New Roman" w:cs="Times New Roman" w:eastAsia="Times New Roman" w:hAnsi="Times New Roman"/>
          <w:sz w:val="20"/>
          <w:szCs w:val="20"/>
          <w:color w:val="auto"/>
        </w:rPr>
        <w:t>Auditing these complex judgments and assumptions involves especially challenging auditor judgment due to the nature and extent of audit evidence available and effort required to address these matters.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127" w:lineRule="exact"/>
        <w:rPr>
          <w:sz w:val="20"/>
          <w:szCs w:val="20"/>
          <w:color w:val="auto"/>
        </w:rPr>
      </w:pPr>
    </w:p>
    <w:p>
      <w:pPr>
        <w:ind w:left="960" w:right="200" w:hanging="473"/>
        <w:spacing w:after="0" w:line="241" w:lineRule="auto"/>
        <w:tabs>
          <w:tab w:leader="none" w:pos="96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Testing the design and operating effectiveness of internal controls relating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96" w:lineRule="exact"/>
        <w:rPr>
          <w:rFonts w:ascii="PMingLiU" w:cs="PMingLiU" w:eastAsia="PMingLiU" w:hAnsi="PMingLiU"/>
          <w:sz w:val="20"/>
          <w:szCs w:val="20"/>
          <w:color w:val="auto"/>
        </w:rPr>
      </w:pPr>
    </w:p>
    <w:p>
      <w:pPr>
        <w:ind w:left="960" w:hanging="473"/>
        <w:spacing w:after="0" w:line="241" w:lineRule="auto"/>
        <w:tabs>
          <w:tab w:leader="none" w:pos="96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Testing the completeness, existence, and accuracy of estimated project cost calculations for a sample of contracts by validating the underlying project data and assumptions used as inputs through the inspection of relevant source documents including project plans or budgets and activity reports, invoices of costs incurred to date, results of recent similar historical projects, other third-party subcontractor support, inquiry of project managers, and confirmations.</w:t>
      </w:r>
    </w:p>
    <w:p>
      <w:pPr>
        <w:spacing w:after="0" w:line="96" w:lineRule="exact"/>
        <w:rPr>
          <w:rFonts w:ascii="PMingLiU" w:cs="PMingLiU" w:eastAsia="PMingLiU" w:hAnsi="PMingLiU"/>
          <w:sz w:val="20"/>
          <w:szCs w:val="20"/>
          <w:color w:val="auto"/>
        </w:rPr>
      </w:pPr>
    </w:p>
    <w:p>
      <w:pPr>
        <w:jc w:val="both"/>
        <w:ind w:left="960" w:right="560" w:hanging="473"/>
        <w:spacing w:after="0" w:line="245" w:lineRule="auto"/>
        <w:tabs>
          <w:tab w:leader="none" w:pos="96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6, 2023</w:t>
      </w:r>
    </w:p>
    <w:p>
      <w:pPr>
        <w:sectPr>
          <w:pgSz w:w="12240" w:h="15840" w:orient="portrait"/>
          <w:cols w:equalWidth="0" w:num="1">
            <w:col w:w="10560"/>
          </w:cols>
          <w:pgMar w:left="820" w:top="1069" w:right="86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560"/>
          </w:cols>
          <w:pgMar w:left="820" w:top="1069" w:right="860" w:bottom="315"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 except share data)</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640" w:type="dxa"/>
            <w:vAlign w:val="bottom"/>
            <w:tcBorders>
              <w:bottom w:val="single" w:sz="8" w:color="E6E6E6"/>
            </w:tcBorders>
            <w:vMerge w:val="continue"/>
          </w:tcPr>
          <w:p>
            <w:pPr>
              <w:spacing w:after="0"/>
              <w:rPr>
                <w:sz w:val="14"/>
                <w:szCs w:val="14"/>
                <w:color w:val="auto"/>
              </w:rPr>
            </w:pPr>
          </w:p>
        </w:tc>
        <w:tc>
          <w:tcPr>
            <w:tcW w:w="240" w:type="dxa"/>
            <w:vAlign w:val="bottom"/>
            <w:tcBorders>
              <w:bottom w:val="single" w:sz="8" w:color="E6E6E6"/>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3"/>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E6E6E6"/>
            </w:tcBorders>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3"/>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E6E6E6"/>
          </w:tcPr>
          <w:p>
            <w:pPr>
              <w:ind w:left="3000"/>
              <w:spacing w:after="0" w:line="215" w:lineRule="exact"/>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Current assets: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Cash and cash equivalents</w:t>
            </w:r>
          </w:p>
        </w:tc>
        <w:tc>
          <w:tcPr>
            <w:tcW w:w="620" w:type="dxa"/>
            <w:vAlign w:val="bottom"/>
            <w:gridSpan w:val="2"/>
            <w:shd w:val="clear" w:color="auto" w:fill="E6E6E6"/>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45,522</w:t>
            </w:r>
          </w:p>
        </w:tc>
        <w:tc>
          <w:tcPr>
            <w:tcW w:w="600" w:type="dxa"/>
            <w:vAlign w:val="bottom"/>
            <w:gridSpan w:val="2"/>
            <w:shd w:val="clear" w:color="auto" w:fill="E6E6E6"/>
          </w:tcPr>
          <w:p>
            <w:pPr>
              <w:jc w:val="right"/>
              <w:ind w:right="30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29,902</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1,063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2,093</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Accounts receivable, net</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83,086</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74,991</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Costs and estimated earnings in excess of billings on uncompleted contracts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71,016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51,429</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Inventories, net</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26,526</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17,052</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Prepaid expenses and other current assets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12,174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10,760</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Prepaid income taxes</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1,271</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2,784</w:t>
            </w:r>
          </w:p>
        </w:tc>
        <w:tc>
          <w:tcPr>
            <w:tcW w:w="0" w:type="dxa"/>
            <w:vAlign w:val="bottom"/>
          </w:tcPr>
          <w:p>
            <w:pPr>
              <w:spacing w:after="0"/>
              <w:rPr>
                <w:sz w:val="1"/>
                <w:szCs w:val="1"/>
                <w:color w:val="auto"/>
              </w:rPr>
            </w:pPr>
          </w:p>
        </w:tc>
      </w:tr>
      <w:tr>
        <w:trPr>
          <w:trHeight w:val="215"/>
        </w:trPr>
        <w:tc>
          <w:tcPr>
            <w:tcW w:w="664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current assets</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240,658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20,828</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15,948</w:t>
            </w: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Right-of-use assets from operating leases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11,373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10,893</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183,197</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161,183</w:t>
            </w: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Intangible assets – finite life, net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35,251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25,841</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assets – indefinite life</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9,508</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9,629</w:t>
            </w: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505</w:t>
            </w:r>
          </w:p>
        </w:tc>
        <w:tc>
          <w:tcPr>
            <w:tcW w:w="0" w:type="dxa"/>
            <w:vAlign w:val="bottom"/>
          </w:tcPr>
          <w:p>
            <w:pPr>
              <w:spacing w:after="0"/>
              <w:rPr>
                <w:sz w:val="1"/>
                <w:szCs w:val="1"/>
                <w:color w:val="auto"/>
              </w:rPr>
            </w:pPr>
          </w:p>
        </w:tc>
      </w:tr>
      <w:tr>
        <w:trPr>
          <w:trHeight w:val="24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Deferred charges and other assets</w:t>
            </w:r>
          </w:p>
        </w:tc>
        <w:tc>
          <w:tcPr>
            <w:tcW w:w="240" w:type="dxa"/>
            <w:vAlign w:val="bottom"/>
            <w:shd w:val="clear" w:color="auto" w:fill="E6E6E6"/>
          </w:tcPr>
          <w:p>
            <w:pPr>
              <w:spacing w:after="0"/>
              <w:rPr>
                <w:sz w:val="21"/>
                <w:szCs w:val="21"/>
                <w:color w:val="auto"/>
              </w:rPr>
            </w:pPr>
          </w:p>
        </w:tc>
        <w:tc>
          <w:tcPr>
            <w:tcW w:w="38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3,077</w:t>
            </w:r>
          </w:p>
        </w:tc>
        <w:tc>
          <w:tcPr>
            <w:tcW w:w="100" w:type="dxa"/>
            <w:vAlign w:val="bottom"/>
            <w:shd w:val="clear" w:color="auto" w:fill="E6E6E6"/>
          </w:tcPr>
          <w:p>
            <w:pPr>
              <w:spacing w:after="0"/>
              <w:rPr>
                <w:sz w:val="21"/>
                <w:szCs w:val="21"/>
                <w:color w:val="auto"/>
              </w:rPr>
            </w:pPr>
          </w:p>
        </w:tc>
        <w:tc>
          <w:tcPr>
            <w:tcW w:w="500" w:type="dxa"/>
            <w:vAlign w:val="bottom"/>
            <w:shd w:val="clear" w:color="auto" w:fill="E6E6E6"/>
          </w:tcPr>
          <w:p>
            <w:pPr>
              <w:spacing w:after="0"/>
              <w:rPr>
                <w:sz w:val="21"/>
                <w:szCs w:val="21"/>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3,187</w:t>
            </w:r>
          </w:p>
        </w:tc>
        <w:tc>
          <w:tcPr>
            <w:tcW w:w="0" w:type="dxa"/>
            <w:vAlign w:val="bottom"/>
          </w:tcPr>
          <w:p>
            <w:pPr>
              <w:spacing w:after="0"/>
              <w:rPr>
                <w:sz w:val="1"/>
                <w:szCs w:val="1"/>
                <w:color w:val="auto"/>
              </w:rPr>
            </w:pPr>
          </w:p>
        </w:tc>
      </w:tr>
      <w:tr>
        <w:trPr>
          <w:trHeight w:val="235"/>
        </w:trPr>
        <w:tc>
          <w:tcPr>
            <w:tcW w:w="6640" w:type="dxa"/>
            <w:vAlign w:val="bottom"/>
            <w:tcBorders>
              <w:top w:val="single" w:sz="8" w:color="E6E6E6"/>
              <w:bottom w:val="single" w:sz="8" w:color="E6E6E6"/>
            </w:tcBorders>
          </w:tcPr>
          <w:p>
            <w:pPr>
              <w:ind w:left="600"/>
              <w:spacing w:after="0" w:line="195" w:lineRule="exact"/>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tcBorders>
              <w:top w:val="single" w:sz="8" w:color="E6E6E6"/>
              <w:bottom w:val="single" w:sz="8" w:color="E6E6E6"/>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8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504,721</w:t>
            </w:r>
          </w:p>
        </w:tc>
        <w:tc>
          <w:tcPr>
            <w:tcW w:w="180" w:type="dxa"/>
            <w:vAlign w:val="bottom"/>
            <w:tcBorders>
              <w:top w:val="single" w:sz="8" w:color="E6E6E6"/>
              <w:bottom w:val="single" w:sz="8" w:color="E6E6E6"/>
            </w:tcBorders>
          </w:tcPr>
          <w:p>
            <w:pPr>
              <w:spacing w:after="0"/>
              <w:rPr>
                <w:sz w:val="20"/>
                <w:szCs w:val="20"/>
                <w:color w:val="auto"/>
              </w:rPr>
            </w:pPr>
          </w:p>
        </w:tc>
        <w:tc>
          <w:tcPr>
            <w:tcW w:w="100" w:type="dxa"/>
            <w:vAlign w:val="bottom"/>
            <w:tcBorders>
              <w:top w:val="single" w:sz="8" w:color="E6E6E6"/>
              <w:bottom w:val="single" w:sz="8" w:color="E6E6E6"/>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30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416,197</w:t>
            </w:r>
          </w:p>
        </w:tc>
        <w:tc>
          <w:tcPr>
            <w:tcW w:w="120" w:type="dxa"/>
            <w:vAlign w:val="bottom"/>
            <w:tcBorders>
              <w:top w:val="single" w:sz="8" w:color="E6E6E6"/>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E6E6E6"/>
          </w:tcPr>
          <w:p>
            <w:pPr>
              <w:ind w:left="1240"/>
              <w:spacing w:after="0" w:line="209" w:lineRule="exact"/>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2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Current portion of debt</w:t>
            </w:r>
          </w:p>
        </w:tc>
        <w:tc>
          <w:tcPr>
            <w:tcW w:w="620" w:type="dxa"/>
            <w:vAlign w:val="bottom"/>
            <w:gridSpan w:val="2"/>
            <w:shd w:val="clear" w:color="auto" w:fill="E6E6E6"/>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3,579</w:t>
            </w:r>
          </w:p>
        </w:tc>
        <w:tc>
          <w:tcPr>
            <w:tcW w:w="600" w:type="dxa"/>
            <w:vAlign w:val="bottom"/>
            <w:gridSpan w:val="2"/>
            <w:shd w:val="clear" w:color="auto" w:fill="E6E6E6"/>
          </w:tcPr>
          <w:p>
            <w:pPr>
              <w:jc w:val="right"/>
              <w:ind w:right="30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2,203</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Accounts payable and accrued expenses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107,198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84,081</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Billings in excess of costs and estimated earnings on uncompleted contracts</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32,716</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28,908</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Income taxes payable</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3,207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1,493</w:t>
            </w:r>
          </w:p>
        </w:tc>
        <w:tc>
          <w:tcPr>
            <w:tcW w:w="0" w:type="dxa"/>
            <w:vAlign w:val="bottom"/>
          </w:tcPr>
          <w:p>
            <w:pPr>
              <w:spacing w:after="0"/>
              <w:rPr>
                <w:sz w:val="1"/>
                <w:szCs w:val="1"/>
                <w:color w:val="auto"/>
              </w:rPr>
            </w:pPr>
          </w:p>
        </w:tc>
      </w:tr>
      <w:tr>
        <w:trPr>
          <w:trHeight w:val="215"/>
        </w:trPr>
        <w:tc>
          <w:tcPr>
            <w:tcW w:w="66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current liabilities</w:t>
            </w:r>
          </w:p>
        </w:tc>
        <w:tc>
          <w:tcPr>
            <w:tcW w:w="24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tcBorders>
            <w:shd w:val="clear" w:color="auto" w:fill="E6E6E6"/>
          </w:tcPr>
          <w:p>
            <w:pPr>
              <w:spacing w:after="0"/>
              <w:rPr>
                <w:sz w:val="18"/>
                <w:szCs w:val="18"/>
                <w:color w:val="auto"/>
              </w:rPr>
            </w:pPr>
          </w:p>
        </w:tc>
        <w:tc>
          <w:tcPr>
            <w:tcW w:w="12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146,700</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500" w:type="dxa"/>
            <w:vAlign w:val="bottom"/>
            <w:tcBorders>
              <w:top w:val="single" w:sz="8" w:color="auto"/>
            </w:tcBorders>
            <w:shd w:val="clear" w:color="auto" w:fill="E6E6E6"/>
          </w:tcPr>
          <w:p>
            <w:pPr>
              <w:spacing w:after="0"/>
              <w:rPr>
                <w:sz w:val="18"/>
                <w:szCs w:val="18"/>
                <w:color w:val="auto"/>
              </w:rPr>
            </w:pPr>
          </w:p>
        </w:tc>
        <w:tc>
          <w:tcPr>
            <w:tcW w:w="11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116,685</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Other liabilities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15,129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14,826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Debt, less current portion</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107,625</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61,577</w:t>
            </w: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liability, net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8,666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8,390</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Operating lease liabilities</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8,453</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8,762</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E6E6E6"/>
            </w:tcBorders>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liabilities</w:t>
            </w:r>
          </w:p>
        </w:tc>
        <w:tc>
          <w:tcPr>
            <w:tcW w:w="240" w:type="dxa"/>
            <w:vAlign w:val="bottom"/>
            <w:tcBorders>
              <w:bottom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286,573</w:t>
            </w:r>
          </w:p>
        </w:tc>
        <w:tc>
          <w:tcPr>
            <w:tcW w:w="1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210,240</w:t>
            </w:r>
          </w:p>
        </w:tc>
        <w:tc>
          <w:tcPr>
            <w:tcW w:w="12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Commitments and contingencies (See Note 12)</w:t>
            </w:r>
          </w:p>
        </w:tc>
        <w:tc>
          <w:tcPr>
            <w:tcW w:w="2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Shareholders’ equity:</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Preferred stock, $.01 par value; 10,000 shares authorized, none issued</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6640" w:type="dxa"/>
            <w:vAlign w:val="bottom"/>
          </w:tcPr>
          <w:p>
            <w:pPr>
              <w:ind w:left="200"/>
              <w:spacing w:after="0" w:line="206" w:lineRule="exact"/>
              <w:rPr>
                <w:sz w:val="20"/>
                <w:szCs w:val="20"/>
                <w:color w:val="auto"/>
              </w:rPr>
            </w:pPr>
            <w:r>
              <w:rPr>
                <w:rFonts w:ascii="Times New Roman" w:cs="Times New Roman" w:eastAsia="Times New Roman" w:hAnsi="Times New Roman"/>
                <w:sz w:val="20"/>
                <w:szCs w:val="20"/>
                <w:color w:val="auto"/>
              </w:rPr>
              <w:t>Common stock, $.01 par value; 100,000,000 shares authorized, 34,381,668 and</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360"/>
              <w:spacing w:after="0" w:line="226" w:lineRule="exact"/>
              <w:rPr>
                <w:sz w:val="20"/>
                <w:szCs w:val="20"/>
                <w:color w:val="auto"/>
              </w:rPr>
            </w:pPr>
            <w:r>
              <w:rPr>
                <w:rFonts w:ascii="Times New Roman" w:cs="Times New Roman" w:eastAsia="Times New Roman" w:hAnsi="Times New Roman"/>
                <w:sz w:val="20"/>
                <w:szCs w:val="20"/>
                <w:color w:val="auto"/>
              </w:rPr>
              <w:t>35,028,197 shares issued and outstanding at December 31, 2022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344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350</w:t>
            </w:r>
          </w:p>
        </w:tc>
        <w:tc>
          <w:tcPr>
            <w:tcW w:w="0" w:type="dxa"/>
            <w:vAlign w:val="bottom"/>
          </w:tcPr>
          <w:p>
            <w:pPr>
              <w:spacing w:after="0"/>
              <w:rPr>
                <w:sz w:val="1"/>
                <w:szCs w:val="1"/>
                <w:color w:val="auto"/>
              </w:rPr>
            </w:pPr>
          </w:p>
        </w:tc>
      </w:tr>
      <w:tr>
        <w:trPr>
          <w:trHeight w:val="245"/>
        </w:trPr>
        <w:tc>
          <w:tcPr>
            <w:tcW w:w="6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and 2021, respectively</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Capital in excess of par value</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250,174</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252,989</w:t>
            </w:r>
          </w:p>
        </w:tc>
        <w:tc>
          <w:tcPr>
            <w:tcW w:w="0" w:type="dxa"/>
            <w:vAlign w:val="bottom"/>
          </w:tcPr>
          <w:p>
            <w:pPr>
              <w:spacing w:after="0"/>
              <w:rPr>
                <w:sz w:val="1"/>
                <w:szCs w:val="1"/>
                <w:color w:val="auto"/>
              </w:rPr>
            </w:pPr>
          </w:p>
        </w:tc>
      </w:tr>
      <w:tr>
        <w:trPr>
          <w:trHeight w:val="225"/>
        </w:trPr>
        <w:tc>
          <w:tcPr>
            <w:tcW w:w="6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Accumulated loss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(19,298)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(36,715)</w:t>
            </w:r>
          </w:p>
        </w:tc>
        <w:tc>
          <w:tcPr>
            <w:tcW w:w="0" w:type="dxa"/>
            <w:vAlign w:val="bottom"/>
          </w:tcPr>
          <w:p>
            <w:pPr>
              <w:spacing w:after="0"/>
              <w:rPr>
                <w:sz w:val="1"/>
                <w:szCs w:val="1"/>
                <w:color w:val="auto"/>
              </w:rPr>
            </w:pPr>
          </w:p>
        </w:tc>
      </w:tr>
      <w:tr>
        <w:trPr>
          <w:trHeight w:val="225"/>
        </w:trPr>
        <w:tc>
          <w:tcPr>
            <w:tcW w:w="6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Accumulated other comprehensive loss</w:t>
            </w:r>
          </w:p>
        </w:tc>
        <w:tc>
          <w:tcPr>
            <w:tcW w:w="24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(17,996)</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(12,070)</w:t>
            </w:r>
          </w:p>
        </w:tc>
        <w:tc>
          <w:tcPr>
            <w:tcW w:w="0" w:type="dxa"/>
            <w:vAlign w:val="bottom"/>
          </w:tcPr>
          <w:p>
            <w:pPr>
              <w:spacing w:after="0"/>
              <w:rPr>
                <w:sz w:val="1"/>
                <w:szCs w:val="1"/>
                <w:color w:val="auto"/>
              </w:rPr>
            </w:pPr>
          </w:p>
        </w:tc>
      </w:tr>
      <w:tr>
        <w:trPr>
          <w:trHeight w:val="215"/>
        </w:trPr>
        <w:tc>
          <w:tcPr>
            <w:tcW w:w="6640" w:type="dxa"/>
            <w:vAlign w:val="bottom"/>
            <w:tcBorders>
              <w:bottom w:val="single" w:sz="8" w:color="E6E6E6"/>
            </w:tcBorders>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CECO shareholders’ equity</w:t>
            </w:r>
          </w:p>
        </w:tc>
        <w:tc>
          <w:tcPr>
            <w:tcW w:w="240" w:type="dxa"/>
            <w:vAlign w:val="bottom"/>
            <w:tcBorders>
              <w:bottom w:val="single" w:sz="8" w:color="E6E6E6"/>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213,224</w:t>
            </w:r>
          </w:p>
        </w:tc>
        <w:tc>
          <w:tcPr>
            <w:tcW w:w="180" w:type="dxa"/>
            <w:vAlign w:val="bottom"/>
            <w:tcBorders>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204,554</w:t>
            </w:r>
          </w:p>
        </w:tc>
        <w:tc>
          <w:tcPr>
            <w:tcW w:w="12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E6E6E6"/>
          </w:tcPr>
          <w:p>
            <w:pPr>
              <w:ind w:left="600"/>
              <w:spacing w:after="0" w:line="215" w:lineRule="exact"/>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4,924</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1,403</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tcBorders>
              <w:bottom w:val="single" w:sz="8" w:color="E6E6E6"/>
            </w:tcBorders>
          </w:tcPr>
          <w:p>
            <w:pPr>
              <w:ind w:left="400"/>
              <w:spacing w:after="0" w:line="226" w:lineRule="exact"/>
              <w:rPr>
                <w:sz w:val="20"/>
                <w:szCs w:val="20"/>
                <w:color w:val="auto"/>
              </w:rPr>
            </w:pPr>
            <w:r>
              <w:rPr>
                <w:rFonts w:ascii="Times New Roman" w:cs="Times New Roman" w:eastAsia="Times New Roman" w:hAnsi="Times New Roman"/>
                <w:sz w:val="20"/>
                <w:szCs w:val="20"/>
                <w:color w:val="auto"/>
              </w:rPr>
              <w:t>Total shareholders' equity</w:t>
            </w:r>
          </w:p>
        </w:tc>
        <w:tc>
          <w:tcPr>
            <w:tcW w:w="240" w:type="dxa"/>
            <w:vAlign w:val="bottom"/>
            <w:tcBorders>
              <w:bottom w:val="single" w:sz="8" w:color="E6E6E6"/>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218,148</w:t>
            </w: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205,957</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40" w:type="dxa"/>
            <w:vAlign w:val="bottom"/>
            <w:shd w:val="clear" w:color="auto" w:fill="E6E6E6"/>
          </w:tcPr>
          <w:p>
            <w:pPr>
              <w:ind w:left="600"/>
              <w:spacing w:after="0" w:line="215" w:lineRule="exact"/>
              <w:rPr>
                <w:sz w:val="20"/>
                <w:szCs w:val="20"/>
                <w:color w:val="auto"/>
              </w:rPr>
            </w:pPr>
            <w:r>
              <w:rPr>
                <w:rFonts w:ascii="Times New Roman" w:cs="Times New Roman" w:eastAsia="Times New Roman" w:hAnsi="Times New Roman"/>
                <w:sz w:val="20"/>
                <w:szCs w:val="20"/>
                <w:color w:val="auto"/>
              </w:rPr>
              <w:t>Total liabilities and shareholders’ equity</w:t>
            </w:r>
          </w:p>
        </w:tc>
        <w:tc>
          <w:tcPr>
            <w:tcW w:w="240" w:type="dxa"/>
            <w:vAlign w:val="bottom"/>
            <w:shd w:val="clear" w:color="auto" w:fill="E6E6E6"/>
          </w:tcPr>
          <w:p>
            <w:pPr>
              <w:spacing w:after="0"/>
              <w:rPr>
                <w:sz w:val="18"/>
                <w:szCs w:val="18"/>
                <w:color w:val="auto"/>
              </w:rPr>
            </w:pPr>
          </w:p>
        </w:tc>
        <w:tc>
          <w:tcPr>
            <w:tcW w:w="380" w:type="dxa"/>
            <w:vAlign w:val="bottom"/>
            <w:tcBorders>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504,721</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500" w:type="dxa"/>
            <w:vAlign w:val="bottom"/>
            <w:tcBorders>
              <w:bottom w:val="single" w:sz="8" w:color="auto"/>
            </w:tcBorders>
            <w:shd w:val="clear" w:color="auto" w:fill="E6E6E6"/>
          </w:tcPr>
          <w:p>
            <w:pPr>
              <w:jc w:val="right"/>
              <w:ind w:right="3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416,197</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600"/>
          </w:cols>
          <w:pgMar w:left="820" w:top="1065" w:right="820" w:bottom="31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 except share and per share data)</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20" w:type="dxa"/>
            <w:vAlign w:val="bottom"/>
            <w:tcBorders>
              <w:bottom w:val="single" w:sz="8" w:color="E6E6E6"/>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3"/>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E6E6E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3"/>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E6E6E6"/>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3"/>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sales</w:t>
            </w:r>
          </w:p>
        </w:tc>
        <w:tc>
          <w:tcPr>
            <w:tcW w:w="300" w:type="dxa"/>
            <w:vAlign w:val="bottom"/>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422,627</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324,140</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316,011</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Cost of sales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294,402</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223,218</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210,883</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Gross profit</w:t>
            </w:r>
          </w:p>
        </w:tc>
        <w:tc>
          <w:tcPr>
            <w:tcW w:w="3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128,225</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100,922</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105,128</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Selling and administrative expenses</w:t>
            </w:r>
          </w:p>
        </w:tc>
        <w:tc>
          <w:tcPr>
            <w:tcW w:w="30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93,473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81,797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76,926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Amortization and earnout expenses</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6,809</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7,789</w:t>
            </w: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8,799</w:t>
            </w:r>
          </w:p>
        </w:tc>
        <w:tc>
          <w:tcPr>
            <w:tcW w:w="0" w:type="dxa"/>
            <w:vAlign w:val="bottom"/>
          </w:tcPr>
          <w:p>
            <w:pPr>
              <w:spacing w:after="0"/>
              <w:rPr>
                <w:sz w:val="1"/>
                <w:szCs w:val="1"/>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Acquisition and integration expenses</w:t>
            </w:r>
          </w:p>
        </w:tc>
        <w:tc>
          <w:tcPr>
            <w:tcW w:w="300" w:type="dxa"/>
            <w:vAlign w:val="bottom"/>
          </w:tcPr>
          <w:p>
            <w:pPr>
              <w:spacing w:after="0"/>
              <w:rPr>
                <w:sz w:val="19"/>
                <w:szCs w:val="19"/>
                <w:color w:val="auto"/>
              </w:rPr>
            </w:pPr>
          </w:p>
        </w:tc>
        <w:tc>
          <w:tcPr>
            <w:tcW w:w="134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4,546</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818</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1,354</w:t>
            </w: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Executive transition expenses</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1,161</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29</w:t>
            </w: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1,522</w:t>
            </w:r>
          </w:p>
        </w:tc>
        <w:tc>
          <w:tcPr>
            <w:tcW w:w="0" w:type="dxa"/>
            <w:vAlign w:val="bottom"/>
          </w:tcPr>
          <w:p>
            <w:pPr>
              <w:spacing w:after="0"/>
              <w:rPr>
                <w:sz w:val="1"/>
                <w:szCs w:val="1"/>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Restructuring expenses</w:t>
            </w:r>
          </w:p>
        </w:tc>
        <w:tc>
          <w:tcPr>
            <w:tcW w:w="300" w:type="dxa"/>
            <w:vAlign w:val="bottom"/>
          </w:tcPr>
          <w:p>
            <w:pPr>
              <w:spacing w:after="0"/>
              <w:rPr>
                <w:sz w:val="19"/>
                <w:szCs w:val="19"/>
                <w:color w:val="auto"/>
              </w:rPr>
            </w:pPr>
          </w:p>
        </w:tc>
        <w:tc>
          <w:tcPr>
            <w:tcW w:w="134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75</w:t>
            </w:r>
          </w:p>
        </w:tc>
        <w:tc>
          <w:tcPr>
            <w:tcW w:w="300" w:type="dxa"/>
            <w:vAlign w:val="bottom"/>
          </w:tcPr>
          <w:p>
            <w:pPr>
              <w:spacing w:after="0"/>
              <w:rPr>
                <w:sz w:val="19"/>
                <w:szCs w:val="19"/>
                <w:color w:val="auto"/>
              </w:rPr>
            </w:pPr>
          </w:p>
        </w:tc>
        <w:tc>
          <w:tcPr>
            <w:tcW w:w="134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632</w:t>
            </w:r>
          </w:p>
        </w:tc>
        <w:tc>
          <w:tcPr>
            <w:tcW w:w="30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2,331</w:t>
            </w: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asset impairment</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850</w:t>
            </w:r>
          </w:p>
        </w:tc>
        <w:tc>
          <w:tcPr>
            <w:tcW w:w="0" w:type="dxa"/>
            <w:vAlign w:val="bottom"/>
          </w:tcPr>
          <w:p>
            <w:pPr>
              <w:spacing w:after="0"/>
              <w:rPr>
                <w:sz w:val="1"/>
                <w:szCs w:val="1"/>
                <w:color w:val="auto"/>
              </w:rPr>
            </w:pPr>
          </w:p>
        </w:tc>
      </w:tr>
      <w:tr>
        <w:trPr>
          <w:trHeight w:val="215"/>
        </w:trPr>
        <w:tc>
          <w:tcPr>
            <w:tcW w:w="582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Income from operations</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22,161</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9,857</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 income (expense), net</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6,947</w:t>
            </w:r>
          </w:p>
        </w:tc>
        <w:tc>
          <w:tcPr>
            <w:tcW w:w="300" w:type="dxa"/>
            <w:vAlign w:val="bottom"/>
            <w:shd w:val="clear" w:color="auto" w:fill="E6E6E6"/>
          </w:tcPr>
          <w:p>
            <w:pPr>
              <w:spacing w:after="0"/>
              <w:rPr>
                <w:sz w:val="19"/>
                <w:szCs w:val="19"/>
                <w:color w:val="auto"/>
              </w:rPr>
            </w:pPr>
          </w:p>
        </w:tc>
        <w:tc>
          <w:tcPr>
            <w:tcW w:w="134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(2,231)</w:t>
            </w: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2,033</w:t>
            </w:r>
          </w:p>
        </w:tc>
        <w:tc>
          <w:tcPr>
            <w:tcW w:w="0" w:type="dxa"/>
            <w:vAlign w:val="bottom"/>
          </w:tcPr>
          <w:p>
            <w:pPr>
              <w:spacing w:after="0"/>
              <w:rPr>
                <w:sz w:val="1"/>
                <w:szCs w:val="1"/>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Interest expense</w:t>
            </w:r>
          </w:p>
        </w:tc>
        <w:tc>
          <w:tcPr>
            <w:tcW w:w="300" w:type="dxa"/>
            <w:vAlign w:val="bottom"/>
          </w:tcPr>
          <w:p>
            <w:pPr>
              <w:spacing w:after="0"/>
              <w:rPr>
                <w:sz w:val="19"/>
                <w:szCs w:val="19"/>
                <w:color w:val="auto"/>
              </w:rPr>
            </w:pPr>
          </w:p>
        </w:tc>
        <w:tc>
          <w:tcPr>
            <w:tcW w:w="1340" w:type="dxa"/>
            <w:vAlign w:val="bottom"/>
            <w:gridSpan w:val="2"/>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rPr>
              <w:t>(5,419)</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(2,952)</w:t>
            </w:r>
          </w:p>
        </w:tc>
        <w:tc>
          <w:tcPr>
            <w:tcW w:w="300" w:type="dxa"/>
            <w:vAlign w:val="bottom"/>
          </w:tcPr>
          <w:p>
            <w:pPr>
              <w:spacing w:after="0"/>
              <w:rPr>
                <w:sz w:val="19"/>
                <w:szCs w:val="19"/>
                <w:color w:val="auto"/>
              </w:rPr>
            </w:pPr>
          </w:p>
        </w:tc>
        <w:tc>
          <w:tcPr>
            <w:tcW w:w="12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(3,535)</w:t>
            </w:r>
          </w:p>
        </w:tc>
        <w:tc>
          <w:tcPr>
            <w:tcW w:w="0" w:type="dxa"/>
            <w:vAlign w:val="bottom"/>
          </w:tcPr>
          <w:p>
            <w:pPr>
              <w:spacing w:after="0"/>
              <w:rPr>
                <w:sz w:val="1"/>
                <w:szCs w:val="1"/>
                <w:color w:val="auto"/>
              </w:rPr>
            </w:pPr>
          </w:p>
        </w:tc>
      </w:tr>
      <w:tr>
        <w:trPr>
          <w:trHeight w:val="215"/>
        </w:trPr>
        <w:tc>
          <w:tcPr>
            <w:tcW w:w="5820" w:type="dxa"/>
            <w:vAlign w:val="bottom"/>
            <w:tcBorders>
              <w:top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Income before income taxes</w:t>
            </w:r>
          </w:p>
        </w:tc>
        <w:tc>
          <w:tcPr>
            <w:tcW w:w="300" w:type="dxa"/>
            <w:vAlign w:val="bottom"/>
            <w:tcBorders>
              <w:top w:val="single" w:sz="8" w:color="auto"/>
            </w:tcBorders>
            <w:shd w:val="clear" w:color="auto" w:fill="E6E6E6"/>
          </w:tcPr>
          <w:p>
            <w:pPr>
              <w:spacing w:after="0"/>
              <w:rPr>
                <w:sz w:val="18"/>
                <w:szCs w:val="18"/>
                <w:color w:val="auto"/>
              </w:rPr>
            </w:pPr>
          </w:p>
        </w:tc>
        <w:tc>
          <w:tcPr>
            <w:tcW w:w="110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23,689</w:t>
            </w:r>
          </w:p>
        </w:tc>
        <w:tc>
          <w:tcPr>
            <w:tcW w:w="24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tcBorders>
            <w:shd w:val="clear" w:color="auto" w:fill="E6E6E6"/>
          </w:tcPr>
          <w:p>
            <w:pPr>
              <w:spacing w:after="0"/>
              <w:rPr>
                <w:sz w:val="18"/>
                <w:szCs w:val="18"/>
                <w:color w:val="auto"/>
              </w:rPr>
            </w:pPr>
          </w:p>
        </w:tc>
        <w:tc>
          <w:tcPr>
            <w:tcW w:w="110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4,674</w:t>
            </w:r>
          </w:p>
        </w:tc>
        <w:tc>
          <w:tcPr>
            <w:tcW w:w="24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auto"/>
            </w:tcBorders>
            <w:shd w:val="clear" w:color="auto" w:fill="E6E6E6"/>
          </w:tcPr>
          <w:p>
            <w:pPr>
              <w:spacing w:after="0"/>
              <w:rPr>
                <w:sz w:val="18"/>
                <w:szCs w:val="18"/>
                <w:color w:val="auto"/>
              </w:rPr>
            </w:pPr>
          </w:p>
        </w:tc>
        <w:tc>
          <w:tcPr>
            <w:tcW w:w="10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11,844</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Income tax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5,426</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2,691</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3,672</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income</w:t>
            </w:r>
          </w:p>
        </w:tc>
        <w:tc>
          <w:tcPr>
            <w:tcW w:w="3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18,263</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1,983</w:t>
            </w:r>
          </w:p>
        </w:tc>
        <w:tc>
          <w:tcPr>
            <w:tcW w:w="24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8,172</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Noncontrolling interest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(846)</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(557)</w:t>
            </w:r>
          </w:p>
        </w:tc>
        <w:tc>
          <w:tcPr>
            <w:tcW w:w="24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39</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300" w:type="dxa"/>
            <w:vAlign w:val="bottom"/>
            <w:tcBorders>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17,417</w:t>
            </w:r>
          </w:p>
        </w:tc>
        <w:tc>
          <w:tcPr>
            <w:tcW w:w="2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1,426</w:t>
            </w:r>
          </w:p>
        </w:tc>
        <w:tc>
          <w:tcPr>
            <w:tcW w:w="24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8,211</w:t>
            </w:r>
          </w:p>
        </w:tc>
        <w:tc>
          <w:tcPr>
            <w:tcW w:w="1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Income per share:</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Basic</w:t>
            </w:r>
          </w:p>
        </w:tc>
        <w:tc>
          <w:tcPr>
            <w:tcW w:w="300" w:type="dxa"/>
            <w:vAlign w:val="bottom"/>
            <w:shd w:val="clear" w:color="auto" w:fill="E6E6E6"/>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0.50</w:t>
            </w:r>
          </w:p>
        </w:tc>
        <w:tc>
          <w:tcPr>
            <w:tcW w:w="300" w:type="dxa"/>
            <w:vAlign w:val="bottom"/>
            <w:shd w:val="clear" w:color="auto" w:fill="E6E6E6"/>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0.04</w:t>
            </w:r>
          </w:p>
        </w:tc>
        <w:tc>
          <w:tcPr>
            <w:tcW w:w="300" w:type="dxa"/>
            <w:vAlign w:val="bottom"/>
            <w:shd w:val="clear" w:color="auto" w:fill="E6E6E6"/>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0.23</w:t>
            </w:r>
          </w:p>
        </w:tc>
        <w:tc>
          <w:tcPr>
            <w:tcW w:w="0" w:type="dxa"/>
            <w:vAlign w:val="bottom"/>
          </w:tcPr>
          <w:p>
            <w:pPr>
              <w:spacing w:after="0"/>
              <w:rPr>
                <w:sz w:val="1"/>
                <w:szCs w:val="1"/>
                <w:color w:val="auto"/>
              </w:rPr>
            </w:pPr>
          </w:p>
        </w:tc>
      </w:tr>
      <w:tr>
        <w:trPr>
          <w:trHeight w:val="22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Diluted</w:t>
            </w: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0.50</w:t>
            </w: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0.04</w:t>
            </w: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0.23</w:t>
            </w: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Weighted average number of common shares outstanding:</w:t>
            </w:r>
          </w:p>
        </w:tc>
        <w:tc>
          <w:tcPr>
            <w:tcW w:w="30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Basic</w:t>
            </w:r>
          </w:p>
        </w:tc>
        <w:tc>
          <w:tcPr>
            <w:tcW w:w="300" w:type="dxa"/>
            <w:vAlign w:val="bottom"/>
          </w:tcPr>
          <w:p>
            <w:pPr>
              <w:spacing w:after="0"/>
              <w:rPr>
                <w:sz w:val="23"/>
                <w:szCs w:val="23"/>
                <w:color w:val="auto"/>
              </w:rPr>
            </w:pPr>
          </w:p>
        </w:tc>
        <w:tc>
          <w:tcPr>
            <w:tcW w:w="134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rPr>
              <w:t>34,672,007</w:t>
            </w:r>
          </w:p>
        </w:tc>
        <w:tc>
          <w:tcPr>
            <w:tcW w:w="300" w:type="dxa"/>
            <w:vAlign w:val="bottom"/>
          </w:tcPr>
          <w:p>
            <w:pPr>
              <w:spacing w:after="0"/>
              <w:rPr>
                <w:sz w:val="23"/>
                <w:szCs w:val="23"/>
                <w:color w:val="auto"/>
              </w:rPr>
            </w:pPr>
          </w:p>
        </w:tc>
        <w:tc>
          <w:tcPr>
            <w:tcW w:w="134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35,345,785</w:t>
            </w:r>
          </w:p>
        </w:tc>
        <w:tc>
          <w:tcPr>
            <w:tcW w:w="300" w:type="dxa"/>
            <w:vAlign w:val="bottom"/>
          </w:tcPr>
          <w:p>
            <w:pPr>
              <w:spacing w:after="0"/>
              <w:rPr>
                <w:sz w:val="23"/>
                <w:szCs w:val="23"/>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35,289,616</w:t>
            </w:r>
          </w:p>
        </w:tc>
        <w:tc>
          <w:tcPr>
            <w:tcW w:w="0" w:type="dxa"/>
            <w:vAlign w:val="bottom"/>
          </w:tcPr>
          <w:p>
            <w:pPr>
              <w:spacing w:after="0"/>
              <w:rPr>
                <w:sz w:val="1"/>
                <w:szCs w:val="1"/>
                <w:color w:val="auto"/>
              </w:rPr>
            </w:pPr>
          </w:p>
        </w:tc>
      </w:tr>
      <w:tr>
        <w:trPr>
          <w:trHeight w:val="229"/>
        </w:trPr>
        <w:tc>
          <w:tcPr>
            <w:tcW w:w="5820" w:type="dxa"/>
            <w:vAlign w:val="bottom"/>
            <w:tcBorders>
              <w:top w:val="single" w:sz="8" w:color="E6E6E6"/>
              <w:bottom w:val="single" w:sz="8" w:color="E6E6E6"/>
            </w:tcBorders>
            <w:shd w:val="clear" w:color="auto" w:fill="E6E6E6"/>
          </w:tcPr>
          <w:p>
            <w:pPr>
              <w:ind w:left="200"/>
              <w:spacing w:after="0" w:line="209" w:lineRule="exact"/>
              <w:rPr>
                <w:sz w:val="20"/>
                <w:szCs w:val="20"/>
                <w:color w:val="auto"/>
              </w:rPr>
            </w:pPr>
            <w:r>
              <w:rPr>
                <w:rFonts w:ascii="Times New Roman" w:cs="Times New Roman" w:eastAsia="Times New Roman" w:hAnsi="Times New Roman"/>
                <w:sz w:val="20"/>
                <w:szCs w:val="20"/>
                <w:color w:val="auto"/>
              </w:rPr>
              <w:t>Diluted</w:t>
            </w:r>
          </w:p>
        </w:tc>
        <w:tc>
          <w:tcPr>
            <w:tcW w:w="300" w:type="dxa"/>
            <w:vAlign w:val="bottom"/>
            <w:tcBorders>
              <w:top w:val="single" w:sz="8" w:color="auto"/>
              <w:bottom w:val="single" w:sz="8" w:color="auto"/>
            </w:tcBorders>
            <w:shd w:val="clear" w:color="auto" w:fill="E6E6E6"/>
          </w:tcPr>
          <w:p>
            <w:pPr>
              <w:spacing w:after="0"/>
              <w:rPr>
                <w:sz w:val="19"/>
                <w:szCs w:val="19"/>
                <w:color w:val="auto"/>
              </w:rPr>
            </w:pPr>
          </w:p>
        </w:tc>
        <w:tc>
          <w:tcPr>
            <w:tcW w:w="1100" w:type="dxa"/>
            <w:vAlign w:val="bottom"/>
            <w:tcBorders>
              <w:top w:val="single" w:sz="8" w:color="auto"/>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35,005,159</w:t>
            </w: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300" w:type="dxa"/>
            <w:vAlign w:val="bottom"/>
            <w:tcBorders>
              <w:top w:val="single" w:sz="8" w:color="auto"/>
              <w:bottom w:val="single" w:sz="8" w:color="auto"/>
            </w:tcBorders>
            <w:shd w:val="clear" w:color="auto" w:fill="E6E6E6"/>
          </w:tcPr>
          <w:p>
            <w:pPr>
              <w:spacing w:after="0"/>
              <w:rPr>
                <w:sz w:val="19"/>
                <w:szCs w:val="19"/>
                <w:color w:val="auto"/>
              </w:rPr>
            </w:pPr>
          </w:p>
        </w:tc>
        <w:tc>
          <w:tcPr>
            <w:tcW w:w="1100" w:type="dxa"/>
            <w:vAlign w:val="bottom"/>
            <w:tcBorders>
              <w:top w:val="single" w:sz="8" w:color="auto"/>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35,594,779</w:t>
            </w: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300" w:type="dxa"/>
            <w:vAlign w:val="bottom"/>
            <w:tcBorders>
              <w:top w:val="single" w:sz="8" w:color="auto"/>
              <w:bottom w:val="single" w:sz="8" w:color="auto"/>
            </w:tcBorders>
            <w:shd w:val="clear" w:color="auto" w:fill="E6E6E6"/>
          </w:tcPr>
          <w:p>
            <w:pPr>
              <w:spacing w:after="0"/>
              <w:rPr>
                <w:sz w:val="19"/>
                <w:szCs w:val="19"/>
                <w:color w:val="auto"/>
              </w:rPr>
            </w:pPr>
          </w:p>
        </w:tc>
        <w:tc>
          <w:tcPr>
            <w:tcW w:w="1080" w:type="dxa"/>
            <w:vAlign w:val="bottom"/>
            <w:tcBorders>
              <w:top w:val="single" w:sz="8" w:color="auto"/>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35,520,670</w:t>
            </w:r>
          </w:p>
        </w:tc>
        <w:tc>
          <w:tcPr>
            <w:tcW w:w="120" w:type="dxa"/>
            <w:vAlign w:val="bottom"/>
            <w:tcBorders>
              <w:top w:val="single" w:sz="8" w:color="E6E6E6"/>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600"/>
          </w:cols>
          <w:pgMar w:left="820" w:top="1065" w:right="820" w:bottom="315"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760" w:type="dxa"/>
            <w:vAlign w:val="bottom"/>
            <w:tcBorders>
              <w:bottom w:val="single" w:sz="8" w:color="E6E6E6"/>
            </w:tcBorders>
            <w:vMerge w:val="continue"/>
          </w:tcPr>
          <w:p>
            <w:pPr>
              <w:spacing w:after="0"/>
              <w:rPr>
                <w:sz w:val="14"/>
                <w:szCs w:val="14"/>
                <w:color w:val="auto"/>
              </w:rPr>
            </w:pPr>
          </w:p>
        </w:tc>
        <w:tc>
          <w:tcPr>
            <w:tcW w:w="106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E6E6E6"/>
            </w:tcBorders>
          </w:tcPr>
          <w:p>
            <w:pPr>
              <w:spacing w:after="0"/>
              <w:rPr>
                <w:sz w:val="14"/>
                <w:szCs w:val="14"/>
                <w:color w:val="auto"/>
              </w:rPr>
            </w:pPr>
          </w:p>
        </w:tc>
        <w:tc>
          <w:tcPr>
            <w:tcW w:w="10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E6E6E6"/>
            </w:tcBorders>
          </w:tcPr>
          <w:p>
            <w:pPr>
              <w:spacing w:after="0"/>
              <w:rPr>
                <w:sz w:val="14"/>
                <w:szCs w:val="14"/>
                <w:color w:val="auto"/>
              </w:rPr>
            </w:pPr>
          </w:p>
        </w:tc>
        <w:tc>
          <w:tcPr>
            <w:tcW w:w="4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6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income</w:t>
            </w:r>
          </w:p>
        </w:tc>
        <w:tc>
          <w:tcPr>
            <w:tcW w:w="1060" w:type="dxa"/>
            <w:vAlign w:val="bottom"/>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18,263</w:t>
            </w: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1,983</w:t>
            </w:r>
          </w:p>
        </w:tc>
        <w:tc>
          <w:tcPr>
            <w:tcW w:w="220" w:type="dxa"/>
            <w:vAlign w:val="bottom"/>
            <w:shd w:val="clear" w:color="auto" w:fill="E6E6E6"/>
          </w:tcPr>
          <w:p>
            <w:pPr>
              <w:spacing w:after="0"/>
              <w:rPr>
                <w:sz w:val="18"/>
                <w:szCs w:val="18"/>
                <w:color w:val="auto"/>
              </w:rPr>
            </w:pPr>
          </w:p>
        </w:tc>
        <w:tc>
          <w:tcPr>
            <w:tcW w:w="40" w:type="dxa"/>
            <w:vAlign w:val="bottom"/>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8,172</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6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Other comprehensive income (loss), net of tax:</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Translation (loss) income</w:t>
            </w:r>
          </w:p>
        </w:tc>
        <w:tc>
          <w:tcPr>
            <w:tcW w:w="106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rPr>
              <w:t>(5,635)</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(538)</w:t>
            </w:r>
          </w:p>
        </w:tc>
        <w:tc>
          <w:tcPr>
            <w:tcW w:w="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2,256</w:t>
            </w:r>
          </w:p>
        </w:tc>
        <w:tc>
          <w:tcPr>
            <w:tcW w:w="0" w:type="dxa"/>
            <w:vAlign w:val="bottom"/>
          </w:tcPr>
          <w:p>
            <w:pPr>
              <w:spacing w:after="0"/>
              <w:rPr>
                <w:sz w:val="1"/>
                <w:szCs w:val="1"/>
                <w:color w:val="auto"/>
              </w:rPr>
            </w:pPr>
          </w:p>
        </w:tc>
      </w:tr>
      <w:tr>
        <w:trPr>
          <w:trHeight w:val="225"/>
        </w:trPr>
        <w:tc>
          <w:tcPr>
            <w:tcW w:w="476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Minimum pension liability adjustment</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2,964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(2,247)</w:t>
            </w:r>
          </w:p>
        </w:tc>
        <w:tc>
          <w:tcPr>
            <w:tcW w:w="0" w:type="dxa"/>
            <w:vAlign w:val="bottom"/>
          </w:tcPr>
          <w:p>
            <w:pPr>
              <w:spacing w:after="0"/>
              <w:rPr>
                <w:sz w:val="1"/>
                <w:szCs w:val="1"/>
                <w:color w:val="auto"/>
              </w:rPr>
            </w:pPr>
          </w:p>
        </w:tc>
      </w:tr>
      <w:tr>
        <w:trPr>
          <w:trHeight w:val="215"/>
        </w:trPr>
        <w:tc>
          <w:tcPr>
            <w:tcW w:w="476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Comprehensive income</w:t>
            </w:r>
          </w:p>
        </w:tc>
        <w:tc>
          <w:tcPr>
            <w:tcW w:w="106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12,337</w:t>
            </w:r>
          </w:p>
        </w:tc>
        <w:tc>
          <w:tcPr>
            <w:tcW w:w="14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4,409</w:t>
            </w:r>
          </w:p>
        </w:tc>
        <w:tc>
          <w:tcPr>
            <w:tcW w:w="220" w:type="dxa"/>
            <w:vAlign w:val="bottom"/>
            <w:tcBorders>
              <w:top w:val="single" w:sz="8" w:color="E6E6E6"/>
            </w:tcBorders>
            <w:shd w:val="clear" w:color="auto" w:fill="E6E6E6"/>
          </w:tcPr>
          <w:p>
            <w:pPr>
              <w:spacing w:after="0"/>
              <w:rPr>
                <w:sz w:val="18"/>
                <w:szCs w:val="18"/>
                <w:color w:val="auto"/>
              </w:rPr>
            </w:pPr>
          </w:p>
        </w:tc>
        <w:tc>
          <w:tcPr>
            <w:tcW w:w="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8,181</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600"/>
          </w:cols>
          <w:pgMar w:left="820" w:top="1065" w:right="820" w:bottom="31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Accumulated</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Capital in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4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60" w:type="dxa"/>
            <w:vAlign w:val="bottom"/>
            <w:gridSpan w:val="7"/>
          </w:tcPr>
          <w:p>
            <w:pPr>
              <w:jc w:val="right"/>
              <w:ind w:right="160"/>
              <w:spacing w:after="0" w:line="169" w:lineRule="exact"/>
              <w:rPr>
                <w:sz w:val="20"/>
                <w:szCs w:val="20"/>
                <w:color w:val="auto"/>
              </w:rPr>
            </w:pPr>
            <w:r>
              <w:rPr>
                <w:rFonts w:ascii="Times New Roman" w:cs="Times New Roman" w:eastAsia="Times New Roman" w:hAnsi="Times New Roman"/>
                <w:sz w:val="15"/>
                <w:szCs w:val="15"/>
                <w:b w:val="1"/>
                <w:bCs w:val="1"/>
                <w:color w:val="auto"/>
                <w:w w:val="99"/>
              </w:rPr>
              <w:t>Common Stock</w:t>
            </w:r>
          </w:p>
        </w:tc>
        <w:tc>
          <w:tcPr>
            <w:tcW w:w="6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excess of</w:t>
            </w:r>
          </w:p>
        </w:tc>
        <w:tc>
          <w:tcPr>
            <w:tcW w:w="120" w:type="dxa"/>
            <w:vAlign w:val="bottom"/>
          </w:tcPr>
          <w:p>
            <w:pPr>
              <w:spacing w:after="0"/>
              <w:rPr>
                <w:sz w:val="14"/>
                <w:szCs w:val="14"/>
                <w:color w:val="auto"/>
              </w:rPr>
            </w:pPr>
          </w:p>
        </w:tc>
        <w:tc>
          <w:tcPr>
            <w:tcW w:w="94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7"/>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140" w:type="dxa"/>
            <w:vAlign w:val="bottom"/>
            <w:gridSpan w:val="8"/>
          </w:tcPr>
          <w:p>
            <w:pPr>
              <w:ind w:left="60"/>
              <w:spacing w:after="0" w:line="169" w:lineRule="exact"/>
              <w:rPr>
                <w:sz w:val="20"/>
                <w:szCs w:val="20"/>
                <w:color w:val="auto"/>
              </w:rPr>
            </w:pPr>
            <w:r>
              <w:rPr>
                <w:rFonts w:ascii="Times New Roman" w:cs="Times New Roman" w:eastAsia="Times New Roman" w:hAnsi="Times New Roman"/>
                <w:sz w:val="15"/>
                <w:szCs w:val="15"/>
                <w:b w:val="1"/>
                <w:bCs w:val="1"/>
                <w:color w:val="auto"/>
              </w:rPr>
              <w:t>Treasury Stock</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5"/>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Noncontrolling</w:t>
            </w:r>
          </w:p>
        </w:tc>
        <w:tc>
          <w:tcPr>
            <w:tcW w:w="92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Shareholders'</w:t>
            </w:r>
          </w:p>
        </w:tc>
        <w:tc>
          <w:tcPr>
            <w:tcW w:w="0" w:type="dxa"/>
            <w:vAlign w:val="bottom"/>
          </w:tcPr>
          <w:p>
            <w:pPr>
              <w:spacing w:after="0"/>
              <w:rPr>
                <w:sz w:val="1"/>
                <w:szCs w:val="1"/>
                <w:color w:val="auto"/>
              </w:rPr>
            </w:pPr>
          </w:p>
        </w:tc>
      </w:tr>
      <w:tr>
        <w:trPr>
          <w:trHeight w:val="160"/>
        </w:trPr>
        <w:tc>
          <w:tcPr>
            <w:tcW w:w="3460" w:type="dxa"/>
            <w:vAlign w:val="bottom"/>
            <w:gridSpan w:val="4"/>
            <w:vMerge w:val="continue"/>
          </w:tcPr>
          <w:p>
            <w:pPr>
              <w:spacing w:after="0"/>
              <w:rPr>
                <w:sz w:val="13"/>
                <w:szCs w:val="13"/>
                <w:color w:val="auto"/>
              </w:rPr>
            </w:pPr>
          </w:p>
        </w:tc>
        <w:tc>
          <w:tcPr>
            <w:tcW w:w="600" w:type="dxa"/>
            <w:vAlign w:val="bottom"/>
            <w:tcBorders>
              <w:top w:val="single" w:sz="8" w:color="auto"/>
            </w:tcBorders>
            <w:gridSpan w:val="4"/>
          </w:tcPr>
          <w:p>
            <w:pPr>
              <w:jc w:val="right"/>
              <w:ind w:right="180"/>
              <w:spacing w:after="0" w:line="154" w:lineRule="exact"/>
              <w:rPr>
                <w:sz w:val="20"/>
                <w:szCs w:val="20"/>
                <w:color w:val="auto"/>
              </w:rPr>
            </w:pPr>
            <w:r>
              <w:rPr>
                <w:rFonts w:ascii="Times New Roman" w:cs="Times New Roman" w:eastAsia="Times New Roman" w:hAnsi="Times New Roman"/>
                <w:sz w:val="15"/>
                <w:szCs w:val="15"/>
                <w:b w:val="1"/>
                <w:bCs w:val="1"/>
                <w:color w:val="auto"/>
                <w:w w:val="92"/>
              </w:rPr>
              <w:t>Shares</w:t>
            </w:r>
          </w:p>
        </w:tc>
        <w:tc>
          <w:tcPr>
            <w:tcW w:w="520" w:type="dxa"/>
            <w:vAlign w:val="bottom"/>
            <w:tcBorders>
              <w:top w:val="single" w:sz="8" w:color="auto"/>
            </w:tcBorders>
            <w:gridSpan w:val="2"/>
          </w:tcPr>
          <w:p>
            <w:pPr>
              <w:spacing w:after="0" w:line="154" w:lineRule="exact"/>
              <w:rPr>
                <w:sz w:val="20"/>
                <w:szCs w:val="20"/>
                <w:color w:val="auto"/>
              </w:rPr>
            </w:pPr>
            <w:r>
              <w:rPr>
                <w:rFonts w:ascii="Times New Roman" w:cs="Times New Roman" w:eastAsia="Times New Roman" w:hAnsi="Times New Roman"/>
                <w:sz w:val="15"/>
                <w:szCs w:val="15"/>
                <w:b w:val="1"/>
                <w:bCs w:val="1"/>
                <w:color w:val="auto"/>
                <w:w w:val="91"/>
              </w:rPr>
              <w:t>Amount</w:t>
            </w:r>
          </w:p>
        </w:tc>
        <w:tc>
          <w:tcPr>
            <w:tcW w:w="40" w:type="dxa"/>
            <w:vAlign w:val="bottom"/>
          </w:tcPr>
          <w:p>
            <w:pPr>
              <w:spacing w:after="0"/>
              <w:rPr>
                <w:sz w:val="13"/>
                <w:szCs w:val="13"/>
                <w:color w:val="auto"/>
              </w:rPr>
            </w:pPr>
          </w:p>
        </w:tc>
        <w:tc>
          <w:tcPr>
            <w:tcW w:w="62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5"/>
                <w:szCs w:val="15"/>
                <w:b w:val="1"/>
                <w:bCs w:val="1"/>
                <w:color w:val="auto"/>
                <w:w w:val="95"/>
              </w:rPr>
              <w:t>par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3"/>
          </w:tcPr>
          <w:p>
            <w:pPr>
              <w:jc w:val="right"/>
              <w:ind w:right="380"/>
              <w:spacing w:after="0" w:line="154" w:lineRule="exact"/>
              <w:rPr>
                <w:sz w:val="20"/>
                <w:szCs w:val="20"/>
                <w:color w:val="auto"/>
              </w:rPr>
            </w:pPr>
            <w:r>
              <w:rPr>
                <w:rFonts w:ascii="Times New Roman" w:cs="Times New Roman" w:eastAsia="Times New Roman" w:hAnsi="Times New Roman"/>
                <w:sz w:val="15"/>
                <w:szCs w:val="15"/>
                <w:b w:val="1"/>
                <w:bCs w:val="1"/>
                <w:color w:val="auto"/>
                <w:w w:val="88"/>
              </w:rPr>
              <w:t>Loss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jc w:val="center"/>
              <w:ind w:right="200"/>
              <w:spacing w:after="0" w:line="154" w:lineRule="exact"/>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gridSpan w:val="2"/>
          </w:tcPr>
          <w:p>
            <w:pPr>
              <w:jc w:val="right"/>
              <w:ind w:right="100"/>
              <w:spacing w:after="0" w:line="154" w:lineRule="exact"/>
              <w:rPr>
                <w:sz w:val="20"/>
                <w:szCs w:val="20"/>
                <w:color w:val="auto"/>
              </w:rPr>
            </w:pPr>
            <w:r>
              <w:rPr>
                <w:rFonts w:ascii="Times New Roman" w:cs="Times New Roman" w:eastAsia="Times New Roman" w:hAnsi="Times New Roman"/>
                <w:sz w:val="15"/>
                <w:szCs w:val="15"/>
                <w:b w:val="1"/>
                <w:bCs w:val="1"/>
                <w:color w:val="auto"/>
                <w:w w:val="96"/>
              </w:rPr>
              <w:t>Shares</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3"/>
          </w:tcPr>
          <w:p>
            <w:pPr>
              <w:spacing w:after="0" w:line="154" w:lineRule="exact"/>
              <w:rPr>
                <w:sz w:val="20"/>
                <w:szCs w:val="20"/>
                <w:color w:val="auto"/>
              </w:rPr>
            </w:pPr>
            <w:r>
              <w:rPr>
                <w:rFonts w:ascii="Times New Roman" w:cs="Times New Roman" w:eastAsia="Times New Roman" w:hAnsi="Times New Roman"/>
                <w:sz w:val="15"/>
                <w:szCs w:val="15"/>
                <w:b w:val="1"/>
                <w:bCs w:val="1"/>
                <w:color w:val="auto"/>
                <w:w w:val="91"/>
              </w:rPr>
              <w:t>Amount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4"/>
          </w:tcPr>
          <w:p>
            <w:pPr>
              <w:ind w:left="80"/>
              <w:spacing w:after="0" w:line="154" w:lineRule="exact"/>
              <w:rPr>
                <w:sz w:val="20"/>
                <w:szCs w:val="20"/>
                <w:color w:val="auto"/>
              </w:rPr>
            </w:pPr>
            <w:r>
              <w:rPr>
                <w:rFonts w:ascii="Times New Roman" w:cs="Times New Roman" w:eastAsia="Times New Roman" w:hAnsi="Times New Roman"/>
                <w:sz w:val="15"/>
                <w:szCs w:val="15"/>
                <w:b w:val="1"/>
                <w:bCs w:val="1"/>
                <w:color w:val="auto"/>
              </w:rPr>
              <w:t>Interest</w:t>
            </w:r>
          </w:p>
        </w:tc>
        <w:tc>
          <w:tcPr>
            <w:tcW w:w="200" w:type="dxa"/>
            <w:vAlign w:val="bottom"/>
          </w:tcPr>
          <w:p>
            <w:pPr>
              <w:spacing w:after="0"/>
              <w:rPr>
                <w:sz w:val="13"/>
                <w:szCs w:val="13"/>
                <w:color w:val="auto"/>
              </w:rPr>
            </w:pPr>
          </w:p>
        </w:tc>
        <w:tc>
          <w:tcPr>
            <w:tcW w:w="720" w:type="dxa"/>
            <w:vAlign w:val="bottom"/>
            <w:gridSpan w:val="3"/>
          </w:tcPr>
          <w:p>
            <w:pPr>
              <w:jc w:val="right"/>
              <w:ind w:right="280"/>
              <w:spacing w:after="0" w:line="154" w:lineRule="exact"/>
              <w:rPr>
                <w:sz w:val="20"/>
                <w:szCs w:val="20"/>
                <w:color w:val="auto"/>
              </w:rPr>
            </w:pPr>
            <w:r>
              <w:rPr>
                <w:rFonts w:ascii="Times New Roman" w:cs="Times New Roman" w:eastAsia="Times New Roman" w:hAnsi="Times New Roman"/>
                <w:sz w:val="15"/>
                <w:szCs w:val="15"/>
                <w:b w:val="1"/>
                <w:bCs w:val="1"/>
                <w:color w:val="auto"/>
                <w:w w:val="96"/>
              </w:rPr>
              <w:t>Equity</w:t>
            </w:r>
          </w:p>
        </w:tc>
        <w:tc>
          <w:tcPr>
            <w:tcW w:w="0" w:type="dxa"/>
            <w:vAlign w:val="bottom"/>
          </w:tcPr>
          <w:p>
            <w:pPr>
              <w:spacing w:after="0"/>
              <w:rPr>
                <w:sz w:val="1"/>
                <w:szCs w:val="1"/>
                <w:color w:val="auto"/>
              </w:rPr>
            </w:pPr>
          </w:p>
        </w:tc>
      </w:tr>
      <w:tr>
        <w:trPr>
          <w:trHeight w:val="169"/>
        </w:trPr>
        <w:tc>
          <w:tcPr>
            <w:tcW w:w="3460" w:type="dxa"/>
            <w:vAlign w:val="bottom"/>
            <w:tcBorders>
              <w:top w:val="single" w:sz="8" w:color="E6E6E6"/>
              <w:bottom w:val="single" w:sz="8" w:color="E6E6E6"/>
            </w:tcBorders>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Balance January 1, 2020</w:t>
            </w:r>
          </w:p>
        </w:tc>
        <w:tc>
          <w:tcPr>
            <w:tcW w:w="46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w w:val="96"/>
              </w:rPr>
              <w:t>35,275</w:t>
            </w:r>
          </w:p>
        </w:tc>
        <w:tc>
          <w:tcPr>
            <w:tcW w:w="20" w:type="dxa"/>
            <w:vAlign w:val="bottom"/>
            <w:tcBorders>
              <w:top w:val="single" w:sz="8" w:color="auto"/>
            </w:tcBorders>
            <w:shd w:val="clear" w:color="auto" w:fill="E6E6E6"/>
          </w:tcPr>
          <w:p>
            <w:pPr>
              <w:spacing w:after="0"/>
              <w:rPr>
                <w:sz w:val="14"/>
                <w:szCs w:val="14"/>
                <w:color w:val="auto"/>
              </w:rPr>
            </w:pPr>
          </w:p>
        </w:tc>
        <w:tc>
          <w:tcPr>
            <w:tcW w:w="10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E6E6E6"/>
              <w:bottom w:val="single" w:sz="8" w:color="E6E6E6"/>
            </w:tcBorders>
            <w:shd w:val="clear" w:color="auto" w:fill="E6E6E6"/>
          </w:tcPr>
          <w:p>
            <w:pPr>
              <w:spacing w:after="0"/>
              <w:rPr>
                <w:sz w:val="14"/>
                <w:szCs w:val="14"/>
                <w:color w:val="auto"/>
              </w:rPr>
            </w:pPr>
          </w:p>
        </w:tc>
        <w:tc>
          <w:tcPr>
            <w:tcW w:w="16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360" w:type="dxa"/>
            <w:vAlign w:val="bottom"/>
            <w:tcBorders>
              <w:top w:val="single" w:sz="8" w:color="auto"/>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353</w:t>
            </w:r>
          </w:p>
        </w:tc>
        <w:tc>
          <w:tcPr>
            <w:tcW w:w="40" w:type="dxa"/>
            <w:vAlign w:val="bottom"/>
            <w:tcBorders>
              <w:right w:val="single" w:sz="8" w:color="E6E6E6"/>
            </w:tcBorders>
          </w:tcPr>
          <w:p>
            <w:pPr>
              <w:spacing w:after="0"/>
              <w:rPr>
                <w:sz w:val="14"/>
                <w:szCs w:val="14"/>
                <w:color w:val="auto"/>
              </w:rPr>
            </w:pPr>
          </w:p>
        </w:tc>
        <w:tc>
          <w:tcPr>
            <w:tcW w:w="12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50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shd w:val="clear" w:color="auto" w:fill="E6E6E6"/>
              </w:rPr>
              <w:t>253,869</w:t>
            </w:r>
          </w:p>
        </w:tc>
        <w:tc>
          <w:tcPr>
            <w:tcW w:w="12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26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(46,344)</w:t>
            </w:r>
          </w:p>
        </w:tc>
        <w:tc>
          <w:tcPr>
            <w:tcW w:w="10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6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(14,505)</w:t>
            </w:r>
          </w:p>
        </w:tc>
        <w:tc>
          <w:tcPr>
            <w:tcW w:w="8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540" w:type="dxa"/>
            <w:vAlign w:val="bottom"/>
            <w:tcBorders>
              <w:top w:val="single" w:sz="8" w:color="auto"/>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(138)</w:t>
            </w:r>
          </w:p>
        </w:tc>
        <w:tc>
          <w:tcPr>
            <w:tcW w:w="6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14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34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(356</w:t>
            </w:r>
          </w:p>
        </w:tc>
        <w:tc>
          <w:tcPr>
            <w:tcW w:w="20" w:type="dxa"/>
            <w:vAlign w:val="bottom"/>
            <w:tcBorders>
              <w:top w:val="single" w:sz="8" w:color="auto"/>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0" w:type="dxa"/>
            <w:vAlign w:val="bottom"/>
            <w:tcBorders>
              <w:top w:val="single" w:sz="8" w:color="E6E6E6"/>
              <w:left w:val="single" w:sz="8" w:color="E6E6E6"/>
              <w:bottom w:val="single" w:sz="8" w:color="E6E6E6"/>
            </w:tcBorders>
            <w:shd w:val="clear" w:color="auto" w:fill="E6E6E6"/>
          </w:tcPr>
          <w:p>
            <w:pPr>
              <w:jc w:val="right"/>
              <w:ind w:right="15"/>
              <w:spacing w:after="0"/>
              <w:rPr>
                <w:sz w:val="20"/>
                <w:szCs w:val="20"/>
                <w:color w:val="auto"/>
              </w:rPr>
            </w:pPr>
            <w:r>
              <w:rPr>
                <w:rFonts w:ascii="Times New Roman" w:cs="Times New Roman" w:eastAsia="Times New Roman" w:hAnsi="Times New Roman"/>
                <w:sz w:val="1"/>
                <w:szCs w:val="1"/>
                <w:color w:val="auto"/>
                <w:w w:val="4294967281"/>
                <w:shd w:val="clear" w:color="auto" w:fill="E6E6E6"/>
              </w:rPr>
              <w:t>)</w:t>
            </w: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14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top w:val="single" w:sz="8" w:color="E6E6E6"/>
              <w:bottom w:val="single" w:sz="8" w:color="E6E6E6"/>
            </w:tcBorders>
            <w:shd w:val="clear" w:color="auto" w:fill="E6E6E6"/>
          </w:tcPr>
          <w:p>
            <w:pPr>
              <w:spacing w:after="0"/>
              <w:rPr>
                <w:sz w:val="14"/>
                <w:szCs w:val="14"/>
                <w:color w:val="auto"/>
              </w:rPr>
            </w:pPr>
          </w:p>
        </w:tc>
        <w:tc>
          <w:tcPr>
            <w:tcW w:w="20" w:type="dxa"/>
            <w:vAlign w:val="bottom"/>
            <w:tcBorders>
              <w:top w:val="single" w:sz="8" w:color="auto"/>
              <w:bottom w:val="single" w:sz="8" w:color="E6E6E6"/>
            </w:tcBorders>
            <w:shd w:val="clear" w:color="auto" w:fill="E6E6E6"/>
          </w:tcPr>
          <w:p>
            <w:pPr>
              <w:spacing w:after="0"/>
              <w:rPr>
                <w:sz w:val="14"/>
                <w:szCs w:val="14"/>
                <w:color w:val="auto"/>
              </w:rPr>
            </w:pPr>
          </w:p>
        </w:tc>
        <w:tc>
          <w:tcPr>
            <w:tcW w:w="20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193,017</w:t>
            </w:r>
          </w:p>
        </w:tc>
        <w:tc>
          <w:tcPr>
            <w:tcW w:w="40" w:type="dxa"/>
            <w:vAlign w:val="bottom"/>
            <w:tcBorders>
              <w:top w:val="single" w:sz="8" w:color="E6E6E6"/>
              <w:bottom w:val="single" w:sz="8" w:color="E6E6E6"/>
            </w:tcBorders>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gridSpan w:val="4"/>
          </w:tcPr>
          <w:p>
            <w:pPr>
              <w:spacing w:after="0" w:line="149" w:lineRule="exact"/>
              <w:rPr>
                <w:sz w:val="20"/>
                <w:szCs w:val="20"/>
                <w:color w:val="auto"/>
              </w:rPr>
            </w:pPr>
            <w:r>
              <w:rPr>
                <w:rFonts w:ascii="Times New Roman" w:cs="Times New Roman" w:eastAsia="Times New Roman" w:hAnsi="Times New Roman"/>
                <w:sz w:val="15"/>
                <w:szCs w:val="15"/>
                <w:color w:val="auto"/>
              </w:rPr>
              <w:t>Net income for the year ended December 31, 2020</w:t>
            </w:r>
          </w:p>
        </w:tc>
        <w:tc>
          <w:tcPr>
            <w:tcW w:w="4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8,211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5"/>
                <w:szCs w:val="15"/>
                <w:color w:val="auto"/>
              </w:rPr>
              <w:t>(39)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5"/>
                <w:szCs w:val="15"/>
                <w:color w:val="auto"/>
              </w:rPr>
              <w:t>8,172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Restricted stock units issued</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230</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2</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620" w:type="dxa"/>
            <w:vAlign w:val="bottom"/>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(331)</w:t>
            </w: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660" w:type="dxa"/>
            <w:vAlign w:val="bottom"/>
            <w:gridSpan w:val="3"/>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(8)</w:t>
            </w: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(337)</w:t>
            </w: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Share based compensation earned</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1,758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1,758</w:t>
            </w:r>
          </w:p>
        </w:tc>
        <w:tc>
          <w:tcPr>
            <w:tcW w:w="0" w:type="dxa"/>
            <w:vAlign w:val="bottom"/>
          </w:tcPr>
          <w:p>
            <w:pPr>
              <w:spacing w:after="0"/>
              <w:rPr>
                <w:sz w:val="1"/>
                <w:szCs w:val="1"/>
                <w:color w:val="auto"/>
              </w:rPr>
            </w:pPr>
          </w:p>
        </w:tc>
      </w:tr>
      <w:tr>
        <w:trPr>
          <w:trHeight w:val="155"/>
        </w:trPr>
        <w:tc>
          <w:tcPr>
            <w:tcW w:w="3460" w:type="dxa"/>
            <w:vAlign w:val="bottom"/>
            <w:gridSpan w:val="4"/>
            <w:shd w:val="clear" w:color="auto" w:fill="E6E6E6"/>
          </w:tcPr>
          <w:p>
            <w:pPr>
              <w:spacing w:after="0" w:line="156" w:lineRule="exact"/>
              <w:rPr>
                <w:sz w:val="20"/>
                <w:szCs w:val="20"/>
                <w:color w:val="auto"/>
              </w:rPr>
            </w:pPr>
            <w:r>
              <w:rPr>
                <w:rFonts w:ascii="Times New Roman" w:cs="Times New Roman" w:eastAsia="Times New Roman" w:hAnsi="Times New Roman"/>
                <w:sz w:val="15"/>
                <w:szCs w:val="15"/>
                <w:color w:val="auto"/>
              </w:rPr>
              <w:t>Adjustment for minimum pension liability, net of tax of</w:t>
            </w:r>
          </w:p>
        </w:tc>
        <w:tc>
          <w:tcPr>
            <w:tcW w:w="580" w:type="dxa"/>
            <w:vAlign w:val="bottom"/>
            <w:gridSpan w:val="3"/>
            <w:vMerge w:val="restart"/>
            <w:shd w:val="clear" w:color="auto" w:fill="E6E6E6"/>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3"/>
                <w:szCs w:val="13"/>
                <w:color w:val="auto"/>
              </w:rPr>
            </w:pPr>
          </w:p>
        </w:tc>
        <w:tc>
          <w:tcPr>
            <w:tcW w:w="160" w:type="dxa"/>
            <w:vAlign w:val="bottom"/>
            <w:shd w:val="clear" w:color="auto" w:fill="E6E6E6"/>
          </w:tcPr>
          <w:p>
            <w:pPr>
              <w:spacing w:after="0"/>
              <w:rPr>
                <w:sz w:val="13"/>
                <w:szCs w:val="13"/>
                <w:color w:val="auto"/>
              </w:rPr>
            </w:pPr>
          </w:p>
        </w:tc>
        <w:tc>
          <w:tcPr>
            <w:tcW w:w="360" w:type="dxa"/>
            <w:vAlign w:val="bottom"/>
            <w:tcBorders>
              <w:right w:val="single" w:sz="8" w:color="E6E6E6"/>
            </w:tcBorders>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5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5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000" w:type="dxa"/>
            <w:vAlign w:val="bottom"/>
            <w:gridSpan w:val="3"/>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15"/>
                <w:szCs w:val="15"/>
                <w:color w:val="auto"/>
              </w:rPr>
              <w:t>(2,247)</w:t>
            </w: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380" w:type="dxa"/>
            <w:vAlign w:val="bottom"/>
            <w:gridSpan w:val="3"/>
            <w:vMerge w:val="restart"/>
            <w:shd w:val="clear" w:color="auto" w:fill="E6E6E6"/>
          </w:tcPr>
          <w:p>
            <w:pPr>
              <w:ind w:left="3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60" w:type="dxa"/>
            <w:vAlign w:val="bottom"/>
            <w:tcBorders>
              <w:right w:val="single" w:sz="8" w:color="E6E6E6"/>
            </w:tcBorders>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720" w:type="dxa"/>
            <w:vAlign w:val="bottom"/>
            <w:gridSpan w:val="3"/>
            <w:vMerge w:val="restart"/>
            <w:shd w:val="clear" w:color="auto" w:fill="E6E6E6"/>
          </w:tcPr>
          <w:p>
            <w:pPr>
              <w:jc w:val="right"/>
              <w:ind w:right="20"/>
              <w:spacing w:after="0"/>
              <w:rPr>
                <w:sz w:val="20"/>
                <w:szCs w:val="20"/>
                <w:color w:val="auto"/>
              </w:rPr>
            </w:pPr>
            <w:r>
              <w:rPr>
                <w:rFonts w:ascii="Times New Roman" w:cs="Times New Roman" w:eastAsia="Times New Roman" w:hAnsi="Times New Roman"/>
                <w:sz w:val="15"/>
                <w:szCs w:val="15"/>
                <w:color w:val="auto"/>
              </w:rPr>
              <w:t>(2,247)</w:t>
            </w:r>
          </w:p>
        </w:tc>
        <w:tc>
          <w:tcPr>
            <w:tcW w:w="0" w:type="dxa"/>
            <w:vAlign w:val="bottom"/>
          </w:tcPr>
          <w:p>
            <w:pPr>
              <w:spacing w:after="0"/>
              <w:rPr>
                <w:sz w:val="1"/>
                <w:szCs w:val="1"/>
                <w:color w:val="auto"/>
              </w:rPr>
            </w:pPr>
          </w:p>
        </w:tc>
      </w:tr>
      <w:tr>
        <w:trPr>
          <w:trHeight w:val="183"/>
        </w:trPr>
        <w:tc>
          <w:tcPr>
            <w:tcW w:w="340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$802</w:t>
            </w: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580" w:type="dxa"/>
            <w:vAlign w:val="bottom"/>
            <w:gridSpan w:val="3"/>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360" w:type="dxa"/>
            <w:vAlign w:val="bottom"/>
            <w:tcBorders>
              <w:right w:val="single" w:sz="8" w:color="E6E6E6"/>
            </w:tcBorders>
            <w:vMerge w:val="continue"/>
            <w:shd w:val="clear" w:color="auto" w:fill="E6E6E6"/>
          </w:tcPr>
          <w:p>
            <w:pPr>
              <w:spacing w:after="0"/>
              <w:rPr>
                <w:sz w:val="15"/>
                <w:szCs w:val="15"/>
                <w:color w:val="auto"/>
              </w:rPr>
            </w:pPr>
          </w:p>
        </w:tc>
        <w:tc>
          <w:tcPr>
            <w:tcW w:w="40" w:type="dxa"/>
            <w:vAlign w:val="bottom"/>
            <w:tcBorders>
              <w:right w:val="single" w:sz="8" w:color="E6E6E6"/>
            </w:tcBorders>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500" w:type="dxa"/>
            <w:vAlign w:val="bottom"/>
            <w:vMerge w:val="continue"/>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540" w:type="dxa"/>
            <w:vAlign w:val="bottom"/>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000" w:type="dxa"/>
            <w:vAlign w:val="bottom"/>
            <w:gridSpan w:val="3"/>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80" w:type="dxa"/>
            <w:vAlign w:val="bottom"/>
            <w:vMerge w:val="continue"/>
            <w:shd w:val="clear" w:color="auto" w:fill="E6E6E6"/>
          </w:tcPr>
          <w:p>
            <w:pPr>
              <w:spacing w:after="0"/>
              <w:rPr>
                <w:sz w:val="15"/>
                <w:szCs w:val="15"/>
                <w:color w:val="auto"/>
              </w:rPr>
            </w:pPr>
          </w:p>
        </w:tc>
        <w:tc>
          <w:tcPr>
            <w:tcW w:w="60" w:type="dxa"/>
            <w:vAlign w:val="bottom"/>
            <w:tcBorders>
              <w:right w:val="single" w:sz="8" w:color="E6E6E6"/>
            </w:tcBorders>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380" w:type="dxa"/>
            <w:vAlign w:val="bottom"/>
            <w:gridSpan w:val="3"/>
            <w:vMerge w:val="continue"/>
            <w:shd w:val="clear" w:color="auto" w:fill="E6E6E6"/>
          </w:tcPr>
          <w:p>
            <w:pPr>
              <w:spacing w:after="0"/>
              <w:rPr>
                <w:sz w:val="15"/>
                <w:szCs w:val="15"/>
                <w:color w:val="auto"/>
              </w:rPr>
            </w:pPr>
          </w:p>
        </w:tc>
        <w:tc>
          <w:tcPr>
            <w:tcW w:w="40" w:type="dxa"/>
            <w:vAlign w:val="bottom"/>
            <w:tcBorders>
              <w:left w:val="single" w:sz="8" w:color="E6E6E6"/>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860" w:type="dxa"/>
            <w:vAlign w:val="bottom"/>
            <w:tcBorders>
              <w:right w:val="single" w:sz="8" w:color="E6E6E6"/>
            </w:tcBorders>
            <w:gridSpan w:val="2"/>
            <w:vMerge w:val="continue"/>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20" w:type="dxa"/>
            <w:vAlign w:val="bottom"/>
            <w:gridSpan w:val="3"/>
            <w:vMerge w:val="continue"/>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Translation gain</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2,256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2,256</w:t>
            </w:r>
          </w:p>
        </w:tc>
        <w:tc>
          <w:tcPr>
            <w:tcW w:w="0" w:type="dxa"/>
            <w:vAlign w:val="bottom"/>
          </w:tcPr>
          <w:p>
            <w:pPr>
              <w:spacing w:after="0"/>
              <w:rPr>
                <w:sz w:val="1"/>
                <w:szCs w:val="1"/>
                <w:color w:val="auto"/>
              </w:rPr>
            </w:pPr>
          </w:p>
        </w:tc>
      </w:tr>
      <w:tr>
        <w:trPr>
          <w:trHeight w:val="18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Noncontrolling interest acquired (See Note 14)</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6"/>
                <w:szCs w:val="16"/>
                <w:color w:val="auto"/>
              </w:rPr>
            </w:pPr>
          </w:p>
        </w:tc>
        <w:tc>
          <w:tcPr>
            <w:tcW w:w="6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992</w:t>
            </w:r>
          </w:p>
        </w:tc>
        <w:tc>
          <w:tcPr>
            <w:tcW w:w="4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720" w:type="dxa"/>
            <w:vAlign w:val="bottom"/>
            <w:gridSpan w:val="3"/>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992</w:t>
            </w:r>
          </w:p>
        </w:tc>
        <w:tc>
          <w:tcPr>
            <w:tcW w:w="0" w:type="dxa"/>
            <w:vAlign w:val="bottom"/>
          </w:tcPr>
          <w:p>
            <w:pPr>
              <w:spacing w:after="0"/>
              <w:rPr>
                <w:sz w:val="1"/>
                <w:szCs w:val="1"/>
                <w:color w:val="auto"/>
              </w:rPr>
            </w:pPr>
          </w:p>
        </w:tc>
      </w:tr>
      <w:tr>
        <w:trPr>
          <w:trHeight w:val="139"/>
        </w:trPr>
        <w:tc>
          <w:tcPr>
            <w:tcW w:w="3440" w:type="dxa"/>
            <w:vAlign w:val="bottom"/>
            <w:gridSpan w:val="3"/>
          </w:tcPr>
          <w:p>
            <w:pPr>
              <w:spacing w:after="0" w:line="139" w:lineRule="exact"/>
              <w:rPr>
                <w:sz w:val="20"/>
                <w:szCs w:val="20"/>
                <w:color w:val="auto"/>
              </w:rPr>
            </w:pPr>
            <w:r>
              <w:rPr>
                <w:rFonts w:ascii="Times New Roman" w:cs="Times New Roman" w:eastAsia="Times New Roman" w:hAnsi="Times New Roman"/>
                <w:sz w:val="15"/>
                <w:szCs w:val="15"/>
                <w:color w:val="auto"/>
              </w:rPr>
              <w:t>Balance December 31, 2020</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35,505</w:t>
            </w:r>
          </w:p>
        </w:tc>
        <w:tc>
          <w:tcPr>
            <w:tcW w:w="20" w:type="dxa"/>
            <w:vAlign w:val="bottom"/>
            <w:tcBorders>
              <w:top w:val="single" w:sz="8" w:color="E6E6E6"/>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355</w:t>
            </w: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w w:val="98"/>
              </w:rPr>
              <w:t>255,296</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(38,141)</w:t>
            </w:r>
          </w:p>
        </w:tc>
        <w:tc>
          <w:tcPr>
            <w:tcW w:w="20" w:type="dxa"/>
            <w:vAlign w:val="bottom"/>
            <w:tcBorders>
              <w:top w:val="single" w:sz="8" w:color="E6E6E6"/>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(14,496)</w:t>
            </w:r>
          </w:p>
        </w:tc>
        <w:tc>
          <w:tcPr>
            <w:tcW w:w="20" w:type="dxa"/>
            <w:vAlign w:val="bottom"/>
            <w:tcBorders>
              <w:top w:val="single" w:sz="8" w:color="E6E6E6"/>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(138)</w:t>
            </w:r>
          </w:p>
        </w:tc>
        <w:tc>
          <w:tcPr>
            <w:tcW w:w="60" w:type="dxa"/>
            <w:vAlign w:val="bottom"/>
            <w:tcBorders>
              <w:top w:val="single" w:sz="8" w:color="E6E6E6"/>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w w:val="98"/>
              </w:rPr>
              <w:t>(356)</w:t>
            </w:r>
          </w:p>
        </w:tc>
        <w:tc>
          <w:tcPr>
            <w:tcW w:w="40" w:type="dxa"/>
            <w:vAlign w:val="bottom"/>
            <w:tcBorders>
              <w:top w:val="single" w:sz="8" w:color="E6E6E6"/>
            </w:tcBorders>
            <w:gridSpan w:val="2"/>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953</w:t>
            </w:r>
          </w:p>
        </w:tc>
        <w:tc>
          <w:tcPr>
            <w:tcW w:w="60" w:type="dxa"/>
            <w:vAlign w:val="bottom"/>
            <w:tcBorders>
              <w:top w:val="single" w:sz="8" w:color="E6E6E6"/>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5"/>
                <w:szCs w:val="15"/>
                <w:color w:val="auto"/>
              </w:rPr>
              <w:t>203,611</w:t>
            </w:r>
          </w:p>
        </w:tc>
        <w:tc>
          <w:tcPr>
            <w:tcW w:w="20" w:type="dxa"/>
            <w:vAlign w:val="bottom"/>
            <w:tcBorders>
              <w:top w:val="single" w:sz="8" w:color="E6E6E6"/>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Net income for the year ended December 31, 2021</w:t>
            </w:r>
          </w:p>
        </w:tc>
        <w:tc>
          <w:tcPr>
            <w:tcW w:w="480" w:type="dxa"/>
            <w:vAlign w:val="bottom"/>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1,426</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557</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680" w:type="dxa"/>
            <w:vAlign w:val="bottom"/>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1,983</w:t>
            </w:r>
          </w:p>
        </w:tc>
        <w:tc>
          <w:tcPr>
            <w:tcW w:w="4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Exercise of stock options</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Restricted stock units issued</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263</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3</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620" w:type="dxa"/>
            <w:vAlign w:val="bottom"/>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(517)</w:t>
            </w: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(514)</w:t>
            </w: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Share based compensation earned</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39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3,558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3,558</w:t>
            </w: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Common stock repurchase and retirement (See Note 9)</w:t>
            </w:r>
          </w:p>
        </w:tc>
        <w:tc>
          <w:tcPr>
            <w:tcW w:w="58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(781)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(5,361)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138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356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(5,013)</w:t>
            </w:r>
          </w:p>
        </w:tc>
        <w:tc>
          <w:tcPr>
            <w:tcW w:w="0" w:type="dxa"/>
            <w:vAlign w:val="bottom"/>
          </w:tcPr>
          <w:p>
            <w:pPr>
              <w:spacing w:after="0"/>
              <w:rPr>
                <w:sz w:val="1"/>
                <w:szCs w:val="1"/>
                <w:color w:val="auto"/>
              </w:rPr>
            </w:pPr>
          </w:p>
        </w:tc>
      </w:tr>
      <w:tr>
        <w:trPr>
          <w:trHeight w:val="155"/>
        </w:trPr>
        <w:tc>
          <w:tcPr>
            <w:tcW w:w="346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auto"/>
              </w:rPr>
              <w:t>Adjustment for minimum pension liability, net of tax of</w:t>
            </w: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2,964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2,964</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$866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Translation loss</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1000" w:type="dxa"/>
            <w:vAlign w:val="bottom"/>
            <w:gridSpan w:val="3"/>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(538)</w:t>
            </w: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(538)</w:t>
            </w:r>
          </w:p>
        </w:tc>
        <w:tc>
          <w:tcPr>
            <w:tcW w:w="0" w:type="dxa"/>
            <w:vAlign w:val="bottom"/>
          </w:tcPr>
          <w:p>
            <w:pPr>
              <w:spacing w:after="0"/>
              <w:rPr>
                <w:sz w:val="1"/>
                <w:szCs w:val="1"/>
                <w:color w:val="auto"/>
              </w:rPr>
            </w:pPr>
          </w:p>
        </w:tc>
      </w:tr>
      <w:tr>
        <w:trPr>
          <w:trHeight w:val="169"/>
        </w:trPr>
        <w:tc>
          <w:tcPr>
            <w:tcW w:w="342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Noncontrolling interest distribution</w:t>
            </w:r>
          </w:p>
        </w:tc>
        <w:tc>
          <w:tcPr>
            <w:tcW w:w="40" w:type="dxa"/>
            <w:vAlign w:val="bottom"/>
            <w:gridSpan w:val="2"/>
          </w:tcPr>
          <w:p>
            <w:pPr>
              <w:spacing w:after="0"/>
              <w:rPr>
                <w:sz w:val="14"/>
                <w:szCs w:val="14"/>
                <w:color w:val="auto"/>
              </w:rPr>
            </w:pP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(107)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159"/>
        </w:trPr>
        <w:tc>
          <w:tcPr>
            <w:tcW w:w="3420" w:type="dxa"/>
            <w:vAlign w:val="bottom"/>
            <w:tcBorders>
              <w:top w:val="single" w:sz="8" w:color="E6E6E6"/>
            </w:tcBorders>
            <w:gridSpan w:val="2"/>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rPr>
              <w:t>Balance December 31, 2021</w:t>
            </w:r>
          </w:p>
        </w:tc>
        <w:tc>
          <w:tcPr>
            <w:tcW w:w="40" w:type="dxa"/>
            <w:vAlign w:val="bottom"/>
            <w:tcBorders>
              <w:top w:val="single" w:sz="8" w:color="auto"/>
            </w:tcBorders>
            <w:gridSpan w:val="2"/>
            <w:shd w:val="clear" w:color="auto" w:fill="E6E6E6"/>
          </w:tcPr>
          <w:p>
            <w:pPr>
              <w:spacing w:after="0"/>
              <w:rPr>
                <w:sz w:val="13"/>
                <w:szCs w:val="13"/>
                <w:color w:val="auto"/>
              </w:rPr>
            </w:pPr>
          </w:p>
        </w:tc>
        <w:tc>
          <w:tcPr>
            <w:tcW w:w="46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35,028</w:t>
            </w:r>
          </w:p>
        </w:tc>
        <w:tc>
          <w:tcPr>
            <w:tcW w:w="20" w:type="dxa"/>
            <w:vAlign w:val="bottom"/>
            <w:shd w:val="clear" w:color="auto" w:fill="E6E6E6"/>
          </w:tcPr>
          <w:p>
            <w:pPr>
              <w:spacing w:after="0"/>
              <w:rPr>
                <w:sz w:val="13"/>
                <w:szCs w:val="13"/>
                <w:color w:val="auto"/>
              </w:rPr>
            </w:pPr>
          </w:p>
        </w:tc>
        <w:tc>
          <w:tcPr>
            <w:tcW w:w="10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16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360" w:type="dxa"/>
            <w:vAlign w:val="bottom"/>
            <w:tcBorders>
              <w:top w:val="single" w:sz="8" w:color="auto"/>
              <w:right w:val="single" w:sz="8" w:color="E6E6E6"/>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shd w:val="clear" w:color="auto" w:fill="E6E6E6"/>
              </w:rPr>
              <w:t>350</w:t>
            </w:r>
          </w:p>
        </w:tc>
        <w:tc>
          <w:tcPr>
            <w:tcW w:w="40" w:type="dxa"/>
            <w:vAlign w:val="bottom"/>
            <w:tcBorders>
              <w:right w:val="single" w:sz="8" w:color="E6E6E6"/>
            </w:tcBorders>
          </w:tcPr>
          <w:p>
            <w:pPr>
              <w:spacing w:after="0"/>
              <w:rPr>
                <w:sz w:val="13"/>
                <w:szCs w:val="13"/>
                <w:color w:val="auto"/>
              </w:rPr>
            </w:pPr>
          </w:p>
        </w:tc>
        <w:tc>
          <w:tcPr>
            <w:tcW w:w="12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50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w w:val="98"/>
                <w:shd w:val="clear" w:color="auto" w:fill="E6E6E6"/>
              </w:rPr>
              <w:t>252,989</w:t>
            </w:r>
          </w:p>
        </w:tc>
        <w:tc>
          <w:tcPr>
            <w:tcW w:w="12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26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(36,715)</w:t>
            </w:r>
          </w:p>
        </w:tc>
        <w:tc>
          <w:tcPr>
            <w:tcW w:w="20" w:type="dxa"/>
            <w:vAlign w:val="bottom"/>
            <w:shd w:val="clear" w:color="auto" w:fill="E6E6E6"/>
          </w:tcPr>
          <w:p>
            <w:pPr>
              <w:spacing w:after="0"/>
              <w:rPr>
                <w:sz w:val="13"/>
                <w:szCs w:val="13"/>
                <w:color w:val="auto"/>
              </w:rPr>
            </w:pPr>
          </w:p>
        </w:tc>
        <w:tc>
          <w:tcPr>
            <w:tcW w:w="10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6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(12,070)</w:t>
            </w:r>
          </w:p>
        </w:tc>
        <w:tc>
          <w:tcPr>
            <w:tcW w:w="20" w:type="dxa"/>
            <w:vAlign w:val="bottom"/>
            <w:shd w:val="clear" w:color="auto" w:fill="E6E6E6"/>
          </w:tcPr>
          <w:p>
            <w:pPr>
              <w:spacing w:after="0"/>
              <w:rPr>
                <w:sz w:val="13"/>
                <w:szCs w:val="13"/>
                <w:color w:val="auto"/>
              </w:rPr>
            </w:pPr>
          </w:p>
        </w:tc>
        <w:tc>
          <w:tcPr>
            <w:tcW w:w="8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48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14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E6E6E6"/>
          </w:tcPr>
          <w:p>
            <w:pPr>
              <w:ind w:left="3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gridSpan w:val="2"/>
            <w:shd w:val="clear" w:color="auto" w:fill="E6E6E6"/>
          </w:tcPr>
          <w:p>
            <w:pPr>
              <w:spacing w:after="0"/>
              <w:rPr>
                <w:sz w:val="13"/>
                <w:szCs w:val="13"/>
                <w:color w:val="auto"/>
              </w:rPr>
            </w:pPr>
          </w:p>
        </w:tc>
        <w:tc>
          <w:tcPr>
            <w:tcW w:w="40" w:type="dxa"/>
            <w:vAlign w:val="bottom"/>
            <w:tcBorders>
              <w:top w:val="single" w:sz="8" w:color="auto"/>
              <w:left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14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1,403</w:t>
            </w:r>
          </w:p>
        </w:tc>
        <w:tc>
          <w:tcPr>
            <w:tcW w:w="60" w:type="dxa"/>
            <w:vAlign w:val="bottom"/>
            <w:tcBorders>
              <w:right w:val="single" w:sz="8" w:color="E6E6E6"/>
            </w:tcBorders>
            <w:shd w:val="clear" w:color="auto" w:fill="E6E6E6"/>
          </w:tcPr>
          <w:p>
            <w:pPr>
              <w:spacing w:after="0"/>
              <w:rPr>
                <w:sz w:val="13"/>
                <w:szCs w:val="13"/>
                <w:color w:val="auto"/>
              </w:rPr>
            </w:pPr>
          </w:p>
        </w:tc>
        <w:tc>
          <w:tcPr>
            <w:tcW w:w="40" w:type="dxa"/>
            <w:vAlign w:val="bottom"/>
            <w:tcBorders>
              <w:top w:val="single" w:sz="8" w:color="E6E6E6"/>
            </w:tcBorders>
            <w:shd w:val="clear" w:color="auto" w:fill="E6E6E6"/>
          </w:tcPr>
          <w:p>
            <w:pPr>
              <w:spacing w:after="0"/>
              <w:rPr>
                <w:sz w:val="13"/>
                <w:szCs w:val="13"/>
                <w:color w:val="auto"/>
              </w:rPr>
            </w:pPr>
          </w:p>
        </w:tc>
        <w:tc>
          <w:tcPr>
            <w:tcW w:w="20" w:type="dxa"/>
            <w:vAlign w:val="bottom"/>
            <w:tcBorders>
              <w:top w:val="single" w:sz="8" w:color="auto"/>
            </w:tcBorders>
            <w:shd w:val="clear" w:color="auto" w:fill="E6E6E6"/>
          </w:tcPr>
          <w:p>
            <w:pPr>
              <w:spacing w:after="0"/>
              <w:rPr>
                <w:sz w:val="13"/>
                <w:szCs w:val="13"/>
                <w:color w:val="auto"/>
              </w:rPr>
            </w:pPr>
          </w:p>
        </w:tc>
        <w:tc>
          <w:tcPr>
            <w:tcW w:w="200" w:type="dxa"/>
            <w:vAlign w:val="bottom"/>
            <w:tcBorders>
              <w:top w:val="single" w:sz="8" w:color="auto"/>
            </w:tcBorders>
            <w:shd w:val="clear" w:color="auto" w:fill="E6E6E6"/>
          </w:tcPr>
          <w:p>
            <w:pPr>
              <w:spacing w:after="0" w:line="15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E6E6E6"/>
          </w:tcPr>
          <w:p>
            <w:pPr>
              <w:jc w:val="right"/>
              <w:spacing w:after="0" w:line="159" w:lineRule="exact"/>
              <w:rPr>
                <w:sz w:val="20"/>
                <w:szCs w:val="20"/>
                <w:color w:val="auto"/>
              </w:rPr>
            </w:pPr>
            <w:r>
              <w:rPr>
                <w:rFonts w:ascii="Times New Roman" w:cs="Times New Roman" w:eastAsia="Times New Roman" w:hAnsi="Times New Roman"/>
                <w:sz w:val="15"/>
                <w:szCs w:val="15"/>
                <w:color w:val="auto"/>
              </w:rPr>
              <w:t>205,957</w:t>
            </w:r>
          </w:p>
        </w:tc>
        <w:tc>
          <w:tcPr>
            <w:tcW w:w="20" w:type="dxa"/>
            <w:vAlign w:val="bottom"/>
            <w:shd w:val="clear" w:color="auto" w:fill="E6E6E6"/>
          </w:tcPr>
          <w:p>
            <w:pPr>
              <w:spacing w:after="0"/>
              <w:rPr>
                <w:sz w:val="13"/>
                <w:szCs w:val="13"/>
                <w:color w:val="auto"/>
              </w:rPr>
            </w:pPr>
          </w:p>
        </w:tc>
        <w:tc>
          <w:tcPr>
            <w:tcW w:w="40" w:type="dxa"/>
            <w:vAlign w:val="bottom"/>
            <w:tcBorders>
              <w:top w:val="single" w:sz="8" w:color="E6E6E6"/>
            </w:tcBorders>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Net income for the year ended December 31, 2022</w:t>
            </w:r>
          </w:p>
        </w:tc>
        <w:tc>
          <w:tcPr>
            <w:tcW w:w="4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17,417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846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18,263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Exercise of stock options</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43</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377</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377</w:t>
            </w: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Restricted stock units issued</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286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(443)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(440)</w:t>
            </w: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Share based compensation earned</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57</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1</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4,261</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4,262</w:t>
            </w: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Common stock repurchase and retirement (See Note 9)</w:t>
            </w:r>
          </w:p>
        </w:tc>
        <w:tc>
          <w:tcPr>
            <w:tcW w:w="58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(1,032)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(10)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(7,010)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(7,020)</w:t>
            </w:r>
          </w:p>
        </w:tc>
        <w:tc>
          <w:tcPr>
            <w:tcW w:w="0" w:type="dxa"/>
            <w:vAlign w:val="bottom"/>
          </w:tcPr>
          <w:p>
            <w:pPr>
              <w:spacing w:after="0"/>
              <w:rPr>
                <w:sz w:val="1"/>
                <w:szCs w:val="1"/>
                <w:color w:val="auto"/>
              </w:rPr>
            </w:pPr>
          </w:p>
        </w:tc>
      </w:tr>
      <w:tr>
        <w:trPr>
          <w:trHeight w:val="155"/>
        </w:trPr>
        <w:tc>
          <w:tcPr>
            <w:tcW w:w="3460" w:type="dxa"/>
            <w:vAlign w:val="bottom"/>
            <w:gridSpan w:val="4"/>
            <w:shd w:val="clear" w:color="auto" w:fill="E6E6E6"/>
          </w:tcPr>
          <w:p>
            <w:pPr>
              <w:spacing w:after="0" w:line="156" w:lineRule="exact"/>
              <w:rPr>
                <w:sz w:val="20"/>
                <w:szCs w:val="20"/>
                <w:color w:val="auto"/>
              </w:rPr>
            </w:pPr>
            <w:r>
              <w:rPr>
                <w:rFonts w:ascii="Times New Roman" w:cs="Times New Roman" w:eastAsia="Times New Roman" w:hAnsi="Times New Roman"/>
                <w:sz w:val="15"/>
                <w:szCs w:val="15"/>
                <w:color w:val="auto"/>
              </w:rPr>
              <w:t>Adjustment for minimum pension liability, net of tax of</w:t>
            </w:r>
          </w:p>
        </w:tc>
        <w:tc>
          <w:tcPr>
            <w:tcW w:w="580" w:type="dxa"/>
            <w:vAlign w:val="bottom"/>
            <w:gridSpan w:val="3"/>
            <w:vMerge w:val="restart"/>
            <w:shd w:val="clear" w:color="auto" w:fill="E6E6E6"/>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3"/>
                <w:szCs w:val="13"/>
                <w:color w:val="auto"/>
              </w:rPr>
            </w:pPr>
          </w:p>
        </w:tc>
        <w:tc>
          <w:tcPr>
            <w:tcW w:w="160" w:type="dxa"/>
            <w:vAlign w:val="bottom"/>
            <w:shd w:val="clear" w:color="auto" w:fill="E6E6E6"/>
          </w:tcPr>
          <w:p>
            <w:pPr>
              <w:spacing w:after="0"/>
              <w:rPr>
                <w:sz w:val="13"/>
                <w:szCs w:val="13"/>
                <w:color w:val="auto"/>
              </w:rPr>
            </w:pPr>
          </w:p>
        </w:tc>
        <w:tc>
          <w:tcPr>
            <w:tcW w:w="360" w:type="dxa"/>
            <w:vAlign w:val="bottom"/>
            <w:tcBorders>
              <w:right w:val="single" w:sz="8" w:color="E6E6E6"/>
            </w:tcBorders>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5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60" w:type="dxa"/>
            <w:vAlign w:val="bottom"/>
            <w:shd w:val="clear" w:color="auto" w:fill="E6E6E6"/>
          </w:tcPr>
          <w:p>
            <w:pPr>
              <w:spacing w:after="0"/>
              <w:rPr>
                <w:sz w:val="13"/>
                <w:szCs w:val="13"/>
                <w:color w:val="auto"/>
              </w:rPr>
            </w:pPr>
          </w:p>
        </w:tc>
        <w:tc>
          <w:tcPr>
            <w:tcW w:w="5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000" w:type="dxa"/>
            <w:vAlign w:val="bottom"/>
            <w:gridSpan w:val="3"/>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15"/>
                <w:szCs w:val="15"/>
                <w:color w:val="auto"/>
              </w:rPr>
              <w:t>(291)</w:t>
            </w:r>
          </w:p>
        </w:tc>
        <w:tc>
          <w:tcPr>
            <w:tcW w:w="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4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380" w:type="dxa"/>
            <w:vAlign w:val="bottom"/>
            <w:gridSpan w:val="3"/>
            <w:vMerge w:val="restart"/>
            <w:shd w:val="clear" w:color="auto" w:fill="E6E6E6"/>
          </w:tcPr>
          <w:p>
            <w:pPr>
              <w:ind w:left="3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60" w:type="dxa"/>
            <w:vAlign w:val="bottom"/>
            <w:tcBorders>
              <w:right w:val="single" w:sz="8" w:color="E6E6E6"/>
            </w:tcBorders>
            <w:gridSpan w:val="2"/>
            <w:vMerge w:val="restart"/>
            <w:shd w:val="clear" w:color="auto" w:fill="E6E6E6"/>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00" w:type="dxa"/>
            <w:vAlign w:val="bottom"/>
            <w:shd w:val="clear" w:color="auto" w:fill="E6E6E6"/>
          </w:tcPr>
          <w:p>
            <w:pPr>
              <w:spacing w:after="0"/>
              <w:rPr>
                <w:sz w:val="13"/>
                <w:szCs w:val="13"/>
                <w:color w:val="auto"/>
              </w:rPr>
            </w:pPr>
          </w:p>
        </w:tc>
        <w:tc>
          <w:tcPr>
            <w:tcW w:w="720" w:type="dxa"/>
            <w:vAlign w:val="bottom"/>
            <w:gridSpan w:val="3"/>
            <w:vMerge w:val="restart"/>
            <w:shd w:val="clear" w:color="auto" w:fill="E6E6E6"/>
          </w:tcPr>
          <w:p>
            <w:pPr>
              <w:jc w:val="right"/>
              <w:ind w:right="20"/>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183"/>
        </w:trPr>
        <w:tc>
          <w:tcPr>
            <w:tcW w:w="3400" w:type="dxa"/>
            <w:vAlign w:val="bottom"/>
            <w:shd w:val="clear" w:color="auto" w:fill="E6E6E6"/>
          </w:tcPr>
          <w:p>
            <w:pPr>
              <w:spacing w:after="0"/>
              <w:rPr>
                <w:sz w:val="20"/>
                <w:szCs w:val="20"/>
                <w:color w:val="auto"/>
              </w:rPr>
            </w:pPr>
            <w:r>
              <w:rPr>
                <w:rFonts w:ascii="Times New Roman" w:cs="Times New Roman" w:eastAsia="Times New Roman" w:hAnsi="Times New Roman"/>
                <w:sz w:val="15"/>
                <w:szCs w:val="15"/>
                <w:color w:val="auto"/>
              </w:rPr>
              <w:t>$97</w:t>
            </w: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580" w:type="dxa"/>
            <w:vAlign w:val="bottom"/>
            <w:gridSpan w:val="3"/>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360" w:type="dxa"/>
            <w:vAlign w:val="bottom"/>
            <w:tcBorders>
              <w:right w:val="single" w:sz="8" w:color="E6E6E6"/>
            </w:tcBorders>
            <w:vMerge w:val="continue"/>
            <w:shd w:val="clear" w:color="auto" w:fill="E6E6E6"/>
          </w:tcPr>
          <w:p>
            <w:pPr>
              <w:spacing w:after="0"/>
              <w:rPr>
                <w:sz w:val="15"/>
                <w:szCs w:val="15"/>
                <w:color w:val="auto"/>
              </w:rPr>
            </w:pPr>
          </w:p>
        </w:tc>
        <w:tc>
          <w:tcPr>
            <w:tcW w:w="40" w:type="dxa"/>
            <w:vAlign w:val="bottom"/>
            <w:tcBorders>
              <w:right w:val="single" w:sz="8" w:color="E6E6E6"/>
            </w:tcBorders>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500" w:type="dxa"/>
            <w:vAlign w:val="bottom"/>
            <w:vMerge w:val="continue"/>
            <w:shd w:val="clear" w:color="auto" w:fill="E6E6E6"/>
          </w:tcPr>
          <w:p>
            <w:pPr>
              <w:spacing w:after="0"/>
              <w:rPr>
                <w:sz w:val="15"/>
                <w:szCs w:val="15"/>
                <w:color w:val="auto"/>
              </w:rPr>
            </w:pPr>
          </w:p>
        </w:tc>
        <w:tc>
          <w:tcPr>
            <w:tcW w:w="1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540" w:type="dxa"/>
            <w:vAlign w:val="bottom"/>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000" w:type="dxa"/>
            <w:vAlign w:val="bottom"/>
            <w:gridSpan w:val="3"/>
            <w:vMerge w:val="continue"/>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480" w:type="dxa"/>
            <w:vAlign w:val="bottom"/>
            <w:vMerge w:val="continue"/>
            <w:shd w:val="clear" w:color="auto" w:fill="E6E6E6"/>
          </w:tcPr>
          <w:p>
            <w:pPr>
              <w:spacing w:after="0"/>
              <w:rPr>
                <w:sz w:val="15"/>
                <w:szCs w:val="15"/>
                <w:color w:val="auto"/>
              </w:rPr>
            </w:pPr>
          </w:p>
        </w:tc>
        <w:tc>
          <w:tcPr>
            <w:tcW w:w="60" w:type="dxa"/>
            <w:vAlign w:val="bottom"/>
            <w:tcBorders>
              <w:right w:val="single" w:sz="8" w:color="E6E6E6"/>
            </w:tcBorders>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380" w:type="dxa"/>
            <w:vAlign w:val="bottom"/>
            <w:gridSpan w:val="3"/>
            <w:vMerge w:val="continue"/>
            <w:shd w:val="clear" w:color="auto" w:fill="E6E6E6"/>
          </w:tcPr>
          <w:p>
            <w:pPr>
              <w:spacing w:after="0"/>
              <w:rPr>
                <w:sz w:val="15"/>
                <w:szCs w:val="15"/>
                <w:color w:val="auto"/>
              </w:rPr>
            </w:pPr>
          </w:p>
        </w:tc>
        <w:tc>
          <w:tcPr>
            <w:tcW w:w="40" w:type="dxa"/>
            <w:vAlign w:val="bottom"/>
            <w:tcBorders>
              <w:left w:val="single" w:sz="8" w:color="E6E6E6"/>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860" w:type="dxa"/>
            <w:vAlign w:val="bottom"/>
            <w:tcBorders>
              <w:right w:val="single" w:sz="8" w:color="E6E6E6"/>
            </w:tcBorders>
            <w:gridSpan w:val="2"/>
            <w:vMerge w:val="continue"/>
            <w:shd w:val="clear" w:color="auto" w:fill="E6E6E6"/>
          </w:tcPr>
          <w:p>
            <w:pPr>
              <w:spacing w:after="0"/>
              <w:rPr>
                <w:sz w:val="15"/>
                <w:szCs w:val="15"/>
                <w:color w:val="auto"/>
              </w:rPr>
            </w:pPr>
          </w:p>
        </w:tc>
        <w:tc>
          <w:tcPr>
            <w:tcW w:w="4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720" w:type="dxa"/>
            <w:vAlign w:val="bottom"/>
            <w:gridSpan w:val="3"/>
            <w:vMerge w:val="continue"/>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60" w:type="dxa"/>
            <w:vAlign w:val="bottom"/>
            <w:gridSpan w:val="4"/>
          </w:tcPr>
          <w:p>
            <w:pPr>
              <w:spacing w:after="0" w:line="169" w:lineRule="exact"/>
              <w:rPr>
                <w:sz w:val="20"/>
                <w:szCs w:val="20"/>
                <w:color w:val="auto"/>
              </w:rPr>
            </w:pPr>
            <w:r>
              <w:rPr>
                <w:rFonts w:ascii="Times New Roman" w:cs="Times New Roman" w:eastAsia="Times New Roman" w:hAnsi="Times New Roman"/>
                <w:sz w:val="15"/>
                <w:szCs w:val="15"/>
                <w:color w:val="auto"/>
              </w:rPr>
              <w:t>Translation loss</w:t>
            </w:r>
          </w:p>
        </w:tc>
        <w:tc>
          <w:tcPr>
            <w:tcW w:w="58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3"/>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(5,635)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3"/>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(5,635)</w:t>
            </w:r>
          </w:p>
        </w:tc>
        <w:tc>
          <w:tcPr>
            <w:tcW w:w="0" w:type="dxa"/>
            <w:vAlign w:val="bottom"/>
          </w:tcPr>
          <w:p>
            <w:pPr>
              <w:spacing w:after="0"/>
              <w:rPr>
                <w:sz w:val="1"/>
                <w:szCs w:val="1"/>
                <w:color w:val="auto"/>
              </w:rPr>
            </w:pPr>
          </w:p>
        </w:tc>
      </w:tr>
      <w:tr>
        <w:trPr>
          <w:trHeight w:val="169"/>
        </w:trPr>
        <w:tc>
          <w:tcPr>
            <w:tcW w:w="3460" w:type="dxa"/>
            <w:vAlign w:val="bottom"/>
            <w:gridSpan w:val="4"/>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Noncontrolling interest distribution</w:t>
            </w:r>
          </w:p>
        </w:tc>
        <w:tc>
          <w:tcPr>
            <w:tcW w:w="580" w:type="dxa"/>
            <w:vAlign w:val="bottom"/>
            <w:gridSpan w:val="3"/>
            <w:shd w:val="clear" w:color="auto" w:fill="E6E6E6"/>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60" w:type="dxa"/>
            <w:vAlign w:val="bottom"/>
            <w:shd w:val="clear" w:color="auto" w:fill="E6E6E6"/>
          </w:tcPr>
          <w:p>
            <w:pPr>
              <w:spacing w:after="0"/>
              <w:rPr>
                <w:sz w:val="14"/>
                <w:szCs w:val="14"/>
                <w:color w:val="auto"/>
              </w:rPr>
            </w:pPr>
          </w:p>
        </w:tc>
        <w:tc>
          <w:tcPr>
            <w:tcW w:w="360" w:type="dxa"/>
            <w:vAlign w:val="bottom"/>
            <w:tcBorders>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Borders>
              <w:right w:val="single" w:sz="8" w:color="E6E6E6"/>
            </w:tcBorders>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5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60" w:type="dxa"/>
            <w:vAlign w:val="bottom"/>
            <w:shd w:val="clear" w:color="auto" w:fill="E6E6E6"/>
          </w:tcPr>
          <w:p>
            <w:pPr>
              <w:spacing w:after="0"/>
              <w:rPr>
                <w:sz w:val="14"/>
                <w:szCs w:val="14"/>
                <w:color w:val="auto"/>
              </w:rPr>
            </w:pPr>
          </w:p>
        </w:tc>
        <w:tc>
          <w:tcPr>
            <w:tcW w:w="54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90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480" w:type="dxa"/>
            <w:vAlign w:val="bottom"/>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380" w:type="dxa"/>
            <w:vAlign w:val="bottom"/>
            <w:gridSpan w:val="3"/>
            <w:shd w:val="clear" w:color="auto" w:fill="E6E6E6"/>
          </w:tcPr>
          <w:p>
            <w:pPr>
              <w:ind w:left="300"/>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Borders>
              <w:left w:val="single" w:sz="8" w:color="E6E6E6"/>
            </w:tcBorders>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60" w:type="dxa"/>
            <w:vAlign w:val="bottom"/>
            <w:tcBorders>
              <w:right w:val="single" w:sz="8" w:color="E6E6E6"/>
            </w:tcBorders>
            <w:gridSpan w:val="2"/>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(1,425)</w:t>
            </w:r>
          </w:p>
        </w:tc>
        <w:tc>
          <w:tcPr>
            <w:tcW w:w="4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c>
          <w:tcPr>
            <w:tcW w:w="720" w:type="dxa"/>
            <w:vAlign w:val="bottom"/>
            <w:gridSpan w:val="3"/>
            <w:shd w:val="clear" w:color="auto" w:fill="E6E6E6"/>
          </w:tcPr>
          <w:p>
            <w:pPr>
              <w:jc w:val="right"/>
              <w:ind w:right="20"/>
              <w:spacing w:after="0" w:line="169" w:lineRule="exact"/>
              <w:rPr>
                <w:sz w:val="20"/>
                <w:szCs w:val="20"/>
                <w:color w:val="auto"/>
              </w:rPr>
            </w:pPr>
            <w:r>
              <w:rPr>
                <w:rFonts w:ascii="Times New Roman" w:cs="Times New Roman" w:eastAsia="Times New Roman" w:hAnsi="Times New Roman"/>
                <w:sz w:val="15"/>
                <w:szCs w:val="15"/>
                <w:color w:val="auto"/>
              </w:rPr>
              <w:t>(1,425)</w:t>
            </w:r>
          </w:p>
        </w:tc>
        <w:tc>
          <w:tcPr>
            <w:tcW w:w="0" w:type="dxa"/>
            <w:vAlign w:val="bottom"/>
          </w:tcPr>
          <w:p>
            <w:pPr>
              <w:spacing w:after="0"/>
              <w:rPr>
                <w:sz w:val="1"/>
                <w:szCs w:val="1"/>
                <w:color w:val="auto"/>
              </w:rPr>
            </w:pPr>
          </w:p>
        </w:tc>
      </w:tr>
      <w:tr>
        <w:trPr>
          <w:trHeight w:val="155"/>
        </w:trPr>
        <w:tc>
          <w:tcPr>
            <w:tcW w:w="346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auto"/>
              </w:rPr>
              <w:t>Fair value of noncontrolling interest equity issued (See</w:t>
            </w:r>
          </w:p>
        </w:tc>
        <w:tc>
          <w:tcPr>
            <w:tcW w:w="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4,100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4,100</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5"/>
                <w:szCs w:val="15"/>
                <w:color w:val="auto"/>
              </w:rPr>
              <w:t>Note 14)</w:t>
            </w:r>
          </w:p>
        </w:tc>
        <w:tc>
          <w:tcPr>
            <w:tcW w:w="60" w:type="dxa"/>
            <w:vAlign w:val="bottom"/>
            <w:gridSpan w:val="3"/>
          </w:tcPr>
          <w:p>
            <w:pPr>
              <w:spacing w:after="0"/>
              <w:rPr>
                <w:sz w:val="15"/>
                <w:szCs w:val="15"/>
                <w:color w:val="auto"/>
              </w:rPr>
            </w:pPr>
          </w:p>
        </w:tc>
        <w:tc>
          <w:tcPr>
            <w:tcW w:w="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0" w:type="dxa"/>
            <w:vAlign w:val="bottom"/>
            <w:tcBorders>
              <w:top w:val="single" w:sz="8" w:color="E6E6E6"/>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Balance December 31, 2022</w:t>
            </w:r>
          </w:p>
        </w:tc>
        <w:tc>
          <w:tcPr>
            <w:tcW w:w="60" w:type="dxa"/>
            <w:vAlign w:val="bottom"/>
            <w:tcBorders>
              <w:top w:val="single" w:sz="8" w:color="auto"/>
            </w:tcBorders>
            <w:gridSpan w:val="3"/>
            <w:shd w:val="clear" w:color="auto" w:fill="E6E6E6"/>
          </w:tcPr>
          <w:p>
            <w:pPr>
              <w:spacing w:after="0"/>
              <w:rPr>
                <w:sz w:val="16"/>
                <w:szCs w:val="16"/>
                <w:color w:val="auto"/>
              </w:rPr>
            </w:pPr>
          </w:p>
        </w:tc>
        <w:tc>
          <w:tcPr>
            <w:tcW w:w="46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34,382</w:t>
            </w:r>
          </w:p>
        </w:tc>
        <w:tc>
          <w:tcPr>
            <w:tcW w:w="20" w:type="dxa"/>
            <w:vAlign w:val="bottom"/>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16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360" w:type="dxa"/>
            <w:vAlign w:val="bottom"/>
            <w:tcBorders>
              <w:top w:val="single" w:sz="8" w:color="auto"/>
              <w:right w:val="single" w:sz="8" w:color="E6E6E6"/>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344</w:t>
            </w:r>
          </w:p>
        </w:tc>
        <w:tc>
          <w:tcPr>
            <w:tcW w:w="40" w:type="dxa"/>
            <w:vAlign w:val="bottom"/>
            <w:tcBorders>
              <w:right w:val="single" w:sz="8" w:color="E6E6E6"/>
            </w:tcBorders>
          </w:tcPr>
          <w:p>
            <w:pPr>
              <w:spacing w:after="0"/>
              <w:rPr>
                <w:sz w:val="16"/>
                <w:szCs w:val="16"/>
                <w:color w:val="auto"/>
              </w:rPr>
            </w:pPr>
          </w:p>
        </w:tc>
        <w:tc>
          <w:tcPr>
            <w:tcW w:w="12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shd w:val="clear" w:color="auto" w:fill="E6E6E6"/>
              </w:rPr>
              <w:t>$</w:t>
            </w:r>
          </w:p>
        </w:tc>
        <w:tc>
          <w:tcPr>
            <w:tcW w:w="50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w w:val="98"/>
                <w:shd w:val="clear" w:color="auto" w:fill="E6E6E6"/>
              </w:rPr>
              <w:t>250,174</w:t>
            </w:r>
          </w:p>
        </w:tc>
        <w:tc>
          <w:tcPr>
            <w:tcW w:w="1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6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(19,298)</w:t>
            </w:r>
          </w:p>
        </w:tc>
        <w:tc>
          <w:tcPr>
            <w:tcW w:w="20" w:type="dxa"/>
            <w:vAlign w:val="bottom"/>
            <w:shd w:val="clear" w:color="auto" w:fill="E6E6E6"/>
          </w:tcPr>
          <w:p>
            <w:pPr>
              <w:spacing w:after="0"/>
              <w:rPr>
                <w:sz w:val="16"/>
                <w:szCs w:val="16"/>
                <w:color w:val="auto"/>
              </w:rPr>
            </w:pPr>
          </w:p>
        </w:tc>
        <w:tc>
          <w:tcPr>
            <w:tcW w:w="10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60" w:type="dxa"/>
            <w:vAlign w:val="bottom"/>
            <w:tcBorders>
              <w:top w:val="single" w:sz="8" w:color="auto"/>
            </w:tcBorders>
            <w:shd w:val="clear" w:color="auto" w:fill="E6E6E6"/>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(17,996)</w:t>
            </w:r>
          </w:p>
        </w:tc>
        <w:tc>
          <w:tcPr>
            <w:tcW w:w="20" w:type="dxa"/>
            <w:vAlign w:val="bottom"/>
            <w:shd w:val="clear" w:color="auto" w:fill="E6E6E6"/>
          </w:tcPr>
          <w:p>
            <w:pPr>
              <w:spacing w:after="0"/>
              <w:rPr>
                <w:sz w:val="16"/>
                <w:szCs w:val="16"/>
                <w:color w:val="auto"/>
              </w:rPr>
            </w:pPr>
          </w:p>
        </w:tc>
        <w:tc>
          <w:tcPr>
            <w:tcW w:w="8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48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right w:val="single" w:sz="8" w:color="E6E6E6"/>
            </w:tcBorders>
            <w:shd w:val="clear" w:color="auto" w:fill="E6E6E6"/>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shd w:val="clear" w:color="auto" w:fill="E6E6E6"/>
          </w:tcPr>
          <w:p>
            <w:pPr>
              <w:ind w:left="300"/>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gridSpan w:val="2"/>
            <w:shd w:val="clear" w:color="auto" w:fill="E6E6E6"/>
          </w:tcPr>
          <w:p>
            <w:pPr>
              <w:spacing w:after="0"/>
              <w:rPr>
                <w:sz w:val="16"/>
                <w:szCs w:val="16"/>
                <w:color w:val="auto"/>
              </w:rPr>
            </w:pPr>
          </w:p>
        </w:tc>
        <w:tc>
          <w:tcPr>
            <w:tcW w:w="40" w:type="dxa"/>
            <w:vAlign w:val="bottom"/>
            <w:tcBorders>
              <w:top w:val="single" w:sz="8" w:color="auto"/>
              <w:left w:val="single" w:sz="8" w:color="E6E6E6"/>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4,924</w:t>
            </w:r>
          </w:p>
        </w:tc>
        <w:tc>
          <w:tcPr>
            <w:tcW w:w="60" w:type="dxa"/>
            <w:vAlign w:val="bottom"/>
            <w:tcBorders>
              <w:right w:val="single" w:sz="8" w:color="E6E6E6"/>
            </w:tcBorders>
            <w:shd w:val="clear" w:color="auto" w:fill="E6E6E6"/>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shd w:val="clear" w:color="auto" w:fill="E6E6E6"/>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tcBorders>
            <w:shd w:val="clear" w:color="auto" w:fill="E6E6E6"/>
          </w:tcPr>
          <w:p>
            <w:pPr>
              <w:jc w:val="right"/>
              <w:spacing w:after="0" w:line="169" w:lineRule="exact"/>
              <w:rPr>
                <w:sz w:val="20"/>
                <w:szCs w:val="20"/>
                <w:color w:val="auto"/>
              </w:rPr>
            </w:pPr>
            <w:r>
              <w:rPr>
                <w:rFonts w:ascii="Times New Roman" w:cs="Times New Roman" w:eastAsia="Times New Roman" w:hAnsi="Times New Roman"/>
                <w:sz w:val="15"/>
                <w:szCs w:val="15"/>
                <w:color w:val="auto"/>
              </w:rPr>
              <w:t>218,148</w:t>
            </w:r>
          </w:p>
        </w:tc>
        <w:tc>
          <w:tcPr>
            <w:tcW w:w="20" w:type="dxa"/>
            <w:vAlign w:val="bottom"/>
            <w:shd w:val="clear" w:color="auto" w:fill="E6E6E6"/>
          </w:tcPr>
          <w:p>
            <w:pPr>
              <w:spacing w:after="0"/>
              <w:rPr>
                <w:sz w:val="16"/>
                <w:szCs w:val="16"/>
                <w:color w:val="auto"/>
              </w:rPr>
            </w:pPr>
          </w:p>
        </w:tc>
        <w:tc>
          <w:tcPr>
            <w:tcW w:w="40" w:type="dxa"/>
            <w:vAlign w:val="bottom"/>
            <w:tcBorders>
              <w:top w:val="single" w:sz="8" w:color="E6E6E6"/>
            </w:tcBorders>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-1978660</wp:posOffset>
                </wp:positionV>
                <wp:extent cx="2886075" cy="10731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6075" cy="107315"/>
                        </a:xfrm>
                        <a:prstGeom prst="rect">
                          <a:avLst/>
                        </a:prstGeom>
                        <a:solidFill>
                          <a:srgbClr val="E6E6E6"/>
                        </a:solidFill>
                      </wps:spPr>
                      <wps:bodyPr/>
                    </wps:wsp>
                  </a:graphicData>
                </a:graphic>
              </wp:anchor>
            </w:drawing>
          </mc:Choice>
          <mc:Fallback>
            <w:pict>
              <v:rect id="Shape 82" o:spid="_x0000_s1107" style="position:absolute;margin-left:0.4pt;margin-top:-155.7999pt;width:227.25pt;height: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2891155</wp:posOffset>
                </wp:positionH>
                <wp:positionV relativeFrom="paragraph">
                  <wp:posOffset>-1978660</wp:posOffset>
                </wp:positionV>
                <wp:extent cx="3834765" cy="10731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34765" cy="107315"/>
                        </a:xfrm>
                        <a:prstGeom prst="rect">
                          <a:avLst/>
                        </a:prstGeom>
                        <a:solidFill>
                          <a:srgbClr val="E6E6E6"/>
                        </a:solidFill>
                      </wps:spPr>
                      <wps:bodyPr/>
                    </wps:wsp>
                  </a:graphicData>
                </a:graphic>
              </wp:anchor>
            </w:drawing>
          </mc:Choice>
          <mc:Fallback>
            <w:pict>
              <v:rect id="Shape 83" o:spid="_x0000_s1108" style="position:absolute;margin-left:227.65pt;margin-top:-155.7999pt;width:301.95pt;height: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600"/>
          </w:cols>
          <w:pgMar w:left="820" w:top="1065" w:right="820" w:bottom="315"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ACCUMULATED OTHER COMPREHENSIVE LOSS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Translation</w:t>
            </w:r>
          </w:p>
        </w:tc>
        <w:tc>
          <w:tcPr>
            <w:tcW w:w="140" w:type="dxa"/>
            <w:vAlign w:val="bottom"/>
          </w:tcPr>
          <w:p>
            <w:pPr>
              <w:spacing w:after="0"/>
              <w:rPr>
                <w:sz w:val="16"/>
                <w:szCs w:val="16"/>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Minimum pension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liability adjustment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0" w:type="dxa"/>
            <w:vAlign w:val="bottom"/>
          </w:tcPr>
          <w:p>
            <w:pPr>
              <w:spacing w:after="0"/>
              <w:rPr>
                <w:sz w:val="1"/>
                <w:szCs w:val="1"/>
                <w:color w:val="auto"/>
              </w:rPr>
            </w:pPr>
          </w:p>
        </w:tc>
      </w:tr>
      <w:tr>
        <w:trPr>
          <w:trHeight w:val="215"/>
        </w:trPr>
        <w:tc>
          <w:tcPr>
            <w:tcW w:w="494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January 1, 2020</w:t>
            </w:r>
          </w:p>
        </w:tc>
        <w:tc>
          <w:tcPr>
            <w:tcW w:w="16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(8,076)</w:t>
            </w:r>
          </w:p>
        </w:tc>
        <w:tc>
          <w:tcPr>
            <w:tcW w:w="28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(6,429)</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(14,505)</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2020 activity</w:t>
            </w:r>
          </w:p>
        </w:tc>
        <w:tc>
          <w:tcPr>
            <w:tcW w:w="16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2,256</w:t>
            </w: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(2,247)</w:t>
            </w: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December 31, 2020</w:t>
            </w:r>
          </w:p>
        </w:tc>
        <w:tc>
          <w:tcPr>
            <w:tcW w:w="1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(5,820)</w:t>
            </w: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5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(8,676)</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5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(14,496)</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2021 activity</w:t>
            </w:r>
          </w:p>
        </w:tc>
        <w:tc>
          <w:tcPr>
            <w:tcW w:w="16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(538)</w:t>
            </w: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2,964</w:t>
            </w: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2,426</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December 31, 2021</w:t>
            </w:r>
          </w:p>
        </w:tc>
        <w:tc>
          <w:tcPr>
            <w:tcW w:w="16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2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(6,358)</w:t>
            </w:r>
          </w:p>
        </w:tc>
        <w:tc>
          <w:tcPr>
            <w:tcW w:w="2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5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(5,712)</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5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(12,070)</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2022 activity</w:t>
            </w:r>
          </w:p>
        </w:tc>
        <w:tc>
          <w:tcPr>
            <w:tcW w:w="160" w:type="dxa"/>
            <w:vAlign w:val="bottom"/>
            <w:tcBorders>
              <w:bottom w:val="single" w:sz="8" w:color="E6E6E6"/>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(5,635)</w:t>
            </w:r>
          </w:p>
        </w:tc>
        <w:tc>
          <w:tcPr>
            <w:tcW w:w="28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(291)</w:t>
            </w: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(5,926)</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December 31, 2022</w:t>
            </w:r>
          </w:p>
        </w:tc>
        <w:tc>
          <w:tcPr>
            <w:tcW w:w="160" w:type="dxa"/>
            <w:vAlign w:val="bottom"/>
            <w:shd w:val="clear" w:color="auto" w:fill="E6E6E6"/>
          </w:tcPr>
          <w:p>
            <w:pPr>
              <w:spacing w:after="0"/>
              <w:rPr>
                <w:sz w:val="18"/>
                <w:szCs w:val="18"/>
                <w:color w:val="auto"/>
              </w:rPr>
            </w:pPr>
          </w:p>
        </w:tc>
        <w:tc>
          <w:tcPr>
            <w:tcW w:w="200" w:type="dxa"/>
            <w:vAlign w:val="bottom"/>
            <w:tcBorders>
              <w:bottom w:val="single" w:sz="8" w:color="auto"/>
            </w:tcBorders>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(11,993)</w:t>
            </w:r>
          </w:p>
        </w:tc>
        <w:tc>
          <w:tcPr>
            <w:tcW w:w="280" w:type="dxa"/>
            <w:vAlign w:val="bottom"/>
            <w:shd w:val="clear" w:color="auto" w:fill="E6E6E6"/>
          </w:tcPr>
          <w:p>
            <w:pPr>
              <w:spacing w:after="0"/>
              <w:rPr>
                <w:sz w:val="18"/>
                <w:szCs w:val="18"/>
                <w:color w:val="auto"/>
              </w:rPr>
            </w:pPr>
          </w:p>
        </w:tc>
        <w:tc>
          <w:tcPr>
            <w:tcW w:w="14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(6,003)</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(17,996)</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600"/>
          </w:cols>
          <w:pgMar w:left="820" w:top="1065" w:right="820" w:bottom="315"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w w:val="99"/>
              </w:rPr>
              <w:t>Year Ended December 31,</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280" w:type="dxa"/>
            <w:vAlign w:val="bottom"/>
            <w:tcBorders>
              <w:bottom w:val="single" w:sz="8" w:color="E6E6E6"/>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E6E6E6"/>
            </w:tcBorders>
          </w:tcPr>
          <w:p>
            <w:pPr>
              <w:spacing w:after="0"/>
              <w:rPr>
                <w:sz w:val="14"/>
                <w:szCs w:val="14"/>
                <w:color w:val="auto"/>
              </w:rPr>
            </w:pPr>
          </w:p>
        </w:tc>
        <w:tc>
          <w:tcPr>
            <w:tcW w:w="80" w:type="dxa"/>
            <w:vAlign w:val="bottom"/>
            <w:tcBorders>
              <w:bottom w:val="single" w:sz="8" w:color="E6E6E6"/>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E6E6E6"/>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280" w:type="dxa"/>
            <w:vAlign w:val="bottom"/>
            <w:shd w:val="clear" w:color="auto" w:fill="E6E6E6"/>
          </w:tcPr>
          <w:p>
            <w:pPr>
              <w:spacing w:after="0" w:line="193"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18,263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1,983</w:t>
            </w:r>
          </w:p>
        </w:tc>
        <w:tc>
          <w:tcPr>
            <w:tcW w:w="260" w:type="dxa"/>
            <w:vAlign w:val="bottom"/>
          </w:tcPr>
          <w:p>
            <w:pPr>
              <w:spacing w:after="0"/>
              <w:rPr>
                <w:sz w:val="17"/>
                <w:szCs w:val="17"/>
                <w:color w:val="auto"/>
              </w:rPr>
            </w:pP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9,853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9,921</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400"/>
              <w:spacing w:after="0" w:line="203" w:lineRule="exact"/>
              <w:rPr>
                <w:sz w:val="20"/>
                <w:szCs w:val="20"/>
                <w:color w:val="auto"/>
              </w:rPr>
            </w:pPr>
            <w:r>
              <w:rPr>
                <w:rFonts w:ascii="Times New Roman" w:cs="Times New Roman" w:eastAsia="Times New Roman" w:hAnsi="Times New Roman"/>
                <w:sz w:val="18"/>
                <w:szCs w:val="18"/>
                <w:color w:val="auto"/>
              </w:rPr>
              <w:t>Unrealized foreign currency (gain) loss</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(1,284)</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2,047</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Impairment of intangible assets</w:t>
            </w:r>
          </w:p>
        </w:tc>
        <w:tc>
          <w:tcPr>
            <w:tcW w:w="280" w:type="dxa"/>
            <w:vAlign w:val="bottom"/>
          </w:tcPr>
          <w:p>
            <w:pPr>
              <w:spacing w:after="0"/>
              <w:rPr>
                <w:sz w:val="17"/>
                <w:szCs w:val="17"/>
                <w:color w:val="auto"/>
              </w:rPr>
            </w:pPr>
          </w:p>
        </w:tc>
        <w:tc>
          <w:tcPr>
            <w:tcW w:w="1120" w:type="dxa"/>
            <w:vAlign w:val="bottom"/>
            <w:gridSpan w:val="2"/>
          </w:tcPr>
          <w:p>
            <w:pPr>
              <w:jc w:val="right"/>
              <w:ind w:right="87"/>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400"/>
              <w:spacing w:after="0" w:line="203" w:lineRule="exact"/>
              <w:rPr>
                <w:sz w:val="20"/>
                <w:szCs w:val="20"/>
                <w:color w:val="auto"/>
              </w:rPr>
            </w:pPr>
            <w:r>
              <w:rPr>
                <w:rFonts w:ascii="Times New Roman" w:cs="Times New Roman" w:eastAsia="Times New Roman" w:hAnsi="Times New Roman"/>
                <w:sz w:val="18"/>
                <w:szCs w:val="18"/>
                <w:color w:val="auto"/>
              </w:rPr>
              <w:t>Fair value adjustments to earnout liabilities</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704</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Earnout payments</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(1,007)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400"/>
              <w:spacing w:after="0" w:line="203" w:lineRule="exact"/>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Amortization of debt discount</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400"/>
              <w:spacing w:after="0" w:line="203" w:lineRule="exact"/>
              <w:rPr>
                <w:sz w:val="20"/>
                <w:szCs w:val="20"/>
                <w:color w:val="auto"/>
              </w:rPr>
            </w:pPr>
            <w:r>
              <w:rPr>
                <w:rFonts w:ascii="Times New Roman" w:cs="Times New Roman" w:eastAsia="Times New Roman" w:hAnsi="Times New Roman"/>
                <w:sz w:val="18"/>
                <w:szCs w:val="18"/>
                <w:color w:val="auto"/>
              </w:rPr>
              <w:t>Share based compensation expense</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3,895</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3,335</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400"/>
              <w:spacing w:after="0" w:line="203" w:lineRule="exact"/>
              <w:rPr>
                <w:sz w:val="20"/>
                <w:szCs w:val="20"/>
                <w:color w:val="auto"/>
              </w:rPr>
            </w:pPr>
            <w:r>
              <w:rPr>
                <w:rFonts w:ascii="Times New Roman" w:cs="Times New Roman" w:eastAsia="Times New Roman" w:hAnsi="Times New Roman"/>
                <w:sz w:val="18"/>
                <w:szCs w:val="18"/>
                <w:color w:val="auto"/>
              </w:rPr>
              <w:t>Inventory reserve expense</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03"/>
        </w:trPr>
        <w:tc>
          <w:tcPr>
            <w:tcW w:w="6280" w:type="dxa"/>
            <w:vAlign w:val="bottom"/>
          </w:tcPr>
          <w:p>
            <w:pPr>
              <w:ind w:left="400"/>
              <w:spacing w:after="0" w:line="203" w:lineRule="exact"/>
              <w:rPr>
                <w:sz w:val="20"/>
                <w:szCs w:val="20"/>
                <w:color w:val="auto"/>
              </w:rPr>
            </w:pPr>
            <w:r>
              <w:rPr>
                <w:rFonts w:ascii="Times New Roman" w:cs="Times New Roman" w:eastAsia="Times New Roman" w:hAnsi="Times New Roman"/>
                <w:sz w:val="18"/>
                <w:szCs w:val="18"/>
                <w:color w:val="auto"/>
              </w:rPr>
              <w:t>Deferred income tax (benefit) expense</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spacing w:after="0" w:line="203" w:lineRule="exact"/>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(6,751)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(13,165)</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8,367</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Cost and estimated earnings of billings on uncompleted contracts</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(16,851)</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(7,007)</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(6,023)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5,911</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Deferred charges and other assets</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(4,095)</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22,536</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8,431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(17,635)</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w:t>
            </w:r>
          </w:p>
        </w:tc>
        <w:tc>
          <w:tcPr>
            <w:tcW w:w="16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w:t>
            </w:r>
          </w:p>
        </w:tc>
        <w:tc>
          <w:tcPr>
            <w:tcW w:w="2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(3,680)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3"/>
        </w:trPr>
        <w:tc>
          <w:tcPr>
            <w:tcW w:w="6280" w:type="dxa"/>
            <w:vAlign w:val="bottom"/>
            <w:tcBorders>
              <w:top w:val="single" w:sz="8" w:color="E6E6E6"/>
              <w:bottom w:val="single" w:sz="8" w:color="E6E6E6"/>
            </w:tcBorders>
            <w:shd w:val="clear" w:color="auto" w:fill="E6E6E6"/>
          </w:tcPr>
          <w:p>
            <w:pPr>
              <w:ind w:left="400"/>
              <w:spacing w:after="0" w:line="193"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29,649</w:t>
            </w:r>
          </w:p>
        </w:tc>
        <w:tc>
          <w:tcPr>
            <w:tcW w:w="160" w:type="dxa"/>
            <w:vAlign w:val="bottom"/>
            <w:tcBorders>
              <w:top w:val="single" w:sz="8" w:color="E6E6E6"/>
              <w:bottom w:val="single" w:sz="8" w:color="E6E6E6"/>
            </w:tcBorders>
            <w:shd w:val="clear" w:color="auto" w:fill="E6E6E6"/>
          </w:tcPr>
          <w:p>
            <w:pPr>
              <w:spacing w:after="0"/>
              <w:rPr>
                <w:sz w:val="18"/>
                <w:szCs w:val="18"/>
                <w:color w:val="auto"/>
              </w:rPr>
            </w:pPr>
          </w:p>
        </w:tc>
        <w:tc>
          <w:tcPr>
            <w:tcW w:w="80" w:type="dxa"/>
            <w:vAlign w:val="bottom"/>
            <w:tcBorders>
              <w:top w:val="single" w:sz="8" w:color="E6E6E6"/>
              <w:bottom w:val="single" w:sz="8" w:color="E6E6E6"/>
            </w:tcBorders>
            <w:shd w:val="clear" w:color="auto" w:fill="E6E6E6"/>
          </w:tcPr>
          <w:p>
            <w:pPr>
              <w:spacing w:after="0"/>
              <w:rPr>
                <w:sz w:val="18"/>
                <w:szCs w:val="18"/>
                <w:color w:val="auto"/>
              </w:rPr>
            </w:pPr>
          </w:p>
        </w:tc>
        <w:tc>
          <w:tcPr>
            <w:tcW w:w="28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13,298</w:t>
            </w:r>
          </w:p>
        </w:tc>
        <w:tc>
          <w:tcPr>
            <w:tcW w:w="260" w:type="dxa"/>
            <w:vAlign w:val="bottom"/>
            <w:tcBorders>
              <w:top w:val="single" w:sz="8" w:color="E6E6E6"/>
              <w:bottom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4,421</w:t>
            </w:r>
          </w:p>
        </w:tc>
        <w:tc>
          <w:tcPr>
            <w:tcW w:w="120" w:type="dxa"/>
            <w:vAlign w:val="bottom"/>
            <w:tcBorders>
              <w:top w:val="single" w:sz="8" w:color="E6E6E6"/>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Acquisitions of property and equipment</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(3,376)</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(2,616)</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Net proceeds from sale of assets</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(44,900)</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(5,895)</w:t>
            </w:r>
          </w:p>
        </w:tc>
        <w:tc>
          <w:tcPr>
            <w:tcW w:w="0" w:type="dxa"/>
            <w:vAlign w:val="bottom"/>
          </w:tcPr>
          <w:p>
            <w:pPr>
              <w:spacing w:after="0"/>
              <w:rPr>
                <w:sz w:val="1"/>
                <w:szCs w:val="1"/>
                <w:color w:val="auto"/>
              </w:rPr>
            </w:pPr>
          </w:p>
        </w:tc>
      </w:tr>
      <w:tr>
        <w:trPr>
          <w:trHeight w:val="193"/>
        </w:trPr>
        <w:tc>
          <w:tcPr>
            <w:tcW w:w="6280" w:type="dxa"/>
            <w:vAlign w:val="bottom"/>
            <w:tcBorders>
              <w:bottom w:val="single" w:sz="8" w:color="E6E6E6"/>
            </w:tcBorders>
          </w:tcPr>
          <w:p>
            <w:pPr>
              <w:ind w:left="400"/>
              <w:spacing w:after="0" w:line="19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(48,257)</w:t>
            </w:r>
          </w:p>
        </w:tc>
        <w:tc>
          <w:tcPr>
            <w:tcW w:w="160" w:type="dxa"/>
            <w:vAlign w:val="bottom"/>
            <w:tcBorders>
              <w:bottom w:val="single" w:sz="8" w:color="E6E6E6"/>
            </w:tcBorders>
          </w:tcPr>
          <w:p>
            <w:pPr>
              <w:spacing w:after="0"/>
              <w:rPr>
                <w:sz w:val="16"/>
                <w:szCs w:val="16"/>
                <w:color w:val="auto"/>
              </w:rPr>
            </w:pPr>
          </w:p>
        </w:tc>
        <w:tc>
          <w:tcPr>
            <w:tcW w:w="80" w:type="dxa"/>
            <w:vAlign w:val="bottom"/>
            <w:tcBorders>
              <w:bottom w:val="single" w:sz="8" w:color="E6E6E6"/>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(2,083)</w:t>
            </w:r>
          </w:p>
        </w:tc>
        <w:tc>
          <w:tcPr>
            <w:tcW w:w="260" w:type="dxa"/>
            <w:vAlign w:val="bottom"/>
            <w:tcBorders>
              <w:bottom w:val="single" w:sz="8" w:color="E6E6E6"/>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(9,235)</w:t>
            </w:r>
          </w:p>
        </w:tc>
        <w:tc>
          <w:tcPr>
            <w:tcW w:w="120" w:type="dxa"/>
            <w:vAlign w:val="bottom"/>
            <w:tcBorders>
              <w:bottom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280" w:type="dxa"/>
            <w:vAlign w:val="bottom"/>
            <w:shd w:val="clear" w:color="auto" w:fill="E6E6E6"/>
          </w:tcPr>
          <w:p>
            <w:pPr>
              <w:spacing w:after="0" w:line="19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Borrowings on revolving credit lines</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51,400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Repayments on revolving credit lines</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(35,900)</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(57,100)</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(86,800)</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Borrowings of long-term debt</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Repayments of long-term debt</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(3,120)</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(2,738)</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Repayments of notes payable</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Deferred financing fees paid</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(801)</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Payments on capital leases and sale-leaseback financing liability</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17"/>
                <w:szCs w:val="17"/>
                <w:color w:val="auto"/>
              </w:rPr>
            </w:pPr>
          </w:p>
        </w:tc>
        <w:tc>
          <w:tcPr>
            <w:tcW w:w="10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Earnout payments</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87"/>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(823)</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Proceeds from employee stock purchase plan and exercise of stock options</w:t>
            </w: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Distributions to non-controlling interest</w:t>
            </w:r>
          </w:p>
        </w:tc>
        <w:tc>
          <w:tcPr>
            <w:tcW w:w="280" w:type="dxa"/>
            <w:vAlign w:val="bottom"/>
            <w:shd w:val="clear" w:color="auto" w:fill="E6E6E6"/>
          </w:tcPr>
          <w:p>
            <w:pPr>
              <w:spacing w:after="0"/>
              <w:rPr>
                <w:sz w:val="17"/>
                <w:szCs w:val="17"/>
                <w:color w:val="auto"/>
              </w:rPr>
            </w:pPr>
          </w:p>
        </w:tc>
        <w:tc>
          <w:tcPr>
            <w:tcW w:w="1120" w:type="dxa"/>
            <w:vAlign w:val="bottom"/>
            <w:gridSpan w:val="2"/>
            <w:shd w:val="clear" w:color="auto" w:fill="E6E6E6"/>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(1,425)</w:t>
            </w:r>
          </w:p>
        </w:tc>
        <w:tc>
          <w:tcPr>
            <w:tcW w:w="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220" w:type="dxa"/>
            <w:vAlign w:val="bottom"/>
            <w:gridSpan w:val="2"/>
            <w:shd w:val="clear" w:color="auto" w:fill="E6E6E6"/>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280" w:type="dxa"/>
            <w:vAlign w:val="bottom"/>
          </w:tcPr>
          <w:p>
            <w:pPr>
              <w:ind w:left="200"/>
              <w:spacing w:after="0" w:line="203" w:lineRule="exact"/>
              <w:rPr>
                <w:sz w:val="20"/>
                <w:szCs w:val="20"/>
                <w:color w:val="auto"/>
              </w:rPr>
            </w:pPr>
            <w:r>
              <w:rPr>
                <w:rFonts w:ascii="Times New Roman" w:cs="Times New Roman" w:eastAsia="Times New Roman" w:hAnsi="Times New Roman"/>
                <w:sz w:val="18"/>
                <w:szCs w:val="18"/>
                <w:color w:val="auto"/>
              </w:rPr>
              <w:t>Common stock repurchases</w:t>
            </w:r>
          </w:p>
        </w:tc>
        <w:tc>
          <w:tcPr>
            <w:tcW w:w="280" w:type="dxa"/>
            <w:vAlign w:val="bottom"/>
          </w:tcPr>
          <w:p>
            <w:pPr>
              <w:spacing w:after="0"/>
              <w:rPr>
                <w:sz w:val="17"/>
                <w:szCs w:val="17"/>
                <w:color w:val="auto"/>
              </w:rPr>
            </w:pPr>
          </w:p>
        </w:tc>
        <w:tc>
          <w:tcPr>
            <w:tcW w:w="1120" w:type="dxa"/>
            <w:vAlign w:val="bottom"/>
            <w:gridSpan w:val="2"/>
          </w:tcPr>
          <w:p>
            <w:pPr>
              <w:jc w:val="right"/>
              <w:ind w:right="27"/>
              <w:spacing w:after="0" w:line="203" w:lineRule="exact"/>
              <w:rPr>
                <w:sz w:val="20"/>
                <w:szCs w:val="20"/>
                <w:color w:val="auto"/>
              </w:rPr>
            </w:pPr>
            <w:r>
              <w:rPr>
                <w:rFonts w:ascii="Times New Roman" w:cs="Times New Roman" w:eastAsia="Times New Roman" w:hAnsi="Times New Roman"/>
                <w:sz w:val="18"/>
                <w:szCs w:val="18"/>
                <w:color w:val="auto"/>
              </w:rPr>
              <w:t>(7,020)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(5,014)</w:t>
            </w:r>
          </w:p>
        </w:tc>
        <w:tc>
          <w:tcPr>
            <w:tcW w:w="260" w:type="dxa"/>
            <w:vAlign w:val="bottom"/>
          </w:tcPr>
          <w:p>
            <w:pPr>
              <w:spacing w:after="0"/>
              <w:rPr>
                <w:sz w:val="17"/>
                <w:szCs w:val="17"/>
                <w:color w:val="auto"/>
              </w:rPr>
            </w:pPr>
          </w:p>
        </w:tc>
        <w:tc>
          <w:tcPr>
            <w:tcW w:w="1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6280" w:type="dxa"/>
            <w:vAlign w:val="bottom"/>
            <w:tcBorders>
              <w:top w:val="single" w:sz="8" w:color="E6E6E6"/>
              <w:bottom w:val="single" w:sz="8" w:color="E6E6E6"/>
            </w:tcBorders>
            <w:shd w:val="clear" w:color="auto" w:fill="E6E6E6"/>
          </w:tcPr>
          <w:p>
            <w:pPr>
              <w:ind w:left="400"/>
              <w:spacing w:after="0" w:line="193"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38,176</w:t>
            </w:r>
          </w:p>
        </w:tc>
        <w:tc>
          <w:tcPr>
            <w:tcW w:w="160" w:type="dxa"/>
            <w:vAlign w:val="bottom"/>
            <w:tcBorders>
              <w:top w:val="single" w:sz="8" w:color="E6E6E6"/>
              <w:bottom w:val="single" w:sz="8" w:color="E6E6E6"/>
            </w:tcBorders>
            <w:shd w:val="clear" w:color="auto" w:fill="E6E6E6"/>
          </w:tcPr>
          <w:p>
            <w:pPr>
              <w:spacing w:after="0"/>
              <w:rPr>
                <w:sz w:val="18"/>
                <w:szCs w:val="18"/>
                <w:color w:val="auto"/>
              </w:rPr>
            </w:pPr>
          </w:p>
        </w:tc>
        <w:tc>
          <w:tcPr>
            <w:tcW w:w="80" w:type="dxa"/>
            <w:vAlign w:val="bottom"/>
            <w:tcBorders>
              <w:top w:val="single" w:sz="8" w:color="E6E6E6"/>
              <w:bottom w:val="single" w:sz="8" w:color="E6E6E6"/>
            </w:tcBorders>
            <w:shd w:val="clear" w:color="auto" w:fill="E6E6E6"/>
          </w:tcPr>
          <w:p>
            <w:pPr>
              <w:spacing w:after="0"/>
              <w:rPr>
                <w:sz w:val="18"/>
                <w:szCs w:val="18"/>
                <w:color w:val="auto"/>
              </w:rPr>
            </w:pPr>
          </w:p>
        </w:tc>
        <w:tc>
          <w:tcPr>
            <w:tcW w:w="28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(15,556)</w:t>
            </w:r>
          </w:p>
        </w:tc>
        <w:tc>
          <w:tcPr>
            <w:tcW w:w="260" w:type="dxa"/>
            <w:vAlign w:val="bottom"/>
            <w:tcBorders>
              <w:top w:val="single" w:sz="8" w:color="E6E6E6"/>
              <w:bottom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60" w:type="dxa"/>
            <w:vAlign w:val="bottom"/>
            <w:tcBorders>
              <w:top w:val="single" w:sz="8" w:color="auto"/>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3,724</w:t>
            </w:r>
          </w:p>
        </w:tc>
        <w:tc>
          <w:tcPr>
            <w:tcW w:w="120" w:type="dxa"/>
            <w:vAlign w:val="bottom"/>
            <w:tcBorders>
              <w:top w:val="single" w:sz="8" w:color="E6E6E6"/>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280" w:type="dxa"/>
            <w:vAlign w:val="bottom"/>
            <w:tcBorders>
              <w:bottom w:val="single" w:sz="8" w:color="E6E6E6"/>
            </w:tcBorders>
          </w:tcPr>
          <w:p>
            <w:pPr>
              <w:spacing w:after="0" w:line="173"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(4,978)</w:t>
            </w:r>
          </w:p>
        </w:tc>
        <w:tc>
          <w:tcPr>
            <w:tcW w:w="160" w:type="dxa"/>
            <w:vAlign w:val="bottom"/>
            <w:tcBorders>
              <w:bottom w:val="single" w:sz="8" w:color="E6E6E6"/>
            </w:tcBorders>
          </w:tcPr>
          <w:p>
            <w:pPr>
              <w:spacing w:after="0"/>
              <w:rPr>
                <w:sz w:val="15"/>
                <w:szCs w:val="15"/>
                <w:color w:val="auto"/>
              </w:rPr>
            </w:pPr>
          </w:p>
        </w:tc>
        <w:tc>
          <w:tcPr>
            <w:tcW w:w="80" w:type="dxa"/>
            <w:vAlign w:val="bottom"/>
            <w:tcBorders>
              <w:bottom w:val="single" w:sz="8" w:color="E6E6E6"/>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(1,475)</w:t>
            </w:r>
          </w:p>
        </w:tc>
        <w:tc>
          <w:tcPr>
            <w:tcW w:w="26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1,943</w:t>
            </w:r>
          </w:p>
        </w:tc>
        <w:tc>
          <w:tcPr>
            <w:tcW w:w="120" w:type="dxa"/>
            <w:vAlign w:val="bottom"/>
            <w:tcBorders>
              <w:bottom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280" w:type="dxa"/>
            <w:vAlign w:val="bottom"/>
            <w:shd w:val="clear" w:color="auto" w:fill="E6E6E6"/>
          </w:tcPr>
          <w:p>
            <w:pPr>
              <w:spacing w:after="0" w:line="193"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14,590</w:t>
            </w:r>
          </w:p>
        </w:tc>
        <w:tc>
          <w:tcPr>
            <w:tcW w:w="160" w:type="dxa"/>
            <w:vAlign w:val="bottom"/>
            <w:shd w:val="clear" w:color="auto" w:fill="E6E6E6"/>
          </w:tcPr>
          <w:p>
            <w:pPr>
              <w:spacing w:after="0"/>
              <w:rPr>
                <w:sz w:val="16"/>
                <w:szCs w:val="16"/>
                <w:color w:val="auto"/>
              </w:rPr>
            </w:pPr>
          </w:p>
        </w:tc>
        <w:tc>
          <w:tcPr>
            <w:tcW w:w="80" w:type="dxa"/>
            <w:vAlign w:val="bottom"/>
            <w:shd w:val="clear" w:color="auto" w:fill="E6E6E6"/>
          </w:tcPr>
          <w:p>
            <w:pPr>
              <w:spacing w:after="0"/>
              <w:rPr>
                <w:sz w:val="16"/>
                <w:szCs w:val="16"/>
                <w:color w:val="auto"/>
              </w:rPr>
            </w:pPr>
          </w:p>
        </w:tc>
        <w:tc>
          <w:tcPr>
            <w:tcW w:w="280" w:type="dxa"/>
            <w:vAlign w:val="bottom"/>
            <w:shd w:val="clear" w:color="auto" w:fill="E6E6E6"/>
          </w:tcPr>
          <w:p>
            <w:pPr>
              <w:spacing w:after="0"/>
              <w:rPr>
                <w:sz w:val="16"/>
                <w:szCs w:val="16"/>
                <w:color w:val="auto"/>
              </w:rPr>
            </w:pPr>
          </w:p>
        </w:tc>
        <w:tc>
          <w:tcPr>
            <w:tcW w:w="960" w:type="dxa"/>
            <w:vAlign w:val="bottom"/>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(5,816)</w:t>
            </w:r>
          </w:p>
        </w:tc>
        <w:tc>
          <w:tcPr>
            <w:tcW w:w="260" w:type="dxa"/>
            <w:vAlign w:val="bottom"/>
            <w:shd w:val="clear" w:color="auto" w:fill="E6E6E6"/>
          </w:tcPr>
          <w:p>
            <w:pPr>
              <w:spacing w:after="0"/>
              <w:rPr>
                <w:sz w:val="16"/>
                <w:szCs w:val="16"/>
                <w:color w:val="auto"/>
              </w:rPr>
            </w:pPr>
          </w:p>
        </w:tc>
        <w:tc>
          <w:tcPr>
            <w:tcW w:w="260" w:type="dxa"/>
            <w:vAlign w:val="bottom"/>
            <w:shd w:val="clear" w:color="auto" w:fill="E6E6E6"/>
          </w:tcPr>
          <w:p>
            <w:pPr>
              <w:spacing w:after="0"/>
              <w:rPr>
                <w:sz w:val="16"/>
                <w:szCs w:val="16"/>
                <w:color w:val="auto"/>
              </w:rPr>
            </w:pPr>
          </w:p>
        </w:tc>
        <w:tc>
          <w:tcPr>
            <w:tcW w:w="960" w:type="dxa"/>
            <w:vAlign w:val="bottom"/>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E6E6E6"/>
            </w:tcBorders>
          </w:tcPr>
          <w:p>
            <w:pPr>
              <w:spacing w:after="0" w:line="203"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31,995</w:t>
            </w:r>
          </w:p>
        </w:tc>
        <w:tc>
          <w:tcPr>
            <w:tcW w:w="160" w:type="dxa"/>
            <w:vAlign w:val="bottom"/>
            <w:tcBorders>
              <w:bottom w:val="single" w:sz="8" w:color="E6E6E6"/>
            </w:tcBorders>
          </w:tcPr>
          <w:p>
            <w:pPr>
              <w:spacing w:after="0"/>
              <w:rPr>
                <w:sz w:val="17"/>
                <w:szCs w:val="17"/>
                <w:color w:val="auto"/>
              </w:rPr>
            </w:pPr>
          </w:p>
        </w:tc>
        <w:tc>
          <w:tcPr>
            <w:tcW w:w="8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37,811</w:t>
            </w:r>
          </w:p>
        </w:tc>
        <w:tc>
          <w:tcPr>
            <w:tcW w:w="260" w:type="dxa"/>
            <w:vAlign w:val="bottom"/>
            <w:tcBorders>
              <w:bottom w:val="single" w:sz="8" w:color="E6E6E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36,958</w:t>
            </w:r>
          </w:p>
        </w:tc>
        <w:tc>
          <w:tcPr>
            <w:tcW w:w="1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80" w:type="dxa"/>
            <w:vAlign w:val="bottom"/>
            <w:tcBorders>
              <w:bottom w:val="single" w:sz="8" w:color="E6E6E6"/>
            </w:tcBorders>
            <w:shd w:val="clear" w:color="auto" w:fill="E6E6E6"/>
          </w:tcPr>
          <w:p>
            <w:pPr>
              <w:spacing w:after="0" w:line="193"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280" w:type="dxa"/>
            <w:vAlign w:val="bottom"/>
            <w:tcBorders>
              <w:bottom w:val="single" w:sz="8" w:color="auto"/>
            </w:tcBorders>
            <w:shd w:val="clear" w:color="auto" w:fill="E6E6E6"/>
          </w:tcPr>
          <w:p>
            <w:pPr>
              <w:jc w:val="right"/>
              <w:ind w:right="92"/>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46,585</w:t>
            </w:r>
          </w:p>
        </w:tc>
        <w:tc>
          <w:tcPr>
            <w:tcW w:w="160" w:type="dxa"/>
            <w:vAlign w:val="bottom"/>
            <w:tcBorders>
              <w:bottom w:val="single" w:sz="8" w:color="E6E6E6"/>
            </w:tcBorders>
            <w:shd w:val="clear" w:color="auto" w:fill="E6E6E6"/>
          </w:tcPr>
          <w:p>
            <w:pPr>
              <w:spacing w:after="0"/>
              <w:rPr>
                <w:sz w:val="18"/>
                <w:szCs w:val="18"/>
                <w:color w:val="auto"/>
              </w:rPr>
            </w:pPr>
          </w:p>
        </w:tc>
        <w:tc>
          <w:tcPr>
            <w:tcW w:w="80" w:type="dxa"/>
            <w:vAlign w:val="bottom"/>
            <w:tcBorders>
              <w:bottom w:val="single" w:sz="8" w:color="E6E6E6"/>
            </w:tcBorders>
            <w:shd w:val="clear" w:color="auto" w:fill="E6E6E6"/>
          </w:tcPr>
          <w:p>
            <w:pPr>
              <w:spacing w:after="0"/>
              <w:rPr>
                <w:sz w:val="18"/>
                <w:szCs w:val="18"/>
                <w:color w:val="auto"/>
              </w:rPr>
            </w:pPr>
          </w:p>
        </w:tc>
        <w:tc>
          <w:tcPr>
            <w:tcW w:w="280" w:type="dxa"/>
            <w:vAlign w:val="bottom"/>
            <w:tcBorders>
              <w:bottom w:val="single" w:sz="8" w:color="auto"/>
            </w:tcBorders>
            <w:shd w:val="clear" w:color="auto" w:fill="E6E6E6"/>
          </w:tcPr>
          <w:p>
            <w:pPr>
              <w:jc w:val="right"/>
              <w:ind w:right="92"/>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31,995</w:t>
            </w:r>
          </w:p>
        </w:tc>
        <w:tc>
          <w:tcPr>
            <w:tcW w:w="260" w:type="dxa"/>
            <w:vAlign w:val="bottom"/>
            <w:tcBorders>
              <w:bottom w:val="single" w:sz="8" w:color="E6E6E6"/>
            </w:tcBorders>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97"/>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E6E6E6"/>
          </w:tcPr>
          <w:p>
            <w:pPr>
              <w:jc w:val="right"/>
              <w:spacing w:after="0" w:line="193" w:lineRule="exact"/>
              <w:rPr>
                <w:sz w:val="20"/>
                <w:szCs w:val="20"/>
                <w:color w:val="auto"/>
              </w:rPr>
            </w:pPr>
            <w:r>
              <w:rPr>
                <w:rFonts w:ascii="Times New Roman" w:cs="Times New Roman" w:eastAsia="Times New Roman" w:hAnsi="Times New Roman"/>
                <w:sz w:val="18"/>
                <w:szCs w:val="18"/>
                <w:color w:val="auto"/>
              </w:rPr>
              <w:t>37,811</w:t>
            </w:r>
          </w:p>
        </w:tc>
        <w:tc>
          <w:tcPr>
            <w:tcW w:w="120" w:type="dxa"/>
            <w:vAlign w:val="bottom"/>
            <w:tcBorders>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(received) during the period for:</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E6E6E6"/>
          </w:tcPr>
          <w:p>
            <w:pPr>
              <w:ind w:left="200"/>
              <w:spacing w:after="0" w:line="203" w:lineRule="exact"/>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E6E6E6"/>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5,007</w:t>
            </w:r>
          </w:p>
        </w:tc>
        <w:tc>
          <w:tcPr>
            <w:tcW w:w="160" w:type="dxa"/>
            <w:vAlign w:val="bottom"/>
            <w:shd w:val="clear" w:color="auto" w:fill="E6E6E6"/>
          </w:tcPr>
          <w:p>
            <w:pPr>
              <w:spacing w:after="0"/>
              <w:rPr>
                <w:sz w:val="19"/>
                <w:szCs w:val="19"/>
                <w:color w:val="auto"/>
              </w:rPr>
            </w:pPr>
          </w:p>
        </w:tc>
        <w:tc>
          <w:tcPr>
            <w:tcW w:w="360" w:type="dxa"/>
            <w:vAlign w:val="bottom"/>
            <w:gridSpan w:val="2"/>
            <w:shd w:val="clear" w:color="auto" w:fill="E6E6E6"/>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E6E6E6"/>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w:t>
            </w:r>
          </w:p>
        </w:tc>
        <w:tc>
          <w:tcPr>
            <w:tcW w:w="260" w:type="dxa"/>
            <w:vAlign w:val="bottom"/>
            <w:shd w:val="clear" w:color="auto" w:fill="E6E6E6"/>
          </w:tcPr>
          <w:p>
            <w:pPr>
              <w:spacing w:after="0"/>
              <w:rPr>
                <w:sz w:val="19"/>
                <w:szCs w:val="19"/>
                <w:color w:val="auto"/>
              </w:rPr>
            </w:pPr>
          </w:p>
        </w:tc>
        <w:tc>
          <w:tcPr>
            <w:tcW w:w="260" w:type="dxa"/>
            <w:vAlign w:val="bottom"/>
            <w:shd w:val="clear" w:color="auto" w:fill="E6E6E6"/>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6E6E6"/>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3,172</w:t>
            </w:r>
          </w:p>
        </w:tc>
        <w:tc>
          <w:tcPr>
            <w:tcW w:w="0" w:type="dxa"/>
            <w:vAlign w:val="bottom"/>
          </w:tcPr>
          <w:p>
            <w:pPr>
              <w:spacing w:after="0"/>
              <w:rPr>
                <w:sz w:val="1"/>
                <w:szCs w:val="1"/>
                <w:color w:val="auto"/>
              </w:rPr>
            </w:pPr>
          </w:p>
        </w:tc>
      </w:tr>
      <w:tr>
        <w:trPr>
          <w:trHeight w:val="20"/>
        </w:trPr>
        <w:tc>
          <w:tcPr>
            <w:tcW w:w="6280" w:type="dxa"/>
            <w:vAlign w:val="bottom"/>
            <w:tcBorders>
              <w:top w:val="single" w:sz="8" w:color="E6E6E6"/>
              <w:bottom w:val="single" w:sz="8" w:color="E6E6E6"/>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6E6E6"/>
            </w:tcBorders>
          </w:tcPr>
          <w:p>
            <w:pPr>
              <w:spacing w:after="0" w:line="20" w:lineRule="exact"/>
              <w:rPr>
                <w:sz w:val="1"/>
                <w:szCs w:val="1"/>
                <w:color w:val="auto"/>
              </w:rPr>
            </w:pPr>
          </w:p>
        </w:tc>
        <w:tc>
          <w:tcPr>
            <w:tcW w:w="80" w:type="dxa"/>
            <w:vAlign w:val="bottom"/>
            <w:tcBorders>
              <w:top w:val="single" w:sz="8" w:color="E6E6E6"/>
              <w:bottom w:val="single" w:sz="8" w:color="E6E6E6"/>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6E6E6"/>
              <w:bottom w:val="single" w:sz="8" w:color="E6E6E6"/>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6E6E6"/>
              <w:bottom w:val="single" w:sz="8" w:color="E6E6E6"/>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28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92"/>
              <w:spacing w:after="0" w:line="16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5,378</w:t>
            </w:r>
          </w:p>
        </w:tc>
        <w:tc>
          <w:tcPr>
            <w:tcW w:w="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92"/>
              <w:spacing w:after="0" w:line="167"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(2,570)</w:t>
            </w:r>
          </w:p>
        </w:tc>
        <w:tc>
          <w:tcPr>
            <w:tcW w:w="26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97"/>
              <w:spacing w:after="0" w:line="167"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8"/>
                <w:szCs w:val="18"/>
                <w:color w:val="auto"/>
              </w:rPr>
              <w:t>2,156</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notes to consolidated financial statements are an integral part of the above statements.</w:t>
      </w:r>
    </w:p>
    <w:p>
      <w:pPr>
        <w:sectPr>
          <w:pgSz w:w="12240" w:h="15840" w:orient="portrait"/>
          <w:cols w:equalWidth="0" w:num="1">
            <w:col w:w="10600"/>
          </w:cols>
          <w:pgMar w:left="820" w:top="1065" w:right="820" w:bottom="3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600"/>
          </w:cols>
          <w:pgMar w:left="820" w:top="1065" w:right="820" w:bottom="315"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CECO ENVIRONMENTAL CORP.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w:t>
      </w:r>
    </w:p>
    <w:p>
      <w:pPr>
        <w:spacing w:after="0" w:line="200" w:lineRule="exact"/>
        <w:rPr>
          <w:sz w:val="20"/>
          <w:szCs w:val="20"/>
          <w:color w:val="auto"/>
        </w:rPr>
      </w:pPr>
    </w:p>
    <w:p>
      <w:pPr>
        <w:spacing w:after="0" w:line="269" w:lineRule="exact"/>
        <w:rPr>
          <w:sz w:val="20"/>
          <w:szCs w:val="20"/>
          <w:color w:val="auto"/>
        </w:rPr>
      </w:pPr>
    </w:p>
    <w:p>
      <w:pPr>
        <w:ind w:left="480" w:hanging="472"/>
        <w:spacing w:after="0"/>
        <w:tabs>
          <w:tab w:leader="none" w:pos="480"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Business and Summary of Significant Accounting Policies</w:t>
      </w:r>
    </w:p>
    <w:p>
      <w:pPr>
        <w:spacing w:after="0" w:line="23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i w:val="1"/>
          <w:iCs w:val="1"/>
          <w:color w:val="auto"/>
        </w:rPr>
        <w:t>Nature of business</w:t>
      </w:r>
      <w:r>
        <w:rPr>
          <w:rFonts w:ascii="Times New Roman" w:cs="Times New Roman" w:eastAsia="Times New Roman" w:hAnsi="Times New Roman"/>
          <w:sz w:val="20"/>
          <w:szCs w:val="20"/>
          <w:color w:val="auto"/>
        </w:rPr>
        <w:t>— CECO Environmental Corp. and its consolidated subsidiaries (“CECO,” the “Company,” “we,” “us,” or “our”)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203"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i w:val="1"/>
          <w:iCs w:val="1"/>
          <w:color w:val="auto"/>
        </w:rPr>
        <w:t>Principles of consolidation</w:t>
      </w:r>
      <w:r>
        <w:rPr>
          <w:rFonts w:ascii="Times New Roman" w:cs="Times New Roman" w:eastAsia="Times New Roman" w:hAnsi="Times New Roman"/>
          <w:sz w:val="20"/>
          <w:szCs w:val="20"/>
          <w:color w:val="auto"/>
        </w:rPr>
        <w:t>—The consolidated financial statements include the Company and its controlled subsidiaries.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intercompany balances and transactions have been eliminated.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Unless indicated, all balances within tables are in thousands except per share amounts.</w:t>
      </w:r>
    </w:p>
    <w:p>
      <w:pPr>
        <w:spacing w:after="0" w:line="23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i w:val="1"/>
          <w:iCs w:val="1"/>
          <w:color w:val="auto"/>
        </w:rPr>
        <w:t>Use of estimates</w:t>
      </w:r>
      <w:r>
        <w:rPr>
          <w:rFonts w:ascii="Times New Roman" w:cs="Times New Roman" w:eastAsia="Times New Roman" w:hAnsi="Times New Roman"/>
          <w:sz w:val="20"/>
          <w:szCs w:val="20"/>
          <w:color w:val="auto"/>
        </w:rPr>
        <w:t>—The preparation of financial statements in conformity with accounting principles generally accepted in the United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4"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9"/>
          <w:szCs w:val="19"/>
          <w:i w:val="1"/>
          <w:iCs w:val="1"/>
          <w:color w:val="auto"/>
        </w:rPr>
        <w:t>Cash equivalents</w:t>
      </w:r>
      <w:r>
        <w:rPr>
          <w:rFonts w:ascii="Times New Roman" w:cs="Times New Roman" w:eastAsia="Times New Roman" w:hAnsi="Times New Roman"/>
          <w:sz w:val="19"/>
          <w:szCs w:val="19"/>
          <w:color w:val="auto"/>
        </w:rPr>
        <w:t>—The Company considers all highly liquid investments with original maturities of three months or less to be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equivalents. At December 31, 2022 and 2021, Restricted Cash is cash in support of letters of credit issued by various foreign subsidiaries of the Company. The Company occasionally enters into letters of credit with durations in excess of one year.</w:t>
      </w:r>
    </w:p>
    <w:p>
      <w:pPr>
        <w:spacing w:after="0" w:line="17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cash, cash equivalents and restricted cash reported within the Consolidated Statements of Cash Flows.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53"/>
        </w:trPr>
        <w:tc>
          <w:tcPr>
            <w:tcW w:w="7540" w:type="dxa"/>
            <w:vAlign w:val="bottom"/>
            <w:tcBorders>
              <w:bottom w:val="single" w:sz="8" w:color="E6E6E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E6E6E6"/>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22"/>
                <w:szCs w:val="22"/>
                <w:color w:val="auto"/>
              </w:rPr>
            </w:pPr>
          </w:p>
        </w:tc>
      </w:tr>
      <w:tr>
        <w:trPr>
          <w:trHeight w:val="215"/>
        </w:trPr>
        <w:tc>
          <w:tcPr>
            <w:tcW w:w="7540" w:type="dxa"/>
            <w:vAlign w:val="bottom"/>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45,522</w:t>
            </w:r>
          </w:p>
        </w:tc>
        <w:tc>
          <w:tcPr>
            <w:tcW w:w="260" w:type="dxa"/>
            <w:vAlign w:val="bottom"/>
            <w:shd w:val="clear" w:color="auto" w:fill="E6E6E6"/>
          </w:tcPr>
          <w:p>
            <w:pPr>
              <w:spacing w:after="0"/>
              <w:rPr>
                <w:sz w:val="18"/>
                <w:szCs w:val="18"/>
                <w:color w:val="auto"/>
              </w:rPr>
            </w:pPr>
          </w:p>
        </w:tc>
        <w:tc>
          <w:tcPr>
            <w:tcW w:w="400" w:type="dxa"/>
            <w:vAlign w:val="bottom"/>
            <w:shd w:val="clear" w:color="auto" w:fill="E6E6E6"/>
          </w:tcPr>
          <w:p>
            <w:pPr>
              <w:jc w:val="right"/>
              <w:ind w:right="2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29,902</w:t>
            </w:r>
          </w:p>
        </w:tc>
        <w:tc>
          <w:tcPr>
            <w:tcW w:w="120" w:type="dxa"/>
            <w:vAlign w:val="bottom"/>
            <w:shd w:val="clear" w:color="auto" w:fill="E6E6E6"/>
          </w:tcPr>
          <w:p>
            <w:pPr>
              <w:spacing w:after="0"/>
              <w:rPr>
                <w:sz w:val="18"/>
                <w:szCs w:val="18"/>
                <w:color w:val="auto"/>
              </w:rPr>
            </w:pPr>
          </w:p>
        </w:tc>
      </w:tr>
      <w:tr>
        <w:trPr>
          <w:trHeight w:val="225"/>
        </w:trPr>
        <w:tc>
          <w:tcPr>
            <w:tcW w:w="7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1,063</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2,093</w:t>
            </w:r>
          </w:p>
        </w:tc>
      </w:tr>
      <w:tr>
        <w:trPr>
          <w:trHeight w:val="235"/>
        </w:trPr>
        <w:tc>
          <w:tcPr>
            <w:tcW w:w="7540" w:type="dxa"/>
            <w:vAlign w:val="bottom"/>
            <w:tcBorders>
              <w:top w:val="single" w:sz="8" w:color="E6E6E6"/>
              <w:bottom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cash, cash equivalents and restricted cash</w:t>
            </w: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46,585</w:t>
            </w:r>
          </w:p>
        </w:tc>
        <w:tc>
          <w:tcPr>
            <w:tcW w:w="260" w:type="dxa"/>
            <w:vAlign w:val="bottom"/>
            <w:tcBorders>
              <w:top w:val="single" w:sz="8" w:color="E6E6E6"/>
              <w:bottom w:val="single" w:sz="8" w:color="E6E6E6"/>
            </w:tcBorders>
            <w:shd w:val="clear" w:color="auto" w:fill="E6E6E6"/>
          </w:tcPr>
          <w:p>
            <w:pPr>
              <w:spacing w:after="0"/>
              <w:rPr>
                <w:sz w:val="20"/>
                <w:szCs w:val="20"/>
                <w:color w:val="auto"/>
              </w:rPr>
            </w:pPr>
          </w:p>
        </w:tc>
        <w:tc>
          <w:tcPr>
            <w:tcW w:w="400" w:type="dxa"/>
            <w:vAlign w:val="bottom"/>
            <w:tcBorders>
              <w:top w:val="single" w:sz="8" w:color="auto"/>
              <w:bottom w:val="single" w:sz="8" w:color="auto"/>
            </w:tcBorders>
            <w:shd w:val="clear" w:color="auto" w:fill="E6E6E6"/>
          </w:tcPr>
          <w:p>
            <w:pPr>
              <w:jc w:val="right"/>
              <w:ind w:right="2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31,995</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320"/>
        <w:spacing w:after="0" w:line="242" w:lineRule="auto"/>
        <w:rPr>
          <w:sz w:val="20"/>
          <w:szCs w:val="20"/>
          <w:color w:val="auto"/>
        </w:rPr>
      </w:pPr>
      <w:r>
        <w:rPr>
          <w:rFonts w:ascii="Times New Roman" w:cs="Times New Roman" w:eastAsia="Times New Roman" w:hAnsi="Times New Roman"/>
          <w:sz w:val="20"/>
          <w:szCs w:val="20"/>
          <w:i w:val="1"/>
          <w:iCs w:val="1"/>
          <w:color w:val="auto"/>
        </w:rPr>
        <w:t>Accounts receivable</w:t>
      </w:r>
      <w:r>
        <w:rPr>
          <w:rFonts w:ascii="Times New Roman" w:cs="Times New Roman" w:eastAsia="Times New Roman" w:hAnsi="Times New Roman"/>
          <w:sz w:val="20"/>
          <w:szCs w:val="20"/>
          <w:color w:val="auto"/>
        </w:rPr>
        <w:t>—Receivables are generally uncollateralized customer obligations due under normal terms requiring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generally within 30 days from the invoice date unless otherwise determined by specific contract terms, generally due to retainage provisions. The Company’s estimate of the allowance for credit losses for trade receivables is primarily determined based upon the length of time that the receivables are past due and management estimates of probable losses based upon an analysis of prior collection experience, specific account risks and economic conditions. Accounts are deemed uncollectible based on past account experience and the current financial condition of the account.</w:t>
      </w:r>
    </w:p>
    <w:p>
      <w:pPr>
        <w:spacing w:after="0" w:line="19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i w:val="1"/>
          <w:iCs w:val="1"/>
          <w:color w:val="auto"/>
        </w:rPr>
        <w:t>Inventories</w:t>
      </w:r>
      <w:r>
        <w:rPr>
          <w:rFonts w:ascii="Times New Roman" w:cs="Times New Roman" w:eastAsia="Times New Roman" w:hAnsi="Times New Roman"/>
          <w:sz w:val="20"/>
          <w:szCs w:val="20"/>
          <w:color w:val="auto"/>
        </w:rPr>
        <w:t>—The Company’s inventory is valued at the lower of cost or net realizable value, using the first-in, first-out inventory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costing method. 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94"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i w:val="1"/>
          <w:iCs w:val="1"/>
          <w:color w:val="auto"/>
        </w:rPr>
        <w:t>Property, plant and equipment</w:t>
      </w:r>
      <w:r>
        <w:rPr>
          <w:rFonts w:ascii="Times New Roman" w:cs="Times New Roman" w:eastAsia="Times New Roman" w:hAnsi="Times New Roman"/>
          <w:sz w:val="20"/>
          <w:szCs w:val="20"/>
          <w:color w:val="auto"/>
        </w:rPr>
        <w:t>—Property, plant and equipment are carried at the cost of acquisition or construction and depreciated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the estimated 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600"/>
          </w:cols>
          <w:pgMar w:left="820" w:top="1065" w:right="820" w:bottom="315" w:gutter="0" w:footer="0" w:header="0"/>
        </w:sectPr>
      </w:pPr>
    </w:p>
    <w:bookmarkStart w:id="69" w:name="page70"/>
    <w:bookmarkEnd w:id="69"/>
    <w:p>
      <w:pPr>
        <w:ind w:right="120"/>
        <w:spacing w:after="0" w:line="271" w:lineRule="auto"/>
        <w:rPr>
          <w:sz w:val="20"/>
          <w:szCs w:val="20"/>
          <w:color w:val="auto"/>
        </w:rPr>
      </w:pPr>
      <w:r>
        <w:rPr>
          <w:rFonts w:ascii="Times New Roman" w:cs="Times New Roman" w:eastAsia="Times New Roman" w:hAnsi="Times New Roman"/>
          <w:sz w:val="19"/>
          <w:szCs w:val="19"/>
          <w:i w:val="1"/>
          <w:iCs w:val="1"/>
          <w:color w:val="auto"/>
        </w:rPr>
        <w:t>Intangible assets</w:t>
      </w:r>
      <w:r>
        <w:rPr>
          <w:rFonts w:ascii="Times New Roman" w:cs="Times New Roman" w:eastAsia="Times New Roman" w:hAnsi="Times New Roman"/>
          <w:sz w:val="19"/>
          <w:szCs w:val="19"/>
          <w:color w:val="auto"/>
        </w:rPr>
        <w:t>— Indefinite life intangible assets are comprised of tradenames, while finite life intangible assets are comprised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technology, customer lists, and tradenames. Finite life intangible assets are amortized on a straight line or accelerated basis over their estimated useful lives of seven to 10 years for technology, five to 20 years for customer lists, and 10 years for tradenames.</w:t>
      </w:r>
    </w:p>
    <w:p>
      <w:pPr>
        <w:spacing w:after="0" w:line="17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9"/>
          <w:szCs w:val="19"/>
          <w:i w:val="1"/>
          <w:iCs w:val="1"/>
          <w:color w:val="auto"/>
        </w:rPr>
        <w:t>Long-lived assets</w:t>
      </w:r>
      <w:r>
        <w:rPr>
          <w:rFonts w:ascii="Times New Roman" w:cs="Times New Roman" w:eastAsia="Times New Roman" w:hAnsi="Times New Roman"/>
          <w:sz w:val="19"/>
          <w:szCs w:val="19"/>
          <w:color w:val="auto"/>
        </w:rPr>
        <w:t>—Property, plant and equipment and finite life intangible assets are reviewed whenever events or changes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circumstances occur that indicate possible impairment. If events or changes in circumstances occur that indicate possible impairment, the impairment review is based on an undiscounted cash flow analysis at the lowest level at which cash flows of the long-lived assets are largely independent of other groups of assets and liabilities. This analysis requires management judgment with respect to changes in technology, the continued success of product lines, and future volume, revenue and expense growth rates. The Company conducts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91"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9"/>
          <w:szCs w:val="19"/>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completes an annual (or more often if circumstances require) impairment assessment on October 1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the Company does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99"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0"/>
          <w:szCs w:val="20"/>
          <w:i w:val="1"/>
          <w:iCs w:val="1"/>
          <w:color w:val="auto"/>
        </w:rPr>
        <w:t>Goodwill</w:t>
      </w:r>
      <w:r>
        <w:rPr>
          <w:rFonts w:ascii="Times New Roman" w:cs="Times New Roman" w:eastAsia="Times New Roman" w:hAnsi="Times New Roman"/>
          <w:sz w:val="20"/>
          <w:szCs w:val="20"/>
          <w:color w:val="auto"/>
        </w:rPr>
        <w:t>—The Company completes an annual (or more often if circumstances require) impairment assessment on October 1 of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goodwill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i w:val="1"/>
          <w:iCs w:val="1"/>
          <w:color w:val="auto"/>
        </w:rPr>
        <w:t>Deferred financing costs</w:t>
      </w:r>
      <w:r>
        <w:rPr>
          <w:rFonts w:ascii="Times New Roman" w:cs="Times New Roman" w:eastAsia="Times New Roman" w:hAnsi="Times New Roman"/>
          <w:sz w:val="19"/>
          <w:szCs w:val="19"/>
          <w:color w:val="auto"/>
        </w:rPr>
        <w:t>—Deferred financing costs are amortized to interest expense over the life of the related loan. In fiscal 2021,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entered into Amendment No.2 to the Second Amended and Restated Credit Agreement (the “Credit Facility”).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Amortization expense was $0.4 million, $0.4 million and $0.4 million for 2022, 2021 and 2020, respectively. As of December 31, 2022, and 2021, remaining capitalized deferred financing costs of $1.5 million and $1.7 million, respectively, are included as a discount to debt in the accompanying Consolidated Balance Sheets.</w:t>
      </w:r>
    </w:p>
    <w:p>
      <w:pPr>
        <w:spacing w:after="0" w:line="188"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i w:val="1"/>
          <w:iCs w:val="1"/>
          <w:color w:val="auto"/>
        </w:rPr>
        <w:t>Revenue recognition</w:t>
      </w:r>
      <w:r>
        <w:rPr>
          <w:rFonts w:ascii="Times New Roman" w:cs="Times New Roman" w:eastAsia="Times New Roman" w:hAnsi="Times New Roman"/>
          <w:sz w:val="20"/>
          <w:szCs w:val="20"/>
          <w:color w:val="auto"/>
        </w:rPr>
        <w:t>—A significant portion of the Company's revenue is derived from fixed-price contracts. The Company accounts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a contract after it has been approved by all parties to the arrangement, the rights of the parties are identified, payment terms are identified, the contract has commercial substance and collectability of consideration is probable.</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For each contract, the Company assesses the goods and services promised to a customer and identify a performance obligation for each distinct promised good or service. The typical life of contracts is generally less than 12 months and each contract generally contains only one performance obligation, to provide goods or services to the customer. The Company determines the transaction price for each contract based on the consideration the Company expect to receive for the products or services being provided under the contract.</w:t>
      </w:r>
    </w:p>
    <w:p>
      <w:pPr>
        <w:spacing w:after="0" w:line="198"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9"/>
          <w:szCs w:val="19"/>
          <w:color w:val="auto"/>
        </w:rPr>
        <w:t>The Company recognizes revenue as performance obligations are satisfied and the customer obtains control of the products and services. A significant amount of the Company's revenue is recognized over a period of time as the Company performs under the contract because control of the work in process transfers continuously to the customer. For performance obligations to deliver products with continuous transfer of control to the customer, revenue is recognized based on the extent of progress towards</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F-10</w:t>
      </w:r>
    </w:p>
    <w:p>
      <w:pPr>
        <w:sectPr>
          <w:pgSz w:w="12240" w:h="15840" w:orient="portrait"/>
          <w:cols w:equalWidth="0" w:num="1">
            <w:col w:w="10580"/>
          </w:cols>
          <w:pgMar w:left="820" w:top="1069" w:right="840" w:bottom="315" w:gutter="0" w:footer="0" w:header="0"/>
        </w:sectPr>
      </w:pPr>
    </w:p>
    <w:bookmarkStart w:id="70" w:name="page71"/>
    <w:bookmarkEnd w:id="70"/>
    <w:p>
      <w:pPr>
        <w:jc w:val="both"/>
        <w:ind w:right="40"/>
        <w:spacing w:after="0" w:line="252" w:lineRule="auto"/>
        <w:rPr>
          <w:sz w:val="20"/>
          <w:szCs w:val="20"/>
          <w:color w:val="auto"/>
        </w:rPr>
      </w:pPr>
      <w:r>
        <w:rPr>
          <w:rFonts w:ascii="Times New Roman" w:cs="Times New Roman" w:eastAsia="Times New Roman" w:hAnsi="Times New Roman"/>
          <w:sz w:val="20"/>
          <w:szCs w:val="20"/>
          <w:color w:val="auto"/>
        </w:rPr>
        <w:t>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70% of total revenue.</w:t>
      </w:r>
    </w:p>
    <w:p>
      <w:pPr>
        <w:spacing w:after="0" w:line="187" w:lineRule="exact"/>
        <w:rPr>
          <w:sz w:val="20"/>
          <w:szCs w:val="20"/>
          <w:color w:val="auto"/>
        </w:rPr>
      </w:pPr>
    </w:p>
    <w:p>
      <w:pPr>
        <w:jc w:val="both"/>
        <w:ind w:right="560"/>
        <w:spacing w:after="0" w:line="252" w:lineRule="auto"/>
        <w:rPr>
          <w:sz w:val="20"/>
          <w:szCs w:val="20"/>
          <w:color w:val="auto"/>
        </w:rPr>
      </w:pPr>
      <w:r>
        <w:rPr>
          <w:rFonts w:ascii="Times New Roman" w:cs="Times New Roman" w:eastAsia="Times New Roman" w:hAnsi="Times New Roman"/>
          <w:sz w:val="20"/>
          <w:szCs w:val="20"/>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30% of total revenue.</w:t>
      </w:r>
    </w:p>
    <w:p>
      <w:pPr>
        <w:spacing w:after="0" w:line="18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i w:val="1"/>
          <w:iCs w:val="1"/>
          <w:color w:val="auto"/>
        </w:rPr>
        <w:t xml:space="preserve">Contract Assets and Contract Liabilities </w:t>
      </w:r>
      <w:r>
        <w:rPr>
          <w:rFonts w:ascii="Times New Roman" w:cs="Times New Roman" w:eastAsia="Times New Roman" w:hAnsi="Times New Roman"/>
          <w:sz w:val="20"/>
          <w:szCs w:val="20"/>
          <w:color w:val="auto"/>
        </w:rPr>
        <w:t>— Contract assets consist of costs and earnings in excess of billings, costs incurred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contracts recognized at a 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20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revenue streams within the Company are consistent with those disclosed for the Company's reportable segments. See Note 15 to the Consolidated Financial Statements for additional information on product offerings and segments.</w:t>
      </w:r>
    </w:p>
    <w:p>
      <w:pPr>
        <w:spacing w:after="0" w:line="1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2022 and 2021.</w:t>
      </w:r>
    </w:p>
    <w:p>
      <w:pPr>
        <w:spacing w:after="0" w:line="194"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i w:val="1"/>
          <w:iCs w:val="1"/>
          <w:color w:val="auto"/>
        </w:rPr>
        <w:t>Cost of sales</w:t>
      </w:r>
      <w:r>
        <w:rPr>
          <w:rFonts w:ascii="Times New Roman" w:cs="Times New Roman" w:eastAsia="Times New Roman" w:hAnsi="Times New Roman"/>
          <w:sz w:val="20"/>
          <w:szCs w:val="20"/>
          <w:color w:val="auto"/>
        </w:rPr>
        <w:t>—Cost of sales amounts include materials, subcontract costs, direct labor and associated benefits, inbound freight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charges, purchasing and receiving, inspection, warehousing, and depreciation.</w:t>
      </w:r>
    </w:p>
    <w:p>
      <w:pPr>
        <w:spacing w:after="0" w:line="17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i w:val="1"/>
          <w:iCs w:val="1"/>
          <w:color w:val="auto"/>
        </w:rPr>
        <w:t>Claims</w:t>
      </w:r>
      <w:r>
        <w:rPr>
          <w:rFonts w:ascii="Times New Roman" w:cs="Times New Roman" w:eastAsia="Times New Roman" w:hAnsi="Times New Roman"/>
          <w:sz w:val="20"/>
          <w:szCs w:val="20"/>
          <w:color w:val="auto"/>
        </w:rPr>
        <w:t>—Change orders arise when the scope of the original project is modified for any of a variety of reasons. The Company will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negotiate the extent of the modifications, its expected costs and recovery with the customer. Costs related to change orders are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9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8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ectPr>
          <w:pgSz w:w="12240" w:h="15840" w:orient="portrait"/>
          <w:cols w:equalWidth="0" w:num="1">
            <w:col w:w="10560"/>
          </w:cols>
          <w:pgMar w:left="820" w:top="1069" w:right="86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560"/>
          </w:cols>
          <w:pgMar w:left="820" w:top="1069" w:right="860" w:bottom="326" w:gutter="0" w:footer="0" w:header="0"/>
          <w:type w:val="continuous"/>
        </w:sectPr>
      </w:pPr>
    </w:p>
    <w:bookmarkStart w:id="71" w:name="page72"/>
    <w:bookmarkEnd w:id="71"/>
    <w:p>
      <w:pPr>
        <w:ind w:right="120"/>
        <w:spacing w:after="0" w:line="252" w:lineRule="auto"/>
        <w:rPr>
          <w:sz w:val="20"/>
          <w:szCs w:val="20"/>
          <w:color w:val="auto"/>
        </w:rPr>
      </w:pPr>
      <w:r>
        <w:rPr>
          <w:rFonts w:ascii="Times New Roman" w:cs="Times New Roman" w:eastAsia="Times New Roman" w:hAnsi="Times New Roman"/>
          <w:sz w:val="20"/>
          <w:szCs w:val="20"/>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i w:val="1"/>
          <w:iCs w:val="1"/>
          <w:color w:val="auto"/>
        </w:rPr>
        <w:t>Pre-contract costs</w:t>
      </w:r>
      <w:r>
        <w:rPr>
          <w:rFonts w:ascii="Times New Roman" w:cs="Times New Roman" w:eastAsia="Times New Roman" w:hAnsi="Times New Roman"/>
          <w:sz w:val="20"/>
          <w:szCs w:val="20"/>
          <w:color w:val="auto"/>
        </w:rPr>
        <w:t>—Pre-contract costs are not significant and are primarily internal costs. As most of the Company’s contracts are one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 or less, the Company expenses all pre-contract costs as incurred regardless of whether or not the bids are successful. A majority of the Company's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98" w:lineRule="exact"/>
        <w:rPr>
          <w:sz w:val="20"/>
          <w:szCs w:val="20"/>
          <w:color w:val="auto"/>
        </w:rPr>
      </w:pPr>
    </w:p>
    <w:p>
      <w:pPr>
        <w:jc w:val="both"/>
        <w:ind w:right="240"/>
        <w:spacing w:after="0" w:line="252" w:lineRule="auto"/>
        <w:rPr>
          <w:sz w:val="20"/>
          <w:szCs w:val="20"/>
          <w:color w:val="auto"/>
        </w:rPr>
      </w:pPr>
      <w:r>
        <w:rPr>
          <w:rFonts w:ascii="Times New Roman" w:cs="Times New Roman" w:eastAsia="Times New Roman" w:hAnsi="Times New Roman"/>
          <w:sz w:val="20"/>
          <w:szCs w:val="20"/>
          <w:i w:val="1"/>
          <w:iCs w:val="1"/>
          <w:color w:val="auto"/>
        </w:rPr>
        <w:t>Selling and administrative expenses</w:t>
      </w:r>
      <w:r>
        <w:rPr>
          <w:rFonts w:ascii="Times New Roman" w:cs="Times New Roman" w:eastAsia="Times New Roman" w:hAnsi="Times New Roman"/>
          <w:sz w:val="20"/>
          <w:szCs w:val="20"/>
          <w:color w:val="auto"/>
        </w:rPr>
        <w:t>—Selling and administrative expenses on the Consolidated Statements of Income include sales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administrative wages and associated benefits, selling and office expenses, professional fees, bad debt expense and depreciation. Selling and administrative expenses are charged to expense as incurred.</w:t>
      </w:r>
    </w:p>
    <w:p>
      <w:pPr>
        <w:spacing w:after="0" w:line="187"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i w:val="1"/>
          <w:iCs w:val="1"/>
          <w:color w:val="auto"/>
        </w:rPr>
        <w:t>Acquisition and integration expenses</w:t>
      </w:r>
      <w:r>
        <w:rPr>
          <w:rFonts w:ascii="Times New Roman" w:cs="Times New Roman" w:eastAsia="Times New Roman" w:hAnsi="Times New Roman"/>
          <w:sz w:val="20"/>
          <w:szCs w:val="20"/>
          <w:color w:val="auto"/>
        </w:rPr>
        <w:t>—Acquisition and integration expenses on the Consolidated Statements of Income are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acquisition activities, which include, legal, accounting, and other expenses.</w:t>
      </w:r>
    </w:p>
    <w:p>
      <w:pPr>
        <w:spacing w:after="0" w:line="170" w:lineRule="exact"/>
        <w:rPr>
          <w:sz w:val="20"/>
          <w:szCs w:val="20"/>
          <w:color w:val="auto"/>
        </w:rPr>
      </w:pPr>
    </w:p>
    <w:p>
      <w:pPr>
        <w:ind w:right="840"/>
        <w:spacing w:after="0" w:line="296" w:lineRule="auto"/>
        <w:rPr>
          <w:sz w:val="20"/>
          <w:szCs w:val="20"/>
          <w:color w:val="auto"/>
        </w:rPr>
      </w:pPr>
      <w:r>
        <w:rPr>
          <w:rFonts w:ascii="Times New Roman" w:cs="Times New Roman" w:eastAsia="Times New Roman" w:hAnsi="Times New Roman"/>
          <w:sz w:val="19"/>
          <w:szCs w:val="19"/>
          <w:i w:val="1"/>
          <w:iCs w:val="1"/>
          <w:color w:val="auto"/>
        </w:rPr>
        <w:t>Amortization and earnout expenses</w:t>
      </w:r>
      <w:r>
        <w:rPr>
          <w:rFonts w:ascii="Times New Roman" w:cs="Times New Roman" w:eastAsia="Times New Roman" w:hAnsi="Times New Roman"/>
          <w:sz w:val="19"/>
          <w:szCs w:val="19"/>
          <w:color w:val="auto"/>
        </w:rPr>
        <w:t>—Amortization and earnout expenses on the Consolidated Statements of Income include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amortization of intangible assets, and changes to earnout and contingent compensation amounts related to acquisitions.</w:t>
      </w:r>
    </w:p>
    <w:p>
      <w:pPr>
        <w:spacing w:after="0" w:line="14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i w:val="1"/>
          <w:iCs w:val="1"/>
          <w:color w:val="auto"/>
        </w:rPr>
        <w:t>Restructuring expenses</w:t>
      </w:r>
      <w:r>
        <w:rPr>
          <w:rFonts w:ascii="Times New Roman" w:cs="Times New Roman" w:eastAsia="Times New Roman" w:hAnsi="Times New Roman"/>
          <w:sz w:val="20"/>
          <w:szCs w:val="20"/>
          <w:color w:val="auto"/>
        </w:rPr>
        <w:t>—Restructuring expenses on the Consolidated Statements of Income include expenses related to an ongoing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restructuring program 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94"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i w:val="1"/>
          <w:iCs w:val="1"/>
          <w:color w:val="auto"/>
        </w:rPr>
        <w:t>Executive transition expenses</w:t>
      </w:r>
      <w:r>
        <w:rPr>
          <w:rFonts w:ascii="Times New Roman" w:cs="Times New Roman" w:eastAsia="Times New Roman" w:hAnsi="Times New Roman"/>
          <w:sz w:val="20"/>
          <w:szCs w:val="20"/>
          <w:color w:val="auto"/>
        </w:rPr>
        <w:t>—Executive transition expenses on the Consolidated Statements of Income include expenses related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severance for the Company’s former executives, as well as fees and expenses incurred in the search for, and hiring of, new executives.</w:t>
      </w:r>
    </w:p>
    <w:p>
      <w:pPr>
        <w:spacing w:after="0" w:line="187"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9"/>
          <w:szCs w:val="19"/>
          <w:i w:val="1"/>
          <w:iCs w:val="1"/>
          <w:color w:val="auto"/>
        </w:rPr>
        <w:t>Product Warranties</w:t>
      </w:r>
      <w:r>
        <w:rPr>
          <w:rFonts w:ascii="Times New Roman" w:cs="Times New Roman" w:eastAsia="Times New Roman" w:hAnsi="Times New Roman"/>
          <w:sz w:val="19"/>
          <w:szCs w:val="19"/>
          <w:color w:val="auto"/>
        </w:rPr>
        <w:t>—The Company’s warranty reserve is to cover the products sold. The warranty accrual is based on historical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claims information. The warranty reserve is reviewed and adjusted as necessary on a quarterly basis and is presented within Note 7.</w:t>
      </w:r>
    </w:p>
    <w:p>
      <w:pPr>
        <w:spacing w:after="0" w:line="147"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—Although not technically defined as research and development, a significant amount of time, effort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expense is devoted to (a) custom engineering which qualifies products for specific customer applications, (b) developing proprietary process technology and (c) partnering with customers to develop new products.</w:t>
      </w:r>
    </w:p>
    <w:p>
      <w:pPr>
        <w:spacing w:after="0" w:line="18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Income taxes - </w:t>
      </w:r>
      <w:r>
        <w:rPr>
          <w:rFonts w:ascii="Times New Roman" w:cs="Times New Roman" w:eastAsia="Times New Roman" w:hAnsi="Times New Roman"/>
          <w:sz w:val="20"/>
          <w:szCs w:val="20"/>
          <w:color w:val="auto"/>
        </w:rPr>
        <w:t>Income taxes are determined using the asset and liability method of accounting for income taxes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Accounting Standards Board (“FASB”), Accounting Standards Codification (“ASC”) Topic 740, “Income Taxes”. Income tax expense includes federal, state and foreign income taxes.</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4"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20"/>
          <w:szCs w:val="20"/>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9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580"/>
          </w:cols>
          <w:pgMar w:left="820" w:top="1069" w:right="840" w:bottom="315" w:gutter="0" w:footer="0" w:header="0"/>
        </w:sectPr>
      </w:pPr>
    </w:p>
    <w:bookmarkStart w:id="72" w:name="page73"/>
    <w:bookmarkEnd w:id="72"/>
    <w:p>
      <w:pPr>
        <w:ind w:right="320"/>
        <w:spacing w:after="0" w:line="269" w:lineRule="auto"/>
        <w:rPr>
          <w:sz w:val="20"/>
          <w:szCs w:val="20"/>
          <w:color w:val="auto"/>
        </w:rPr>
      </w:pPr>
      <w:r>
        <w:rPr>
          <w:rFonts w:ascii="Times New Roman" w:cs="Times New Roman" w:eastAsia="Times New Roman" w:hAnsi="Times New Roman"/>
          <w:sz w:val="20"/>
          <w:szCs w:val="20"/>
          <w:color w:val="auto"/>
        </w:rPr>
        <w:t>assessment. The amount of the deferred tax assets considered realizable, however, could be reduced in the near term if estimates of future taxable income during the carryforward period are reduced.</w:t>
      </w:r>
    </w:p>
    <w:p>
      <w:pPr>
        <w:spacing w:after="0" w:line="170" w:lineRule="exact"/>
        <w:rPr>
          <w:sz w:val="20"/>
          <w:szCs w:val="20"/>
          <w:color w:val="auto"/>
        </w:rPr>
      </w:pPr>
    </w:p>
    <w:p>
      <w:pPr>
        <w:ind w:right="420"/>
        <w:spacing w:after="0" w:line="252" w:lineRule="auto"/>
        <w:rPr>
          <w:sz w:val="20"/>
          <w:szCs w:val="20"/>
          <w:color w:val="auto"/>
        </w:rPr>
      </w:pPr>
      <w:r>
        <w:rPr>
          <w:rFonts w:ascii="Times New Roman" w:cs="Times New Roman" w:eastAsia="Times New Roman" w:hAnsi="Times New Roman"/>
          <w:sz w:val="20"/>
          <w:szCs w:val="20"/>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i w:val="1"/>
          <w:iCs w:val="1"/>
          <w:color w:val="auto"/>
        </w:rPr>
        <w:t>Earnings per share</w:t>
      </w:r>
      <w:r>
        <w:rPr>
          <w:rFonts w:ascii="Times New Roman" w:cs="Times New Roman" w:eastAsia="Times New Roman" w:hAnsi="Times New Roman"/>
          <w:sz w:val="20"/>
          <w:szCs w:val="20"/>
          <w:color w:val="auto"/>
        </w:rPr>
        <w:t>—The following table reconciles the numerators and denominators used to calculate basic and diluted earnings per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 for 2022, 2021 and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auto"/>
              </w:rPr>
              <w:t>For the Year Ended December 31</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(table only in thousands)</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rPr>
              <w:t>2021</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2"/>
              <w:spacing w:after="0" w:line="215" w:lineRule="exact"/>
              <w:rPr>
                <w:sz w:val="20"/>
                <w:szCs w:val="20"/>
                <w:color w:val="auto"/>
              </w:rPr>
            </w:pPr>
            <w:r>
              <w:rPr>
                <w:rFonts w:ascii="Times New Roman" w:cs="Times New Roman" w:eastAsia="Times New Roman" w:hAnsi="Times New Roman"/>
                <w:sz w:val="20"/>
                <w:szCs w:val="20"/>
                <w:b w:val="1"/>
                <w:bCs w:val="1"/>
                <w:color w:val="auto"/>
                <w:w w:val="94"/>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Numerator </w:t>
            </w:r>
            <w:r>
              <w:rPr>
                <w:rFonts w:ascii="Times New Roman" w:cs="Times New Roman" w:eastAsia="Times New Roman" w:hAnsi="Times New Roman"/>
                <w:sz w:val="20"/>
                <w:szCs w:val="20"/>
                <w:color w:val="auto"/>
              </w:rPr>
              <w:t>(for basic and diluted earnings per share)</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540" w:type="dxa"/>
            <w:vAlign w:val="bottom"/>
            <w:gridSpan w:val="2"/>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17,417</w:t>
            </w:r>
          </w:p>
        </w:tc>
        <w:tc>
          <w:tcPr>
            <w:tcW w:w="520" w:type="dxa"/>
            <w:vAlign w:val="bottom"/>
            <w:gridSpan w:val="2"/>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E6E6E6"/>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1,426</w:t>
            </w:r>
          </w:p>
        </w:tc>
        <w:tc>
          <w:tcPr>
            <w:tcW w:w="480" w:type="dxa"/>
            <w:vAlign w:val="bottom"/>
            <w:shd w:val="clear" w:color="auto" w:fill="E6E6E6"/>
          </w:tcPr>
          <w:p>
            <w:pPr>
              <w:jc w:val="right"/>
              <w:ind w:right="28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8,211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Denominator</w:t>
            </w:r>
          </w:p>
        </w:tc>
        <w:tc>
          <w:tcPr>
            <w:tcW w:w="24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480" w:type="dxa"/>
            <w:vAlign w:val="bottom"/>
            <w:shd w:val="clear" w:color="auto" w:fill="E6E6E6"/>
          </w:tcPr>
          <w:p>
            <w:pPr>
              <w:spacing w:after="0"/>
              <w:rPr>
                <w:sz w:val="19"/>
                <w:szCs w:val="19"/>
                <w:color w:val="auto"/>
              </w:rPr>
            </w:pPr>
          </w:p>
        </w:tc>
        <w:tc>
          <w:tcPr>
            <w:tcW w:w="90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Basic weighted-average shares outstanding</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34,672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35,346</w:t>
            </w:r>
          </w:p>
        </w:tc>
        <w:tc>
          <w:tcPr>
            <w:tcW w:w="480" w:type="dxa"/>
            <w:vAlign w:val="bottom"/>
          </w:tcPr>
          <w:p>
            <w:pPr>
              <w:spacing w:after="0"/>
              <w:rPr>
                <w:sz w:val="19"/>
                <w:szCs w:val="19"/>
                <w:color w:val="auto"/>
              </w:rPr>
            </w:pPr>
          </w:p>
        </w:tc>
        <w:tc>
          <w:tcPr>
            <w:tcW w:w="10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35,290</w:t>
            </w:r>
          </w:p>
        </w:tc>
        <w:tc>
          <w:tcPr>
            <w:tcW w:w="0" w:type="dxa"/>
            <w:vAlign w:val="bottom"/>
          </w:tcPr>
          <w:p>
            <w:pPr>
              <w:spacing w:after="0"/>
              <w:rPr>
                <w:sz w:val="1"/>
                <w:szCs w:val="1"/>
                <w:color w:val="auto"/>
              </w:rPr>
            </w:pPr>
          </w:p>
        </w:tc>
      </w:tr>
      <w:tr>
        <w:trPr>
          <w:trHeight w:val="206"/>
        </w:trPr>
        <w:tc>
          <w:tcPr>
            <w:tcW w:w="5600" w:type="dxa"/>
            <w:vAlign w:val="bottom"/>
            <w:shd w:val="clear" w:color="auto" w:fill="E6E6E6"/>
          </w:tcPr>
          <w:p>
            <w:pPr>
              <w:spacing w:after="0" w:line="206" w:lineRule="exact"/>
              <w:rPr>
                <w:sz w:val="20"/>
                <w:szCs w:val="20"/>
                <w:color w:val="auto"/>
              </w:rPr>
            </w:pPr>
            <w:r>
              <w:rPr>
                <w:rFonts w:ascii="Times New Roman" w:cs="Times New Roman" w:eastAsia="Times New Roman" w:hAnsi="Times New Roman"/>
                <w:sz w:val="20"/>
                <w:szCs w:val="20"/>
                <w:color w:val="auto"/>
              </w:rPr>
              <w:t>Common stock equivalents arising from stock options and restricted</w:t>
            </w:r>
          </w:p>
        </w:tc>
        <w:tc>
          <w:tcPr>
            <w:tcW w:w="2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100" w:type="dxa"/>
            <w:vAlign w:val="bottom"/>
            <w:gridSpan w:val="2"/>
            <w:vMerge w:val="restart"/>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333</w:t>
            </w:r>
          </w:p>
        </w:tc>
        <w:tc>
          <w:tcPr>
            <w:tcW w:w="2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340" w:type="dxa"/>
            <w:vAlign w:val="bottom"/>
            <w:gridSpan w:val="2"/>
            <w:vMerge w:val="restart"/>
            <w:shd w:val="clear" w:color="auto" w:fill="E6E6E6"/>
          </w:tcPr>
          <w:p>
            <w:pPr>
              <w:jc w:val="right"/>
              <w:ind w:right="240"/>
              <w:spacing w:after="0"/>
              <w:rPr>
                <w:sz w:val="20"/>
                <w:szCs w:val="20"/>
                <w:color w:val="auto"/>
              </w:rPr>
            </w:pPr>
            <w:r>
              <w:rPr>
                <w:rFonts w:ascii="Times New Roman" w:cs="Times New Roman" w:eastAsia="Times New Roman" w:hAnsi="Times New Roman"/>
                <w:sz w:val="20"/>
                <w:szCs w:val="20"/>
                <w:color w:val="auto"/>
              </w:rPr>
              <w:t>249</w:t>
            </w:r>
          </w:p>
        </w:tc>
        <w:tc>
          <w:tcPr>
            <w:tcW w:w="480" w:type="dxa"/>
            <w:vAlign w:val="bottom"/>
            <w:shd w:val="clear" w:color="auto" w:fill="E6E6E6"/>
          </w:tcPr>
          <w:p>
            <w:pPr>
              <w:spacing w:after="0"/>
              <w:rPr>
                <w:sz w:val="17"/>
                <w:szCs w:val="17"/>
                <w:color w:val="auto"/>
              </w:rPr>
            </w:pPr>
          </w:p>
        </w:tc>
        <w:tc>
          <w:tcPr>
            <w:tcW w:w="1020" w:type="dxa"/>
            <w:vAlign w:val="bottom"/>
            <w:gridSpan w:val="2"/>
            <w:vMerge w:val="restart"/>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45"/>
        </w:trPr>
        <w:tc>
          <w:tcPr>
            <w:tcW w:w="56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stock awards</w:t>
            </w:r>
          </w:p>
        </w:tc>
        <w:tc>
          <w:tcPr>
            <w:tcW w:w="24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100" w:type="dxa"/>
            <w:vAlign w:val="bottom"/>
            <w:gridSpan w:val="2"/>
            <w:vMerge w:val="continue"/>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300" w:type="dxa"/>
            <w:vAlign w:val="bottom"/>
            <w:shd w:val="clear" w:color="auto" w:fill="E6E6E6"/>
          </w:tcPr>
          <w:p>
            <w:pPr>
              <w:spacing w:after="0"/>
              <w:rPr>
                <w:sz w:val="21"/>
                <w:szCs w:val="21"/>
                <w:color w:val="auto"/>
              </w:rPr>
            </w:pPr>
          </w:p>
        </w:tc>
        <w:tc>
          <w:tcPr>
            <w:tcW w:w="1340" w:type="dxa"/>
            <w:vAlign w:val="bottom"/>
            <w:gridSpan w:val="2"/>
            <w:vMerge w:val="continue"/>
            <w:shd w:val="clear" w:color="auto" w:fill="E6E6E6"/>
          </w:tcPr>
          <w:p>
            <w:pPr>
              <w:spacing w:after="0"/>
              <w:rPr>
                <w:sz w:val="21"/>
                <w:szCs w:val="21"/>
                <w:color w:val="auto"/>
              </w:rPr>
            </w:pPr>
          </w:p>
        </w:tc>
        <w:tc>
          <w:tcPr>
            <w:tcW w:w="480" w:type="dxa"/>
            <w:vAlign w:val="bottom"/>
            <w:shd w:val="clear" w:color="auto" w:fill="E6E6E6"/>
          </w:tcPr>
          <w:p>
            <w:pPr>
              <w:spacing w:after="0"/>
              <w:rPr>
                <w:sz w:val="21"/>
                <w:szCs w:val="21"/>
                <w:color w:val="auto"/>
              </w:rPr>
            </w:pPr>
          </w:p>
        </w:tc>
        <w:tc>
          <w:tcPr>
            <w:tcW w:w="1020" w:type="dxa"/>
            <w:vAlign w:val="bottom"/>
            <w:gridSpan w:val="2"/>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Diluted weighted-average shares outstanding</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35,005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35,595</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35,521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Options and unvested restricted stock units are included in the computation of diluted earnings per share using the treasury stock method. For 2022, 2021 and 2020, outstanding options and unvested restricted stock units of 1.1 million, 1.8 million and 1.0 million, respectively, were excluded from the computation of diluted earnings per share due to their having an anti-dilutive effect.</w:t>
      </w:r>
    </w:p>
    <w:p>
      <w:pPr>
        <w:spacing w:after="0" w:line="18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Once a restricted stock award vests, it is included in the computation of weighted average shares outstanding for purposes of basic and diluted earnings per share.</w:t>
      </w:r>
    </w:p>
    <w:p>
      <w:pPr>
        <w:spacing w:after="0" w:line="17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i w:val="1"/>
          <w:iCs w:val="1"/>
          <w:color w:val="auto"/>
        </w:rPr>
        <w:t>Foreign Currency Translation</w:t>
      </w:r>
      <w:r>
        <w:rPr>
          <w:rFonts w:ascii="Times New Roman" w:cs="Times New Roman" w:eastAsia="Times New Roman" w:hAnsi="Times New Roman"/>
          <w:sz w:val="20"/>
          <w:szCs w:val="20"/>
          <w:color w:val="auto"/>
        </w:rPr>
        <w:t>—The functional currencies of the Company’s foreign subsidiaries are their local currencies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books and records are 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and expenses are translated into USD at average exchange rates in effect during the period.</w:t>
      </w:r>
    </w:p>
    <w:p>
      <w:pPr>
        <w:spacing w:after="0" w:line="231"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20"/>
          <w:szCs w:val="20"/>
          <w:color w:val="auto"/>
        </w:rPr>
        <w:t>Transactions denominated in other than the local currency are remeasured into the local currency and the resulting exchange gains or losses are included in “Other income (expense), net” line of the Consolidated Statements of Income. Transaction gains (losses) were $6.3 million, $(3.1) million and $1.3 million in 2022, 2021 and 2020,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Standards Adopted in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Standards to be Adopted</w:t>
      </w:r>
    </w:p>
    <w:p>
      <w:pPr>
        <w:spacing w:after="0" w:line="2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The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600"/>
          </w:cols>
          <w:pgMar w:left="820" w:top="1069" w:right="820" w:bottom="326" w:gutter="0" w:footer="0" w:header="0"/>
          <w:type w:val="continuous"/>
        </w:sectPr>
      </w:pPr>
    </w:p>
    <w:bookmarkStart w:id="73" w:name="page74"/>
    <w:bookmarkEnd w:id="73"/>
    <w:p>
      <w:pPr>
        <w:ind w:left="480" w:hanging="472"/>
        <w:spacing w:after="0"/>
        <w:tabs>
          <w:tab w:leader="none" w:pos="48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23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Company's financial instruments consist primarily of cash and cash equivalents, receivables and certain other assets, and accounts payable, which approximate fair value at December 31, 2022 and 2021, due to their short-term nature or variable, market-driven interest rates.</w:t>
      </w:r>
    </w:p>
    <w:p>
      <w:pPr>
        <w:spacing w:after="0" w:line="187"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The fair value of the debt issued under the Credit Facility and joint venture term loan was $112.7 million and $65.5 million at December 31, 2022 and 2021, respectively. The fair value was determined considering market conditions, credit worthiness and the current terms of debt, which is considered Level 2 on the fair value hierarchy.</w:t>
      </w:r>
    </w:p>
    <w:p>
      <w:pPr>
        <w:spacing w:after="0" w:line="187" w:lineRule="exact"/>
        <w:rPr>
          <w:sz w:val="20"/>
          <w:szCs w:val="20"/>
          <w:color w:val="auto"/>
        </w:rPr>
      </w:pPr>
    </w:p>
    <w:p>
      <w:pPr>
        <w:jc w:val="both"/>
        <w:ind w:right="420"/>
        <w:spacing w:after="0" w:line="252" w:lineRule="auto"/>
        <w:rPr>
          <w:sz w:val="20"/>
          <w:szCs w:val="20"/>
          <w:color w:val="auto"/>
        </w:rPr>
      </w:pPr>
      <w:r>
        <w:rPr>
          <w:rFonts w:ascii="Times New Roman" w:cs="Times New Roman" w:eastAsia="Times New Roman" w:hAnsi="Times New Roman"/>
          <w:sz w:val="20"/>
          <w:szCs w:val="20"/>
          <w:color w:val="auto"/>
        </w:rPr>
        <w:t>At December 31, 2022 and 2021, the Company had cash and cash equivalents of $45.5 million and $29.9 million, respectively, of which $31.7 million and $24.8 million, respectively, was held outside of the United States, principally in the Netherlands, United Kingdom, China, and Canada.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Concentrations of credit risk</w:t>
      </w:r>
    </w:p>
    <w:p>
      <w:pPr>
        <w:spacing w:after="0" w:line="2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Financial instruments that potentially subject us to credit risk consist principally of cash and cash equivalents, and accounts receivable. The Company maintains cash and cash equivalents with various major financial institutions. The Company perform periodic evaluations of the financial institutions in which its cash is invested. Concentrations of credit risk with respect to trade and contract receivables are limited due to the large number of customers and various geographic areas. Additionally, the Company performs ongoing credit evaluations of its customers’ financial condition.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w:t>
            </w:r>
          </w:p>
        </w:tc>
        <w:tc>
          <w:tcPr>
            <w:tcW w:w="5140" w:type="dxa"/>
            <w:vAlign w:val="bottom"/>
          </w:tcPr>
          <w:p>
            <w:pPr>
              <w:jc w:val="right"/>
              <w:ind w:right="3002"/>
              <w:spacing w:after="0"/>
              <w:rPr>
                <w:sz w:val="20"/>
                <w:szCs w:val="20"/>
                <w:color w:val="auto"/>
              </w:rPr>
            </w:pPr>
            <w:r>
              <w:rPr>
                <w:rFonts w:ascii="Times New Roman" w:cs="Times New Roman" w:eastAsia="Times New Roman" w:hAnsi="Times New Roman"/>
                <w:sz w:val="20"/>
                <w:szCs w:val="20"/>
                <w:b w:val="1"/>
                <w:bCs w:val="1"/>
                <w:color w:val="auto"/>
              </w:rPr>
              <w:t>Accounts Receivable</w:t>
            </w:r>
          </w:p>
        </w:tc>
        <w:tc>
          <w:tcPr>
            <w:tcW w:w="1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 consisted of the following:</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32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9"/>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6"/>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32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Contract receivables</w:t>
            </w:r>
          </w:p>
        </w:tc>
        <w:tc>
          <w:tcPr>
            <w:tcW w:w="1560" w:type="dxa"/>
            <w:vAlign w:val="bottom"/>
          </w:tcPr>
          <w:p>
            <w:pPr>
              <w:spacing w:after="0"/>
              <w:rPr>
                <w:sz w:val="18"/>
                <w:szCs w:val="18"/>
                <w:color w:val="auto"/>
              </w:rPr>
            </w:pPr>
          </w:p>
        </w:tc>
        <w:tc>
          <w:tcPr>
            <w:tcW w:w="380" w:type="dxa"/>
            <w:vAlign w:val="bottom"/>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71,363</w:t>
            </w:r>
          </w:p>
        </w:tc>
        <w:tc>
          <w:tcPr>
            <w:tcW w:w="260" w:type="dxa"/>
            <w:vAlign w:val="bottom"/>
          </w:tcPr>
          <w:p>
            <w:pPr>
              <w:spacing w:after="0"/>
              <w:rPr>
                <w:sz w:val="18"/>
                <w:szCs w:val="18"/>
                <w:color w:val="auto"/>
              </w:rPr>
            </w:pPr>
          </w:p>
        </w:tc>
        <w:tc>
          <w:tcPr>
            <w:tcW w:w="520" w:type="dxa"/>
            <w:vAlign w:val="bottom"/>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65,932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2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Trade receivables</w:t>
            </w:r>
          </w:p>
        </w:tc>
        <w:tc>
          <w:tcPr>
            <w:tcW w:w="15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15,943</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12,537</w:t>
            </w:r>
          </w:p>
        </w:tc>
        <w:tc>
          <w:tcPr>
            <w:tcW w:w="0" w:type="dxa"/>
            <w:vAlign w:val="bottom"/>
          </w:tcPr>
          <w:p>
            <w:pPr>
              <w:spacing w:after="0"/>
              <w:rPr>
                <w:sz w:val="1"/>
                <w:szCs w:val="1"/>
                <w:color w:val="auto"/>
              </w:rPr>
            </w:pPr>
          </w:p>
        </w:tc>
      </w:tr>
      <w:tr>
        <w:trPr>
          <w:trHeight w:val="225"/>
        </w:trPr>
        <w:tc>
          <w:tcPr>
            <w:tcW w:w="53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Allowance for credit losses</w:t>
            </w: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(4,220)</w:t>
            </w:r>
          </w:p>
        </w:tc>
        <w:tc>
          <w:tcPr>
            <w:tcW w:w="520" w:type="dxa"/>
            <w:vAlign w:val="bottom"/>
          </w:tcPr>
          <w:p>
            <w:pPr>
              <w:spacing w:after="0"/>
              <w:rPr>
                <w:sz w:val="19"/>
                <w:szCs w:val="19"/>
                <w:color w:val="auto"/>
              </w:rPr>
            </w:pPr>
          </w:p>
        </w:tc>
        <w:tc>
          <w:tcPr>
            <w:tcW w:w="12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(3,478)</w:t>
            </w:r>
          </w:p>
        </w:tc>
        <w:tc>
          <w:tcPr>
            <w:tcW w:w="0" w:type="dxa"/>
            <w:vAlign w:val="bottom"/>
          </w:tcPr>
          <w:p>
            <w:pPr>
              <w:spacing w:after="0"/>
              <w:rPr>
                <w:sz w:val="1"/>
                <w:szCs w:val="1"/>
                <w:color w:val="auto"/>
              </w:rPr>
            </w:pPr>
          </w:p>
        </w:tc>
      </w:tr>
      <w:tr>
        <w:trPr>
          <w:trHeight w:val="235"/>
        </w:trPr>
        <w:tc>
          <w:tcPr>
            <w:tcW w:w="180" w:type="dxa"/>
            <w:vAlign w:val="bottom"/>
            <w:tcBorders>
              <w:top w:val="single" w:sz="8" w:color="E6E6E6"/>
              <w:bottom w:val="single" w:sz="8" w:color="E6E6E6"/>
            </w:tcBorders>
            <w:shd w:val="clear" w:color="auto" w:fill="E6E6E6"/>
          </w:tcPr>
          <w:p>
            <w:pPr>
              <w:spacing w:after="0"/>
              <w:rPr>
                <w:sz w:val="20"/>
                <w:szCs w:val="20"/>
                <w:color w:val="auto"/>
              </w:rPr>
            </w:pPr>
          </w:p>
        </w:tc>
        <w:tc>
          <w:tcPr>
            <w:tcW w:w="5140" w:type="dxa"/>
            <w:vAlign w:val="bottom"/>
            <w:tcBorders>
              <w:top w:val="single" w:sz="8" w:color="E6E6E6"/>
              <w:bottom w:val="single" w:sz="8" w:color="E6E6E6"/>
            </w:tcBorders>
            <w:shd w:val="clear" w:color="auto" w:fill="E6E6E6"/>
          </w:tcPr>
          <w:p>
            <w:pPr>
              <w:jc w:val="right"/>
              <w:ind w:right="3022"/>
              <w:spacing w:after="0" w:line="215" w:lineRule="exact"/>
              <w:rPr>
                <w:sz w:val="20"/>
                <w:szCs w:val="20"/>
                <w:color w:val="auto"/>
              </w:rPr>
            </w:pPr>
            <w:r>
              <w:rPr>
                <w:rFonts w:ascii="Times New Roman" w:cs="Times New Roman" w:eastAsia="Times New Roman" w:hAnsi="Times New Roman"/>
                <w:sz w:val="20"/>
                <w:szCs w:val="20"/>
                <w:color w:val="auto"/>
                <w:w w:val="97"/>
              </w:rPr>
              <w:t>Total accounts receivable</w:t>
            </w:r>
          </w:p>
        </w:tc>
        <w:tc>
          <w:tcPr>
            <w:tcW w:w="1560" w:type="dxa"/>
            <w:vAlign w:val="bottom"/>
            <w:tcBorders>
              <w:top w:val="single" w:sz="8" w:color="E6E6E6"/>
              <w:bottom w:val="single" w:sz="8" w:color="E6E6E6"/>
            </w:tcBorders>
            <w:shd w:val="clear" w:color="auto" w:fill="E6E6E6"/>
          </w:tcPr>
          <w:p>
            <w:pPr>
              <w:spacing w:after="0"/>
              <w:rPr>
                <w:sz w:val="20"/>
                <w:szCs w:val="20"/>
                <w:color w:val="auto"/>
              </w:rPr>
            </w:pPr>
          </w:p>
        </w:tc>
        <w:tc>
          <w:tcPr>
            <w:tcW w:w="380" w:type="dxa"/>
            <w:vAlign w:val="bottom"/>
            <w:tcBorders>
              <w:top w:val="single" w:sz="8" w:color="auto"/>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83,086</w:t>
            </w:r>
          </w:p>
        </w:tc>
        <w:tc>
          <w:tcPr>
            <w:tcW w:w="260" w:type="dxa"/>
            <w:vAlign w:val="bottom"/>
            <w:tcBorders>
              <w:top w:val="single" w:sz="8" w:color="E6E6E6"/>
              <w:bottom w:val="single" w:sz="8" w:color="E6E6E6"/>
            </w:tcBorders>
            <w:shd w:val="clear" w:color="auto" w:fill="E6E6E6"/>
          </w:tcPr>
          <w:p>
            <w:pPr>
              <w:spacing w:after="0"/>
              <w:rPr>
                <w:sz w:val="20"/>
                <w:szCs w:val="20"/>
                <w:color w:val="auto"/>
              </w:rPr>
            </w:pPr>
          </w:p>
        </w:tc>
        <w:tc>
          <w:tcPr>
            <w:tcW w:w="520" w:type="dxa"/>
            <w:vAlign w:val="bottom"/>
            <w:tcBorders>
              <w:top w:val="single" w:sz="8" w:color="auto"/>
              <w:bottom w:val="single" w:sz="8" w:color="auto"/>
            </w:tcBorders>
            <w:shd w:val="clear" w:color="auto" w:fill="E6E6E6"/>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74,991</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Balances billed, but not paid by customers under retainage provisions in contracts, amounted to approximately $1.6 million and $1.8 million at December 31, 2022 and 2021, respectively.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94"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Provision for credit losses was $1.3 million, $0.7 million and $0.9 million during 2022, 2021 and 2020, respectively, while accounts charged to the allowance were $0.6 million, $0.3 million and $0.4 million during 2022, 2021 and 2020,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4.</w:t>
            </w:r>
          </w:p>
        </w:tc>
        <w:tc>
          <w:tcPr>
            <w:tcW w:w="67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Inventories</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Inventories consisted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8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Raw materials</w:t>
            </w:r>
          </w:p>
        </w:tc>
        <w:tc>
          <w:tcPr>
            <w:tcW w:w="20" w:type="dxa"/>
            <w:vAlign w:val="bottom"/>
          </w:tcPr>
          <w:p>
            <w:pPr>
              <w:spacing w:after="0"/>
              <w:rPr>
                <w:sz w:val="18"/>
                <w:szCs w:val="18"/>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19,774</w:t>
            </w:r>
          </w:p>
        </w:tc>
        <w:tc>
          <w:tcPr>
            <w:tcW w:w="260" w:type="dxa"/>
            <w:vAlign w:val="bottom"/>
          </w:tcPr>
          <w:p>
            <w:pPr>
              <w:spacing w:after="0"/>
              <w:rPr>
                <w:sz w:val="18"/>
                <w:szCs w:val="18"/>
                <w:color w:val="auto"/>
              </w:rPr>
            </w:pPr>
          </w:p>
        </w:tc>
        <w:tc>
          <w:tcPr>
            <w:tcW w:w="520" w:type="dxa"/>
            <w:vAlign w:val="bottom"/>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13,405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Work in process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7,183</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5,147</w:t>
            </w:r>
          </w:p>
        </w:tc>
        <w:tc>
          <w:tcPr>
            <w:tcW w:w="0" w:type="dxa"/>
            <w:vAlign w:val="bottom"/>
          </w:tcPr>
          <w:p>
            <w:pPr>
              <w:spacing w:after="0"/>
              <w:rPr>
                <w:sz w:val="1"/>
                <w:szCs w:val="1"/>
                <w:color w:val="auto"/>
              </w:rPr>
            </w:pPr>
          </w:p>
        </w:tc>
      </w:tr>
      <w:tr>
        <w:trPr>
          <w:trHeight w:val="225"/>
        </w:trPr>
        <w:tc>
          <w:tcPr>
            <w:tcW w:w="68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Finished goods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2,436</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674</w:t>
            </w:r>
          </w:p>
        </w:tc>
        <w:tc>
          <w:tcPr>
            <w:tcW w:w="0" w:type="dxa"/>
            <w:vAlign w:val="bottom"/>
          </w:tcPr>
          <w:p>
            <w:pPr>
              <w:spacing w:after="0"/>
              <w:rPr>
                <w:sz w:val="1"/>
                <w:szCs w:val="1"/>
                <w:color w:val="auto"/>
              </w:rPr>
            </w:pPr>
          </w:p>
        </w:tc>
      </w:tr>
      <w:tr>
        <w:trPr>
          <w:trHeight w:val="225"/>
        </w:trPr>
        <w:tc>
          <w:tcPr>
            <w:tcW w:w="688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Obsolescence allowance</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54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(2,867)</w:t>
            </w: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(2,174)</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7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Total inventories</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26,526</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17,052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20"/>
          <w:szCs w:val="20"/>
          <w:color w:val="auto"/>
        </w:rPr>
        <w:t>Amounts credited to the allowance for obsolete inventory and charged to cost of sales amounted to $0.1 million, $0.1 million and $0.5 million during 2022, 2021 and 2020, respectively. Items charged to the allowance for inventory write-offs were zero, $0.9 million and $0.1 million, during 2022, 2021 and 2020, respectively.</w:t>
      </w:r>
    </w:p>
    <w:p>
      <w:pPr>
        <w:sectPr>
          <w:pgSz w:w="12240" w:h="15840" w:orient="portrait"/>
          <w:cols w:equalWidth="0" w:num="1">
            <w:col w:w="10600"/>
          </w:cols>
          <w:pgMar w:left="820" w:top="1065"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600"/>
          </w:cols>
          <w:pgMar w:left="820" w:top="1065" w:right="820" w:bottom="326"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71"/>
        </w:trPr>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w:t>
            </w:r>
          </w:p>
        </w:tc>
        <w:tc>
          <w:tcPr>
            <w:tcW w:w="670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7"/>
        </w:trPr>
        <w:tc>
          <w:tcPr>
            <w:tcW w:w="6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 consisted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68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8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Land, building and improvements</w:t>
            </w:r>
          </w:p>
        </w:tc>
        <w:tc>
          <w:tcPr>
            <w:tcW w:w="20" w:type="dxa"/>
            <w:vAlign w:val="bottom"/>
          </w:tcPr>
          <w:p>
            <w:pPr>
              <w:spacing w:after="0"/>
              <w:rPr>
                <w:sz w:val="18"/>
                <w:szCs w:val="18"/>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center"/>
              <w:ind w:left="648"/>
              <w:spacing w:after="0" w:line="215" w:lineRule="exact"/>
              <w:rPr>
                <w:sz w:val="20"/>
                <w:szCs w:val="20"/>
                <w:color w:val="auto"/>
              </w:rPr>
            </w:pPr>
            <w:r>
              <w:rPr>
                <w:rFonts w:ascii="Times New Roman" w:cs="Times New Roman" w:eastAsia="Times New Roman" w:hAnsi="Times New Roman"/>
                <w:sz w:val="20"/>
                <w:szCs w:val="20"/>
                <w:color w:val="auto"/>
                <w:w w:val="98"/>
              </w:rPr>
              <w:t>11,986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3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Machinery and equipment</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center"/>
              <w:ind w:left="628"/>
              <w:spacing w:after="0" w:line="226" w:lineRule="exact"/>
              <w:rPr>
                <w:sz w:val="20"/>
                <w:szCs w:val="20"/>
                <w:color w:val="auto"/>
              </w:rPr>
            </w:pPr>
            <w:r>
              <w:rPr>
                <w:rFonts w:ascii="Times New Roman" w:cs="Times New Roman" w:eastAsia="Times New Roman" w:hAnsi="Times New Roman"/>
                <w:sz w:val="20"/>
                <w:szCs w:val="20"/>
                <w:color w:val="auto"/>
                <w:w w:val="98"/>
              </w:rPr>
              <w:t>33,521</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29,306</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7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Property, plant and equipment, gross</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left="648"/>
              <w:spacing w:after="0" w:line="215" w:lineRule="exact"/>
              <w:rPr>
                <w:sz w:val="20"/>
                <w:szCs w:val="20"/>
                <w:color w:val="auto"/>
              </w:rPr>
            </w:pPr>
            <w:r>
              <w:rPr>
                <w:rFonts w:ascii="Times New Roman" w:cs="Times New Roman" w:eastAsia="Times New Roman" w:hAnsi="Times New Roman"/>
                <w:sz w:val="20"/>
                <w:szCs w:val="20"/>
                <w:color w:val="auto"/>
                <w:w w:val="98"/>
              </w:rPr>
              <w:t>45,507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36,830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Less accumulated depreciation</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460" w:type="dxa"/>
            <w:vAlign w:val="bottom"/>
            <w:gridSpan w:val="3"/>
            <w:shd w:val="clear" w:color="auto" w:fill="E6E6E6"/>
          </w:tcPr>
          <w:p>
            <w:pPr>
              <w:jc w:val="center"/>
              <w:ind w:left="488"/>
              <w:spacing w:after="0" w:line="226" w:lineRule="exact"/>
              <w:rPr>
                <w:sz w:val="20"/>
                <w:szCs w:val="20"/>
                <w:color w:val="auto"/>
              </w:rPr>
            </w:pPr>
            <w:r>
              <w:rPr>
                <w:rFonts w:ascii="Times New Roman" w:cs="Times New Roman" w:eastAsia="Times New Roman" w:hAnsi="Times New Roman"/>
                <w:sz w:val="20"/>
                <w:szCs w:val="20"/>
                <w:color w:val="auto"/>
                <w:w w:val="99"/>
              </w:rPr>
              <w:t>(24,679)</w:t>
            </w:r>
          </w:p>
        </w:tc>
        <w:tc>
          <w:tcPr>
            <w:tcW w:w="10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(20,882)</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70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center"/>
              <w:ind w:left="648"/>
              <w:spacing w:after="0" w:line="215" w:lineRule="exact"/>
              <w:rPr>
                <w:sz w:val="20"/>
                <w:szCs w:val="20"/>
                <w:color w:val="auto"/>
              </w:rPr>
            </w:pPr>
            <w:r>
              <w:rPr>
                <w:rFonts w:ascii="Times New Roman" w:cs="Times New Roman" w:eastAsia="Times New Roman" w:hAnsi="Times New Roman"/>
                <w:sz w:val="20"/>
                <w:szCs w:val="20"/>
                <w:color w:val="auto"/>
                <w:w w:val="98"/>
              </w:rPr>
              <w:t>20,828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15,948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was $3.6 million, $3.2 million and $2.5 million for 2022, 2021 and 2020,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564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Goodwill and Intangible Assets</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7"/>
        </w:trPr>
        <w:tc>
          <w:tcPr>
            <w:tcW w:w="3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Industrial Process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3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Engineered Systems</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4"/>
              </w:rPr>
              <w:t>Solutions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Calibri" w:cs="Calibri" w:eastAsia="Calibri" w:hAnsi="Calibri"/>
                <w:sz w:val="16"/>
                <w:szCs w:val="16"/>
                <w:b w:val="1"/>
                <w:bCs w:val="1"/>
                <w:color w:val="auto"/>
                <w:w w:val="99"/>
              </w:rPr>
              <w:t>s</w:t>
            </w:r>
            <w:r>
              <w:rPr>
                <w:rFonts w:ascii="Times New Roman" w:cs="Times New Roman" w:eastAsia="Times New Roman" w:hAnsi="Times New Roman"/>
                <w:sz w:val="16"/>
                <w:szCs w:val="16"/>
                <w:b w:val="1"/>
                <w:bCs w:val="1"/>
                <w:color w:val="auto"/>
                <w:w w:val="99"/>
              </w:rPr>
              <w:t>egment</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15"/>
        </w:trPr>
        <w:tc>
          <w:tcPr>
            <w:tcW w:w="5960" w:type="dxa"/>
            <w:vAlign w:val="bottom"/>
            <w:tcBorders>
              <w:top w:val="single" w:sz="8" w:color="E6E6E6"/>
            </w:tcBorders>
            <w:gridSpan w:val="2"/>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of goodwill at December 31, 2020</w:t>
            </w:r>
          </w:p>
        </w:tc>
        <w:tc>
          <w:tcPr>
            <w:tcW w:w="2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auto"/>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99,785</w:t>
            </w:r>
          </w:p>
        </w:tc>
        <w:tc>
          <w:tcPr>
            <w:tcW w:w="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tcBorders>
            <w:shd w:val="clear" w:color="auto" w:fill="E6E6E6"/>
          </w:tcPr>
          <w:p>
            <w:pPr>
              <w:jc w:val="right"/>
              <w:ind w:right="49"/>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62,035</w:t>
            </w:r>
          </w:p>
        </w:tc>
        <w:tc>
          <w:tcPr>
            <w:tcW w:w="100" w:type="dxa"/>
            <w:vAlign w:val="bottom"/>
            <w:tcBorders>
              <w:top w:val="single" w:sz="8" w:color="E6E6E6"/>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jc w:val="right"/>
              <w:ind w:right="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161,820</w:t>
            </w: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5960" w:type="dxa"/>
            <w:vAlign w:val="bottom"/>
            <w:tcBorders>
              <w:bottom w:val="single" w:sz="8" w:color="E6E6E6"/>
            </w:tcBorders>
            <w:gridSpan w:val="2"/>
          </w:tcPr>
          <w:p>
            <w:pPr>
              <w:spacing w:after="0" w:line="226" w:lineRule="exact"/>
              <w:rPr>
                <w:sz w:val="20"/>
                <w:szCs w:val="20"/>
                <w:color w:val="auto"/>
              </w:rPr>
            </w:pPr>
            <w:r>
              <w:rPr>
                <w:rFonts w:ascii="Times New Roman" w:cs="Times New Roman" w:eastAsia="Times New Roman" w:hAnsi="Times New Roman"/>
                <w:sz w:val="20"/>
                <w:szCs w:val="20"/>
                <w:color w:val="auto"/>
              </w:rPr>
              <w:t>Foreign currency translation</w:t>
            </w:r>
          </w:p>
        </w:tc>
        <w:tc>
          <w:tcPr>
            <w:tcW w:w="20" w:type="dxa"/>
            <w:vAlign w:val="bottom"/>
            <w:tcBorders>
              <w:bottom w:val="single" w:sz="8" w:color="E6E6E6"/>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(482)</w:t>
            </w:r>
          </w:p>
        </w:tc>
        <w:tc>
          <w:tcPr>
            <w:tcW w:w="20" w:type="dxa"/>
            <w:vAlign w:val="bottom"/>
            <w:tcBorders>
              <w:bottom w:val="single" w:sz="8" w:color="E6E6E6"/>
            </w:tcBorders>
          </w:tcPr>
          <w:p>
            <w:pPr>
              <w:spacing w:after="0"/>
              <w:rPr>
                <w:sz w:val="19"/>
                <w:szCs w:val="19"/>
                <w:color w:val="auto"/>
              </w:rPr>
            </w:pPr>
          </w:p>
        </w:tc>
        <w:tc>
          <w:tcPr>
            <w:tcW w:w="8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(155)</w:t>
            </w:r>
          </w:p>
        </w:tc>
        <w:tc>
          <w:tcPr>
            <w:tcW w:w="100" w:type="dxa"/>
            <w:vAlign w:val="bottom"/>
            <w:tcBorders>
              <w:bottom w:val="single" w:sz="8" w:color="E6E6E6"/>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(637)</w:t>
            </w:r>
          </w:p>
        </w:tc>
        <w:tc>
          <w:tcPr>
            <w:tcW w:w="120" w:type="dxa"/>
            <w:vAlign w:val="bottom"/>
            <w:tcBorders>
              <w:bottom w:val="single" w:sz="8" w:color="E6E6E6"/>
            </w:tcBorders>
          </w:tcPr>
          <w:p>
            <w:pPr>
              <w:spacing w:after="0"/>
              <w:rPr>
                <w:sz w:val="19"/>
                <w:szCs w:val="19"/>
                <w:color w:val="auto"/>
              </w:rPr>
            </w:pPr>
          </w:p>
        </w:tc>
      </w:tr>
      <w:tr>
        <w:trPr>
          <w:trHeight w:val="215"/>
        </w:trPr>
        <w:tc>
          <w:tcPr>
            <w:tcW w:w="5960" w:type="dxa"/>
            <w:vAlign w:val="bottom"/>
            <w:gridSpan w:val="2"/>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of goodwill at December 31, 2021</w:t>
            </w: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11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99,303</w:t>
            </w:r>
          </w:p>
        </w:tc>
        <w:tc>
          <w:tcPr>
            <w:tcW w:w="2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61,880</w:t>
            </w:r>
          </w:p>
        </w:tc>
        <w:tc>
          <w:tcPr>
            <w:tcW w:w="10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80" w:type="dxa"/>
            <w:vAlign w:val="bottom"/>
            <w:shd w:val="clear" w:color="auto" w:fill="E6E6E6"/>
          </w:tcPr>
          <w:p>
            <w:pPr>
              <w:spacing w:after="0"/>
              <w:rPr>
                <w:sz w:val="18"/>
                <w:szCs w:val="18"/>
                <w:color w:val="auto"/>
              </w:rPr>
            </w:pP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161,183</w:t>
            </w:r>
          </w:p>
        </w:tc>
        <w:tc>
          <w:tcPr>
            <w:tcW w:w="120" w:type="dxa"/>
            <w:vAlign w:val="bottom"/>
            <w:shd w:val="clear" w:color="auto" w:fill="E6E6E6"/>
          </w:tcPr>
          <w:p>
            <w:pPr>
              <w:spacing w:after="0"/>
              <w:rPr>
                <w:sz w:val="18"/>
                <w:szCs w:val="18"/>
                <w:color w:val="auto"/>
              </w:rPr>
            </w:pPr>
          </w:p>
        </w:tc>
      </w:tr>
      <w:tr>
        <w:trPr>
          <w:trHeight w:val="225"/>
        </w:trPr>
        <w:tc>
          <w:tcPr>
            <w:tcW w:w="59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Acquisitions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15,968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23,312</w:t>
            </w:r>
          </w:p>
        </w:tc>
        <w:tc>
          <w:tcPr>
            <w:tcW w:w="120" w:type="dxa"/>
            <w:vAlign w:val="bottom"/>
          </w:tcPr>
          <w:p>
            <w:pPr>
              <w:spacing w:after="0"/>
              <w:rPr>
                <w:sz w:val="19"/>
                <w:szCs w:val="19"/>
                <w:color w:val="auto"/>
              </w:rPr>
            </w:pPr>
          </w:p>
        </w:tc>
      </w:tr>
      <w:tr>
        <w:trPr>
          <w:trHeight w:val="225"/>
        </w:trPr>
        <w:tc>
          <w:tcPr>
            <w:tcW w:w="596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Foreign currency translation</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200" w:type="dxa"/>
            <w:vAlign w:val="bottom"/>
            <w:gridSpan w:val="3"/>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(525)</w:t>
            </w:r>
          </w:p>
        </w:tc>
        <w:tc>
          <w:tcPr>
            <w:tcW w:w="1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(773)</w:t>
            </w:r>
          </w:p>
        </w:tc>
        <w:tc>
          <w:tcPr>
            <w:tcW w:w="14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(1,298)</w:t>
            </w:r>
          </w:p>
        </w:tc>
      </w:tr>
      <w:tr>
        <w:trPr>
          <w:trHeight w:val="215"/>
        </w:trPr>
        <w:tc>
          <w:tcPr>
            <w:tcW w:w="596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Balance of goodwill at December 31, 2022</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114,746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49"/>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68,451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183,197</w:t>
            </w:r>
          </w:p>
        </w:tc>
        <w:tc>
          <w:tcPr>
            <w:tcW w:w="120" w:type="dxa"/>
            <w:vAlign w:val="bottom"/>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5"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As of December 31, 2022 and 2021, the Company has an aggregate amount of goodwill acquired of $243.9 million and $221.9 million, respectively, and an aggregate amount of impairment losses of $60.7 million which was recognized in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indefinite lived intangible assets as of December 31, 2022 and 2021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4"/>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Tradenames</w:t>
            </w: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880" w:type="dxa"/>
            <w:vAlign w:val="bottom"/>
            <w:tcBorders>
              <w:bottom w:val="single" w:sz="8" w:color="E6E6E6"/>
            </w:tcBorders>
            <w:vMerge w:val="continue"/>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0"/>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6E6E6"/>
            </w:tcBorders>
          </w:tcPr>
          <w:p>
            <w:pPr>
              <w:spacing w:after="0"/>
              <w:rPr>
                <w:sz w:val="14"/>
                <w:szCs w:val="14"/>
                <w:color w:val="auto"/>
              </w:rPr>
            </w:pPr>
          </w:p>
        </w:tc>
        <w:tc>
          <w:tcPr>
            <w:tcW w:w="260" w:type="dxa"/>
            <w:vAlign w:val="bottom"/>
            <w:tcBorders>
              <w:bottom w:val="single" w:sz="8" w:color="E6E6E6"/>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6"/>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beginning of year</w:t>
            </w:r>
          </w:p>
        </w:tc>
        <w:tc>
          <w:tcPr>
            <w:tcW w:w="20" w:type="dxa"/>
            <w:vAlign w:val="bottom"/>
            <w:shd w:val="clear" w:color="auto" w:fill="E6E6E6"/>
          </w:tcPr>
          <w:p>
            <w:pPr>
              <w:spacing w:after="0"/>
              <w:rPr>
                <w:sz w:val="18"/>
                <w:szCs w:val="18"/>
                <w:color w:val="auto"/>
              </w:rPr>
            </w:pPr>
          </w:p>
        </w:tc>
        <w:tc>
          <w:tcPr>
            <w:tcW w:w="360" w:type="dxa"/>
            <w:vAlign w:val="bottom"/>
            <w:shd w:val="clear" w:color="auto" w:fill="E6E6E6"/>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9,629</w:t>
            </w: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480" w:type="dxa"/>
            <w:vAlign w:val="bottom"/>
            <w:shd w:val="clear" w:color="auto" w:fill="E6E6E6"/>
          </w:tcPr>
          <w:p>
            <w:pPr>
              <w:jc w:val="right"/>
              <w:ind w:right="2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12,937</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Transfer to finite life classification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Foreign currency adjustments</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560" w:type="dxa"/>
            <w:vAlign w:val="bottom"/>
            <w:gridSpan w:val="3"/>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(121)</w:t>
            </w:r>
          </w:p>
        </w:tc>
        <w:tc>
          <w:tcPr>
            <w:tcW w:w="48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15"/>
        </w:trPr>
        <w:tc>
          <w:tcPr>
            <w:tcW w:w="68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Balance end of year</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9,508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During 2021, the Company reassessed the useful lives of certain tradenames and determined that $3.2 million of tradenames would have useful lives of 10 years versus indefinite.</w:t>
      </w:r>
    </w:p>
    <w:p>
      <w:pPr>
        <w:spacing w:after="0" w:line="17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Company completes an annual (or more often if circumstances require) impairment assessment of its goodwill and indefinite life intangible assets on October 1 at the reporting unit level.</w:t>
      </w:r>
    </w:p>
    <w:p>
      <w:pPr>
        <w:spacing w:after="0" w:line="17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0"/>
          <w:szCs w:val="20"/>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the Company's reporting units exceeded their carrying value as of October 1, 2022. There was no goodwill impairment in 2022, 2021 and 2020.</w:t>
      </w:r>
    </w:p>
    <w:p>
      <w:pPr>
        <w:spacing w:after="0" w:line="206"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The Company also performed an impairment analysis for all indefinite life intangible assets, which consists of tradenames, as of October 1, 2022. The Company based its measurement of the fair value of the indefinite life intangible assets utilizing the relief from royalty method. The significant assumptions used under the relief from royalty method are projected revenue, royalty rates, terminal</w:t>
      </w:r>
    </w:p>
    <w:p>
      <w:pPr>
        <w:sectPr>
          <w:pgSz w:w="12240" w:h="15840" w:orient="portrait"/>
          <w:cols w:equalWidth="0" w:num="1">
            <w:col w:w="10600"/>
          </w:cols>
          <w:pgMar w:left="820" w:top="1065" w:right="820" w:bottom="326"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600"/>
          </w:cols>
          <w:pgMar w:left="820" w:top="1065" w:right="820" w:bottom="326" w:gutter="0" w:footer="0" w:header="0"/>
          <w:type w:val="continuous"/>
        </w:sectPr>
      </w:pPr>
    </w:p>
    <w:bookmarkStart w:id="75" w:name="page76"/>
    <w:bookmarkEnd w:id="75"/>
    <w:p>
      <w:pPr>
        <w:ind w:right="280"/>
        <w:spacing w:after="0"/>
        <w:rPr>
          <w:sz w:val="20"/>
          <w:szCs w:val="20"/>
          <w:color w:val="auto"/>
        </w:rPr>
      </w:pPr>
      <w:r>
        <w:rPr>
          <w:rFonts w:ascii="Times New Roman" w:cs="Times New Roman" w:eastAsia="Times New Roman" w:hAnsi="Times New Roman"/>
          <w:sz w:val="20"/>
          <w:szCs w:val="20"/>
          <w:color w:val="auto"/>
        </w:rPr>
        <w:t>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segments as of the testing date. Accordingly, the Company recognized no impairment charges in its financial results for the years ended December 31, 2022 and 2021. In 2020, the Company recognized impairment charges of $0.9 million.</w:t>
      </w:r>
    </w:p>
    <w:p>
      <w:pPr>
        <w:spacing w:after="0" w:line="199"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As described above, the fair value measurement methods used in the Company’s goodwill and indefinite life intangible assets impairment analyses utilizes a number of significant unobservable inputs or Level 3 assumptions. These assumptions include, among others, projections of the Company's future operating results, the implied fair value of these assets using an income approach by preparing a discounted cash flow analysis and other subjective assumptions.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finite lived intangible assets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9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82"/>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249"/>
              <w:spacing w:after="0" w:line="153" w:lineRule="exact"/>
              <w:rPr>
                <w:sz w:val="20"/>
                <w:szCs w:val="20"/>
                <w:color w:val="auto"/>
              </w:rPr>
            </w:pPr>
            <w:r>
              <w:rPr>
                <w:rFonts w:ascii="Times New Roman" w:cs="Times New Roman" w:eastAsia="Times New Roman" w:hAnsi="Times New Roman"/>
                <w:sz w:val="16"/>
                <w:szCs w:val="16"/>
                <w:b w:val="1"/>
                <w:bCs w:val="1"/>
                <w:color w:val="auto"/>
              </w:rPr>
              <w:t>Accum.</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20" w:type="dxa"/>
            <w:vAlign w:val="bottom"/>
          </w:tcPr>
          <w:p>
            <w:pPr>
              <w:spacing w:after="0"/>
              <w:rPr>
                <w:sz w:val="13"/>
                <w:szCs w:val="13"/>
                <w:color w:val="auto"/>
              </w:rPr>
            </w:pPr>
          </w:p>
        </w:tc>
        <w:tc>
          <w:tcPr>
            <w:tcW w:w="980" w:type="dxa"/>
            <w:vAlign w:val="bottom"/>
          </w:tcPr>
          <w:p>
            <w:pPr>
              <w:jc w:val="right"/>
              <w:ind w:right="248"/>
              <w:spacing w:after="0" w:line="153" w:lineRule="exact"/>
              <w:rPr>
                <w:sz w:val="20"/>
                <w:szCs w:val="20"/>
                <w:color w:val="auto"/>
              </w:rPr>
            </w:pPr>
            <w:r>
              <w:rPr>
                <w:rFonts w:ascii="Times New Roman" w:cs="Times New Roman" w:eastAsia="Times New Roman" w:hAnsi="Times New Roman"/>
                <w:sz w:val="16"/>
                <w:szCs w:val="16"/>
                <w:b w:val="1"/>
                <w:bCs w:val="1"/>
                <w:color w:val="auto"/>
              </w:rPr>
              <w:t>Accum.</w:t>
            </w: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Intangible assets – finite life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Amort.</w:t>
            </w:r>
          </w:p>
        </w:tc>
        <w:tc>
          <w:tcPr>
            <w:tcW w:w="4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Amort.</w:t>
            </w:r>
          </w:p>
        </w:tc>
        <w:tc>
          <w:tcPr>
            <w:tcW w:w="0" w:type="dxa"/>
            <w:vAlign w:val="bottom"/>
          </w:tcPr>
          <w:p>
            <w:pPr>
              <w:spacing w:after="0"/>
              <w:rPr>
                <w:sz w:val="1"/>
                <w:szCs w:val="1"/>
                <w:color w:val="auto"/>
              </w:rPr>
            </w:pPr>
          </w:p>
        </w:tc>
      </w:tr>
      <w:tr>
        <w:trPr>
          <w:trHeight w:val="215"/>
        </w:trPr>
        <w:tc>
          <w:tcPr>
            <w:tcW w:w="49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Technology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14,457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13,729</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right"/>
              <w:ind w:right="2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14,457</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13,704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Customer lists</w:t>
            </w:r>
          </w:p>
        </w:tc>
        <w:tc>
          <w:tcPr>
            <w:tcW w:w="1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85,719</w:t>
            </w:r>
          </w:p>
        </w:tc>
        <w:tc>
          <w:tcPr>
            <w:tcW w:w="1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57,540</w:t>
            </w:r>
          </w:p>
        </w:tc>
        <w:tc>
          <w:tcPr>
            <w:tcW w:w="400" w:type="dxa"/>
            <w:vAlign w:val="bottom"/>
            <w:shd w:val="clear" w:color="auto" w:fill="E6E6E6"/>
          </w:tcPr>
          <w:p>
            <w:pPr>
              <w:spacing w:after="0"/>
              <w:rPr>
                <w:sz w:val="19"/>
                <w:szCs w:val="19"/>
                <w:color w:val="auto"/>
              </w:rPr>
            </w:pPr>
          </w:p>
        </w:tc>
        <w:tc>
          <w:tcPr>
            <w:tcW w:w="8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73,199</w:t>
            </w:r>
          </w:p>
        </w:tc>
        <w:tc>
          <w:tcPr>
            <w:tcW w:w="2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53,970</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Tradenames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11,604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3,768</w:t>
            </w:r>
          </w:p>
        </w:tc>
        <w:tc>
          <w:tcPr>
            <w:tcW w:w="400" w:type="dxa"/>
            <w:vAlign w:val="bottom"/>
          </w:tcPr>
          <w:p>
            <w:pPr>
              <w:spacing w:after="0"/>
              <w:rPr>
                <w:sz w:val="19"/>
                <w:szCs w:val="19"/>
                <w:color w:val="auto"/>
              </w:rPr>
            </w:pPr>
          </w:p>
        </w:tc>
        <w:tc>
          <w:tcPr>
            <w:tcW w:w="8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9,728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Foreign currency adjustments</w:t>
            </w:r>
          </w:p>
        </w:tc>
        <w:tc>
          <w:tcPr>
            <w:tcW w:w="1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080" w:type="dxa"/>
            <w:vAlign w:val="bottom"/>
            <w:gridSpan w:val="3"/>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(1,864)</w:t>
            </w:r>
          </w:p>
        </w:tc>
        <w:tc>
          <w:tcPr>
            <w:tcW w:w="80" w:type="dxa"/>
            <w:vAlign w:val="bottom"/>
            <w:shd w:val="clear" w:color="auto" w:fill="E6E6E6"/>
          </w:tcPr>
          <w:p>
            <w:pPr>
              <w:spacing w:after="0"/>
              <w:rPr>
                <w:sz w:val="21"/>
                <w:szCs w:val="21"/>
                <w:color w:val="auto"/>
              </w:rPr>
            </w:pPr>
          </w:p>
        </w:tc>
        <w:tc>
          <w:tcPr>
            <w:tcW w:w="22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(372)</w:t>
            </w:r>
          </w:p>
        </w:tc>
        <w:tc>
          <w:tcPr>
            <w:tcW w:w="400" w:type="dxa"/>
            <w:vAlign w:val="bottom"/>
            <w:shd w:val="clear" w:color="auto" w:fill="E6E6E6"/>
          </w:tcPr>
          <w:p>
            <w:pPr>
              <w:spacing w:after="0"/>
              <w:rPr>
                <w:sz w:val="21"/>
                <w:szCs w:val="21"/>
                <w:color w:val="auto"/>
              </w:rPr>
            </w:pPr>
          </w:p>
        </w:tc>
        <w:tc>
          <w:tcPr>
            <w:tcW w:w="102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(2,149)</w:t>
            </w:r>
          </w:p>
        </w:tc>
        <w:tc>
          <w:tcPr>
            <w:tcW w:w="220" w:type="dxa"/>
            <w:vAlign w:val="bottom"/>
            <w:shd w:val="clear" w:color="auto" w:fill="E6E6E6"/>
          </w:tcPr>
          <w:p>
            <w:pPr>
              <w:spacing w:after="0"/>
              <w:rPr>
                <w:sz w:val="21"/>
                <w:szCs w:val="21"/>
                <w:color w:val="auto"/>
              </w:rPr>
            </w:pPr>
          </w:p>
        </w:tc>
        <w:tc>
          <w:tcPr>
            <w:tcW w:w="1100" w:type="dxa"/>
            <w:vAlign w:val="bottom"/>
            <w:gridSpan w:val="3"/>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(1,025)</w:t>
            </w:r>
          </w:p>
        </w:tc>
        <w:tc>
          <w:tcPr>
            <w:tcW w:w="0" w:type="dxa"/>
            <w:vAlign w:val="bottom"/>
          </w:tcPr>
          <w:p>
            <w:pPr>
              <w:spacing w:after="0"/>
              <w:rPr>
                <w:sz w:val="1"/>
                <w:szCs w:val="1"/>
                <w:color w:val="auto"/>
              </w:rPr>
            </w:pPr>
          </w:p>
        </w:tc>
      </w:tr>
      <w:tr>
        <w:trPr>
          <w:trHeight w:val="195"/>
        </w:trPr>
        <w:tc>
          <w:tcPr>
            <w:tcW w:w="4900" w:type="dxa"/>
            <w:vAlign w:val="bottom"/>
            <w:tcBorders>
              <w:top w:val="single" w:sz="8" w:color="E6E6E6"/>
            </w:tcBorders>
          </w:tcPr>
          <w:p>
            <w:pPr>
              <w:ind w:left="200"/>
              <w:spacing w:after="0" w:line="195" w:lineRule="exact"/>
              <w:rPr>
                <w:sz w:val="20"/>
                <w:szCs w:val="20"/>
                <w:color w:val="auto"/>
              </w:rPr>
            </w:pPr>
            <w:r>
              <w:rPr>
                <w:rFonts w:ascii="Times New Roman" w:cs="Times New Roman" w:eastAsia="Times New Roman" w:hAnsi="Times New Roman"/>
                <w:sz w:val="20"/>
                <w:szCs w:val="20"/>
                <w:color w:val="auto"/>
              </w:rPr>
              <w:t>Total finite life intangible assets</w:t>
            </w:r>
          </w:p>
        </w:tc>
        <w:tc>
          <w:tcPr>
            <w:tcW w:w="1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109,916</w:t>
            </w:r>
          </w:p>
        </w:tc>
        <w:tc>
          <w:tcPr>
            <w:tcW w:w="20" w:type="dxa"/>
            <w:vAlign w:val="bottom"/>
            <w:tcBorders>
              <w:top w:val="single" w:sz="8" w:color="E6E6E6"/>
            </w:tcBorders>
          </w:tcPr>
          <w:p>
            <w:pPr>
              <w:spacing w:after="0"/>
              <w:rPr>
                <w:sz w:val="16"/>
                <w:szCs w:val="16"/>
                <w:color w:val="auto"/>
              </w:rPr>
            </w:pPr>
          </w:p>
        </w:tc>
        <w:tc>
          <w:tcPr>
            <w:tcW w:w="120" w:type="dxa"/>
            <w:vAlign w:val="bottom"/>
            <w:tcBorders>
              <w:top w:val="single" w:sz="8" w:color="E6E6E6"/>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2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74,665</w:t>
            </w:r>
          </w:p>
        </w:tc>
        <w:tc>
          <w:tcPr>
            <w:tcW w:w="220" w:type="dxa"/>
            <w:vAlign w:val="bottom"/>
            <w:tcBorders>
              <w:top w:val="single" w:sz="8" w:color="E6E6E6"/>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20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95,235</w:t>
            </w:r>
          </w:p>
        </w:tc>
        <w:tc>
          <w:tcPr>
            <w:tcW w:w="220" w:type="dxa"/>
            <w:vAlign w:val="bottom"/>
            <w:tcBorders>
              <w:top w:val="single" w:sz="8" w:color="E6E6E6"/>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2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69,394</w:t>
            </w:r>
          </w:p>
        </w:tc>
        <w:tc>
          <w:tcPr>
            <w:tcW w:w="20" w:type="dxa"/>
            <w:vAlign w:val="bottom"/>
            <w:tcBorders>
              <w:top w:val="single" w:sz="8" w:color="E6E6E6"/>
            </w:tcBorders>
          </w:tcPr>
          <w:p>
            <w:pPr>
              <w:spacing w:after="0"/>
              <w:rPr>
                <w:sz w:val="16"/>
                <w:szCs w:val="16"/>
                <w:color w:val="auto"/>
              </w:rPr>
            </w:pPr>
          </w:p>
        </w:tc>
        <w:tc>
          <w:tcPr>
            <w:tcW w:w="10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Amortization expense of finite life intangible assets was $7.0 million, $6.7 million and $7.4 million for 2022, 2021 and 2020, respectively. Amortization over the next five years for finite life intangibles is $6.6 million in 2023, $5.9 million in 2024, $4.9 million in 2025, $3.5 million in 2026, and $3.4 million in 2027.</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w:t>
            </w:r>
          </w:p>
        </w:tc>
        <w:tc>
          <w:tcPr>
            <w:tcW w:w="668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Accounts Payable and Accrued Expenses</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payable and accrued expense consisted of the following:</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4"/>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60" w:type="dxa"/>
            <w:vAlign w:val="bottom"/>
            <w:gridSpan w:val="2"/>
          </w:tcPr>
          <w:p>
            <w:pPr>
              <w:spacing w:after="0" w:line="215" w:lineRule="exact"/>
              <w:rPr>
                <w:sz w:val="20"/>
                <w:szCs w:val="20"/>
                <w:color w:val="auto"/>
              </w:rPr>
            </w:pPr>
            <w:r>
              <w:rPr>
                <w:rFonts w:ascii="Times New Roman" w:cs="Times New Roman" w:eastAsia="Times New Roman" w:hAnsi="Times New Roman"/>
                <w:sz w:val="20"/>
                <w:szCs w:val="20"/>
                <w:color w:val="auto"/>
              </w:rPr>
              <w:t>Trade accounts payable, including amounts due to subcontractors</w:t>
            </w:r>
          </w:p>
        </w:tc>
        <w:tc>
          <w:tcPr>
            <w:tcW w:w="20" w:type="dxa"/>
            <w:vAlign w:val="bottom"/>
          </w:tcPr>
          <w:p>
            <w:pPr>
              <w:spacing w:after="0"/>
              <w:rPr>
                <w:sz w:val="18"/>
                <w:szCs w:val="18"/>
                <w:color w:val="auto"/>
              </w:rPr>
            </w:pP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73,407</w:t>
            </w:r>
          </w:p>
        </w:tc>
        <w:tc>
          <w:tcPr>
            <w:tcW w:w="260" w:type="dxa"/>
            <w:vAlign w:val="bottom"/>
          </w:tcPr>
          <w:p>
            <w:pPr>
              <w:spacing w:after="0"/>
              <w:rPr>
                <w:sz w:val="18"/>
                <w:szCs w:val="18"/>
                <w:color w:val="auto"/>
              </w:rPr>
            </w:pPr>
          </w:p>
        </w:tc>
        <w:tc>
          <w:tcPr>
            <w:tcW w:w="520" w:type="dxa"/>
            <w:vAlign w:val="bottom"/>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56,242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6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Compensation and related benefits</w:t>
            </w: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9,577</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6,065</w:t>
            </w:r>
          </w:p>
        </w:tc>
        <w:tc>
          <w:tcPr>
            <w:tcW w:w="0" w:type="dxa"/>
            <w:vAlign w:val="bottom"/>
          </w:tcPr>
          <w:p>
            <w:pPr>
              <w:spacing w:after="0"/>
              <w:rPr>
                <w:sz w:val="1"/>
                <w:szCs w:val="1"/>
                <w:color w:val="auto"/>
              </w:rPr>
            </w:pPr>
          </w:p>
        </w:tc>
      </w:tr>
      <w:tr>
        <w:trPr>
          <w:trHeight w:val="225"/>
        </w:trPr>
        <w:tc>
          <w:tcPr>
            <w:tcW w:w="68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Accrued warranty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3,691</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3,074</w:t>
            </w:r>
          </w:p>
        </w:tc>
        <w:tc>
          <w:tcPr>
            <w:tcW w:w="0" w:type="dxa"/>
            <w:vAlign w:val="bottom"/>
          </w:tcPr>
          <w:p>
            <w:pPr>
              <w:spacing w:after="0"/>
              <w:rPr>
                <w:sz w:val="1"/>
                <w:szCs w:val="1"/>
                <w:color w:val="auto"/>
              </w:rPr>
            </w:pPr>
          </w:p>
        </w:tc>
      </w:tr>
      <w:tr>
        <w:trPr>
          <w:trHeight w:val="225"/>
        </w:trPr>
        <w:tc>
          <w:tcPr>
            <w:tcW w:w="686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Contract liability</w:t>
            </w: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4,516</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4,405</w:t>
            </w:r>
          </w:p>
        </w:tc>
        <w:tc>
          <w:tcPr>
            <w:tcW w:w="0" w:type="dxa"/>
            <w:vAlign w:val="bottom"/>
          </w:tcPr>
          <w:p>
            <w:pPr>
              <w:spacing w:after="0"/>
              <w:rPr>
                <w:sz w:val="1"/>
                <w:szCs w:val="1"/>
                <w:color w:val="auto"/>
              </w:rPr>
            </w:pPr>
          </w:p>
        </w:tc>
      </w:tr>
      <w:tr>
        <w:trPr>
          <w:trHeight w:val="225"/>
        </w:trPr>
        <w:tc>
          <w:tcPr>
            <w:tcW w:w="686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Short-term operating lease liability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3,228</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2,414</w:t>
            </w:r>
          </w:p>
        </w:tc>
        <w:tc>
          <w:tcPr>
            <w:tcW w:w="0" w:type="dxa"/>
            <w:vAlign w:val="bottom"/>
          </w:tcPr>
          <w:p>
            <w:pPr>
              <w:spacing w:after="0"/>
              <w:rPr>
                <w:sz w:val="1"/>
                <w:szCs w:val="1"/>
                <w:color w:val="auto"/>
              </w:rPr>
            </w:pPr>
          </w:p>
        </w:tc>
      </w:tr>
      <w:tr>
        <w:trPr>
          <w:trHeight w:val="225"/>
        </w:trPr>
        <w:tc>
          <w:tcPr>
            <w:tcW w:w="686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w:t>
            </w:r>
          </w:p>
        </w:tc>
        <w:tc>
          <w:tcPr>
            <w:tcW w:w="2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12,779</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11,881</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6680" w:type="dxa"/>
            <w:vAlign w:val="bottom"/>
          </w:tcPr>
          <w:p>
            <w:pPr>
              <w:ind w:left="20"/>
              <w:spacing w:after="0" w:line="215" w:lineRule="exact"/>
              <w:rPr>
                <w:sz w:val="20"/>
                <w:szCs w:val="20"/>
                <w:color w:val="auto"/>
              </w:rPr>
            </w:pPr>
            <w:r>
              <w:rPr>
                <w:rFonts w:ascii="Times New Roman" w:cs="Times New Roman" w:eastAsia="Times New Roman" w:hAnsi="Times New Roman"/>
                <w:sz w:val="20"/>
                <w:szCs w:val="20"/>
                <w:color w:val="auto"/>
              </w:rPr>
              <w:t>Total accounts payable and accrued expenses</w:t>
            </w:r>
          </w:p>
        </w:tc>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107,198</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84,081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activity in the Company’s current portion of earnout liability is recorded in Accounts payable and accrued expenses on 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consisted of the following</w:t>
      </w:r>
      <w:r>
        <w:rPr>
          <w:rFonts w:ascii="Times New Roman" w:cs="Times New Roman" w:eastAsia="Times New Roman" w:hAnsi="Times New Roman"/>
          <w:sz w:val="17"/>
          <w:szCs w:val="17"/>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88"/>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Earnout accrued at beginning of year</w:t>
            </w:r>
          </w:p>
        </w:tc>
        <w:tc>
          <w:tcPr>
            <w:tcW w:w="20" w:type="dxa"/>
            <w:vAlign w:val="bottom"/>
          </w:tcPr>
          <w:p>
            <w:pPr>
              <w:spacing w:after="0"/>
              <w:rPr>
                <w:sz w:val="18"/>
                <w:szCs w:val="18"/>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1,037</w:t>
            </w:r>
          </w:p>
        </w:tc>
        <w:tc>
          <w:tcPr>
            <w:tcW w:w="260" w:type="dxa"/>
            <w:vAlign w:val="bottom"/>
          </w:tcPr>
          <w:p>
            <w:pPr>
              <w:spacing w:after="0"/>
              <w:rPr>
                <w:sz w:val="18"/>
                <w:szCs w:val="18"/>
                <w:color w:val="auto"/>
              </w:rPr>
            </w:pPr>
          </w:p>
        </w:tc>
        <w:tc>
          <w:tcPr>
            <w:tcW w:w="520" w:type="dxa"/>
            <w:vAlign w:val="bottom"/>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1,743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Fair value of earnout at acquisition date</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1,429</w:t>
            </w:r>
          </w:p>
        </w:tc>
        <w:tc>
          <w:tcPr>
            <w:tcW w:w="260" w:type="dxa"/>
            <w:vAlign w:val="bottom"/>
            <w:shd w:val="clear" w:color="auto" w:fill="E6E6E6"/>
          </w:tcPr>
          <w:p>
            <w:pPr>
              <w:spacing w:after="0"/>
              <w:rPr>
                <w:sz w:val="19"/>
                <w:szCs w:val="19"/>
                <w:color w:val="auto"/>
              </w:rPr>
            </w:pP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68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Fair value adjustment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(229)</w:t>
            </w:r>
          </w:p>
        </w:tc>
        <w:tc>
          <w:tcPr>
            <w:tcW w:w="520" w:type="dxa"/>
            <w:vAlign w:val="bottom"/>
          </w:tcPr>
          <w:p>
            <w:pPr>
              <w:spacing w:after="0"/>
              <w:rPr>
                <w:sz w:val="19"/>
                <w:szCs w:val="19"/>
                <w:color w:val="auto"/>
              </w:rPr>
            </w:pPr>
          </w:p>
        </w:tc>
        <w:tc>
          <w:tcPr>
            <w:tcW w:w="12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704</w:t>
            </w:r>
          </w:p>
        </w:tc>
        <w:tc>
          <w:tcPr>
            <w:tcW w:w="0" w:type="dxa"/>
            <w:vAlign w:val="bottom"/>
          </w:tcPr>
          <w:p>
            <w:pPr>
              <w:spacing w:after="0"/>
              <w:rPr>
                <w:sz w:val="1"/>
                <w:szCs w:val="1"/>
                <w:color w:val="auto"/>
              </w:rPr>
            </w:pPr>
          </w:p>
        </w:tc>
      </w:tr>
      <w:tr>
        <w:trPr>
          <w:trHeight w:val="225"/>
        </w:trPr>
        <w:tc>
          <w:tcPr>
            <w:tcW w:w="68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Payments and other</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54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(1,037)</w:t>
            </w:r>
          </w:p>
        </w:tc>
        <w:tc>
          <w:tcPr>
            <w:tcW w:w="52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(1,410)</w:t>
            </w:r>
          </w:p>
        </w:tc>
        <w:tc>
          <w:tcPr>
            <w:tcW w:w="0" w:type="dxa"/>
            <w:vAlign w:val="bottom"/>
          </w:tcPr>
          <w:p>
            <w:pPr>
              <w:spacing w:after="0"/>
              <w:rPr>
                <w:sz w:val="1"/>
                <w:szCs w:val="1"/>
                <w:color w:val="auto"/>
              </w:rPr>
            </w:pPr>
          </w:p>
        </w:tc>
      </w:tr>
      <w:tr>
        <w:trPr>
          <w:trHeight w:val="215"/>
        </w:trPr>
        <w:tc>
          <w:tcPr>
            <w:tcW w:w="68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Earnout accrued at end of year</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1,200</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0"/>
          <w:szCs w:val="20"/>
          <w:color w:val="auto"/>
        </w:rPr>
        <w:t>As additional consideration in the acquisition of Compass Water Solutions, Inc. ("Compass"), the former owners of Compass are entitled to earn-out payments based upon specified financial results through April 30, 2023. Based on projections at the acquisition date of May 3, 2022, the Company estimated the fair value of the earnout to be $1.4 million. During the year ended December 31, 2022 the Company decreased the earnout by $0.2 million based on the estimated fair value at December 31, 2022. The fair value adjustment is recorded in "Amortization and earnout expenses" on the Consolidated Statement of Income.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600"/>
          </w:cols>
          <w:pgMar w:left="820" w:top="1069" w:right="820" w:bottom="315" w:gutter="0" w:footer="0" w:header="0"/>
        </w:sectPr>
      </w:pPr>
    </w:p>
    <w:bookmarkStart w:id="76" w:name="page77"/>
    <w:bookmarkEnd w:id="76"/>
    <w:p>
      <w:pPr>
        <w:ind w:right="40"/>
        <w:spacing w:after="0" w:line="242" w:lineRule="auto"/>
        <w:rPr>
          <w:sz w:val="20"/>
          <w:szCs w:val="20"/>
          <w:color w:val="auto"/>
        </w:rPr>
      </w:pPr>
      <w:r>
        <w:rPr>
          <w:rFonts w:ascii="Times New Roman" w:cs="Times New Roman" w:eastAsia="Times New Roman" w:hAnsi="Times New Roman"/>
          <w:sz w:val="20"/>
          <w:szCs w:val="20"/>
          <w:color w:val="auto"/>
        </w:rPr>
        <w:t>As additional consideration in the acquisition of Environmental Integrated Solution (“EIS”), the former owners were entitled to earnout payments based upon a multiple of specified financial results through December 31, 2021. During 2021, the Company increased the earnout by $0.7 million based on the estimated fair value at December 31, 2021. The fair value adjustment is recorded in “Amortization and earnout expenses” on the Consolidated Statements of Income. The change in fair value was a result of EIS performing above initial acquisition operational expectations. Earnout payments of $1.0 million and $1.4 million were paid during the years ended December 31, 2022 and 2021,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3"/>
              </w:rPr>
              <w:t>8.</w:t>
            </w:r>
          </w:p>
        </w:tc>
        <w:tc>
          <w:tcPr>
            <w:tcW w:w="704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auto"/>
              </w:rPr>
              <w:t>Senior debt</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7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Debt consisted of the following:</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7200" w:type="dxa"/>
            <w:vAlign w:val="bottom"/>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4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0" w:type="dxa"/>
            <w:vAlign w:val="bottom"/>
            <w:gridSpan w:val="2"/>
          </w:tcPr>
          <w:p>
            <w:pPr>
              <w:spacing w:after="0" w:line="196" w:lineRule="exact"/>
              <w:rPr>
                <w:sz w:val="20"/>
                <w:szCs w:val="20"/>
                <w:color w:val="auto"/>
              </w:rPr>
            </w:pPr>
            <w:r>
              <w:rPr>
                <w:rFonts w:ascii="Times New Roman" w:cs="Times New Roman" w:eastAsia="Times New Roman" w:hAnsi="Times New Roman"/>
                <w:sz w:val="20"/>
                <w:szCs w:val="20"/>
                <w:color w:val="auto"/>
              </w:rPr>
              <w:t>Outstanding borrowings under Credit Facility (defined below)</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70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Term loan payable in quarterly principal installments of $550 through September 2023,</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70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$825 through September 2025 and $1,100 thereafter with balance due upon maturity in</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December 2026.</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60" w:type="dxa"/>
            <w:vAlign w:val="bottom"/>
            <w:shd w:val="clear" w:color="auto" w:fill="E6E6E6"/>
          </w:tcPr>
          <w:p>
            <w:pPr>
              <w:spacing w:after="0"/>
              <w:rPr>
                <w:sz w:val="19"/>
                <w:szCs w:val="19"/>
                <w:color w:val="auto"/>
              </w:rPr>
            </w:pPr>
          </w:p>
        </w:tc>
        <w:tc>
          <w:tcPr>
            <w:tcW w:w="7040" w:type="dxa"/>
            <w:vAlign w:val="bottom"/>
            <w:shd w:val="clear" w:color="auto" w:fill="E6E6E6"/>
          </w:tcPr>
          <w:p>
            <w:pPr>
              <w:ind w:left="40"/>
              <w:spacing w:after="0" w:line="226" w:lineRule="exact"/>
              <w:rPr>
                <w:sz w:val="20"/>
                <w:szCs w:val="20"/>
                <w:color w:val="auto"/>
              </w:rPr>
            </w:pPr>
            <w:r>
              <w:rPr>
                <w:rFonts w:ascii="Times New Roman" w:cs="Times New Roman" w:eastAsia="Times New Roman" w:hAnsi="Times New Roman"/>
                <w:sz w:val="20"/>
                <w:szCs w:val="20"/>
                <w:color w:val="auto"/>
              </w:rPr>
              <w:t>– Term loan</w:t>
            </w:r>
          </w:p>
        </w:tc>
        <w:tc>
          <w:tcPr>
            <w:tcW w:w="380" w:type="dxa"/>
            <w:vAlign w:val="bottom"/>
            <w:shd w:val="clear" w:color="auto" w:fill="E6E6E6"/>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41,309</w:t>
            </w:r>
          </w:p>
        </w:tc>
        <w:tc>
          <w:tcPr>
            <w:tcW w:w="120" w:type="dxa"/>
            <w:vAlign w:val="bottom"/>
            <w:shd w:val="clear" w:color="auto" w:fill="E6E6E6"/>
          </w:tcPr>
          <w:p>
            <w:pPr>
              <w:spacing w:after="0"/>
              <w:rPr>
                <w:sz w:val="19"/>
                <w:szCs w:val="19"/>
                <w:color w:val="auto"/>
              </w:rPr>
            </w:pPr>
          </w:p>
        </w:tc>
        <w:tc>
          <w:tcPr>
            <w:tcW w:w="500" w:type="dxa"/>
            <w:vAlign w:val="bottom"/>
            <w:gridSpan w:val="2"/>
            <w:shd w:val="clear" w:color="auto" w:fill="E6E6E6"/>
          </w:tcPr>
          <w:p>
            <w:pPr>
              <w:jc w:val="right"/>
              <w:ind w:right="2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43,511</w:t>
            </w: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70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 Revolving Credit Loan</w:t>
            </w:r>
          </w:p>
        </w:tc>
        <w:tc>
          <w:tcPr>
            <w:tcW w:w="380" w:type="dxa"/>
            <w:vAlign w:val="bottom"/>
          </w:tcPr>
          <w:p>
            <w:pPr>
              <w:spacing w:after="0"/>
              <w:rPr>
                <w:sz w:val="19"/>
                <w:szCs w:val="19"/>
                <w:color w:val="auto"/>
              </w:rPr>
            </w:pPr>
          </w:p>
        </w:tc>
        <w:tc>
          <w:tcPr>
            <w:tcW w:w="124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61,300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22,000</w:t>
            </w:r>
          </w:p>
        </w:tc>
        <w:tc>
          <w:tcPr>
            <w:tcW w:w="0" w:type="dxa"/>
            <w:vAlign w:val="bottom"/>
          </w:tcPr>
          <w:p>
            <w:pPr>
              <w:spacing w:after="0"/>
              <w:rPr>
                <w:sz w:val="1"/>
                <w:szCs w:val="1"/>
                <w:color w:val="auto"/>
              </w:rPr>
            </w:pPr>
          </w:p>
        </w:tc>
      </w:tr>
      <w:tr>
        <w:trPr>
          <w:trHeight w:val="215"/>
        </w:trPr>
        <w:tc>
          <w:tcPr>
            <w:tcW w:w="7200" w:type="dxa"/>
            <w:vAlign w:val="bottom"/>
            <w:tcBorders>
              <w:top w:val="single" w:sz="8" w:color="E6E6E6"/>
            </w:tcBorders>
            <w:gridSpan w:val="2"/>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outstanding borrowings under Credit Facility</w:t>
            </w:r>
          </w:p>
        </w:tc>
        <w:tc>
          <w:tcPr>
            <w:tcW w:w="380" w:type="dxa"/>
            <w:vAlign w:val="bottom"/>
            <w:tcBorders>
              <w:top w:val="single" w:sz="8" w:color="auto"/>
            </w:tcBorders>
            <w:shd w:val="clear" w:color="auto" w:fill="E6E6E6"/>
          </w:tcPr>
          <w:p>
            <w:pPr>
              <w:spacing w:after="0"/>
              <w:rPr>
                <w:sz w:val="18"/>
                <w:szCs w:val="18"/>
                <w:color w:val="auto"/>
              </w:rPr>
            </w:pPr>
          </w:p>
        </w:tc>
        <w:tc>
          <w:tcPr>
            <w:tcW w:w="12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102,609</w:t>
            </w:r>
          </w:p>
        </w:tc>
        <w:tc>
          <w:tcPr>
            <w:tcW w:w="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440" w:type="dxa"/>
            <w:vAlign w:val="bottom"/>
            <w:tcBorders>
              <w:top w:val="single" w:sz="8" w:color="auto"/>
            </w:tcBorders>
            <w:shd w:val="clear" w:color="auto" w:fill="E6E6E6"/>
          </w:tcPr>
          <w:p>
            <w:pPr>
              <w:spacing w:after="0"/>
              <w:rPr>
                <w:sz w:val="18"/>
                <w:szCs w:val="18"/>
                <w:color w:val="auto"/>
              </w:rPr>
            </w:pPr>
          </w:p>
        </w:tc>
        <w:tc>
          <w:tcPr>
            <w:tcW w:w="10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65,511</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Outstanding borrowings under the joint venture term debt</w:t>
            </w:r>
          </w:p>
        </w:tc>
        <w:tc>
          <w:tcPr>
            <w:tcW w:w="38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10,083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00" w:type="dxa"/>
            <w:vAlign w:val="bottom"/>
            <w:gridSpan w:val="2"/>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Unamortized debt discount</w:t>
            </w:r>
          </w:p>
        </w:tc>
        <w:tc>
          <w:tcPr>
            <w:tcW w:w="380" w:type="dxa"/>
            <w:vAlign w:val="bottom"/>
            <w:shd w:val="clear" w:color="auto" w:fill="E6E6E6"/>
          </w:tcPr>
          <w:p>
            <w:pPr>
              <w:spacing w:after="0"/>
              <w:rPr>
                <w:sz w:val="21"/>
                <w:szCs w:val="21"/>
                <w:color w:val="auto"/>
              </w:rPr>
            </w:pPr>
          </w:p>
        </w:tc>
        <w:tc>
          <w:tcPr>
            <w:tcW w:w="1360" w:type="dxa"/>
            <w:vAlign w:val="bottom"/>
            <w:gridSpan w:val="3"/>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(1,488)</w:t>
            </w:r>
          </w:p>
        </w:tc>
        <w:tc>
          <w:tcPr>
            <w:tcW w:w="6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16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(1,731)</w:t>
            </w:r>
          </w:p>
        </w:tc>
        <w:tc>
          <w:tcPr>
            <w:tcW w:w="0" w:type="dxa"/>
            <w:vAlign w:val="bottom"/>
          </w:tcPr>
          <w:p>
            <w:pPr>
              <w:spacing w:after="0"/>
              <w:rPr>
                <w:sz w:val="1"/>
                <w:szCs w:val="1"/>
                <w:color w:val="auto"/>
              </w:rPr>
            </w:pPr>
          </w:p>
        </w:tc>
      </w:tr>
      <w:tr>
        <w:trPr>
          <w:trHeight w:val="195"/>
        </w:trPr>
        <w:tc>
          <w:tcPr>
            <w:tcW w:w="7200" w:type="dxa"/>
            <w:vAlign w:val="bottom"/>
            <w:tcBorders>
              <w:top w:val="single" w:sz="8" w:color="E6E6E6"/>
            </w:tcBorders>
            <w:gridSpan w:val="2"/>
          </w:tcPr>
          <w:p>
            <w:pPr>
              <w:spacing w:after="0" w:line="195" w:lineRule="exact"/>
              <w:rPr>
                <w:sz w:val="20"/>
                <w:szCs w:val="20"/>
                <w:color w:val="auto"/>
              </w:rPr>
            </w:pPr>
            <w:r>
              <w:rPr>
                <w:rFonts w:ascii="Times New Roman" w:cs="Times New Roman" w:eastAsia="Times New Roman" w:hAnsi="Times New Roman"/>
                <w:sz w:val="20"/>
                <w:szCs w:val="20"/>
                <w:color w:val="auto"/>
              </w:rPr>
              <w:t>Total outstanding borrowings</w:t>
            </w: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111,204</w:t>
            </w:r>
          </w:p>
        </w:tc>
        <w:tc>
          <w:tcPr>
            <w:tcW w:w="20" w:type="dxa"/>
            <w:vAlign w:val="bottom"/>
            <w:tcBorders>
              <w:top w:val="single" w:sz="8" w:color="E6E6E6"/>
            </w:tcBorders>
          </w:tcPr>
          <w:p>
            <w:pPr>
              <w:spacing w:after="0"/>
              <w:rPr>
                <w:sz w:val="16"/>
                <w:szCs w:val="16"/>
                <w:color w:val="auto"/>
              </w:rPr>
            </w:pPr>
          </w:p>
        </w:tc>
        <w:tc>
          <w:tcPr>
            <w:tcW w:w="120" w:type="dxa"/>
            <w:vAlign w:val="bottom"/>
            <w:tcBorders>
              <w:top w:val="single" w:sz="8" w:color="E6E6E6"/>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63,780</w:t>
            </w:r>
          </w:p>
        </w:tc>
        <w:tc>
          <w:tcPr>
            <w:tcW w:w="12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shd w:val="clear" w:color="auto" w:fill="E6E6E6"/>
          </w:tcPr>
          <w:p>
            <w:pPr>
              <w:spacing w:after="0"/>
              <w:rPr>
                <w:sz w:val="21"/>
                <w:szCs w:val="21"/>
                <w:color w:val="auto"/>
              </w:rPr>
            </w:pPr>
          </w:p>
        </w:tc>
        <w:tc>
          <w:tcPr>
            <w:tcW w:w="70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Less: current portion</w:t>
            </w:r>
          </w:p>
        </w:tc>
        <w:tc>
          <w:tcPr>
            <w:tcW w:w="380" w:type="dxa"/>
            <w:vAlign w:val="bottom"/>
            <w:shd w:val="clear" w:color="auto" w:fill="E6E6E6"/>
          </w:tcPr>
          <w:p>
            <w:pPr>
              <w:spacing w:after="0"/>
              <w:rPr>
                <w:sz w:val="21"/>
                <w:szCs w:val="21"/>
                <w:color w:val="auto"/>
              </w:rPr>
            </w:pPr>
          </w:p>
        </w:tc>
        <w:tc>
          <w:tcPr>
            <w:tcW w:w="1360" w:type="dxa"/>
            <w:vAlign w:val="bottom"/>
            <w:gridSpan w:val="3"/>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(3,579)</w:t>
            </w:r>
          </w:p>
        </w:tc>
        <w:tc>
          <w:tcPr>
            <w:tcW w:w="60" w:type="dxa"/>
            <w:vAlign w:val="bottom"/>
            <w:shd w:val="clear" w:color="auto" w:fill="E6E6E6"/>
          </w:tcPr>
          <w:p>
            <w:pPr>
              <w:spacing w:after="0"/>
              <w:rPr>
                <w:sz w:val="21"/>
                <w:szCs w:val="21"/>
                <w:color w:val="auto"/>
              </w:rPr>
            </w:pPr>
          </w:p>
        </w:tc>
        <w:tc>
          <w:tcPr>
            <w:tcW w:w="440" w:type="dxa"/>
            <w:vAlign w:val="bottom"/>
            <w:shd w:val="clear" w:color="auto" w:fill="E6E6E6"/>
          </w:tcPr>
          <w:p>
            <w:pPr>
              <w:spacing w:after="0"/>
              <w:rPr>
                <w:sz w:val="21"/>
                <w:szCs w:val="21"/>
                <w:color w:val="auto"/>
              </w:rPr>
            </w:pPr>
          </w:p>
        </w:tc>
        <w:tc>
          <w:tcPr>
            <w:tcW w:w="116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(2,203)</w:t>
            </w:r>
          </w:p>
        </w:tc>
        <w:tc>
          <w:tcPr>
            <w:tcW w:w="0" w:type="dxa"/>
            <w:vAlign w:val="bottom"/>
          </w:tcPr>
          <w:p>
            <w:pPr>
              <w:spacing w:after="0"/>
              <w:rPr>
                <w:sz w:val="1"/>
                <w:szCs w:val="1"/>
                <w:color w:val="auto"/>
              </w:rPr>
            </w:pPr>
          </w:p>
        </w:tc>
      </w:tr>
      <w:tr>
        <w:trPr>
          <w:trHeight w:val="195"/>
        </w:trPr>
        <w:tc>
          <w:tcPr>
            <w:tcW w:w="7200" w:type="dxa"/>
            <w:vAlign w:val="bottom"/>
            <w:tcBorders>
              <w:top w:val="single" w:sz="8" w:color="E6E6E6"/>
            </w:tcBorders>
            <w:gridSpan w:val="2"/>
          </w:tcPr>
          <w:p>
            <w:pPr>
              <w:spacing w:after="0" w:line="195" w:lineRule="exact"/>
              <w:rPr>
                <w:sz w:val="20"/>
                <w:szCs w:val="20"/>
                <w:color w:val="auto"/>
              </w:rPr>
            </w:pPr>
            <w:r>
              <w:rPr>
                <w:rFonts w:ascii="Times New Roman" w:cs="Times New Roman" w:eastAsia="Times New Roman" w:hAnsi="Times New Roman"/>
                <w:sz w:val="20"/>
                <w:szCs w:val="20"/>
                <w:color w:val="auto"/>
              </w:rPr>
              <w:t>Total debt, less current portion</w:t>
            </w:r>
          </w:p>
        </w:tc>
        <w:tc>
          <w:tcPr>
            <w:tcW w:w="380" w:type="dxa"/>
            <w:vAlign w:val="bottom"/>
            <w:tcBorders>
              <w:top w:val="single" w:sz="8" w:color="auto"/>
              <w:bottom w:val="single" w:sz="8" w:color="auto"/>
            </w:tcBorders>
          </w:tcPr>
          <w:p>
            <w:pPr>
              <w:jc w:val="right"/>
              <w:ind w:right="18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107,625</w:t>
            </w:r>
          </w:p>
        </w:tc>
        <w:tc>
          <w:tcPr>
            <w:tcW w:w="20" w:type="dxa"/>
            <w:vAlign w:val="bottom"/>
            <w:tcBorders>
              <w:top w:val="single" w:sz="8" w:color="E6E6E6"/>
            </w:tcBorders>
          </w:tcPr>
          <w:p>
            <w:pPr>
              <w:spacing w:after="0"/>
              <w:rPr>
                <w:sz w:val="16"/>
                <w:szCs w:val="16"/>
                <w:color w:val="auto"/>
              </w:rPr>
            </w:pPr>
          </w:p>
        </w:tc>
        <w:tc>
          <w:tcPr>
            <w:tcW w:w="120" w:type="dxa"/>
            <w:vAlign w:val="bottom"/>
            <w:tcBorders>
              <w:top w:val="single" w:sz="8" w:color="E6E6E6"/>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24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61,577</w:t>
            </w:r>
          </w:p>
        </w:tc>
        <w:tc>
          <w:tcPr>
            <w:tcW w:w="12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Scheduled principal payments under the Credit Facility and joint venture term debt are $3.6 million in 2023, $4.9 million in 2024, $5.2 million in 2025, $95.1 million in 2026, and $3.9 million in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Facility</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9"/>
          <w:szCs w:val="19"/>
          <w:color w:val="auto"/>
        </w:rPr>
        <w:t>On December 17, 2021, the Company entered into Amendment No. 2 to the Second Amended and Restated Credit Agreement (the “Credit Facility”). The Credit Facility amended and restated the Company’s prior credit agreement. Pursuant to the Credit Facility, the lenders provided a term loan in the aggregate principal amount of $44.1 million and a senior secured revolving credit commitment up to an aggregate principal amount of $140.0 million. This revolving credit commitment allows the Company the ability to borrow loans denominated in different currencies. Additionally, the Credit Facility extended the maturity date to December 17, 2026, replaces LIBOR interest with Secured Overnight Financing Rate ("SOFR") interest for USD loans, Sterling Overnight Interbank Average Rate ("SONIA") for GBP loans, and Canadian Dollar Offered Rate ("CDOR") for CAD loans, and redefined certain financial covenants.</w:t>
      </w:r>
    </w:p>
    <w:p>
      <w:pPr>
        <w:spacing w:after="0" w:line="18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As of December 31, 2022 and 2021, $18.9 million and $14.5 million of letters of credit were outstanding, respectively. Total unused credit availability under the Company’s senior secured term loan and senior secured revolver loan with sub-facilities for letters of credit, swing-line loans and senior secured multi-currency loans was $59.8 million and $45.9 million at December 31, 2022 and 2021, respectively. Revolving loans may be borrowed, repaid and reborrowed until December 17, 2026, at which time all outstanding balances of the Credit Facility must be repaid.</w:t>
      </w:r>
    </w:p>
    <w:p>
      <w:pPr>
        <w:spacing w:after="0" w:line="19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At the Company’s option, revolving loans and the term loans accrue interest at a per annum rate based on (a) either the highest of (i) the federal funds rate plus 0.5%, or (ii) the Agent’s prime lending rate, (b) Daily Simple SOFR plus the Daily Simple SOFR Adjustment of 0.11448% plus 1.0%, (c) 1.0%, plus a margin ranging from 1.75% to 2.75% depending on the Company’s Consolidated Leverage Ratio, or (d) a one/three/six-month Term SOFR Rate (as defined in the Credit Agreement) plus the Term SOFR Adjustment ranging from 0.11% to 0.43% plus 1.75% to 2.75% depending on the Company’s Consolidated Leverage Ratio. Interest on swing line loans is the Base Rate.</w:t>
      </w:r>
    </w:p>
    <w:p>
      <w:pPr>
        <w:spacing w:after="0" w:line="196" w:lineRule="exact"/>
        <w:rPr>
          <w:sz w:val="20"/>
          <w:szCs w:val="20"/>
          <w:color w:val="auto"/>
        </w:rPr>
      </w:pPr>
    </w:p>
    <w:p>
      <w:pPr>
        <w:jc w:val="both"/>
        <w:ind w:right="180"/>
        <w:spacing w:after="0" w:line="246" w:lineRule="auto"/>
        <w:rPr>
          <w:sz w:val="20"/>
          <w:szCs w:val="20"/>
          <w:color w:val="auto"/>
        </w:rPr>
      </w:pPr>
      <w:r>
        <w:rPr>
          <w:rFonts w:ascii="Times New Roman" w:cs="Times New Roman" w:eastAsia="Times New Roman" w:hAnsi="Times New Roman"/>
          <w:sz w:val="20"/>
          <w:szCs w:val="20"/>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6.75% and 2.54% at December 31, 2022 and 2021, respectively.</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ectPr>
          <w:pgSz w:w="12240" w:h="15840" w:orient="portrait"/>
          <w:cols w:equalWidth="0" w:num="1">
            <w:col w:w="10600"/>
          </w:cols>
          <w:pgMar w:left="820" w:top="1069" w:right="820" w:bottom="326"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600"/>
          </w:cols>
          <w:pgMar w:left="820" w:top="1069" w:right="820" w:bottom="326" w:gutter="0" w:footer="0" w:header="0"/>
          <w:type w:val="continuous"/>
        </w:sectPr>
      </w:pPr>
    </w:p>
    <w:bookmarkStart w:id="77" w:name="page78"/>
    <w:bookmarkEnd w:id="77"/>
    <w:p>
      <w:pPr>
        <w:ind w:right="280"/>
        <w:spacing w:after="0" w:line="243" w:lineRule="auto"/>
        <w:rPr>
          <w:sz w:val="20"/>
          <w:szCs w:val="20"/>
          <w:color w:val="auto"/>
        </w:rPr>
      </w:pPr>
      <w:r>
        <w:rPr>
          <w:rFonts w:ascii="Times New Roman" w:cs="Times New Roman" w:eastAsia="Times New Roman" w:hAnsi="Times New Roman"/>
          <w:sz w:val="20"/>
          <w:szCs w:val="20"/>
          <w:color w:val="auto"/>
        </w:rPr>
        <w:t>The Company has granted a security interest in substantially all of its assets to secure its obligations pursuant to the Credit Facility. The Company’s obligations under the Credit Facility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98"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In connection with the Credit Facility, the Company paid $0.8 million in customary closing fees during 2021 that were deferred and classified as a debt discount, as a result of the Credit Facility being accounted for as a debt modification.</w:t>
      </w:r>
    </w:p>
    <w:p>
      <w:pPr>
        <w:spacing w:after="0" w:line="17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2022 and 2021, the Company was in compliance with all related financial and other restrictive covenants under the Credit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Joint Venture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7, 2022, the Company's Effox-Flextor-Mader, Inc. joint venture ("EFM JV") entered into a loan agreement secured by the assets of the EFM JV in the aggregate principal amount of $11.0 million for the acquisition of General Rubber, LLC ("GRC"), as further described in Note 14. As of December 31, 2022, $10.0 million was outstanding under the loan.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December 31, 2022 was 6.60%. As of December 31, 2022, the EFM JV was in compliance with all related financial and other restrictive covenants under this loan agreement. This loan balance does not impact the Company’s borrowing capacity or the financial covenants under the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December 31, 2022, $30.4 million in bank guarantees were outstanding. In addition, a subsidiary of the Company located in the Netherlands has a Euro-denominated bank guarantee agreement secured by local assets under which $0.6 million in bank guarantees were outstanding as of December 31, 2022. As of December 31, 2022, the borrowers of these facilities and agreements were in compliance with all related financial and other restrictive covenants.</w:t>
      </w:r>
    </w:p>
    <w:p>
      <w:pPr>
        <w:spacing w:after="0" w:line="199"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Shareholders’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Share-Based Compensation</w:t>
      </w:r>
    </w:p>
    <w:p>
      <w:pPr>
        <w:spacing w:after="0" w:line="22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2022, 2.1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20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On July 6, 2020, in connection with the appointment of the Chief Executive Officer, the Company granted its Chief Executive Officer approximately 94,000 restricted stock units with a fair value of $0.6 million, which are being expensed over the vesting period of four years. The Company also granted its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9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Share-based compensation expense for stock options and restricted stock awards under these plans was $3.9 million, $3.3 million and $1.8 million for 2022, 2021 and 2020, respectively. The tax benefit related to share based compensation expense was $0.5 million, $0.8 million and $0.3 million in 2022, 2021 and 2020, respectively.</w:t>
      </w:r>
    </w:p>
    <w:p>
      <w:pPr>
        <w:sectPr>
          <w:pgSz w:w="12240" w:h="15840" w:orient="portrait"/>
          <w:cols w:equalWidth="0" w:num="1">
            <w:col w:w="10580"/>
          </w:cols>
          <w:pgMar w:left="820" w:top="1069" w:right="84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580"/>
          </w:cols>
          <w:pgMar w:left="820" w:top="1069" w:right="840" w:bottom="326"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i w:val="1"/>
          <w:iCs w:val="1"/>
          <w:color w:val="auto"/>
        </w:rPr>
        <w:t>Employee Stock Purchase Plan</w:t>
      </w:r>
    </w:p>
    <w:p>
      <w:pPr>
        <w:spacing w:after="0" w:line="22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9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2022, 1.2 million shares remain available for future issuance.</w:t>
      </w:r>
    </w:p>
    <w:p>
      <w:pPr>
        <w:spacing w:after="0" w:line="194"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The Company recognized employee stock purchase plan expense of $60,000, $60,000 and $20,000 in 2022, 2021 and 2020,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227"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estimated weighted-average fair value of stock options granted during 2020, was $1.98 per option, using the Black-Scholes option-pricing model based on the following assumptions:</w:t>
      </w:r>
    </w:p>
    <w:p>
      <w:pPr>
        <w:spacing w:after="0" w:line="17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u w:val="single" w:color="auto"/>
          <w:color w:val="auto"/>
        </w:rPr>
        <w:t>Expected Volatility</w:t>
      </w:r>
      <w:r>
        <w:rPr>
          <w:rFonts w:ascii="Times New Roman" w:cs="Times New Roman" w:eastAsia="Times New Roman" w:hAnsi="Times New Roman"/>
          <w:sz w:val="20"/>
          <w:szCs w:val="20"/>
          <w:color w:val="auto"/>
        </w:rPr>
        <w:t>: The Company utilizes a volatility factor based on the Company’s historical stock prices for a period of time equal to the expected term of the stock option utilizing weekly price observations. For 2020, the Company utilized weighted-average volatility factors of 52.5%.</w:t>
      </w:r>
    </w:p>
    <w:p>
      <w:pPr>
        <w:spacing w:after="0" w:line="18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u w:val="single" w:color="auto"/>
          <w:color w:val="auto"/>
        </w:rPr>
        <w:t>Expected Term</w:t>
      </w:r>
      <w:r>
        <w:rPr>
          <w:rFonts w:ascii="Times New Roman" w:cs="Times New Roman" w:eastAsia="Times New Roman" w:hAnsi="Times New Roman"/>
          <w:sz w:val="20"/>
          <w:szCs w:val="20"/>
          <w:color w:val="auto"/>
        </w:rPr>
        <w:t>: Due to limited historical exercise data, the Company utilizes the simplified method of determining the expected term based on the vesting schedules and terms of the stock options. For 2020, the Company utilized weighted-average expected term factors of 5.0 years.</w:t>
      </w:r>
    </w:p>
    <w:p>
      <w:pPr>
        <w:spacing w:after="0" w:line="18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20"/>
          <w:szCs w:val="20"/>
          <w:u w:val="single" w:color="auto"/>
          <w:color w:val="auto"/>
        </w:rPr>
        <w:t>Risk-Free Interest Rate</w:t>
      </w:r>
      <w:r>
        <w:rPr>
          <w:rFonts w:ascii="Times New Roman" w:cs="Times New Roman" w:eastAsia="Times New Roman" w:hAnsi="Times New Roman"/>
          <w:sz w:val="20"/>
          <w:szCs w:val="20"/>
          <w:color w:val="auto"/>
        </w:rPr>
        <w:t>: The risk-free interest rate factor utilized is based upon the implied yields currently available on U.S. Treasury zero-coupon issues over the expected term of the stock options. For 2020, the Company utilized a weighted-average risk-free interest rate factor of 0.3%.</w:t>
      </w:r>
    </w:p>
    <w:p>
      <w:pPr>
        <w:spacing w:after="0" w:line="187" w:lineRule="exact"/>
        <w:rPr>
          <w:sz w:val="20"/>
          <w:szCs w:val="20"/>
          <w:color w:val="auto"/>
        </w:rPr>
      </w:pPr>
    </w:p>
    <w:p>
      <w:pPr>
        <w:ind w:right="900"/>
        <w:spacing w:after="0" w:line="269" w:lineRule="auto"/>
        <w:rPr>
          <w:sz w:val="20"/>
          <w:szCs w:val="20"/>
          <w:color w:val="auto"/>
        </w:rPr>
      </w:pPr>
      <w:r>
        <w:rPr>
          <w:rFonts w:ascii="Times New Roman" w:cs="Times New Roman" w:eastAsia="Times New Roman" w:hAnsi="Times New Roman"/>
          <w:sz w:val="20"/>
          <w:szCs w:val="20"/>
          <w:color w:val="auto"/>
        </w:rPr>
        <w:t>The fair value of stock options is recorded as compensation expense on a straight-line basis over the vesting periods (which approximates the requisite service period) of the options and forfeitures are accounted for when they occur.</w:t>
      </w:r>
    </w:p>
    <w:p>
      <w:pPr>
        <w:spacing w:after="0" w:line="170"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Information related to all stock options under the 2021 Plan, 2017 Plan and 2007 Plan, and the 2020 Inducement Awards for 2022, 2021 and 2020 is shown in the tables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2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20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240" w:type="dxa"/>
            <w:vAlign w:val="bottom"/>
            <w:tcBorders>
              <w:bottom w:val="single" w:sz="8" w:color="E6E6E6"/>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($000)</w:t>
            </w:r>
          </w:p>
        </w:tc>
        <w:tc>
          <w:tcPr>
            <w:tcW w:w="1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80" w:type="dxa"/>
            <w:vAlign w:val="bottom"/>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1,514</w:t>
            </w:r>
          </w:p>
        </w:tc>
        <w:tc>
          <w:tcPr>
            <w:tcW w:w="200" w:type="dxa"/>
            <w:vAlign w:val="bottom"/>
            <w:shd w:val="clear" w:color="auto" w:fill="E6E6E6"/>
          </w:tcPr>
          <w:p>
            <w:pPr>
              <w:spacing w:after="0"/>
              <w:rPr>
                <w:sz w:val="18"/>
                <w:szCs w:val="18"/>
                <w:color w:val="auto"/>
              </w:rPr>
            </w:pPr>
          </w:p>
        </w:tc>
        <w:tc>
          <w:tcPr>
            <w:tcW w:w="200" w:type="dxa"/>
            <w:vAlign w:val="bottom"/>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11.19</w:t>
            </w:r>
          </w:p>
        </w:tc>
        <w:tc>
          <w:tcPr>
            <w:tcW w:w="240" w:type="dxa"/>
            <w:vAlign w:val="bottom"/>
            <w:shd w:val="clear" w:color="auto" w:fill="E6E6E6"/>
          </w:tcPr>
          <w:p>
            <w:pPr>
              <w:spacing w:after="0"/>
              <w:rPr>
                <w:sz w:val="18"/>
                <w:szCs w:val="18"/>
                <w:color w:val="auto"/>
              </w:rPr>
            </w:pPr>
          </w:p>
        </w:tc>
        <w:tc>
          <w:tcPr>
            <w:tcW w:w="1280" w:type="dxa"/>
            <w:vAlign w:val="bottom"/>
            <w:shd w:val="clear" w:color="auto" w:fill="E6E6E6"/>
          </w:tcPr>
          <w:p>
            <w:pPr>
              <w:ind w:left="580"/>
              <w:spacing w:after="0" w:line="215" w:lineRule="exact"/>
              <w:rPr>
                <w:sz w:val="20"/>
                <w:szCs w:val="20"/>
                <w:color w:val="auto"/>
              </w:rPr>
            </w:pPr>
            <w:r>
              <w:rPr>
                <w:rFonts w:ascii="Times New Roman" w:cs="Times New Roman" w:eastAsia="Times New Roman" w:hAnsi="Times New Roman"/>
                <w:sz w:val="20"/>
                <w:szCs w:val="20"/>
                <w:color w:val="auto"/>
                <w:w w:val="94"/>
              </w:rPr>
              <w:t>4.9 years</w:t>
            </w:r>
          </w:p>
        </w:tc>
        <w:tc>
          <w:tcPr>
            <w:tcW w:w="1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Forfeitures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10.55</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Exercised</w:t>
            </w:r>
          </w:p>
        </w:tc>
        <w:tc>
          <w:tcPr>
            <w:tcW w:w="1520" w:type="dxa"/>
            <w:vAlign w:val="bottom"/>
            <w:gridSpan w:val="5"/>
            <w:shd w:val="clear" w:color="auto" w:fill="E6E6E6"/>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(42)</w:t>
            </w:r>
          </w:p>
        </w:tc>
        <w:tc>
          <w:tcPr>
            <w:tcW w:w="20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8.15</w:t>
            </w:r>
          </w:p>
        </w:tc>
        <w:tc>
          <w:tcPr>
            <w:tcW w:w="24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Outstanding at December 31, 2022</w:t>
            </w:r>
          </w:p>
        </w:tc>
        <w:tc>
          <w:tcPr>
            <w:tcW w:w="12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1,440</w:t>
            </w:r>
          </w:p>
        </w:tc>
        <w:tc>
          <w:tcPr>
            <w:tcW w:w="22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11.30</w:t>
            </w:r>
          </w:p>
        </w:tc>
        <w:tc>
          <w:tcPr>
            <w:tcW w:w="240" w:type="dxa"/>
            <w:vAlign w:val="bottom"/>
          </w:tcPr>
          <w:p>
            <w:pPr>
              <w:spacing w:after="0"/>
              <w:rPr>
                <w:sz w:val="22"/>
                <w:szCs w:val="22"/>
                <w:color w:val="auto"/>
              </w:rPr>
            </w:pPr>
          </w:p>
        </w:tc>
        <w:tc>
          <w:tcPr>
            <w:tcW w:w="1280" w:type="dxa"/>
            <w:vAlign w:val="bottom"/>
          </w:tcPr>
          <w:p>
            <w:pPr>
              <w:ind w:left="580"/>
              <w:spacing w:after="0" w:line="215" w:lineRule="exact"/>
              <w:rPr>
                <w:sz w:val="20"/>
                <w:szCs w:val="20"/>
                <w:color w:val="auto"/>
              </w:rPr>
            </w:pPr>
            <w:r>
              <w:rPr>
                <w:rFonts w:ascii="Times New Roman" w:cs="Times New Roman" w:eastAsia="Times New Roman" w:hAnsi="Times New Roman"/>
                <w:sz w:val="20"/>
                <w:szCs w:val="20"/>
                <w:color w:val="auto"/>
                <w:w w:val="94"/>
              </w:rPr>
              <w:t>4.0 years</w:t>
            </w:r>
          </w:p>
        </w:tc>
        <w:tc>
          <w:tcPr>
            <w:tcW w:w="3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1,766</w:t>
            </w:r>
          </w:p>
        </w:tc>
        <w:tc>
          <w:tcPr>
            <w:tcW w:w="0" w:type="dxa"/>
            <w:vAlign w:val="bottom"/>
          </w:tcPr>
          <w:p>
            <w:pPr>
              <w:spacing w:after="0"/>
              <w:rPr>
                <w:sz w:val="1"/>
                <w:szCs w:val="1"/>
                <w:color w:val="auto"/>
              </w:rPr>
            </w:pPr>
          </w:p>
        </w:tc>
      </w:tr>
      <w:tr>
        <w:trPr>
          <w:trHeight w:val="229"/>
        </w:trPr>
        <w:tc>
          <w:tcPr>
            <w:tcW w:w="4920" w:type="dxa"/>
            <w:vAlign w:val="bottom"/>
            <w:tcBorders>
              <w:top w:val="single" w:sz="8" w:color="E6E6E6"/>
              <w:bottom w:val="single" w:sz="8" w:color="E6E6E6"/>
            </w:tcBorders>
            <w:shd w:val="clear" w:color="auto" w:fill="E6E6E6"/>
          </w:tcPr>
          <w:p>
            <w:pPr>
              <w:spacing w:after="0" w:line="209" w:lineRule="exact"/>
              <w:rPr>
                <w:sz w:val="20"/>
                <w:szCs w:val="20"/>
                <w:color w:val="auto"/>
              </w:rPr>
            </w:pPr>
            <w:r>
              <w:rPr>
                <w:rFonts w:ascii="Times New Roman" w:cs="Times New Roman" w:eastAsia="Times New Roman" w:hAnsi="Times New Roman"/>
                <w:sz w:val="20"/>
                <w:szCs w:val="20"/>
                <w:color w:val="auto"/>
              </w:rPr>
              <w:t>Exercisable at December 31, 2022</w:t>
            </w:r>
          </w:p>
        </w:tc>
        <w:tc>
          <w:tcPr>
            <w:tcW w:w="120" w:type="dxa"/>
            <w:vAlign w:val="bottom"/>
            <w:tcBorders>
              <w:top w:val="single" w:sz="8" w:color="E6E6E6"/>
              <w:bottom w:val="single" w:sz="8" w:color="E6E6E6"/>
            </w:tcBorders>
            <w:shd w:val="clear" w:color="auto" w:fill="E6E6E6"/>
          </w:tcPr>
          <w:p>
            <w:pPr>
              <w:spacing w:after="0"/>
              <w:rPr>
                <w:sz w:val="19"/>
                <w:szCs w:val="19"/>
                <w:color w:val="auto"/>
              </w:rPr>
            </w:pPr>
          </w:p>
        </w:tc>
        <w:tc>
          <w:tcPr>
            <w:tcW w:w="20" w:type="dxa"/>
            <w:vAlign w:val="bottom"/>
            <w:tcBorders>
              <w:top w:val="single" w:sz="8" w:color="E6E6E6"/>
              <w:bottom w:val="single" w:sz="8" w:color="E6E6E6"/>
            </w:tcBorders>
            <w:shd w:val="clear" w:color="auto" w:fill="E6E6E6"/>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E6E6E6"/>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833</w:t>
            </w: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c>
          <w:tcPr>
            <w:tcW w:w="1000" w:type="dxa"/>
            <w:vAlign w:val="bottom"/>
            <w:tcBorders>
              <w:top w:val="single" w:sz="8" w:color="E6E6E6"/>
              <w:bottom w:val="single" w:sz="8" w:color="E6E6E6"/>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11.47</w:t>
            </w: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1280" w:type="dxa"/>
            <w:vAlign w:val="bottom"/>
            <w:tcBorders>
              <w:top w:val="single" w:sz="8" w:color="E6E6E6"/>
              <w:bottom w:val="single" w:sz="8" w:color="E6E6E6"/>
            </w:tcBorders>
            <w:shd w:val="clear" w:color="auto" w:fill="E6E6E6"/>
          </w:tcPr>
          <w:p>
            <w:pPr>
              <w:ind w:left="580"/>
              <w:spacing w:after="0" w:line="209" w:lineRule="exact"/>
              <w:rPr>
                <w:sz w:val="20"/>
                <w:szCs w:val="20"/>
                <w:color w:val="auto"/>
              </w:rPr>
            </w:pPr>
            <w:r>
              <w:rPr>
                <w:rFonts w:ascii="Times New Roman" w:cs="Times New Roman" w:eastAsia="Times New Roman" w:hAnsi="Times New Roman"/>
                <w:sz w:val="20"/>
                <w:szCs w:val="20"/>
                <w:color w:val="auto"/>
                <w:w w:val="94"/>
              </w:rPr>
              <w:t>3.6 years</w:t>
            </w:r>
          </w:p>
        </w:tc>
        <w:tc>
          <w:tcPr>
            <w:tcW w:w="300" w:type="dxa"/>
            <w:vAlign w:val="bottom"/>
            <w:tcBorders>
              <w:top w:val="single" w:sz="8" w:color="E6E6E6"/>
              <w:bottom w:val="single" w:sz="8" w:color="E6E6E6"/>
            </w:tcBorders>
            <w:gridSpan w:val="2"/>
            <w:shd w:val="clear" w:color="auto" w:fill="E6E6E6"/>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6E6E6"/>
              <w:bottom w:val="single" w:sz="8" w:color="E6E6E6"/>
            </w:tcBorders>
            <w:gridSpan w:val="2"/>
            <w:shd w:val="clear" w:color="auto" w:fill="E6E6E6"/>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923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line="20" w:lineRule="exact"/>
              <w:rPr>
                <w:sz w:val="1"/>
                <w:szCs w:val="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line="20" w:lineRule="exact"/>
              <w:rPr>
                <w:sz w:val="1"/>
                <w:szCs w:val="1"/>
                <w:color w:val="auto"/>
              </w:rPr>
            </w:pPr>
          </w:p>
        </w:tc>
      </w:tr>
      <w:tr>
        <w:trPr>
          <w:trHeight w:val="58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2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20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240" w:type="dxa"/>
            <w:vAlign w:val="bottom"/>
            <w:tcBorders>
              <w:bottom w:val="single" w:sz="8" w:color="E6E6E6"/>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($000)</w:t>
            </w:r>
          </w:p>
        </w:tc>
        <w:tc>
          <w:tcPr>
            <w:tcW w:w="1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Outstanding at December 31, 2020</w:t>
            </w:r>
          </w:p>
        </w:tc>
        <w:tc>
          <w:tcPr>
            <w:tcW w:w="1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80" w:type="dxa"/>
            <w:vAlign w:val="bottom"/>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1,554</w:t>
            </w:r>
          </w:p>
        </w:tc>
        <w:tc>
          <w:tcPr>
            <w:tcW w:w="200" w:type="dxa"/>
            <w:vAlign w:val="bottom"/>
            <w:shd w:val="clear" w:color="auto" w:fill="E6E6E6"/>
          </w:tcPr>
          <w:p>
            <w:pPr>
              <w:spacing w:after="0"/>
              <w:rPr>
                <w:sz w:val="18"/>
                <w:szCs w:val="18"/>
                <w:color w:val="auto"/>
              </w:rPr>
            </w:pPr>
          </w:p>
        </w:tc>
        <w:tc>
          <w:tcPr>
            <w:tcW w:w="200" w:type="dxa"/>
            <w:vAlign w:val="bottom"/>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11.17</w:t>
            </w:r>
          </w:p>
        </w:tc>
        <w:tc>
          <w:tcPr>
            <w:tcW w:w="240" w:type="dxa"/>
            <w:vAlign w:val="bottom"/>
            <w:shd w:val="clear" w:color="auto" w:fill="E6E6E6"/>
          </w:tcPr>
          <w:p>
            <w:pPr>
              <w:spacing w:after="0"/>
              <w:rPr>
                <w:sz w:val="18"/>
                <w:szCs w:val="18"/>
                <w:color w:val="auto"/>
              </w:rPr>
            </w:pPr>
          </w:p>
        </w:tc>
        <w:tc>
          <w:tcPr>
            <w:tcW w:w="1280" w:type="dxa"/>
            <w:vAlign w:val="bottom"/>
            <w:shd w:val="clear" w:color="auto" w:fill="E6E6E6"/>
          </w:tcPr>
          <w:p>
            <w:pPr>
              <w:ind w:left="580"/>
              <w:spacing w:after="0" w:line="215" w:lineRule="exact"/>
              <w:rPr>
                <w:sz w:val="20"/>
                <w:szCs w:val="20"/>
                <w:color w:val="auto"/>
              </w:rPr>
            </w:pPr>
            <w:r>
              <w:rPr>
                <w:rFonts w:ascii="Times New Roman" w:cs="Times New Roman" w:eastAsia="Times New Roman" w:hAnsi="Times New Roman"/>
                <w:sz w:val="20"/>
                <w:szCs w:val="20"/>
                <w:color w:val="auto"/>
                <w:w w:val="94"/>
              </w:rPr>
              <w:t>5.8 years</w:t>
            </w:r>
          </w:p>
        </w:tc>
        <w:tc>
          <w:tcPr>
            <w:tcW w:w="1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Forfeitures</w:t>
            </w:r>
          </w:p>
        </w:tc>
        <w:tc>
          <w:tcPr>
            <w:tcW w:w="140" w:type="dxa"/>
            <w:vAlign w:val="bottom"/>
            <w:gridSpan w:val="2"/>
          </w:tcPr>
          <w:p>
            <w:pPr>
              <w:spacing w:after="0"/>
              <w:rPr>
                <w:sz w:val="19"/>
                <w:szCs w:val="19"/>
                <w:color w:val="auto"/>
              </w:rPr>
            </w:pPr>
          </w:p>
        </w:tc>
        <w:tc>
          <w:tcPr>
            <w:tcW w:w="118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10.63</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Exercised</w:t>
            </w:r>
          </w:p>
        </w:tc>
        <w:tc>
          <w:tcPr>
            <w:tcW w:w="1520" w:type="dxa"/>
            <w:vAlign w:val="bottom"/>
            <w:gridSpan w:val="5"/>
            <w:shd w:val="clear" w:color="auto" w:fill="E6E6E6"/>
          </w:tcPr>
          <w:p>
            <w:pPr>
              <w:jc w:val="right"/>
              <w:ind w:right="140"/>
              <w:spacing w:after="0" w:line="226" w:lineRule="exact"/>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E6E6E6"/>
          </w:tcPr>
          <w:p>
            <w:pPr>
              <w:spacing w:after="0"/>
              <w:rPr>
                <w:sz w:val="21"/>
                <w:szCs w:val="21"/>
                <w:color w:val="auto"/>
              </w:rPr>
            </w:pPr>
          </w:p>
        </w:tc>
        <w:tc>
          <w:tcPr>
            <w:tcW w:w="10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6.66</w:t>
            </w:r>
          </w:p>
        </w:tc>
        <w:tc>
          <w:tcPr>
            <w:tcW w:w="240" w:type="dxa"/>
            <w:vAlign w:val="bottom"/>
            <w:shd w:val="clear" w:color="auto" w:fill="E6E6E6"/>
          </w:tcPr>
          <w:p>
            <w:pPr>
              <w:spacing w:after="0"/>
              <w:rPr>
                <w:sz w:val="21"/>
                <w:szCs w:val="21"/>
                <w:color w:val="auto"/>
              </w:rPr>
            </w:pPr>
          </w:p>
        </w:tc>
        <w:tc>
          <w:tcPr>
            <w:tcW w:w="128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102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920" w:type="dxa"/>
            <w:vAlign w:val="bottom"/>
            <w:tcBorders>
              <w:top w:val="single" w:sz="8" w:color="E6E6E6"/>
            </w:tcBorders>
          </w:tcPr>
          <w:p>
            <w:pPr>
              <w:spacing w:after="0" w:line="195" w:lineRule="exact"/>
              <w:rPr>
                <w:sz w:val="20"/>
                <w:szCs w:val="20"/>
                <w:color w:val="auto"/>
              </w:rPr>
            </w:pPr>
            <w:r>
              <w:rPr>
                <w:rFonts w:ascii="Times New Roman" w:cs="Times New Roman" w:eastAsia="Times New Roman" w:hAnsi="Times New Roman"/>
                <w:sz w:val="20"/>
                <w:szCs w:val="20"/>
                <w:color w:val="auto"/>
              </w:rPr>
              <w:t>Outstanding at December 31, 2021</w:t>
            </w:r>
          </w:p>
        </w:tc>
        <w:tc>
          <w:tcPr>
            <w:tcW w:w="120" w:type="dxa"/>
            <w:vAlign w:val="bottom"/>
            <w:tcBorders>
              <w:top w:val="single" w:sz="8" w:color="E6E6E6"/>
            </w:tcBorders>
          </w:tcPr>
          <w:p>
            <w:pPr>
              <w:spacing w:after="0"/>
              <w:rPr>
                <w:sz w:val="20"/>
                <w:szCs w:val="20"/>
                <w:color w:val="auto"/>
              </w:rPr>
            </w:pPr>
          </w:p>
        </w:tc>
        <w:tc>
          <w:tcPr>
            <w:tcW w:w="1180" w:type="dxa"/>
            <w:vAlign w:val="bottom"/>
            <w:tcBorders>
              <w:top w:val="single" w:sz="8" w:color="auto"/>
            </w:tcBorders>
            <w:gridSpan w:val="2"/>
          </w:tcPr>
          <w:p>
            <w:pPr>
              <w:jc w:val="right"/>
              <w:spacing w:after="0" w:line="195" w:lineRule="exact"/>
              <w:rPr>
                <w:sz w:val="20"/>
                <w:szCs w:val="20"/>
                <w:color w:val="auto"/>
              </w:rPr>
            </w:pPr>
            <w:r>
              <w:rPr>
                <w:rFonts w:ascii="Times New Roman" w:cs="Times New Roman" w:eastAsia="Times New Roman" w:hAnsi="Times New Roman"/>
                <w:sz w:val="20"/>
                <w:szCs w:val="20"/>
                <w:color w:val="auto"/>
              </w:rPr>
              <w:t>1,514</w:t>
            </w:r>
          </w:p>
        </w:tc>
        <w:tc>
          <w:tcPr>
            <w:tcW w:w="220" w:type="dxa"/>
            <w:vAlign w:val="bottom"/>
            <w:tcBorders>
              <w:top w:val="single" w:sz="8" w:color="E6E6E6"/>
            </w:tcBorders>
            <w:gridSpan w:val="2"/>
          </w:tcPr>
          <w:p>
            <w:pPr>
              <w:spacing w:after="0"/>
              <w:rPr>
                <w:sz w:val="20"/>
                <w:szCs w:val="20"/>
                <w:color w:val="auto"/>
              </w:rPr>
            </w:pPr>
          </w:p>
        </w:tc>
        <w:tc>
          <w:tcPr>
            <w:tcW w:w="200" w:type="dxa"/>
            <w:vAlign w:val="bottom"/>
            <w:tcBorders>
              <w:top w:val="single" w:sz="8" w:color="E6E6E6"/>
            </w:tcBorders>
          </w:tcPr>
          <w:p>
            <w:pPr>
              <w:spacing w:after="0"/>
              <w:rPr>
                <w:sz w:val="20"/>
                <w:szCs w:val="20"/>
                <w:color w:val="auto"/>
              </w:rPr>
            </w:pPr>
          </w:p>
        </w:tc>
        <w:tc>
          <w:tcPr>
            <w:tcW w:w="1000" w:type="dxa"/>
            <w:vAlign w:val="bottom"/>
            <w:tcBorders>
              <w:top w:val="single" w:sz="8" w:color="E6E6E6"/>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11.19</w:t>
            </w:r>
          </w:p>
        </w:tc>
        <w:tc>
          <w:tcPr>
            <w:tcW w:w="240" w:type="dxa"/>
            <w:vAlign w:val="bottom"/>
            <w:tcBorders>
              <w:top w:val="single" w:sz="8" w:color="E6E6E6"/>
            </w:tcBorders>
          </w:tcPr>
          <w:p>
            <w:pPr>
              <w:spacing w:after="0"/>
              <w:rPr>
                <w:sz w:val="20"/>
                <w:szCs w:val="20"/>
                <w:color w:val="auto"/>
              </w:rPr>
            </w:pPr>
          </w:p>
        </w:tc>
        <w:tc>
          <w:tcPr>
            <w:tcW w:w="1280" w:type="dxa"/>
            <w:vAlign w:val="bottom"/>
            <w:tcBorders>
              <w:top w:val="single" w:sz="8" w:color="E6E6E6"/>
            </w:tcBorders>
          </w:tcPr>
          <w:p>
            <w:pPr>
              <w:ind w:left="580"/>
              <w:spacing w:after="0" w:line="195" w:lineRule="exact"/>
              <w:rPr>
                <w:sz w:val="20"/>
                <w:szCs w:val="20"/>
                <w:color w:val="auto"/>
              </w:rPr>
            </w:pPr>
            <w:r>
              <w:rPr>
                <w:rFonts w:ascii="Times New Roman" w:cs="Times New Roman" w:eastAsia="Times New Roman" w:hAnsi="Times New Roman"/>
                <w:sz w:val="20"/>
                <w:szCs w:val="20"/>
                <w:color w:val="auto"/>
                <w:w w:val="94"/>
              </w:rPr>
              <w:t>4.9 years</w:t>
            </w:r>
          </w:p>
        </w:tc>
        <w:tc>
          <w:tcPr>
            <w:tcW w:w="300" w:type="dxa"/>
            <w:vAlign w:val="bottom"/>
            <w:tcBorders>
              <w:top w:val="single" w:sz="8" w:color="E6E6E6"/>
            </w:tcBorders>
            <w:gridSpan w:val="2"/>
          </w:tcPr>
          <w:p>
            <w:pPr>
              <w:jc w:val="right"/>
              <w:ind w:right="80"/>
              <w:spacing w:after="0" w:line="19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6E6E6"/>
            </w:tcBorders>
            <w:gridSpan w:val="2"/>
          </w:tcPr>
          <w:p>
            <w:pPr>
              <w:jc w:val="right"/>
              <w:ind w:right="120"/>
              <w:spacing w:after="0" w:line="195"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4920" w:type="dxa"/>
            <w:vAlign w:val="bottom"/>
            <w:tcBorders>
              <w:top w:val="single" w:sz="8" w:color="E6E6E6"/>
              <w:bottom w:val="single" w:sz="8" w:color="E6E6E6"/>
            </w:tcBorders>
            <w:shd w:val="clear" w:color="auto" w:fill="E6E6E6"/>
          </w:tcPr>
          <w:p>
            <w:pPr>
              <w:spacing w:after="0" w:line="209" w:lineRule="exact"/>
              <w:rPr>
                <w:sz w:val="20"/>
                <w:szCs w:val="20"/>
                <w:color w:val="auto"/>
              </w:rPr>
            </w:pPr>
            <w:r>
              <w:rPr>
                <w:rFonts w:ascii="Times New Roman" w:cs="Times New Roman" w:eastAsia="Times New Roman" w:hAnsi="Times New Roman"/>
                <w:sz w:val="20"/>
                <w:szCs w:val="20"/>
                <w:color w:val="auto"/>
              </w:rPr>
              <w:t>Exercisable at December 31, 2021</w:t>
            </w:r>
          </w:p>
        </w:tc>
        <w:tc>
          <w:tcPr>
            <w:tcW w:w="120" w:type="dxa"/>
            <w:vAlign w:val="bottom"/>
            <w:tcBorders>
              <w:top w:val="single" w:sz="8" w:color="E6E6E6"/>
              <w:bottom w:val="single" w:sz="8" w:color="E6E6E6"/>
            </w:tcBorders>
            <w:shd w:val="clear" w:color="auto" w:fill="E6E6E6"/>
          </w:tcPr>
          <w:p>
            <w:pPr>
              <w:spacing w:after="0"/>
              <w:rPr>
                <w:sz w:val="19"/>
                <w:szCs w:val="19"/>
                <w:color w:val="auto"/>
              </w:rPr>
            </w:pPr>
          </w:p>
        </w:tc>
        <w:tc>
          <w:tcPr>
            <w:tcW w:w="20" w:type="dxa"/>
            <w:vAlign w:val="bottom"/>
            <w:tcBorders>
              <w:top w:val="single" w:sz="8" w:color="E6E6E6"/>
              <w:bottom w:val="single" w:sz="8" w:color="E6E6E6"/>
            </w:tcBorders>
            <w:shd w:val="clear" w:color="auto" w:fill="E6E6E6"/>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E6E6E6"/>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603</w:t>
            </w: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c>
          <w:tcPr>
            <w:tcW w:w="200" w:type="dxa"/>
            <w:vAlign w:val="bottom"/>
            <w:tcBorders>
              <w:top w:val="single" w:sz="8" w:color="E6E6E6"/>
              <w:bottom w:val="single" w:sz="8" w:color="E6E6E6"/>
            </w:tcBorders>
            <w:shd w:val="clear" w:color="auto" w:fill="E6E6E6"/>
          </w:tcPr>
          <w:p>
            <w:pPr>
              <w:spacing w:after="0"/>
              <w:rPr>
                <w:sz w:val="19"/>
                <w:szCs w:val="19"/>
                <w:color w:val="auto"/>
              </w:rPr>
            </w:pPr>
          </w:p>
        </w:tc>
        <w:tc>
          <w:tcPr>
            <w:tcW w:w="1000" w:type="dxa"/>
            <w:vAlign w:val="bottom"/>
            <w:tcBorders>
              <w:top w:val="single" w:sz="8" w:color="E6E6E6"/>
              <w:bottom w:val="single" w:sz="8" w:color="E6E6E6"/>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11.39</w:t>
            </w:r>
          </w:p>
        </w:tc>
        <w:tc>
          <w:tcPr>
            <w:tcW w:w="240" w:type="dxa"/>
            <w:vAlign w:val="bottom"/>
            <w:tcBorders>
              <w:top w:val="single" w:sz="8" w:color="E6E6E6"/>
              <w:bottom w:val="single" w:sz="8" w:color="E6E6E6"/>
            </w:tcBorders>
            <w:shd w:val="clear" w:color="auto" w:fill="E6E6E6"/>
          </w:tcPr>
          <w:p>
            <w:pPr>
              <w:spacing w:after="0"/>
              <w:rPr>
                <w:sz w:val="19"/>
                <w:szCs w:val="19"/>
                <w:color w:val="auto"/>
              </w:rPr>
            </w:pPr>
          </w:p>
        </w:tc>
        <w:tc>
          <w:tcPr>
            <w:tcW w:w="1280" w:type="dxa"/>
            <w:vAlign w:val="bottom"/>
            <w:tcBorders>
              <w:top w:val="single" w:sz="8" w:color="E6E6E6"/>
              <w:bottom w:val="single" w:sz="8" w:color="E6E6E6"/>
            </w:tcBorders>
            <w:shd w:val="clear" w:color="auto" w:fill="E6E6E6"/>
          </w:tcPr>
          <w:p>
            <w:pPr>
              <w:ind w:left="580"/>
              <w:spacing w:after="0" w:line="209" w:lineRule="exact"/>
              <w:rPr>
                <w:sz w:val="20"/>
                <w:szCs w:val="20"/>
                <w:color w:val="auto"/>
              </w:rPr>
            </w:pPr>
            <w:r>
              <w:rPr>
                <w:rFonts w:ascii="Times New Roman" w:cs="Times New Roman" w:eastAsia="Times New Roman" w:hAnsi="Times New Roman"/>
                <w:sz w:val="20"/>
                <w:szCs w:val="20"/>
                <w:color w:val="auto"/>
                <w:w w:val="94"/>
              </w:rPr>
              <w:t>4.0 years</w:t>
            </w:r>
          </w:p>
        </w:tc>
        <w:tc>
          <w:tcPr>
            <w:tcW w:w="300" w:type="dxa"/>
            <w:vAlign w:val="bottom"/>
            <w:tcBorders>
              <w:top w:val="single" w:sz="8" w:color="E6E6E6"/>
              <w:bottom w:val="single" w:sz="8" w:color="E6E6E6"/>
            </w:tcBorders>
            <w:gridSpan w:val="2"/>
            <w:shd w:val="clear" w:color="auto" w:fill="E6E6E6"/>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6E6E6"/>
              <w:bottom w:val="single" w:sz="8" w:color="E6E6E6"/>
            </w:tcBorders>
            <w:gridSpan w:val="2"/>
            <w:shd w:val="clear" w:color="auto" w:fill="E6E6E6"/>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73" w:right="820" w:bottom="326"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600"/>
          </w:cols>
          <w:pgMar w:left="820" w:top="1073" w:right="820" w:bottom="326"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Aggregate</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Remaining</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91"/>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240" w:type="dxa"/>
            <w:vAlign w:val="bottom"/>
          </w:tcPr>
          <w:p>
            <w:pPr>
              <w:spacing w:after="0"/>
              <w:rPr>
                <w:sz w:val="15"/>
                <w:szCs w:val="15"/>
                <w:color w:val="auto"/>
              </w:rPr>
            </w:pPr>
          </w:p>
        </w:tc>
        <w:tc>
          <w:tcPr>
            <w:tcW w:w="12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Contractual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198"/>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2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7"/>
                <w:szCs w:val="17"/>
                <w:color w:val="auto"/>
              </w:rPr>
            </w:pPr>
          </w:p>
        </w:tc>
        <w:tc>
          <w:tcPr>
            <w:tcW w:w="200" w:type="dxa"/>
            <w:vAlign w:val="bottom"/>
            <w:tcBorders>
              <w:bottom w:val="single" w:sz="8" w:color="E6E6E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240" w:type="dxa"/>
            <w:vAlign w:val="bottom"/>
            <w:tcBorders>
              <w:bottom w:val="single" w:sz="8" w:color="E6E6E6"/>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20" w:type="dxa"/>
            <w:vAlign w:val="bottom"/>
            <w:tcBorders>
              <w:bottom w:val="single" w:sz="8" w:color="E6E6E6"/>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($000)</w:t>
            </w:r>
          </w:p>
        </w:tc>
        <w:tc>
          <w:tcPr>
            <w:tcW w:w="1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Outstanding at December 31, 2019</w:t>
            </w:r>
          </w:p>
        </w:tc>
        <w:tc>
          <w:tcPr>
            <w:tcW w:w="1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180" w:type="dxa"/>
            <w:vAlign w:val="bottom"/>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410</w:t>
            </w:r>
          </w:p>
        </w:tc>
        <w:tc>
          <w:tcPr>
            <w:tcW w:w="200" w:type="dxa"/>
            <w:vAlign w:val="bottom"/>
            <w:shd w:val="clear" w:color="auto" w:fill="E6E6E6"/>
          </w:tcPr>
          <w:p>
            <w:pPr>
              <w:spacing w:after="0"/>
              <w:rPr>
                <w:sz w:val="18"/>
                <w:szCs w:val="18"/>
                <w:color w:val="auto"/>
              </w:rPr>
            </w:pPr>
          </w:p>
        </w:tc>
        <w:tc>
          <w:tcPr>
            <w:tcW w:w="200" w:type="dxa"/>
            <w:vAlign w:val="bottom"/>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11.45</w:t>
            </w:r>
          </w:p>
        </w:tc>
        <w:tc>
          <w:tcPr>
            <w:tcW w:w="240" w:type="dxa"/>
            <w:vAlign w:val="bottom"/>
            <w:shd w:val="clear" w:color="auto" w:fill="E6E6E6"/>
          </w:tcPr>
          <w:p>
            <w:pPr>
              <w:spacing w:after="0"/>
              <w:rPr>
                <w:sz w:val="18"/>
                <w:szCs w:val="18"/>
                <w:color w:val="auto"/>
              </w:rPr>
            </w:pPr>
          </w:p>
        </w:tc>
        <w:tc>
          <w:tcPr>
            <w:tcW w:w="1280" w:type="dxa"/>
            <w:vAlign w:val="bottom"/>
            <w:shd w:val="clear" w:color="auto" w:fill="E6E6E6"/>
          </w:tcPr>
          <w:p>
            <w:pPr>
              <w:ind w:left="580"/>
              <w:spacing w:after="0" w:line="215" w:lineRule="exact"/>
              <w:rPr>
                <w:sz w:val="20"/>
                <w:szCs w:val="20"/>
                <w:color w:val="auto"/>
              </w:rPr>
            </w:pPr>
            <w:r>
              <w:rPr>
                <w:rFonts w:ascii="Times New Roman" w:cs="Times New Roman" w:eastAsia="Times New Roman" w:hAnsi="Times New Roman"/>
                <w:sz w:val="20"/>
                <w:szCs w:val="20"/>
                <w:color w:val="auto"/>
                <w:w w:val="94"/>
              </w:rPr>
              <w:t>4.7 years</w:t>
            </w:r>
          </w:p>
        </w:tc>
        <w:tc>
          <w:tcPr>
            <w:tcW w:w="12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Forfeitures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10.86</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Granted</w:t>
            </w:r>
          </w:p>
        </w:tc>
        <w:tc>
          <w:tcPr>
            <w:tcW w:w="1520" w:type="dxa"/>
            <w:vAlign w:val="bottom"/>
            <w:gridSpan w:val="5"/>
            <w:shd w:val="clear" w:color="auto" w:fill="E6E6E6"/>
          </w:tcPr>
          <w:p>
            <w:pPr>
              <w:jc w:val="right"/>
              <w:ind w:right="220"/>
              <w:spacing w:after="0" w:line="226" w:lineRule="exact"/>
              <w:rPr>
                <w:sz w:val="20"/>
                <w:szCs w:val="20"/>
                <w:color w:val="auto"/>
              </w:rPr>
            </w:pPr>
            <w:r>
              <w:rPr>
                <w:rFonts w:ascii="Times New Roman" w:cs="Times New Roman" w:eastAsia="Times New Roman" w:hAnsi="Times New Roman"/>
                <w:sz w:val="20"/>
                <w:szCs w:val="20"/>
                <w:color w:val="auto"/>
              </w:rPr>
              <w:t>1,215</w:t>
            </w:r>
          </w:p>
        </w:tc>
        <w:tc>
          <w:tcPr>
            <w:tcW w:w="200" w:type="dxa"/>
            <w:vAlign w:val="bottom"/>
            <w:shd w:val="clear" w:color="auto" w:fill="E6E6E6"/>
          </w:tcPr>
          <w:p>
            <w:pPr>
              <w:spacing w:after="0"/>
              <w:rPr>
                <w:sz w:val="19"/>
                <w:szCs w:val="19"/>
                <w:color w:val="auto"/>
              </w:rPr>
            </w:pPr>
          </w:p>
        </w:tc>
        <w:tc>
          <w:tcPr>
            <w:tcW w:w="10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11.06</w:t>
            </w:r>
          </w:p>
        </w:tc>
        <w:tc>
          <w:tcPr>
            <w:tcW w:w="240" w:type="dxa"/>
            <w:vAlign w:val="bottom"/>
            <w:shd w:val="clear" w:color="auto" w:fill="E6E6E6"/>
          </w:tcPr>
          <w:p>
            <w:pPr>
              <w:spacing w:after="0"/>
              <w:rPr>
                <w:sz w:val="19"/>
                <w:szCs w:val="19"/>
                <w:color w:val="auto"/>
              </w:rPr>
            </w:pPr>
          </w:p>
        </w:tc>
        <w:tc>
          <w:tcPr>
            <w:tcW w:w="12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9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Outstanding at December 31, 2020</w:t>
            </w:r>
          </w:p>
        </w:tc>
        <w:tc>
          <w:tcPr>
            <w:tcW w:w="120" w:type="dxa"/>
            <w:vAlign w:val="bottom"/>
          </w:tcPr>
          <w:p>
            <w:pPr>
              <w:spacing w:after="0"/>
              <w:rPr>
                <w:sz w:val="22"/>
                <w:szCs w:val="22"/>
                <w:color w:val="auto"/>
              </w:rPr>
            </w:pPr>
          </w:p>
        </w:tc>
        <w:tc>
          <w:tcPr>
            <w:tcW w:w="118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1,554</w:t>
            </w:r>
          </w:p>
        </w:tc>
        <w:tc>
          <w:tcPr>
            <w:tcW w:w="22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11.17</w:t>
            </w:r>
          </w:p>
        </w:tc>
        <w:tc>
          <w:tcPr>
            <w:tcW w:w="240" w:type="dxa"/>
            <w:vAlign w:val="bottom"/>
          </w:tcPr>
          <w:p>
            <w:pPr>
              <w:spacing w:after="0"/>
              <w:rPr>
                <w:sz w:val="22"/>
                <w:szCs w:val="22"/>
                <w:color w:val="auto"/>
              </w:rPr>
            </w:pPr>
          </w:p>
        </w:tc>
        <w:tc>
          <w:tcPr>
            <w:tcW w:w="1280" w:type="dxa"/>
            <w:vAlign w:val="bottom"/>
          </w:tcPr>
          <w:p>
            <w:pPr>
              <w:ind w:left="580"/>
              <w:spacing w:after="0" w:line="215" w:lineRule="exact"/>
              <w:rPr>
                <w:sz w:val="20"/>
                <w:szCs w:val="20"/>
                <w:color w:val="auto"/>
              </w:rPr>
            </w:pPr>
            <w:r>
              <w:rPr>
                <w:rFonts w:ascii="Times New Roman" w:cs="Times New Roman" w:eastAsia="Times New Roman" w:hAnsi="Times New Roman"/>
                <w:sz w:val="20"/>
                <w:szCs w:val="20"/>
                <w:color w:val="auto"/>
                <w:w w:val="94"/>
              </w:rPr>
              <w:t>5.8 years</w:t>
            </w:r>
          </w:p>
        </w:tc>
        <w:tc>
          <w:tcPr>
            <w:tcW w:w="300" w:type="dxa"/>
            <w:vAlign w:val="bottom"/>
            <w:gridSpan w:val="2"/>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09"/>
        </w:trPr>
        <w:tc>
          <w:tcPr>
            <w:tcW w:w="4920" w:type="dxa"/>
            <w:vAlign w:val="bottom"/>
            <w:tcBorders>
              <w:top w:val="single" w:sz="8" w:color="E6E6E6"/>
            </w:tcBorders>
            <w:shd w:val="clear" w:color="auto" w:fill="E6E6E6"/>
          </w:tcPr>
          <w:p>
            <w:pPr>
              <w:spacing w:after="0" w:line="209" w:lineRule="exact"/>
              <w:rPr>
                <w:sz w:val="20"/>
                <w:szCs w:val="20"/>
                <w:color w:val="auto"/>
              </w:rPr>
            </w:pPr>
            <w:r>
              <w:rPr>
                <w:rFonts w:ascii="Times New Roman" w:cs="Times New Roman" w:eastAsia="Times New Roman" w:hAnsi="Times New Roman"/>
                <w:sz w:val="20"/>
                <w:szCs w:val="20"/>
                <w:color w:val="auto"/>
              </w:rPr>
              <w:t>Exercisable at December 31, 2020</w:t>
            </w:r>
          </w:p>
        </w:tc>
        <w:tc>
          <w:tcPr>
            <w:tcW w:w="1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E6E6E6"/>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330</w:t>
            </w:r>
          </w:p>
        </w:tc>
        <w:tc>
          <w:tcPr>
            <w:tcW w:w="20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spacing w:after="0"/>
              <w:rPr>
                <w:sz w:val="18"/>
                <w:szCs w:val="18"/>
                <w:color w:val="auto"/>
              </w:rPr>
            </w:pPr>
          </w:p>
        </w:tc>
        <w:tc>
          <w:tcPr>
            <w:tcW w:w="1000" w:type="dxa"/>
            <w:vAlign w:val="bottom"/>
            <w:tcBorders>
              <w:top w:val="single" w:sz="8" w:color="E6E6E6"/>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11.66</w:t>
            </w:r>
          </w:p>
        </w:tc>
        <w:tc>
          <w:tcPr>
            <w:tcW w:w="240" w:type="dxa"/>
            <w:vAlign w:val="bottom"/>
            <w:tcBorders>
              <w:top w:val="single" w:sz="8" w:color="E6E6E6"/>
            </w:tcBorders>
            <w:shd w:val="clear" w:color="auto" w:fill="E6E6E6"/>
          </w:tcPr>
          <w:p>
            <w:pPr>
              <w:spacing w:after="0"/>
              <w:rPr>
                <w:sz w:val="18"/>
                <w:szCs w:val="18"/>
                <w:color w:val="auto"/>
              </w:rPr>
            </w:pPr>
          </w:p>
        </w:tc>
        <w:tc>
          <w:tcPr>
            <w:tcW w:w="1280" w:type="dxa"/>
            <w:vAlign w:val="bottom"/>
            <w:tcBorders>
              <w:top w:val="single" w:sz="8" w:color="E6E6E6"/>
            </w:tcBorders>
            <w:shd w:val="clear" w:color="auto" w:fill="E6E6E6"/>
          </w:tcPr>
          <w:p>
            <w:pPr>
              <w:ind w:left="580"/>
              <w:spacing w:after="0" w:line="209" w:lineRule="exact"/>
              <w:rPr>
                <w:sz w:val="20"/>
                <w:szCs w:val="20"/>
                <w:color w:val="auto"/>
              </w:rPr>
            </w:pPr>
            <w:r>
              <w:rPr>
                <w:rFonts w:ascii="Times New Roman" w:cs="Times New Roman" w:eastAsia="Times New Roman" w:hAnsi="Times New Roman"/>
                <w:sz w:val="20"/>
                <w:szCs w:val="20"/>
                <w:color w:val="auto"/>
                <w:w w:val="94"/>
              </w:rPr>
              <w:t>3.0 years</w:t>
            </w:r>
          </w:p>
        </w:tc>
        <w:tc>
          <w:tcPr>
            <w:tcW w:w="300" w:type="dxa"/>
            <w:vAlign w:val="bottom"/>
            <w:tcBorders>
              <w:top w:val="single" w:sz="8" w:color="E6E6E6"/>
            </w:tcBorders>
            <w:gridSpan w:val="2"/>
            <w:shd w:val="clear" w:color="auto" w:fill="E6E6E6"/>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E6E6E6"/>
            </w:tcBorders>
            <w:gridSpan w:val="2"/>
            <w:shd w:val="clear" w:color="auto" w:fill="E6E6E6"/>
          </w:tcPr>
          <w:p>
            <w:pPr>
              <w:jc w:val="right"/>
              <w:ind w:right="120"/>
              <w:spacing w:after="0" w:line="20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Restricted Stock Awards</w:t>
      </w:r>
    </w:p>
    <w:p>
      <w:pPr>
        <w:spacing w:after="0" w:line="22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Information related to restricted stock awards under the 2021 Plan, 2017 Plan, 2007 Plan, and the 2020 Inducement Awards for 2022, 2021 and 2020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forfeitures are accounted for when they occur.</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180"/>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0"/>
        </w:trPr>
        <w:tc>
          <w:tcPr>
            <w:tcW w:w="6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198"/>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60" w:type="dxa"/>
            <w:vAlign w:val="bottom"/>
          </w:tcPr>
          <w:p>
            <w:pPr>
              <w:spacing w:after="0"/>
              <w:rPr>
                <w:sz w:val="17"/>
                <w:szCs w:val="17"/>
                <w:color w:val="auto"/>
              </w:rPr>
            </w:pPr>
          </w:p>
        </w:tc>
        <w:tc>
          <w:tcPr>
            <w:tcW w:w="1920" w:type="dxa"/>
            <w:vAlign w:val="bottom"/>
            <w:gridSpan w:val="2"/>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5"/>
        </w:trPr>
        <w:tc>
          <w:tcPr>
            <w:tcW w:w="6720" w:type="dxa"/>
            <w:vAlign w:val="bottom"/>
            <w:tcBorders>
              <w:top w:val="single" w:sz="8" w:color="auto"/>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Nonvested at December 31, 2019</w:t>
            </w:r>
          </w:p>
        </w:tc>
        <w:tc>
          <w:tcPr>
            <w:tcW w:w="160" w:type="dxa"/>
            <w:vAlign w:val="bottom"/>
            <w:tcBorders>
              <w:top w:val="single" w:sz="8" w:color="E6E6E6"/>
            </w:tcBorders>
            <w:shd w:val="clear" w:color="auto" w:fill="E6E6E6"/>
          </w:tcPr>
          <w:p>
            <w:pPr>
              <w:spacing w:after="0"/>
              <w:rPr>
                <w:sz w:val="18"/>
                <w:szCs w:val="18"/>
                <w:color w:val="auto"/>
              </w:rPr>
            </w:pPr>
          </w:p>
        </w:tc>
        <w:tc>
          <w:tcPr>
            <w:tcW w:w="16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1,321</w:t>
            </w:r>
          </w:p>
        </w:tc>
        <w:tc>
          <w:tcPr>
            <w:tcW w:w="26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auto"/>
            </w:tcBorders>
            <w:shd w:val="clear" w:color="auto" w:fill="E6E6E6"/>
          </w:tcPr>
          <w:p>
            <w:pPr>
              <w:jc w:val="right"/>
              <w:ind w:right="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6.80</w:t>
            </w: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19"/>
                <w:szCs w:val="19"/>
                <w:color w:val="auto"/>
              </w:rPr>
            </w:pPr>
          </w:p>
        </w:tc>
        <w:tc>
          <w:tcPr>
            <w:tcW w:w="1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5.64</w:t>
            </w:r>
          </w:p>
        </w:tc>
        <w:tc>
          <w:tcPr>
            <w:tcW w:w="120" w:type="dxa"/>
            <w:vAlign w:val="bottom"/>
          </w:tcPr>
          <w:p>
            <w:pPr>
              <w:spacing w:after="0"/>
              <w:rPr>
                <w:sz w:val="19"/>
                <w:szCs w:val="19"/>
                <w:color w:val="auto"/>
              </w:rPr>
            </w:pPr>
          </w:p>
        </w:tc>
      </w:tr>
      <w:tr>
        <w:trPr>
          <w:trHeight w:val="225"/>
        </w:trPr>
        <w:tc>
          <w:tcPr>
            <w:tcW w:w="6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Vested</w:t>
            </w:r>
          </w:p>
        </w:tc>
        <w:tc>
          <w:tcPr>
            <w:tcW w:w="2080" w:type="dxa"/>
            <w:vAlign w:val="bottom"/>
            <w:gridSpan w:val="3"/>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(284)</w:t>
            </w:r>
          </w:p>
        </w:tc>
        <w:tc>
          <w:tcPr>
            <w:tcW w:w="280" w:type="dxa"/>
            <w:vAlign w:val="bottom"/>
            <w:shd w:val="clear" w:color="auto" w:fill="E6E6E6"/>
          </w:tcPr>
          <w:p>
            <w:pPr>
              <w:spacing w:after="0"/>
              <w:rPr>
                <w:sz w:val="19"/>
                <w:szCs w:val="19"/>
                <w:color w:val="auto"/>
              </w:rPr>
            </w:pPr>
          </w:p>
        </w:tc>
        <w:tc>
          <w:tcPr>
            <w:tcW w:w="15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7.60</w:t>
            </w: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Forfeited</w:t>
            </w:r>
          </w:p>
        </w:tc>
        <w:tc>
          <w:tcPr>
            <w:tcW w:w="2080" w:type="dxa"/>
            <w:vAlign w:val="bottom"/>
            <w:gridSpan w:val="3"/>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(638)</w:t>
            </w:r>
          </w:p>
        </w:tc>
        <w:tc>
          <w:tcPr>
            <w:tcW w:w="280" w:type="dxa"/>
            <w:vAlign w:val="bottom"/>
          </w:tcPr>
          <w:p>
            <w:pPr>
              <w:spacing w:after="0"/>
              <w:rPr>
                <w:sz w:val="19"/>
                <w:szCs w:val="19"/>
                <w:color w:val="auto"/>
              </w:rPr>
            </w:pPr>
          </w:p>
        </w:tc>
        <w:tc>
          <w:tcPr>
            <w:tcW w:w="15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5.91</w:t>
            </w:r>
          </w:p>
        </w:tc>
      </w:tr>
      <w:tr>
        <w:trPr>
          <w:trHeight w:val="215"/>
        </w:trPr>
        <w:tc>
          <w:tcPr>
            <w:tcW w:w="67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Nonvested at December 31, 2020</w:t>
            </w:r>
          </w:p>
        </w:tc>
        <w:tc>
          <w:tcPr>
            <w:tcW w:w="160" w:type="dxa"/>
            <w:vAlign w:val="bottom"/>
            <w:tcBorders>
              <w:top w:val="single" w:sz="8" w:color="E6E6E6"/>
            </w:tcBorders>
            <w:shd w:val="clear" w:color="auto" w:fill="E6E6E6"/>
          </w:tcPr>
          <w:p>
            <w:pPr>
              <w:spacing w:after="0"/>
              <w:rPr>
                <w:sz w:val="18"/>
                <w:szCs w:val="18"/>
                <w:color w:val="auto"/>
              </w:rPr>
            </w:pPr>
          </w:p>
        </w:tc>
        <w:tc>
          <w:tcPr>
            <w:tcW w:w="16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1,047</w:t>
            </w:r>
          </w:p>
        </w:tc>
        <w:tc>
          <w:tcPr>
            <w:tcW w:w="26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E6E6E6"/>
            </w:tcBorders>
            <w:shd w:val="clear" w:color="auto" w:fill="E6E6E6"/>
          </w:tcPr>
          <w:p>
            <w:pPr>
              <w:spacing w:after="0"/>
              <w:rPr>
                <w:sz w:val="18"/>
                <w:szCs w:val="18"/>
                <w:color w:val="auto"/>
              </w:rPr>
            </w:pPr>
          </w:p>
        </w:tc>
        <w:tc>
          <w:tcPr>
            <w:tcW w:w="1520" w:type="dxa"/>
            <w:vAlign w:val="bottom"/>
            <w:tcBorders>
              <w:top w:val="single" w:sz="8" w:color="E6E6E6"/>
            </w:tcBorders>
            <w:gridSpan w:val="2"/>
            <w:shd w:val="clear" w:color="auto" w:fill="E6E6E6"/>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6.00</w:t>
            </w: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19"/>
                <w:szCs w:val="19"/>
                <w:color w:val="auto"/>
              </w:rPr>
            </w:pPr>
          </w:p>
        </w:tc>
        <w:tc>
          <w:tcPr>
            <w:tcW w:w="1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8.19</w:t>
            </w:r>
          </w:p>
        </w:tc>
      </w:tr>
      <w:tr>
        <w:trPr>
          <w:trHeight w:val="225"/>
        </w:trPr>
        <w:tc>
          <w:tcPr>
            <w:tcW w:w="6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Vested</w:t>
            </w:r>
          </w:p>
        </w:tc>
        <w:tc>
          <w:tcPr>
            <w:tcW w:w="2080" w:type="dxa"/>
            <w:vAlign w:val="bottom"/>
            <w:gridSpan w:val="3"/>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(323)</w:t>
            </w:r>
          </w:p>
        </w:tc>
        <w:tc>
          <w:tcPr>
            <w:tcW w:w="280" w:type="dxa"/>
            <w:vAlign w:val="bottom"/>
            <w:shd w:val="clear" w:color="auto" w:fill="E6E6E6"/>
          </w:tcPr>
          <w:p>
            <w:pPr>
              <w:spacing w:after="0"/>
              <w:rPr>
                <w:sz w:val="19"/>
                <w:szCs w:val="19"/>
                <w:color w:val="auto"/>
              </w:rPr>
            </w:pPr>
          </w:p>
        </w:tc>
        <w:tc>
          <w:tcPr>
            <w:tcW w:w="15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6.31</w:t>
            </w: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Forfeited</w:t>
            </w:r>
          </w:p>
        </w:tc>
        <w:tc>
          <w:tcPr>
            <w:tcW w:w="2080" w:type="dxa"/>
            <w:vAlign w:val="bottom"/>
            <w:gridSpan w:val="3"/>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(264)</w:t>
            </w:r>
          </w:p>
        </w:tc>
        <w:tc>
          <w:tcPr>
            <w:tcW w:w="280" w:type="dxa"/>
            <w:vAlign w:val="bottom"/>
          </w:tcPr>
          <w:p>
            <w:pPr>
              <w:spacing w:after="0"/>
              <w:rPr>
                <w:sz w:val="19"/>
                <w:szCs w:val="19"/>
                <w:color w:val="auto"/>
              </w:rPr>
            </w:pPr>
          </w:p>
        </w:tc>
        <w:tc>
          <w:tcPr>
            <w:tcW w:w="15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5.80</w:t>
            </w:r>
          </w:p>
        </w:tc>
      </w:tr>
      <w:tr>
        <w:trPr>
          <w:trHeight w:val="215"/>
        </w:trPr>
        <w:tc>
          <w:tcPr>
            <w:tcW w:w="67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Nonvested at December 31, 2021</w:t>
            </w:r>
          </w:p>
        </w:tc>
        <w:tc>
          <w:tcPr>
            <w:tcW w:w="160" w:type="dxa"/>
            <w:vAlign w:val="bottom"/>
            <w:tcBorders>
              <w:top w:val="single" w:sz="8" w:color="E6E6E6"/>
            </w:tcBorders>
            <w:shd w:val="clear" w:color="auto" w:fill="E6E6E6"/>
          </w:tcPr>
          <w:p>
            <w:pPr>
              <w:spacing w:after="0"/>
              <w:rPr>
                <w:sz w:val="18"/>
                <w:szCs w:val="18"/>
                <w:color w:val="auto"/>
              </w:rPr>
            </w:pPr>
          </w:p>
        </w:tc>
        <w:tc>
          <w:tcPr>
            <w:tcW w:w="166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1,033</w:t>
            </w:r>
          </w:p>
        </w:tc>
        <w:tc>
          <w:tcPr>
            <w:tcW w:w="260" w:type="dxa"/>
            <w:vAlign w:val="bottom"/>
            <w:tcBorders>
              <w:top w:val="single" w:sz="8" w:color="E6E6E6"/>
            </w:tcBorders>
            <w:shd w:val="clear" w:color="auto" w:fill="E6E6E6"/>
          </w:tcPr>
          <w:p>
            <w:pPr>
              <w:spacing w:after="0"/>
              <w:rPr>
                <w:sz w:val="18"/>
                <w:szCs w:val="18"/>
                <w:color w:val="auto"/>
              </w:rPr>
            </w:pPr>
          </w:p>
        </w:tc>
        <w:tc>
          <w:tcPr>
            <w:tcW w:w="280" w:type="dxa"/>
            <w:vAlign w:val="bottom"/>
            <w:tcBorders>
              <w:top w:val="single" w:sz="8" w:color="E6E6E6"/>
            </w:tcBorders>
            <w:shd w:val="clear" w:color="auto" w:fill="E6E6E6"/>
          </w:tcPr>
          <w:p>
            <w:pPr>
              <w:spacing w:after="0"/>
              <w:rPr>
                <w:sz w:val="18"/>
                <w:szCs w:val="18"/>
                <w:color w:val="auto"/>
              </w:rPr>
            </w:pPr>
          </w:p>
        </w:tc>
        <w:tc>
          <w:tcPr>
            <w:tcW w:w="1520" w:type="dxa"/>
            <w:vAlign w:val="bottom"/>
            <w:tcBorders>
              <w:top w:val="single" w:sz="8" w:color="E6E6E6"/>
            </w:tcBorders>
            <w:gridSpan w:val="2"/>
            <w:shd w:val="clear" w:color="auto" w:fill="E6E6E6"/>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7.17</w:t>
            </w: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Granted</w:t>
            </w:r>
          </w:p>
        </w:tc>
        <w:tc>
          <w:tcPr>
            <w:tcW w:w="160" w:type="dxa"/>
            <w:vAlign w:val="bottom"/>
          </w:tcPr>
          <w:p>
            <w:pPr>
              <w:spacing w:after="0"/>
              <w:rPr>
                <w:sz w:val="19"/>
                <w:szCs w:val="19"/>
                <w:color w:val="auto"/>
              </w:rPr>
            </w:pPr>
          </w:p>
        </w:tc>
        <w:tc>
          <w:tcPr>
            <w:tcW w:w="16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5.74</w:t>
            </w:r>
          </w:p>
        </w:tc>
      </w:tr>
      <w:tr>
        <w:trPr>
          <w:trHeight w:val="225"/>
        </w:trPr>
        <w:tc>
          <w:tcPr>
            <w:tcW w:w="6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Vested</w:t>
            </w:r>
          </w:p>
        </w:tc>
        <w:tc>
          <w:tcPr>
            <w:tcW w:w="2080" w:type="dxa"/>
            <w:vAlign w:val="bottom"/>
            <w:gridSpan w:val="3"/>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(355)</w:t>
            </w:r>
          </w:p>
        </w:tc>
        <w:tc>
          <w:tcPr>
            <w:tcW w:w="280" w:type="dxa"/>
            <w:vAlign w:val="bottom"/>
            <w:shd w:val="clear" w:color="auto" w:fill="E6E6E6"/>
          </w:tcPr>
          <w:p>
            <w:pPr>
              <w:spacing w:after="0"/>
              <w:rPr>
                <w:sz w:val="19"/>
                <w:szCs w:val="19"/>
                <w:color w:val="auto"/>
              </w:rPr>
            </w:pPr>
          </w:p>
        </w:tc>
        <w:tc>
          <w:tcPr>
            <w:tcW w:w="15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6.80</w:t>
            </w:r>
          </w:p>
        </w:tc>
      </w:tr>
      <w:tr>
        <w:trPr>
          <w:trHeight w:val="225"/>
        </w:trPr>
        <w:tc>
          <w:tcPr>
            <w:tcW w:w="6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Forfeited</w:t>
            </w:r>
          </w:p>
        </w:tc>
        <w:tc>
          <w:tcPr>
            <w:tcW w:w="2080" w:type="dxa"/>
            <w:vAlign w:val="bottom"/>
            <w:gridSpan w:val="3"/>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(255)</w:t>
            </w:r>
          </w:p>
        </w:tc>
        <w:tc>
          <w:tcPr>
            <w:tcW w:w="280" w:type="dxa"/>
            <w:vAlign w:val="bottom"/>
          </w:tcPr>
          <w:p>
            <w:pPr>
              <w:spacing w:after="0"/>
              <w:rPr>
                <w:sz w:val="19"/>
                <w:szCs w:val="19"/>
                <w:color w:val="auto"/>
              </w:rPr>
            </w:pPr>
          </w:p>
        </w:tc>
        <w:tc>
          <w:tcPr>
            <w:tcW w:w="15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6.41</w:t>
            </w:r>
          </w:p>
        </w:tc>
      </w:tr>
      <w:tr>
        <w:trPr>
          <w:trHeight w:val="235"/>
        </w:trPr>
        <w:tc>
          <w:tcPr>
            <w:tcW w:w="6720" w:type="dxa"/>
            <w:vAlign w:val="bottom"/>
            <w:tcBorders>
              <w:top w:val="single" w:sz="8" w:color="E6E6E6"/>
              <w:bottom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Nonvested at December 31, 2022</w:t>
            </w:r>
          </w:p>
        </w:tc>
        <w:tc>
          <w:tcPr>
            <w:tcW w:w="160" w:type="dxa"/>
            <w:vAlign w:val="bottom"/>
            <w:tcBorders>
              <w:top w:val="single" w:sz="8" w:color="E6E6E6"/>
              <w:bottom w:val="single" w:sz="8" w:color="E6E6E6"/>
            </w:tcBorders>
            <w:shd w:val="clear" w:color="auto" w:fill="E6E6E6"/>
          </w:tcPr>
          <w:p>
            <w:pPr>
              <w:spacing w:after="0"/>
              <w:rPr>
                <w:sz w:val="20"/>
                <w:szCs w:val="20"/>
                <w:color w:val="auto"/>
              </w:rPr>
            </w:pPr>
          </w:p>
        </w:tc>
        <w:tc>
          <w:tcPr>
            <w:tcW w:w="16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1,178</w:t>
            </w:r>
          </w:p>
        </w:tc>
        <w:tc>
          <w:tcPr>
            <w:tcW w:w="260" w:type="dxa"/>
            <w:vAlign w:val="bottom"/>
            <w:tcBorders>
              <w:top w:val="single" w:sz="8" w:color="E6E6E6"/>
              <w:bottom w:val="single" w:sz="8" w:color="E6E6E6"/>
            </w:tcBorders>
            <w:shd w:val="clear" w:color="auto" w:fill="E6E6E6"/>
          </w:tcPr>
          <w:p>
            <w:pPr>
              <w:spacing w:after="0"/>
              <w:rPr>
                <w:sz w:val="20"/>
                <w:szCs w:val="20"/>
                <w:color w:val="auto"/>
              </w:rPr>
            </w:pPr>
          </w:p>
        </w:tc>
        <w:tc>
          <w:tcPr>
            <w:tcW w:w="280" w:type="dxa"/>
            <w:vAlign w:val="bottom"/>
            <w:tcBorders>
              <w:top w:val="single" w:sz="8" w:color="E6E6E6"/>
              <w:bottom w:val="single" w:sz="8" w:color="E6E6E6"/>
            </w:tcBorders>
            <w:shd w:val="clear" w:color="auto" w:fill="E6E6E6"/>
          </w:tcPr>
          <w:p>
            <w:pPr>
              <w:jc w:val="right"/>
              <w:ind w:right="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E6E6E6"/>
              <w:bottom w:val="single" w:sz="8" w:color="E6E6E6"/>
            </w:tcBorders>
            <w:gridSpan w:val="2"/>
            <w:shd w:val="clear" w:color="auto" w:fill="E6E6E6"/>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6.53</w:t>
            </w: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20"/>
          <w:szCs w:val="20"/>
          <w:color w:val="auto"/>
        </w:rPr>
        <w:t>The Company received $0.4 million, zero and zero of cash from employees exercising options in 2022, 2021 and 2020, respectively. The Company received approximately $13,000 from a non-employee director exercising options during 2021. The intrinsic value of options exercised during 2022, 2021 and 2020 was $0.2 million, $3,000 and zero, respectively.</w:t>
      </w:r>
    </w:p>
    <w:p>
      <w:pPr>
        <w:spacing w:after="0" w:line="187"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Unrecognized compensation expense related to nonvested shares of stock options, restricted stock and performance units was $5.5 million at December 31, 2022 and will be recognized over a weighted average vesting period of 1.6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Common Stock Repurchase</w:t>
      </w:r>
    </w:p>
    <w:p>
      <w:pPr>
        <w:spacing w:after="0" w:line="22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9"/>
          <w:szCs w:val="19"/>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Through December 31, 2022, the Company has repurchased and retired approximately 1,032,000 shares of common stock at a cost of $7.0 million under the program.</w:t>
      </w:r>
    </w:p>
    <w:p>
      <w:pPr>
        <w:spacing w:after="0" w:line="18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On August 3, 2021, the Company's Board of Directors authorized a share repurchase program under which CECO may purchase up to $5.0 million of its outstanding shares of Company stock. The authorization permitted the Company to repurchase shares in the open market, through accelerated share repurchases, block trades, 10b5-1 plans or through privately negotiated transactions in accordance with applicable laws, rules and regulations. The Company completed its purchases authorized under the plan in October 2021, repurchasing approximately 700,000 shares of common stock at a cost of $5.0 million under the program. All treasury shares were retired following the repurchase.</w:t>
      </w:r>
    </w:p>
    <w:p>
      <w:pPr>
        <w:sectPr>
          <w:pgSz w:w="12240" w:h="15840" w:orient="portrait"/>
          <w:cols w:equalWidth="0" w:num="1">
            <w:col w:w="10600"/>
          </w:cols>
          <w:pgMar w:left="820" w:top="1293" w:right="820" w:bottom="326"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600"/>
          </w:cols>
          <w:pgMar w:left="820" w:top="1293" w:right="820" w:bottom="326"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i w:val="1"/>
          <w:iCs w:val="1"/>
          <w:color w:val="auto"/>
        </w:rPr>
        <w:t>Dividends</w:t>
      </w:r>
    </w:p>
    <w:p>
      <w:pPr>
        <w:spacing w:after="0" w:line="109"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Company's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financial covenants under the Credit Facility. The Company has not paid a cash dividend on its common stock in any of the years ended December 31, 2022, 2021 or 2020 and currently intends to retain future earnings, if any, to finance the operations, growth and development of its business in the foreseeable future.</w:t>
      </w:r>
    </w:p>
    <w:p>
      <w:pPr>
        <w:spacing w:after="0" w:line="192" w:lineRule="exact"/>
        <w:rPr>
          <w:sz w:val="20"/>
          <w:szCs w:val="20"/>
          <w:color w:val="auto"/>
        </w:rPr>
      </w:pPr>
    </w:p>
    <w:p>
      <w:pPr>
        <w:ind w:left="480" w:hanging="472"/>
        <w:spacing w:after="0"/>
        <w:tabs>
          <w:tab w:leader="none" w:pos="4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Pension and Employee Benefit Plans</w:t>
      </w:r>
    </w:p>
    <w:p>
      <w:pPr>
        <w:spacing w:after="0" w:line="23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Company sponsors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the plan changes in benefit obligations, plan assets and funded status on the measurement dates: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000" w:type="dxa"/>
            <w:vAlign w:val="bottom"/>
            <w:tcBorders>
              <w:bottom w:val="single" w:sz="8" w:color="E6E6E6"/>
            </w:tcBorders>
            <w:vMerge w:val="continue"/>
          </w:tcPr>
          <w:p>
            <w:pPr>
              <w:spacing w:after="0"/>
              <w:rPr>
                <w:sz w:val="14"/>
                <w:szCs w:val="14"/>
                <w:color w:val="auto"/>
              </w:rPr>
            </w:pPr>
          </w:p>
        </w:tc>
        <w:tc>
          <w:tcPr>
            <w:tcW w:w="172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4"/>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E6E6E6"/>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5"/>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E6E6E6"/>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4"/>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Change in projected benefit obligation:</w:t>
            </w:r>
          </w:p>
        </w:tc>
        <w:tc>
          <w:tcPr>
            <w:tcW w:w="17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w w:val="97"/>
              </w:rPr>
              <w:t>Projected benefit obligation at beginning of year</w:t>
            </w:r>
          </w:p>
        </w:tc>
        <w:tc>
          <w:tcPr>
            <w:tcW w:w="1720" w:type="dxa"/>
            <w:vAlign w:val="bottom"/>
          </w:tcPr>
          <w:p>
            <w:pPr>
              <w:spacing w:after="0"/>
              <w:rPr>
                <w:sz w:val="19"/>
                <w:szCs w:val="19"/>
                <w:color w:val="auto"/>
              </w:rPr>
            </w:pP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35,035</w:t>
            </w:r>
          </w:p>
        </w:tc>
        <w:tc>
          <w:tcPr>
            <w:tcW w:w="240" w:type="dxa"/>
            <w:vAlign w:val="bottom"/>
          </w:tcPr>
          <w:p>
            <w:pPr>
              <w:spacing w:after="0"/>
              <w:rPr>
                <w:sz w:val="19"/>
                <w:szCs w:val="19"/>
                <w:color w:val="auto"/>
              </w:rPr>
            </w:pPr>
          </w:p>
        </w:tc>
        <w:tc>
          <w:tcPr>
            <w:tcW w:w="1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38,272</w:t>
            </w:r>
          </w:p>
        </w:tc>
        <w:tc>
          <w:tcPr>
            <w:tcW w:w="260" w:type="dxa"/>
            <w:vAlign w:val="bottom"/>
          </w:tcPr>
          <w:p>
            <w:pPr>
              <w:spacing w:after="0"/>
              <w:rPr>
                <w:sz w:val="19"/>
                <w:szCs w:val="19"/>
                <w:color w:val="auto"/>
              </w:rPr>
            </w:pP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35,985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Interest cost</w:t>
            </w:r>
          </w:p>
        </w:tc>
        <w:tc>
          <w:tcPr>
            <w:tcW w:w="17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877</w:t>
            </w:r>
          </w:p>
        </w:tc>
        <w:tc>
          <w:tcPr>
            <w:tcW w:w="2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260"/>
              <w:spacing w:after="0" w:line="226" w:lineRule="exact"/>
              <w:rPr>
                <w:sz w:val="20"/>
                <w:szCs w:val="20"/>
                <w:color w:val="auto"/>
              </w:rPr>
            </w:pPr>
            <w:r>
              <w:rPr>
                <w:rFonts w:ascii="Times New Roman" w:cs="Times New Roman" w:eastAsia="Times New Roman" w:hAnsi="Times New Roman"/>
                <w:sz w:val="20"/>
                <w:szCs w:val="20"/>
                <w:color w:val="auto"/>
              </w:rPr>
              <w:t>775</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1,034</w:t>
            </w: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Actuarial (gain) loss</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(6,540)</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(1,936)</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3,323</w:t>
            </w:r>
          </w:p>
        </w:tc>
        <w:tc>
          <w:tcPr>
            <w:tcW w:w="0" w:type="dxa"/>
            <w:vAlign w:val="bottom"/>
          </w:tcPr>
          <w:p>
            <w:pPr>
              <w:spacing w:after="0"/>
              <w:rPr>
                <w:sz w:val="1"/>
                <w:szCs w:val="1"/>
                <w:color w:val="auto"/>
              </w:rPr>
            </w:pPr>
          </w:p>
        </w:tc>
      </w:tr>
      <w:tr>
        <w:trPr>
          <w:trHeight w:val="225"/>
        </w:trPr>
        <w:tc>
          <w:tcPr>
            <w:tcW w:w="40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Benefits paid</w:t>
            </w:r>
          </w:p>
        </w:tc>
        <w:tc>
          <w:tcPr>
            <w:tcW w:w="17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(2,022)</w:t>
            </w:r>
          </w:p>
        </w:tc>
        <w:tc>
          <w:tcPr>
            <w:tcW w:w="18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(2,076)</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(2,070)</w:t>
            </w:r>
          </w:p>
        </w:tc>
        <w:tc>
          <w:tcPr>
            <w:tcW w:w="0" w:type="dxa"/>
            <w:vAlign w:val="bottom"/>
          </w:tcPr>
          <w:p>
            <w:pPr>
              <w:spacing w:after="0"/>
              <w:rPr>
                <w:sz w:val="1"/>
                <w:szCs w:val="1"/>
                <w:color w:val="auto"/>
              </w:rPr>
            </w:pPr>
          </w:p>
        </w:tc>
      </w:tr>
      <w:tr>
        <w:trPr>
          <w:trHeight w:val="215"/>
        </w:trPr>
        <w:tc>
          <w:tcPr>
            <w:tcW w:w="4000" w:type="dxa"/>
            <w:vAlign w:val="bottom"/>
            <w:tcBorders>
              <w:bottom w:val="single" w:sz="8" w:color="E6E6E6"/>
            </w:tcBorders>
          </w:tcPr>
          <w:p>
            <w:pPr>
              <w:spacing w:after="0" w:line="215" w:lineRule="exact"/>
              <w:rPr>
                <w:sz w:val="20"/>
                <w:szCs w:val="20"/>
                <w:color w:val="auto"/>
              </w:rPr>
            </w:pPr>
            <w:r>
              <w:rPr>
                <w:rFonts w:ascii="Times New Roman" w:cs="Times New Roman" w:eastAsia="Times New Roman" w:hAnsi="Times New Roman"/>
                <w:sz w:val="20"/>
                <w:szCs w:val="20"/>
                <w:color w:val="auto"/>
              </w:rPr>
              <w:t>Projected benefit obligation at end of year</w:t>
            </w:r>
          </w:p>
        </w:tc>
        <w:tc>
          <w:tcPr>
            <w:tcW w:w="172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27,350</w:t>
            </w:r>
          </w:p>
        </w:tc>
        <w:tc>
          <w:tcPr>
            <w:tcW w:w="240" w:type="dxa"/>
            <w:vAlign w:val="bottom"/>
            <w:tcBorders>
              <w:bottom w:val="single" w:sz="8" w:color="E6E6E6"/>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35,035</w:t>
            </w:r>
          </w:p>
        </w:tc>
        <w:tc>
          <w:tcPr>
            <w:tcW w:w="26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38,272</w:t>
            </w:r>
          </w:p>
        </w:tc>
        <w:tc>
          <w:tcPr>
            <w:tcW w:w="18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Change in plan assets:</w:t>
            </w:r>
          </w:p>
        </w:tc>
        <w:tc>
          <w:tcPr>
            <w:tcW w:w="172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2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29,474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28,545</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27,099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Actual return on plan assets</w:t>
            </w:r>
          </w:p>
        </w:tc>
        <w:tc>
          <w:tcPr>
            <w:tcW w:w="17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(5,631)</w:t>
            </w:r>
          </w:p>
        </w:tc>
        <w:tc>
          <w:tcPr>
            <w:tcW w:w="18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260"/>
              <w:spacing w:after="0" w:line="226" w:lineRule="exact"/>
              <w:rPr>
                <w:sz w:val="20"/>
                <w:szCs w:val="20"/>
                <w:color w:val="auto"/>
              </w:rPr>
            </w:pPr>
            <w:r>
              <w:rPr>
                <w:rFonts w:ascii="Times New Roman" w:cs="Times New Roman" w:eastAsia="Times New Roman" w:hAnsi="Times New Roman"/>
                <w:sz w:val="20"/>
                <w:szCs w:val="20"/>
                <w:color w:val="auto"/>
              </w:rPr>
              <w:t>3,005</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1,629</w:t>
            </w:r>
          </w:p>
        </w:tc>
        <w:tc>
          <w:tcPr>
            <w:tcW w:w="0" w:type="dxa"/>
            <w:vAlign w:val="bottom"/>
          </w:tcPr>
          <w:p>
            <w:pPr>
              <w:spacing w:after="0"/>
              <w:rPr>
                <w:sz w:val="1"/>
                <w:szCs w:val="1"/>
                <w:color w:val="auto"/>
              </w:rPr>
            </w:pPr>
          </w:p>
        </w:tc>
      </w:tr>
      <w:tr>
        <w:trPr>
          <w:trHeight w:val="225"/>
        </w:trPr>
        <w:tc>
          <w:tcPr>
            <w:tcW w:w="40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Employer contribution</w:t>
            </w:r>
          </w:p>
        </w:tc>
        <w:tc>
          <w:tcPr>
            <w:tcW w:w="1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480" w:type="dxa"/>
            <w:vAlign w:val="bottom"/>
            <w:gridSpan w:val="2"/>
          </w:tcPr>
          <w:p>
            <w:pPr>
              <w:jc w:val="right"/>
              <w:ind w:right="2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1,887</w:t>
            </w:r>
          </w:p>
        </w:tc>
        <w:tc>
          <w:tcPr>
            <w:tcW w:w="0" w:type="dxa"/>
            <w:vAlign w:val="bottom"/>
          </w:tcPr>
          <w:p>
            <w:pPr>
              <w:spacing w:after="0"/>
              <w:rPr>
                <w:sz w:val="1"/>
                <w:szCs w:val="1"/>
                <w:color w:val="auto"/>
              </w:rPr>
            </w:pPr>
          </w:p>
        </w:tc>
      </w:tr>
      <w:tr>
        <w:trPr>
          <w:trHeight w:val="225"/>
        </w:trPr>
        <w:tc>
          <w:tcPr>
            <w:tcW w:w="40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Benefits paid</w:t>
            </w:r>
          </w:p>
        </w:tc>
        <w:tc>
          <w:tcPr>
            <w:tcW w:w="17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(2,022)</w:t>
            </w:r>
          </w:p>
        </w:tc>
        <w:tc>
          <w:tcPr>
            <w:tcW w:w="18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(2,076)</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(2,070)</w:t>
            </w:r>
          </w:p>
        </w:tc>
        <w:tc>
          <w:tcPr>
            <w:tcW w:w="0" w:type="dxa"/>
            <w:vAlign w:val="bottom"/>
          </w:tcPr>
          <w:p>
            <w:pPr>
              <w:spacing w:after="0"/>
              <w:rPr>
                <w:sz w:val="1"/>
                <w:szCs w:val="1"/>
                <w:color w:val="auto"/>
              </w:rPr>
            </w:pPr>
          </w:p>
        </w:tc>
      </w:tr>
      <w:tr>
        <w:trPr>
          <w:trHeight w:val="215"/>
        </w:trPr>
        <w:tc>
          <w:tcPr>
            <w:tcW w:w="4000" w:type="dxa"/>
            <w:vAlign w:val="bottom"/>
            <w:tcBorders>
              <w:bottom w:val="single" w:sz="8" w:color="E6E6E6"/>
            </w:tcBorders>
          </w:tcPr>
          <w:p>
            <w:pPr>
              <w:spacing w:after="0" w:line="215" w:lineRule="exact"/>
              <w:rPr>
                <w:sz w:val="20"/>
                <w:szCs w:val="20"/>
                <w:color w:val="auto"/>
              </w:rPr>
            </w:pPr>
            <w:r>
              <w:rPr>
                <w:rFonts w:ascii="Times New Roman" w:cs="Times New Roman" w:eastAsia="Times New Roman" w:hAnsi="Times New Roman"/>
                <w:sz w:val="20"/>
                <w:szCs w:val="20"/>
                <w:color w:val="auto"/>
              </w:rPr>
              <w:t>Fair value of plan assets at end of year</w:t>
            </w:r>
          </w:p>
        </w:tc>
        <w:tc>
          <w:tcPr>
            <w:tcW w:w="172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21,821</w:t>
            </w:r>
          </w:p>
        </w:tc>
        <w:tc>
          <w:tcPr>
            <w:tcW w:w="240" w:type="dxa"/>
            <w:vAlign w:val="bottom"/>
            <w:tcBorders>
              <w:bottom w:val="single" w:sz="8" w:color="E6E6E6"/>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29,474</w:t>
            </w:r>
          </w:p>
        </w:tc>
        <w:tc>
          <w:tcPr>
            <w:tcW w:w="26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28,545</w:t>
            </w:r>
          </w:p>
        </w:tc>
        <w:tc>
          <w:tcPr>
            <w:tcW w:w="18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00" w:type="dxa"/>
            <w:vAlign w:val="bottom"/>
            <w:tcBorders>
              <w:bottom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Funded status at end of year</w:t>
            </w:r>
          </w:p>
        </w:tc>
        <w:tc>
          <w:tcPr>
            <w:tcW w:w="172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(5,529)</w:t>
            </w:r>
          </w:p>
        </w:tc>
        <w:tc>
          <w:tcPr>
            <w:tcW w:w="240" w:type="dxa"/>
            <w:vAlign w:val="bottom"/>
            <w:tcBorders>
              <w:bottom w:val="single" w:sz="8" w:color="E6E6E6"/>
            </w:tcBorders>
            <w:shd w:val="clear" w:color="auto" w:fill="E6E6E6"/>
          </w:tcPr>
          <w:p>
            <w:pPr>
              <w:spacing w:after="0"/>
              <w:rPr>
                <w:sz w:val="20"/>
                <w:szCs w:val="20"/>
                <w:color w:val="auto"/>
              </w:rPr>
            </w:pPr>
          </w:p>
        </w:tc>
        <w:tc>
          <w:tcPr>
            <w:tcW w:w="1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(5,561)</w:t>
            </w:r>
          </w:p>
        </w:tc>
        <w:tc>
          <w:tcPr>
            <w:tcW w:w="26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(9,727)</w:t>
            </w:r>
          </w:p>
        </w:tc>
        <w:tc>
          <w:tcPr>
            <w:tcW w:w="18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Weighted-average assumptions used to determine</w:t>
            </w:r>
          </w:p>
        </w:tc>
        <w:tc>
          <w:tcPr>
            <w:tcW w:w="172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benefit obligations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December 31:</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Discount rate</w:t>
            </w:r>
          </w:p>
        </w:tc>
        <w:tc>
          <w:tcPr>
            <w:tcW w:w="17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4.90%</w:t>
            </w:r>
          </w:p>
        </w:tc>
        <w:tc>
          <w:tcPr>
            <w:tcW w:w="18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2.55%</w:t>
            </w:r>
          </w:p>
        </w:tc>
        <w:tc>
          <w:tcPr>
            <w:tcW w:w="32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The funded status as of December 31, 2022, 2021 and 2020, was $5.5 million, $5.6 million and $9.7 million, respectively and is recognized in the accompanying Consolidated Balance Sheets within other long-term liabilities.</w:t>
      </w:r>
    </w:p>
    <w:p>
      <w:pPr>
        <w:spacing w:after="0" w:line="17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details of net periodic benefit cost for pension benefits included in the accompanying Consolidated Statements of Income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9"/>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Interest cost</w:t>
            </w:r>
          </w:p>
        </w:tc>
        <w:tc>
          <w:tcPr>
            <w:tcW w:w="320" w:type="dxa"/>
            <w:vAlign w:val="bottom"/>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877</w:t>
            </w:r>
          </w:p>
        </w:tc>
        <w:tc>
          <w:tcPr>
            <w:tcW w:w="24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775</w:t>
            </w:r>
          </w:p>
        </w:tc>
        <w:tc>
          <w:tcPr>
            <w:tcW w:w="240" w:type="dxa"/>
            <w:vAlign w:val="bottom"/>
          </w:tcPr>
          <w:p>
            <w:pPr>
              <w:spacing w:after="0"/>
              <w:rPr>
                <w:sz w:val="18"/>
                <w:szCs w:val="18"/>
                <w:color w:val="auto"/>
              </w:rPr>
            </w:pPr>
          </w:p>
        </w:tc>
        <w:tc>
          <w:tcPr>
            <w:tcW w:w="320" w:type="dxa"/>
            <w:vAlign w:val="bottom"/>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Expected return on plan assets</w:t>
            </w:r>
          </w:p>
        </w:tc>
        <w:tc>
          <w:tcPr>
            <w:tcW w:w="32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(1,560)</w:t>
            </w:r>
          </w:p>
        </w:tc>
        <w:tc>
          <w:tcPr>
            <w:tcW w:w="1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(1,510)</w:t>
            </w:r>
          </w:p>
        </w:tc>
        <w:tc>
          <w:tcPr>
            <w:tcW w:w="32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(1,594)</w:t>
            </w:r>
          </w:p>
        </w:tc>
        <w:tc>
          <w:tcPr>
            <w:tcW w:w="0" w:type="dxa"/>
            <w:vAlign w:val="bottom"/>
          </w:tcPr>
          <w:p>
            <w:pPr>
              <w:spacing w:after="0"/>
              <w:rPr>
                <w:sz w:val="1"/>
                <w:szCs w:val="1"/>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Amortization of net loss</w:t>
            </w: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40"/>
              <w:spacing w:after="0" w:line="226" w:lineRule="exact"/>
              <w:rPr>
                <w:sz w:val="20"/>
                <w:szCs w:val="20"/>
                <w:color w:val="auto"/>
              </w:rPr>
            </w:pPr>
            <w:r>
              <w:rPr>
                <w:rFonts w:ascii="Times New Roman" w:cs="Times New Roman" w:eastAsia="Times New Roman" w:hAnsi="Times New Roman"/>
                <w:sz w:val="20"/>
                <w:szCs w:val="20"/>
                <w:color w:val="auto"/>
              </w:rPr>
              <w:t>411</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15"/>
        </w:trPr>
        <w:tc>
          <w:tcPr>
            <w:tcW w:w="58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periodic benefit income</w:t>
            </w: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(420)</w:t>
            </w:r>
          </w:p>
        </w:tc>
        <w:tc>
          <w:tcPr>
            <w:tcW w:w="24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(324)</w:t>
            </w:r>
          </w:p>
        </w:tc>
        <w:tc>
          <w:tcPr>
            <w:tcW w:w="2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(294)</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changes in plan assets and benefit obligations recognized in other comprehensive income: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2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9"/>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loss (gain)</w:t>
            </w:r>
          </w:p>
        </w:tc>
        <w:tc>
          <w:tcPr>
            <w:tcW w:w="320" w:type="dxa"/>
            <w:vAlign w:val="bottom"/>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651</w:t>
            </w:r>
          </w:p>
        </w:tc>
        <w:tc>
          <w:tcPr>
            <w:tcW w:w="240" w:type="dxa"/>
            <w:vAlign w:val="bottom"/>
          </w:tcPr>
          <w:p>
            <w:pPr>
              <w:spacing w:after="0"/>
              <w:rPr>
                <w:sz w:val="18"/>
                <w:szCs w:val="18"/>
                <w:color w:val="auto"/>
              </w:rPr>
            </w:pPr>
          </w:p>
        </w:tc>
        <w:tc>
          <w:tcPr>
            <w:tcW w:w="1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(3,432)</w:t>
            </w:r>
          </w:p>
        </w:tc>
        <w:tc>
          <w:tcPr>
            <w:tcW w:w="240" w:type="dxa"/>
            <w:vAlign w:val="bottom"/>
          </w:tcPr>
          <w:p>
            <w:pPr>
              <w:spacing w:after="0"/>
              <w:rPr>
                <w:sz w:val="18"/>
                <w:szCs w:val="18"/>
                <w:color w:val="auto"/>
              </w:rPr>
            </w:pPr>
          </w:p>
        </w:tc>
        <w:tc>
          <w:tcPr>
            <w:tcW w:w="320" w:type="dxa"/>
            <w:vAlign w:val="bottom"/>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3,287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Amortization of net actuarial loss</w:t>
            </w:r>
          </w:p>
        </w:tc>
        <w:tc>
          <w:tcPr>
            <w:tcW w:w="320" w:type="dxa"/>
            <w:vAlign w:val="bottom"/>
            <w:shd w:val="clear" w:color="auto" w:fill="E6E6E6"/>
          </w:tcPr>
          <w:p>
            <w:pPr>
              <w:spacing w:after="0"/>
              <w:rPr>
                <w:sz w:val="21"/>
                <w:szCs w:val="21"/>
                <w:color w:val="auto"/>
              </w:rPr>
            </w:pPr>
          </w:p>
        </w:tc>
        <w:tc>
          <w:tcPr>
            <w:tcW w:w="130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(263)</w:t>
            </w:r>
          </w:p>
        </w:tc>
        <w:tc>
          <w:tcPr>
            <w:tcW w:w="180" w:type="dxa"/>
            <w:vAlign w:val="bottom"/>
            <w:shd w:val="clear" w:color="auto" w:fill="E6E6E6"/>
          </w:tcPr>
          <w:p>
            <w:pPr>
              <w:spacing w:after="0"/>
              <w:rPr>
                <w:sz w:val="21"/>
                <w:szCs w:val="21"/>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(411)</w:t>
            </w:r>
          </w:p>
        </w:tc>
        <w:tc>
          <w:tcPr>
            <w:tcW w:w="320" w:type="dxa"/>
            <w:vAlign w:val="bottom"/>
            <w:shd w:val="clear" w:color="auto" w:fill="E6E6E6"/>
          </w:tcPr>
          <w:p>
            <w:pPr>
              <w:spacing w:after="0"/>
              <w:rPr>
                <w:sz w:val="21"/>
                <w:szCs w:val="21"/>
                <w:color w:val="auto"/>
              </w:rPr>
            </w:pPr>
          </w:p>
        </w:tc>
        <w:tc>
          <w:tcPr>
            <w:tcW w:w="12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35"/>
        </w:trPr>
        <w:tc>
          <w:tcPr>
            <w:tcW w:w="5820" w:type="dxa"/>
            <w:vAlign w:val="bottom"/>
            <w:tcBorders>
              <w:top w:val="single" w:sz="8" w:color="E6E6E6"/>
              <w:bottom w:val="single" w:sz="8" w:color="E6E6E6"/>
            </w:tcBorders>
          </w:tcPr>
          <w:p>
            <w:pPr>
              <w:spacing w:after="0" w:line="195" w:lineRule="exact"/>
              <w:rPr>
                <w:sz w:val="20"/>
                <w:szCs w:val="20"/>
                <w:color w:val="auto"/>
              </w:rPr>
            </w:pPr>
            <w:r>
              <w:rPr>
                <w:rFonts w:ascii="Times New Roman" w:cs="Times New Roman" w:eastAsia="Times New Roman" w:hAnsi="Times New Roman"/>
                <w:sz w:val="20"/>
                <w:szCs w:val="20"/>
                <w:color w:val="auto"/>
              </w:rPr>
              <w:t>Total recognized in other comprehensive income (loss)</w:t>
            </w:r>
          </w:p>
        </w:tc>
        <w:tc>
          <w:tcPr>
            <w:tcW w:w="320" w:type="dxa"/>
            <w:vAlign w:val="bottom"/>
            <w:tcBorders>
              <w:top w:val="single" w:sz="8" w:color="auto"/>
              <w:bottom w:val="single" w:sz="8" w:color="auto"/>
            </w:tcBorders>
          </w:tcPr>
          <w:p>
            <w:pPr>
              <w:jc w:val="right"/>
              <w:ind w:right="12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388</w:t>
            </w:r>
          </w:p>
        </w:tc>
        <w:tc>
          <w:tcPr>
            <w:tcW w:w="240" w:type="dxa"/>
            <w:vAlign w:val="bottom"/>
            <w:tcBorders>
              <w:top w:val="single" w:sz="8" w:color="E6E6E6"/>
              <w:bottom w:val="single" w:sz="8" w:color="E6E6E6"/>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(3,843)</w:t>
            </w:r>
          </w:p>
        </w:tc>
        <w:tc>
          <w:tcPr>
            <w:tcW w:w="240" w:type="dxa"/>
            <w:vAlign w:val="bottom"/>
            <w:tcBorders>
              <w:top w:val="single" w:sz="8" w:color="E6E6E6"/>
              <w:bottom w:val="single" w:sz="8" w:color="E6E6E6"/>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22"/>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3,021</w:t>
            </w:r>
          </w:p>
        </w:tc>
        <w:tc>
          <w:tcPr>
            <w:tcW w:w="120" w:type="dxa"/>
            <w:vAlign w:val="bottom"/>
            <w:tcBorders>
              <w:top w:val="single" w:sz="8" w:color="E6E6E6"/>
              <w:bottom w:val="single" w:sz="8" w:color="E6E6E6"/>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820" w:type="dxa"/>
            <w:vAlign w:val="bottom"/>
            <w:shd w:val="clear" w:color="auto" w:fill="E6E6E6"/>
          </w:tcPr>
          <w:p>
            <w:pPr>
              <w:spacing w:after="0" w:line="190" w:lineRule="exact"/>
              <w:rPr>
                <w:sz w:val="20"/>
                <w:szCs w:val="20"/>
                <w:color w:val="auto"/>
              </w:rPr>
            </w:pPr>
            <w:r>
              <w:rPr>
                <w:rFonts w:ascii="Times New Roman" w:cs="Times New Roman" w:eastAsia="Times New Roman" w:hAnsi="Times New Roman"/>
                <w:sz w:val="20"/>
                <w:szCs w:val="20"/>
                <w:color w:val="auto"/>
              </w:rPr>
              <w:t>Total recognized in net periodic benefit cost and other comprehensive</w:t>
            </w:r>
          </w:p>
        </w:tc>
        <w:tc>
          <w:tcPr>
            <w:tcW w:w="320" w:type="dxa"/>
            <w:vAlign w:val="bottom"/>
            <w:vMerge w:val="restart"/>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40" w:type="dxa"/>
            <w:vAlign w:val="bottom"/>
            <w:shd w:val="clear" w:color="auto" w:fill="E6E6E6"/>
          </w:tcPr>
          <w:p>
            <w:pPr>
              <w:spacing w:after="0"/>
              <w:rPr>
                <w:sz w:val="16"/>
                <w:szCs w:val="16"/>
                <w:color w:val="auto"/>
              </w:rPr>
            </w:pPr>
          </w:p>
        </w:tc>
        <w:tc>
          <w:tcPr>
            <w:tcW w:w="1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(4,167)</w:t>
            </w:r>
          </w:p>
        </w:tc>
        <w:tc>
          <w:tcPr>
            <w:tcW w:w="240" w:type="dxa"/>
            <w:vAlign w:val="bottom"/>
            <w:shd w:val="clear" w:color="auto" w:fill="E6E6E6"/>
          </w:tcPr>
          <w:p>
            <w:pPr>
              <w:spacing w:after="0"/>
              <w:rPr>
                <w:sz w:val="16"/>
                <w:szCs w:val="16"/>
                <w:color w:val="auto"/>
              </w:rPr>
            </w:pPr>
          </w:p>
        </w:tc>
        <w:tc>
          <w:tcPr>
            <w:tcW w:w="320" w:type="dxa"/>
            <w:vAlign w:val="bottom"/>
            <w:vMerge w:val="restart"/>
            <w:shd w:val="clear" w:color="auto" w:fill="E6E6E6"/>
          </w:tcPr>
          <w:p>
            <w:pPr>
              <w:jc w:val="right"/>
              <w:ind w:right="122"/>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2,727</w:t>
            </w:r>
          </w:p>
        </w:tc>
        <w:tc>
          <w:tcPr>
            <w:tcW w:w="1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income (loss)</w:t>
            </w:r>
          </w:p>
        </w:tc>
        <w:tc>
          <w:tcPr>
            <w:tcW w:w="320" w:type="dxa"/>
            <w:vAlign w:val="bottom"/>
            <w:tcBorders>
              <w:bottom w:val="single" w:sz="8" w:color="auto"/>
            </w:tcBorders>
            <w:vMerge w:val="continue"/>
            <w:shd w:val="clear" w:color="auto" w:fill="E6E6E6"/>
          </w:tcPr>
          <w:p>
            <w:pPr>
              <w:spacing w:after="0"/>
              <w:rPr>
                <w:sz w:val="21"/>
                <w:szCs w:val="21"/>
                <w:color w:val="auto"/>
              </w:rPr>
            </w:pPr>
          </w:p>
        </w:tc>
        <w:tc>
          <w:tcPr>
            <w:tcW w:w="1060" w:type="dxa"/>
            <w:vAlign w:val="bottom"/>
            <w:tcBorders>
              <w:bottom w:val="single" w:sz="8" w:color="auto"/>
            </w:tcBorders>
            <w:vMerge w:val="continue"/>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80" w:type="dxa"/>
            <w:vAlign w:val="bottom"/>
            <w:tcBorders>
              <w:bottom w:val="single" w:sz="8" w:color="auto"/>
            </w:tcBorders>
            <w:vMerge w:val="continue"/>
            <w:shd w:val="clear" w:color="auto" w:fill="E6E6E6"/>
          </w:tcPr>
          <w:p>
            <w:pPr>
              <w:spacing w:after="0"/>
              <w:rPr>
                <w:sz w:val="21"/>
                <w:szCs w:val="21"/>
                <w:color w:val="auto"/>
              </w:rPr>
            </w:pPr>
          </w:p>
        </w:tc>
        <w:tc>
          <w:tcPr>
            <w:tcW w:w="1220" w:type="dxa"/>
            <w:vAlign w:val="bottom"/>
            <w:tcBorders>
              <w:bottom w:val="single" w:sz="8" w:color="auto"/>
            </w:tcBorders>
            <w:vMerge w:val="continue"/>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320" w:type="dxa"/>
            <w:vAlign w:val="bottom"/>
            <w:tcBorders>
              <w:bottom w:val="single" w:sz="8" w:color="auto"/>
            </w:tcBorders>
            <w:vMerge w:val="continue"/>
            <w:shd w:val="clear" w:color="auto" w:fill="E6E6E6"/>
          </w:tcPr>
          <w:p>
            <w:pPr>
              <w:spacing w:after="0"/>
              <w:rPr>
                <w:sz w:val="21"/>
                <w:szCs w:val="21"/>
                <w:color w:val="auto"/>
              </w:rPr>
            </w:pPr>
          </w:p>
        </w:tc>
        <w:tc>
          <w:tcPr>
            <w:tcW w:w="1080" w:type="dxa"/>
            <w:vAlign w:val="bottom"/>
            <w:tcBorders>
              <w:bottom w:val="single" w:sz="8" w:color="auto"/>
            </w:tcBorders>
            <w:vMerge w:val="continue"/>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73" w:right="820" w:bottom="326"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600"/>
          </w:cols>
          <w:pgMar w:left="820" w:top="1073" w:right="820" w:bottom="326"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Weighted-average assumptions used to determine net periodic benefit costs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Discount Rate</w:t>
            </w:r>
          </w:p>
        </w:tc>
        <w:tc>
          <w:tcPr>
            <w:tcW w:w="15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1640" w:type="dxa"/>
            <w:vAlign w:val="bottom"/>
            <w:gridSpan w:val="2"/>
          </w:tcPr>
          <w:p>
            <w:pPr>
              <w:jc w:val="center"/>
              <w:ind w:left="52"/>
              <w:spacing w:after="0" w:line="170" w:lineRule="exact"/>
              <w:rPr>
                <w:sz w:val="20"/>
                <w:szCs w:val="20"/>
                <w:color w:val="auto"/>
              </w:rPr>
            </w:pPr>
            <w:r>
              <w:rPr>
                <w:rFonts w:ascii="Times New Roman" w:cs="Times New Roman" w:eastAsia="Times New Roman" w:hAnsi="Times New Roman"/>
                <w:sz w:val="16"/>
                <w:szCs w:val="16"/>
                <w:b w:val="1"/>
                <w:bCs w:val="1"/>
                <w:color w:val="auto"/>
                <w:w w:val="93"/>
              </w:rPr>
              <w:t>2021</w:t>
            </w:r>
          </w:p>
        </w:tc>
        <w:tc>
          <w:tcPr>
            <w:tcW w:w="1640" w:type="dxa"/>
            <w:vAlign w:val="bottom"/>
            <w:gridSpan w:val="2"/>
          </w:tcPr>
          <w:p>
            <w:pPr>
              <w:jc w:val="center"/>
              <w:ind w:left="32"/>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500" w:type="dxa"/>
            <w:vAlign w:val="bottom"/>
            <w:tcBorders>
              <w:top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6"/>
              </w:rPr>
              <w:t>2.55%</w:t>
            </w:r>
          </w:p>
        </w:tc>
        <w:tc>
          <w:tcPr>
            <w:tcW w:w="140" w:type="dxa"/>
            <w:vAlign w:val="bottom"/>
          </w:tcPr>
          <w:p>
            <w:pPr>
              <w:spacing w:after="0"/>
              <w:rPr>
                <w:sz w:val="18"/>
                <w:szCs w:val="18"/>
                <w:color w:val="auto"/>
              </w:rPr>
            </w:pPr>
          </w:p>
        </w:tc>
        <w:tc>
          <w:tcPr>
            <w:tcW w:w="1500" w:type="dxa"/>
            <w:vAlign w:val="bottom"/>
            <w:tcBorders>
              <w:top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6"/>
              </w:rPr>
              <w:t>2.10%</w:t>
            </w:r>
          </w:p>
        </w:tc>
        <w:tc>
          <w:tcPr>
            <w:tcW w:w="140" w:type="dxa"/>
            <w:vAlign w:val="bottom"/>
          </w:tcPr>
          <w:p>
            <w:pPr>
              <w:spacing w:after="0"/>
              <w:rPr>
                <w:sz w:val="18"/>
                <w:szCs w:val="18"/>
                <w:color w:val="auto"/>
              </w:rPr>
            </w:pPr>
          </w:p>
        </w:tc>
        <w:tc>
          <w:tcPr>
            <w:tcW w:w="1500" w:type="dxa"/>
            <w:vAlign w:val="bottom"/>
            <w:tcBorders>
              <w:top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25"/>
        </w:trPr>
        <w:tc>
          <w:tcPr>
            <w:tcW w:w="5820" w:type="dxa"/>
            <w:vAlign w:val="bottom"/>
            <w:shd w:val="clear" w:color="auto" w:fill="E6E6E6"/>
          </w:tcPr>
          <w:p>
            <w:pPr>
              <w:ind w:left="400"/>
              <w:spacing w:after="0" w:line="226" w:lineRule="exact"/>
              <w:rPr>
                <w:sz w:val="20"/>
                <w:szCs w:val="20"/>
                <w:color w:val="auto"/>
              </w:rPr>
            </w:pPr>
            <w:r>
              <w:rPr>
                <w:rFonts w:ascii="Times New Roman" w:cs="Times New Roman" w:eastAsia="Times New Roman" w:hAnsi="Times New Roman"/>
                <w:sz w:val="20"/>
                <w:szCs w:val="20"/>
                <w:color w:val="auto"/>
              </w:rPr>
              <w:t>Expected return on assets</w:t>
            </w:r>
          </w:p>
        </w:tc>
        <w:tc>
          <w:tcPr>
            <w:tcW w:w="1500" w:type="dxa"/>
            <w:vAlign w:val="bottom"/>
            <w:shd w:val="clear" w:color="auto" w:fill="E6E6E6"/>
          </w:tcPr>
          <w:p>
            <w:pPr>
              <w:jc w:val="center"/>
              <w:spacing w:after="0" w:line="226" w:lineRule="exact"/>
              <w:rPr>
                <w:sz w:val="20"/>
                <w:szCs w:val="20"/>
                <w:color w:val="auto"/>
              </w:rPr>
            </w:pPr>
            <w:r>
              <w:rPr>
                <w:rFonts w:ascii="Times New Roman" w:cs="Times New Roman" w:eastAsia="Times New Roman" w:hAnsi="Times New Roman"/>
                <w:sz w:val="20"/>
                <w:szCs w:val="20"/>
                <w:color w:val="auto"/>
                <w:w w:val="96"/>
              </w:rPr>
              <w:t>5.50%</w:t>
            </w:r>
          </w:p>
        </w:tc>
        <w:tc>
          <w:tcPr>
            <w:tcW w:w="1640" w:type="dxa"/>
            <w:vAlign w:val="bottom"/>
            <w:gridSpan w:val="2"/>
            <w:shd w:val="clear" w:color="auto" w:fill="E6E6E6"/>
          </w:tcPr>
          <w:p>
            <w:pPr>
              <w:jc w:val="center"/>
              <w:ind w:left="52"/>
              <w:spacing w:after="0" w:line="226" w:lineRule="exact"/>
              <w:rPr>
                <w:sz w:val="20"/>
                <w:szCs w:val="20"/>
                <w:color w:val="auto"/>
              </w:rPr>
            </w:pPr>
            <w:r>
              <w:rPr>
                <w:rFonts w:ascii="Times New Roman" w:cs="Times New Roman" w:eastAsia="Times New Roman" w:hAnsi="Times New Roman"/>
                <w:sz w:val="20"/>
                <w:szCs w:val="20"/>
                <w:color w:val="auto"/>
                <w:w w:val="96"/>
              </w:rPr>
              <w:t>5.50%</w:t>
            </w:r>
          </w:p>
        </w:tc>
        <w:tc>
          <w:tcPr>
            <w:tcW w:w="1640" w:type="dxa"/>
            <w:vAlign w:val="bottom"/>
            <w:gridSpan w:val="2"/>
            <w:shd w:val="clear" w:color="auto" w:fill="E6E6E6"/>
          </w:tcPr>
          <w:p>
            <w:pPr>
              <w:jc w:val="center"/>
              <w:ind w:left="32"/>
              <w:spacing w:after="0" w:line="226" w:lineRule="exact"/>
              <w:rPr>
                <w:sz w:val="20"/>
                <w:szCs w:val="20"/>
                <w:color w:val="auto"/>
              </w:rPr>
            </w:pPr>
            <w:r>
              <w:rPr>
                <w:rFonts w:ascii="Times New Roman" w:cs="Times New Roman" w:eastAsia="Times New Roman" w:hAnsi="Times New Roman"/>
                <w:sz w:val="20"/>
                <w:szCs w:val="20"/>
                <w:color w:val="auto"/>
              </w:rPr>
              <w:t>6.00%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196"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Benefits under the plan is not based on wages and, therefore, future wage adjustments have no effect on the projected benefit obligation.</w:t>
      </w:r>
    </w:p>
    <w:p>
      <w:pPr>
        <w:spacing w:after="0" w:line="170"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20"/>
          <w:szCs w:val="20"/>
          <w:color w:val="auto"/>
        </w:rPr>
        <w:t>During 2022, 2021 and 2020, the Company updated the mortality tables (RP-2021 Total Mortality Table, RP-2020 Total Mortality Table, and RP-2019 Total Mortality Table for each respective year) in the underlying assumptions used to determine the benefit obligation.</w:t>
      </w:r>
    </w:p>
    <w:p>
      <w:pPr>
        <w:spacing w:after="0" w:line="18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defined benefit pension plan asset allocation by asset category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gridSpan w:val="3"/>
          </w:tcPr>
          <w:p>
            <w:pPr>
              <w:jc w:val="center"/>
              <w:ind w:right="962"/>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r>
      <w:tr>
        <w:trPr>
          <w:trHeight w:val="198"/>
        </w:trPr>
        <w:tc>
          <w:tcPr>
            <w:tcW w:w="58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Allocation</w:t>
            </w:r>
          </w:p>
        </w:tc>
        <w:tc>
          <w:tcPr>
            <w:tcW w:w="1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center"/>
              <w:ind w:right="962"/>
              <w:spacing w:after="0"/>
              <w:rPr>
                <w:sz w:val="20"/>
                <w:szCs w:val="20"/>
                <w:color w:val="auto"/>
              </w:rPr>
            </w:pPr>
            <w:r>
              <w:rPr>
                <w:rFonts w:ascii="Times New Roman" w:cs="Times New Roman" w:eastAsia="Times New Roman" w:hAnsi="Times New Roman"/>
                <w:sz w:val="16"/>
                <w:szCs w:val="16"/>
                <w:b w:val="1"/>
                <w:bCs w:val="1"/>
                <w:color w:val="auto"/>
                <w:w w:val="97"/>
              </w:rPr>
              <w:t>Plan Assets</w:t>
            </w:r>
          </w:p>
        </w:tc>
      </w:tr>
      <w:tr>
        <w:trPr>
          <w:trHeight w:val="170"/>
        </w:trPr>
        <w:tc>
          <w:tcPr>
            <w:tcW w:w="5820" w:type="dxa"/>
            <w:vAlign w:val="bottom"/>
          </w:tcPr>
          <w:p>
            <w:pPr>
              <w:spacing w:after="0"/>
              <w:rPr>
                <w:sz w:val="14"/>
                <w:szCs w:val="14"/>
                <w:color w:val="auto"/>
              </w:rPr>
            </w:pPr>
          </w:p>
        </w:tc>
        <w:tc>
          <w:tcPr>
            <w:tcW w:w="150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140" w:type="dxa"/>
            <w:vAlign w:val="bottom"/>
          </w:tcPr>
          <w:p>
            <w:pPr>
              <w:spacing w:after="0"/>
              <w:rPr>
                <w:sz w:val="14"/>
                <w:szCs w:val="14"/>
                <w:color w:val="auto"/>
              </w:rPr>
            </w:pPr>
          </w:p>
        </w:tc>
        <w:tc>
          <w:tcPr>
            <w:tcW w:w="1040" w:type="dxa"/>
            <w:vAlign w:val="bottom"/>
          </w:tcPr>
          <w:p>
            <w:pPr>
              <w:jc w:val="center"/>
              <w:ind w:left="349"/>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2100" w:type="dxa"/>
            <w:vAlign w:val="bottom"/>
            <w:gridSpan w:val="3"/>
          </w:tcPr>
          <w:p>
            <w:pPr>
              <w:jc w:val="center"/>
              <w:ind w:left="494"/>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15"/>
        </w:trPr>
        <w:tc>
          <w:tcPr>
            <w:tcW w:w="58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Asset Category:</w:t>
            </w:r>
          </w:p>
        </w:tc>
        <w:tc>
          <w:tcPr>
            <w:tcW w:w="1500" w:type="dxa"/>
            <w:vAlign w:val="bottom"/>
            <w:tcBorders>
              <w:top w:val="single" w:sz="8" w:color="auto"/>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1040" w:type="dxa"/>
            <w:vAlign w:val="bottom"/>
            <w:tcBorders>
              <w:top w:val="single" w:sz="8" w:color="auto"/>
            </w:tcBorders>
            <w:shd w:val="clear" w:color="auto" w:fill="E6E6E6"/>
          </w:tcPr>
          <w:p>
            <w:pPr>
              <w:spacing w:after="0"/>
              <w:rPr>
                <w:sz w:val="18"/>
                <w:szCs w:val="18"/>
                <w:color w:val="auto"/>
              </w:rPr>
            </w:pPr>
          </w:p>
        </w:tc>
        <w:tc>
          <w:tcPr>
            <w:tcW w:w="460" w:type="dxa"/>
            <w:vAlign w:val="bottom"/>
            <w:tcBorders>
              <w:top w:val="single" w:sz="8" w:color="auto"/>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1500" w:type="dxa"/>
            <w:vAlign w:val="bottom"/>
            <w:tcBorders>
              <w:top w:val="single" w:sz="8" w:color="auto"/>
            </w:tcBorders>
            <w:shd w:val="clear" w:color="auto" w:fill="E6E6E6"/>
          </w:tcPr>
          <w:p>
            <w:pPr>
              <w:spacing w:after="0"/>
              <w:rPr>
                <w:sz w:val="18"/>
                <w:szCs w:val="18"/>
                <w:color w:val="auto"/>
              </w:rPr>
            </w:pP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Cash and cash equivalents</w:t>
            </w:r>
          </w:p>
        </w:tc>
        <w:tc>
          <w:tcPr>
            <w:tcW w:w="15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0%</w:t>
            </w:r>
          </w:p>
        </w:tc>
        <w:tc>
          <w:tcPr>
            <w:tcW w:w="140" w:type="dxa"/>
            <w:vAlign w:val="bottom"/>
          </w:tcPr>
          <w:p>
            <w:pPr>
              <w:spacing w:after="0"/>
              <w:rPr>
                <w:sz w:val="19"/>
                <w:szCs w:val="19"/>
                <w:color w:val="auto"/>
              </w:rPr>
            </w:pPr>
          </w:p>
        </w:tc>
        <w:tc>
          <w:tcPr>
            <w:tcW w:w="1040" w:type="dxa"/>
            <w:vAlign w:val="bottom"/>
          </w:tcPr>
          <w:p>
            <w:pPr>
              <w:jc w:val="center"/>
              <w:ind w:left="369"/>
              <w:spacing w:after="0" w:line="226" w:lineRule="exact"/>
              <w:rPr>
                <w:sz w:val="20"/>
                <w:szCs w:val="20"/>
                <w:color w:val="auto"/>
              </w:rPr>
            </w:pPr>
            <w:r>
              <w:rPr>
                <w:rFonts w:ascii="Times New Roman" w:cs="Times New Roman" w:eastAsia="Times New Roman" w:hAnsi="Times New Roman"/>
                <w:sz w:val="20"/>
                <w:szCs w:val="20"/>
                <w:color w:val="auto"/>
                <w:w w:val="97"/>
              </w:rPr>
              <w:t>2%</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1%</w:t>
            </w:r>
          </w:p>
        </w:tc>
      </w:tr>
      <w:tr>
        <w:trPr>
          <w:trHeight w:val="225"/>
        </w:trPr>
        <w:tc>
          <w:tcPr>
            <w:tcW w:w="58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Equity securities</w:t>
            </w:r>
          </w:p>
        </w:tc>
        <w:tc>
          <w:tcPr>
            <w:tcW w:w="1500" w:type="dxa"/>
            <w:vAlign w:val="bottom"/>
            <w:shd w:val="clear" w:color="auto" w:fill="E6E6E6"/>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70%</w:t>
            </w:r>
          </w:p>
        </w:tc>
        <w:tc>
          <w:tcPr>
            <w:tcW w:w="1180" w:type="dxa"/>
            <w:vAlign w:val="bottom"/>
            <w:gridSpan w:val="2"/>
            <w:shd w:val="clear" w:color="auto" w:fill="E6E6E6"/>
          </w:tcPr>
          <w:p>
            <w:pPr>
              <w:jc w:val="center"/>
              <w:ind w:left="482"/>
              <w:spacing w:after="0" w:line="226" w:lineRule="exact"/>
              <w:rPr>
                <w:sz w:val="20"/>
                <w:szCs w:val="20"/>
                <w:color w:val="auto"/>
              </w:rPr>
            </w:pPr>
            <w:r>
              <w:rPr>
                <w:rFonts w:ascii="Times New Roman" w:cs="Times New Roman" w:eastAsia="Times New Roman" w:hAnsi="Times New Roman"/>
                <w:sz w:val="20"/>
                <w:szCs w:val="20"/>
                <w:color w:val="auto"/>
                <w:w w:val="98"/>
              </w:rPr>
              <w:t>73%</w:t>
            </w:r>
          </w:p>
        </w:tc>
        <w:tc>
          <w:tcPr>
            <w:tcW w:w="2100" w:type="dxa"/>
            <w:vAlign w:val="bottom"/>
            <w:gridSpan w:val="3"/>
            <w:shd w:val="clear" w:color="auto" w:fill="E6E6E6"/>
          </w:tcPr>
          <w:p>
            <w:pPr>
              <w:jc w:val="center"/>
              <w:ind w:left="494"/>
              <w:spacing w:after="0" w:line="226" w:lineRule="exact"/>
              <w:rPr>
                <w:sz w:val="20"/>
                <w:szCs w:val="20"/>
                <w:color w:val="auto"/>
              </w:rPr>
            </w:pPr>
            <w:r>
              <w:rPr>
                <w:rFonts w:ascii="Times New Roman" w:cs="Times New Roman" w:eastAsia="Times New Roman" w:hAnsi="Times New Roman"/>
                <w:sz w:val="20"/>
                <w:szCs w:val="20"/>
                <w:color w:val="auto"/>
                <w:w w:val="98"/>
              </w:rPr>
              <w:t>77%</w:t>
            </w:r>
          </w:p>
        </w:tc>
      </w:tr>
      <w:tr>
        <w:trPr>
          <w:trHeight w:val="225"/>
        </w:trPr>
        <w:tc>
          <w:tcPr>
            <w:tcW w:w="58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Debt securities</w:t>
            </w:r>
          </w:p>
        </w:tc>
        <w:tc>
          <w:tcPr>
            <w:tcW w:w="15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30%</w:t>
            </w:r>
          </w:p>
        </w:tc>
        <w:tc>
          <w:tcPr>
            <w:tcW w:w="1180" w:type="dxa"/>
            <w:vAlign w:val="bottom"/>
            <w:gridSpan w:val="2"/>
          </w:tcPr>
          <w:p>
            <w:pPr>
              <w:jc w:val="center"/>
              <w:ind w:left="482"/>
              <w:spacing w:after="0" w:line="226" w:lineRule="exact"/>
              <w:rPr>
                <w:sz w:val="20"/>
                <w:szCs w:val="20"/>
                <w:color w:val="auto"/>
              </w:rPr>
            </w:pPr>
            <w:r>
              <w:rPr>
                <w:rFonts w:ascii="Times New Roman" w:cs="Times New Roman" w:eastAsia="Times New Roman" w:hAnsi="Times New Roman"/>
                <w:sz w:val="20"/>
                <w:szCs w:val="20"/>
                <w:color w:val="auto"/>
                <w:w w:val="98"/>
              </w:rPr>
              <w:t>25%</w:t>
            </w:r>
          </w:p>
        </w:tc>
        <w:tc>
          <w:tcPr>
            <w:tcW w:w="2100" w:type="dxa"/>
            <w:vAlign w:val="bottom"/>
            <w:gridSpan w:val="3"/>
          </w:tcPr>
          <w:p>
            <w:pPr>
              <w:jc w:val="center"/>
              <w:ind w:left="494"/>
              <w:spacing w:after="0" w:line="226" w:lineRule="exact"/>
              <w:rPr>
                <w:sz w:val="20"/>
                <w:szCs w:val="20"/>
                <w:color w:val="auto"/>
              </w:rPr>
            </w:pPr>
            <w:r>
              <w:rPr>
                <w:rFonts w:ascii="Times New Roman" w:cs="Times New Roman" w:eastAsia="Times New Roman" w:hAnsi="Times New Roman"/>
                <w:sz w:val="20"/>
                <w:szCs w:val="20"/>
                <w:color w:val="auto"/>
                <w:w w:val="98"/>
              </w:rPr>
              <w:t>22%</w:t>
            </w:r>
          </w:p>
        </w:tc>
      </w:tr>
      <w:tr>
        <w:trPr>
          <w:trHeight w:val="215"/>
        </w:trPr>
        <w:tc>
          <w:tcPr>
            <w:tcW w:w="58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w:t>
            </w:r>
          </w:p>
        </w:tc>
        <w:tc>
          <w:tcPr>
            <w:tcW w:w="1500" w:type="dxa"/>
            <w:vAlign w:val="bottom"/>
            <w:tcBorders>
              <w:top w:val="single" w:sz="8" w:color="auto"/>
              <w:bottom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100%</w:t>
            </w:r>
          </w:p>
        </w:tc>
        <w:tc>
          <w:tcPr>
            <w:tcW w:w="140" w:type="dxa"/>
            <w:vAlign w:val="bottom"/>
            <w:tcBorders>
              <w:top w:val="single" w:sz="8" w:color="E6E6E6"/>
            </w:tcBorders>
            <w:shd w:val="clear" w:color="auto" w:fill="E6E6E6"/>
          </w:tcPr>
          <w:p>
            <w:pPr>
              <w:spacing w:after="0"/>
              <w:rPr>
                <w:sz w:val="18"/>
                <w:szCs w:val="18"/>
                <w:color w:val="auto"/>
              </w:rPr>
            </w:pPr>
          </w:p>
        </w:tc>
        <w:tc>
          <w:tcPr>
            <w:tcW w:w="1040" w:type="dxa"/>
            <w:vAlign w:val="bottom"/>
            <w:tcBorders>
              <w:top w:val="single" w:sz="8" w:color="auto"/>
              <w:bottom w:val="single" w:sz="8" w:color="auto"/>
            </w:tcBorders>
            <w:shd w:val="clear" w:color="auto" w:fill="E6E6E6"/>
          </w:tcPr>
          <w:p>
            <w:pPr>
              <w:jc w:val="center"/>
              <w:ind w:left="369"/>
              <w:spacing w:after="0" w:line="215" w:lineRule="exact"/>
              <w:rPr>
                <w:sz w:val="20"/>
                <w:szCs w:val="20"/>
                <w:color w:val="auto"/>
              </w:rPr>
            </w:pPr>
            <w:r>
              <w:rPr>
                <w:rFonts w:ascii="Times New Roman" w:cs="Times New Roman" w:eastAsia="Times New Roman" w:hAnsi="Times New Roman"/>
                <w:sz w:val="20"/>
                <w:szCs w:val="20"/>
                <w:color w:val="auto"/>
                <w:w w:val="98"/>
              </w:rPr>
              <w:t>100%</w:t>
            </w:r>
          </w:p>
        </w:tc>
        <w:tc>
          <w:tcPr>
            <w:tcW w:w="460" w:type="dxa"/>
            <w:vAlign w:val="bottom"/>
            <w:tcBorders>
              <w:top w:val="single" w:sz="8" w:color="auto"/>
              <w:bottom w:val="single" w:sz="8" w:color="auto"/>
            </w:tcBorders>
            <w:shd w:val="clear" w:color="auto" w:fill="E6E6E6"/>
          </w:tcPr>
          <w:p>
            <w:pPr>
              <w:spacing w:after="0"/>
              <w:rPr>
                <w:sz w:val="18"/>
                <w:szCs w:val="18"/>
                <w:color w:val="auto"/>
              </w:rPr>
            </w:pPr>
          </w:p>
        </w:tc>
        <w:tc>
          <w:tcPr>
            <w:tcW w:w="140" w:type="dxa"/>
            <w:vAlign w:val="bottom"/>
            <w:tcBorders>
              <w:top w:val="single" w:sz="8" w:color="E6E6E6"/>
            </w:tcBorders>
            <w:shd w:val="clear" w:color="auto" w:fill="E6E6E6"/>
          </w:tcPr>
          <w:p>
            <w:pPr>
              <w:spacing w:after="0"/>
              <w:rPr>
                <w:sz w:val="18"/>
                <w:szCs w:val="18"/>
                <w:color w:val="auto"/>
              </w:rPr>
            </w:pPr>
          </w:p>
        </w:tc>
        <w:tc>
          <w:tcPr>
            <w:tcW w:w="1500" w:type="dxa"/>
            <w:vAlign w:val="bottom"/>
            <w:tcBorders>
              <w:top w:val="single" w:sz="8" w:color="auto"/>
              <w:bottom w:val="single" w:sz="8" w:color="auto"/>
            </w:tcBorders>
            <w:shd w:val="clear" w:color="auto" w:fill="E6E6E6"/>
          </w:tcPr>
          <w:p>
            <w:pPr>
              <w:jc w:val="center"/>
              <w:spacing w:after="0" w:line="215" w:lineRule="exact"/>
              <w:rPr>
                <w:sz w:val="20"/>
                <w:szCs w:val="20"/>
                <w:color w:val="auto"/>
              </w:rPr>
            </w:pPr>
            <w:r>
              <w:rPr>
                <w:rFonts w:ascii="Times New Roman" w:cs="Times New Roman" w:eastAsia="Times New Roman" w:hAnsi="Times New Roman"/>
                <w:sz w:val="20"/>
                <w:szCs w:val="20"/>
                <w:color w:val="auto"/>
                <w:w w:val="98"/>
              </w:rPr>
              <w:t>100%</w:t>
            </w:r>
          </w:p>
        </w:tc>
      </w:tr>
      <w:tr>
        <w:trPr>
          <w:trHeight w:val="20"/>
        </w:trPr>
        <w:tc>
          <w:tcPr>
            <w:tcW w:w="5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Estimated pension plan cash obligations are $2.2 million, $2.2 million, $2.2 million, $2.2 million, and $2.1 million for 2023 through 2027, respectively, and a total of $10.0 million for the years 2028 through 2032.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Measurements of Pension Plan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Following is a description of the valuation methodologies used for pension assets measured at fair value:</w:t>
      </w:r>
    </w:p>
    <w:p>
      <w:pPr>
        <w:spacing w:after="0" w:line="231"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u w:val="single" w:color="auto"/>
          <w:color w:val="auto"/>
        </w:rPr>
        <w:t>Cash and cash equivalents</w:t>
      </w:r>
      <w:r>
        <w:rPr>
          <w:rFonts w:ascii="Times New Roman" w:cs="Times New Roman" w:eastAsia="Times New Roman" w:hAnsi="Times New Roman"/>
          <w:sz w:val="20"/>
          <w:szCs w:val="20"/>
          <w:color w:val="auto"/>
        </w:rPr>
        <w:t>: Cash and cash equivalents consist primarily of cash on deposit in money market funds. Cash and cash equivalents are stated at cost, which approximates fair value.</w:t>
      </w:r>
    </w:p>
    <w:p>
      <w:pPr>
        <w:spacing w:after="0" w:line="17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u w:val="single" w:color="auto"/>
          <w:color w:val="auto"/>
        </w:rPr>
        <w:t>Equity securities</w:t>
      </w:r>
      <w:r>
        <w:rPr>
          <w:rFonts w:ascii="Times New Roman" w:cs="Times New Roman" w:eastAsia="Times New Roman" w:hAnsi="Times New Roman"/>
          <w:sz w:val="20"/>
          <w:szCs w:val="20"/>
          <w:color w:val="auto"/>
        </w:rPr>
        <w:t>: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8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u w:val="single" w:color="auto"/>
          <w:color w:val="auto"/>
        </w:rPr>
        <w:t>Debt securities</w:t>
      </w:r>
      <w:r>
        <w:rPr>
          <w:rFonts w:ascii="Times New Roman" w:cs="Times New Roman" w:eastAsia="Times New Roman" w:hAnsi="Times New Roman"/>
          <w:sz w:val="20"/>
          <w:szCs w:val="20"/>
          <w:color w:val="auto"/>
        </w:rPr>
        <w:t>: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600"/>
          </w:cols>
          <w:pgMar w:left="820" w:top="1069" w:right="820" w:bottom="326" w:gutter="0" w:footer="0" w:header="0"/>
          <w:type w:val="continuous"/>
        </w:sectPr>
      </w:pPr>
    </w:p>
    <w:bookmarkStart w:id="82" w:name="page83"/>
    <w:bookmarkEnd w:id="82"/>
    <w:p>
      <w:pPr>
        <w:ind w:right="180"/>
        <w:spacing w:after="0" w:line="246" w:lineRule="auto"/>
        <w:rPr>
          <w:sz w:val="20"/>
          <w:szCs w:val="20"/>
          <w:color w:val="auto"/>
        </w:rPr>
      </w:pPr>
      <w:r>
        <w:rPr>
          <w:rFonts w:ascii="Times New Roman" w:cs="Times New Roman" w:eastAsia="Times New Roman" w:hAnsi="Times New Roman"/>
          <w:sz w:val="20"/>
          <w:szCs w:val="20"/>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94"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levels assigned to the defined benefit plan assets as of December 31, 2022, are summarized in the tables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534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Pension assets, at fair value:</w:t>
            </w:r>
          </w:p>
        </w:tc>
        <w:tc>
          <w:tcPr>
            <w:tcW w:w="1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88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E6E6E6"/>
            </w:tcBorders>
            <w:shd w:val="clear" w:color="auto" w:fill="E6E6E6"/>
          </w:tcPr>
          <w:p>
            <w:pPr>
              <w:spacing w:after="0"/>
              <w:rPr>
                <w:sz w:val="18"/>
                <w:szCs w:val="18"/>
                <w:color w:val="auto"/>
              </w:rPr>
            </w:pPr>
          </w:p>
        </w:tc>
        <w:tc>
          <w:tcPr>
            <w:tcW w:w="84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E6E6E6"/>
            </w:tcBorders>
            <w:shd w:val="clear" w:color="auto" w:fill="E6E6E6"/>
          </w:tcPr>
          <w:p>
            <w:pPr>
              <w:spacing w:after="0"/>
              <w:rPr>
                <w:sz w:val="18"/>
                <w:szCs w:val="18"/>
                <w:color w:val="auto"/>
              </w:rPr>
            </w:pPr>
          </w:p>
        </w:tc>
        <w:tc>
          <w:tcPr>
            <w:tcW w:w="820" w:type="dxa"/>
            <w:vAlign w:val="bottom"/>
            <w:tcBorders>
              <w:top w:val="single" w:sz="8" w:color="auto"/>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spacing w:after="0"/>
              <w:rPr>
                <w:sz w:val="18"/>
                <w:szCs w:val="18"/>
                <w:color w:val="auto"/>
              </w:rPr>
            </w:pPr>
          </w:p>
        </w:tc>
        <w:tc>
          <w:tcPr>
            <w:tcW w:w="22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tcBorders>
            <w:shd w:val="clear" w:color="auto" w:fill="E6E6E6"/>
          </w:tcPr>
          <w:p>
            <w:pPr>
              <w:spacing w:after="0"/>
              <w:rPr>
                <w:sz w:val="18"/>
                <w:szCs w:val="18"/>
                <w:color w:val="auto"/>
              </w:rPr>
            </w:pPr>
          </w:p>
        </w:tc>
        <w:tc>
          <w:tcPr>
            <w:tcW w:w="840" w:type="dxa"/>
            <w:vAlign w:val="bottom"/>
            <w:tcBorders>
              <w:top w:val="single" w:sz="8" w:color="auto"/>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53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Cash and cash equivalents</w:t>
            </w:r>
          </w:p>
        </w:tc>
        <w:tc>
          <w:tcPr>
            <w:tcW w:w="120" w:type="dxa"/>
            <w:vAlign w:val="bottom"/>
          </w:tcPr>
          <w:p>
            <w:pPr>
              <w:spacing w:after="0"/>
              <w:rPr>
                <w:sz w:val="19"/>
                <w:szCs w:val="19"/>
                <w:color w:val="auto"/>
              </w:rPr>
            </w:pPr>
          </w:p>
        </w:tc>
        <w:tc>
          <w:tcPr>
            <w:tcW w:w="200" w:type="dxa"/>
            <w:vAlign w:val="bottom"/>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354</w:t>
            </w:r>
          </w:p>
        </w:tc>
        <w:tc>
          <w:tcPr>
            <w:tcW w:w="240" w:type="dxa"/>
            <w:vAlign w:val="bottom"/>
          </w:tcPr>
          <w:p>
            <w:pPr>
              <w:spacing w:after="0"/>
              <w:rPr>
                <w:sz w:val="19"/>
                <w:szCs w:val="19"/>
                <w:color w:val="auto"/>
              </w:rPr>
            </w:pPr>
          </w:p>
        </w:tc>
        <w:tc>
          <w:tcPr>
            <w:tcW w:w="840" w:type="dxa"/>
            <w:vAlign w:val="bottom"/>
          </w:tcPr>
          <w:p>
            <w:pPr>
              <w:jc w:val="right"/>
              <w:ind w:right="649"/>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9"/>
                <w:szCs w:val="19"/>
                <w:color w:val="auto"/>
              </w:rPr>
            </w:pP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240" w:type="dxa"/>
            <w:vAlign w:val="bottom"/>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354</w:t>
            </w:r>
          </w:p>
        </w:tc>
        <w:tc>
          <w:tcPr>
            <w:tcW w:w="120" w:type="dxa"/>
            <w:vAlign w:val="bottom"/>
          </w:tcPr>
          <w:p>
            <w:pPr>
              <w:spacing w:after="0"/>
              <w:rPr>
                <w:sz w:val="19"/>
                <w:szCs w:val="19"/>
                <w:color w:val="auto"/>
              </w:rPr>
            </w:pPr>
          </w:p>
        </w:tc>
      </w:tr>
      <w:tr>
        <w:trPr>
          <w:trHeight w:val="225"/>
        </w:trPr>
        <w:tc>
          <w:tcPr>
            <w:tcW w:w="53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Equity securities</w:t>
            </w:r>
          </w:p>
        </w:tc>
        <w:tc>
          <w:tcPr>
            <w:tcW w:w="1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15,984</w:t>
            </w: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40" w:type="dxa"/>
            <w:vAlign w:val="bottom"/>
            <w:shd w:val="clear" w:color="auto" w:fill="E6E6E6"/>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c>
          <w:tcPr>
            <w:tcW w:w="480" w:type="dxa"/>
            <w:vAlign w:val="bottom"/>
            <w:gridSpan w:val="2"/>
            <w:shd w:val="clear" w:color="auto" w:fill="E6E6E6"/>
          </w:tcPr>
          <w:p>
            <w:pPr>
              <w:ind w:lef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15,984</w:t>
            </w:r>
          </w:p>
        </w:tc>
      </w:tr>
      <w:tr>
        <w:trPr>
          <w:trHeight w:val="225"/>
        </w:trPr>
        <w:tc>
          <w:tcPr>
            <w:tcW w:w="53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Debt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5,483</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2"/>
          </w:tcPr>
          <w:p>
            <w:pPr>
              <w:ind w:lef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5,483</w:t>
            </w:r>
          </w:p>
        </w:tc>
      </w:tr>
      <w:tr>
        <w:trPr>
          <w:trHeight w:val="215"/>
        </w:trPr>
        <w:tc>
          <w:tcPr>
            <w:tcW w:w="53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assets</w:t>
            </w:r>
          </w:p>
        </w:tc>
        <w:tc>
          <w:tcPr>
            <w:tcW w:w="1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bottom w:val="single" w:sz="8" w:color="auto"/>
            </w:tcBorders>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21,821</w:t>
            </w:r>
          </w:p>
        </w:tc>
        <w:tc>
          <w:tcPr>
            <w:tcW w:w="240" w:type="dxa"/>
            <w:vAlign w:val="bottom"/>
            <w:tcBorders>
              <w:top w:val="single" w:sz="8" w:color="E6E6E6"/>
            </w:tcBorders>
            <w:shd w:val="clear" w:color="auto" w:fill="E6E6E6"/>
          </w:tcPr>
          <w:p>
            <w:pPr>
              <w:spacing w:after="0"/>
              <w:rPr>
                <w:sz w:val="18"/>
                <w:szCs w:val="18"/>
                <w:color w:val="auto"/>
              </w:rPr>
            </w:pPr>
          </w:p>
        </w:tc>
        <w:tc>
          <w:tcPr>
            <w:tcW w:w="840" w:type="dxa"/>
            <w:vAlign w:val="bottom"/>
            <w:tcBorders>
              <w:top w:val="single" w:sz="8" w:color="auto"/>
              <w:bottom w:val="single" w:sz="8" w:color="auto"/>
            </w:tcBorders>
            <w:shd w:val="clear" w:color="auto" w:fill="E6E6E6"/>
          </w:tcPr>
          <w:p>
            <w:pPr>
              <w:jc w:val="right"/>
              <w:ind w:right="649"/>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top w:val="single" w:sz="8" w:color="auto"/>
              <w:bottom w:val="single" w:sz="8" w:color="auto"/>
            </w:tcBorders>
            <w:shd w:val="clear" w:color="auto" w:fill="E6E6E6"/>
          </w:tcPr>
          <w:p>
            <w:pPr>
              <w:ind w:left="4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E6E6E6"/>
            </w:tcBorders>
            <w:shd w:val="clear" w:color="auto" w:fill="E6E6E6"/>
          </w:tcPr>
          <w:p>
            <w:pPr>
              <w:spacing w:after="0"/>
              <w:rPr>
                <w:sz w:val="18"/>
                <w:szCs w:val="18"/>
                <w:color w:val="auto"/>
              </w:rPr>
            </w:pPr>
          </w:p>
        </w:tc>
        <w:tc>
          <w:tcPr>
            <w:tcW w:w="820" w:type="dxa"/>
            <w:vAlign w:val="bottom"/>
            <w:tcBorders>
              <w:top w:val="single" w:sz="8" w:color="auto"/>
              <w:bottom w:val="single" w:sz="8" w:color="auto"/>
            </w:tcBorders>
            <w:shd w:val="clear" w:color="auto" w:fill="E6E6E6"/>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E6E6E6"/>
          </w:tcPr>
          <w:p>
            <w:pPr>
              <w:ind w:left="6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jc w:val="right"/>
              <w:ind w:right="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21,821</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levels assigned to the defined benefit plan assets as of December 31, 2021, are summarized in the tables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534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Pension assets, at fair value:</w:t>
            </w:r>
          </w:p>
        </w:tc>
        <w:tc>
          <w:tcPr>
            <w:tcW w:w="1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88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E6E6E6"/>
            </w:tcBorders>
            <w:shd w:val="clear" w:color="auto" w:fill="E6E6E6"/>
          </w:tcPr>
          <w:p>
            <w:pPr>
              <w:spacing w:after="0"/>
              <w:rPr>
                <w:sz w:val="18"/>
                <w:szCs w:val="18"/>
                <w:color w:val="auto"/>
              </w:rPr>
            </w:pPr>
          </w:p>
        </w:tc>
        <w:tc>
          <w:tcPr>
            <w:tcW w:w="84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auto"/>
            </w:tcBorders>
            <w:shd w:val="clear" w:color="auto" w:fill="E6E6E6"/>
          </w:tcPr>
          <w:p>
            <w:pPr>
              <w:spacing w:after="0"/>
              <w:rPr>
                <w:sz w:val="18"/>
                <w:szCs w:val="18"/>
                <w:color w:val="auto"/>
              </w:rPr>
            </w:pPr>
          </w:p>
        </w:tc>
        <w:tc>
          <w:tcPr>
            <w:tcW w:w="240" w:type="dxa"/>
            <w:vAlign w:val="bottom"/>
            <w:tcBorders>
              <w:top w:val="single" w:sz="8" w:color="E6E6E6"/>
            </w:tcBorders>
            <w:shd w:val="clear" w:color="auto" w:fill="E6E6E6"/>
          </w:tcPr>
          <w:p>
            <w:pPr>
              <w:spacing w:after="0"/>
              <w:rPr>
                <w:sz w:val="18"/>
                <w:szCs w:val="18"/>
                <w:color w:val="auto"/>
              </w:rPr>
            </w:pPr>
          </w:p>
        </w:tc>
        <w:tc>
          <w:tcPr>
            <w:tcW w:w="820" w:type="dxa"/>
            <w:vAlign w:val="bottom"/>
            <w:tcBorders>
              <w:top w:val="single" w:sz="8" w:color="auto"/>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spacing w:after="0"/>
              <w:rPr>
                <w:sz w:val="18"/>
                <w:szCs w:val="18"/>
                <w:color w:val="auto"/>
              </w:rPr>
            </w:pPr>
          </w:p>
        </w:tc>
        <w:tc>
          <w:tcPr>
            <w:tcW w:w="22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tcBorders>
            <w:shd w:val="clear" w:color="auto" w:fill="E6E6E6"/>
          </w:tcPr>
          <w:p>
            <w:pPr>
              <w:spacing w:after="0"/>
              <w:rPr>
                <w:sz w:val="18"/>
                <w:szCs w:val="18"/>
                <w:color w:val="auto"/>
              </w:rPr>
            </w:pPr>
          </w:p>
        </w:tc>
        <w:tc>
          <w:tcPr>
            <w:tcW w:w="840" w:type="dxa"/>
            <w:vAlign w:val="bottom"/>
            <w:tcBorders>
              <w:top w:val="single" w:sz="8" w:color="auto"/>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53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Cash and cash equivalents</w:t>
            </w:r>
          </w:p>
        </w:tc>
        <w:tc>
          <w:tcPr>
            <w:tcW w:w="120" w:type="dxa"/>
            <w:vAlign w:val="bottom"/>
          </w:tcPr>
          <w:p>
            <w:pPr>
              <w:spacing w:after="0"/>
              <w:rPr>
                <w:sz w:val="19"/>
                <w:szCs w:val="19"/>
                <w:color w:val="auto"/>
              </w:rPr>
            </w:pPr>
          </w:p>
        </w:tc>
        <w:tc>
          <w:tcPr>
            <w:tcW w:w="200" w:type="dxa"/>
            <w:vAlign w:val="bottom"/>
          </w:tcPr>
          <w:p>
            <w:pPr>
              <w:jc w:val="right"/>
              <w:ind w:right="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208</w:t>
            </w:r>
          </w:p>
        </w:tc>
        <w:tc>
          <w:tcPr>
            <w:tcW w:w="240" w:type="dxa"/>
            <w:vAlign w:val="bottom"/>
          </w:tcPr>
          <w:p>
            <w:pPr>
              <w:spacing w:after="0"/>
              <w:rPr>
                <w:sz w:val="19"/>
                <w:szCs w:val="19"/>
                <w:color w:val="auto"/>
              </w:rPr>
            </w:pPr>
          </w:p>
        </w:tc>
        <w:tc>
          <w:tcPr>
            <w:tcW w:w="840" w:type="dxa"/>
            <w:vAlign w:val="bottom"/>
          </w:tcPr>
          <w:p>
            <w:pPr>
              <w:jc w:val="right"/>
              <w:ind w:right="649"/>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9"/>
                <w:szCs w:val="19"/>
                <w:color w:val="auto"/>
              </w:rPr>
            </w:pP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Pr>
          <w:p>
            <w:pPr>
              <w:spacing w:after="0"/>
              <w:rPr>
                <w:sz w:val="19"/>
                <w:szCs w:val="19"/>
                <w:color w:val="auto"/>
              </w:rPr>
            </w:pPr>
          </w:p>
        </w:tc>
        <w:tc>
          <w:tcPr>
            <w:tcW w:w="240" w:type="dxa"/>
            <w:vAlign w:val="bottom"/>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208</w:t>
            </w:r>
          </w:p>
        </w:tc>
        <w:tc>
          <w:tcPr>
            <w:tcW w:w="120" w:type="dxa"/>
            <w:vAlign w:val="bottom"/>
          </w:tcPr>
          <w:p>
            <w:pPr>
              <w:spacing w:after="0"/>
              <w:rPr>
                <w:sz w:val="19"/>
                <w:szCs w:val="19"/>
                <w:color w:val="auto"/>
              </w:rPr>
            </w:pPr>
          </w:p>
        </w:tc>
      </w:tr>
      <w:tr>
        <w:trPr>
          <w:trHeight w:val="225"/>
        </w:trPr>
        <w:tc>
          <w:tcPr>
            <w:tcW w:w="53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Equity securities</w:t>
            </w:r>
          </w:p>
        </w:tc>
        <w:tc>
          <w:tcPr>
            <w:tcW w:w="1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8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22,687</w:t>
            </w:r>
          </w:p>
        </w:tc>
        <w:tc>
          <w:tcPr>
            <w:tcW w:w="240" w:type="dxa"/>
            <w:vAlign w:val="bottom"/>
            <w:shd w:val="clear" w:color="auto" w:fill="E6E6E6"/>
          </w:tcPr>
          <w:p>
            <w:pPr>
              <w:spacing w:after="0"/>
              <w:rPr>
                <w:sz w:val="19"/>
                <w:szCs w:val="19"/>
                <w:color w:val="auto"/>
              </w:rPr>
            </w:pPr>
          </w:p>
        </w:tc>
        <w:tc>
          <w:tcPr>
            <w:tcW w:w="840" w:type="dxa"/>
            <w:vAlign w:val="bottom"/>
            <w:shd w:val="clear" w:color="auto" w:fill="E6E6E6"/>
          </w:tcPr>
          <w:p>
            <w:pPr>
              <w:spacing w:after="0"/>
              <w:rPr>
                <w:sz w:val="19"/>
                <w:szCs w:val="19"/>
                <w:color w:val="auto"/>
              </w:rPr>
            </w:pPr>
          </w:p>
        </w:tc>
        <w:tc>
          <w:tcPr>
            <w:tcW w:w="240" w:type="dxa"/>
            <w:vAlign w:val="bottom"/>
            <w:shd w:val="clear" w:color="auto" w:fill="E6E6E6"/>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shd w:val="clear" w:color="auto" w:fill="E6E6E6"/>
          </w:tcPr>
          <w:p>
            <w:pPr>
              <w:spacing w:after="0"/>
              <w:rPr>
                <w:sz w:val="19"/>
                <w:szCs w:val="19"/>
                <w:color w:val="auto"/>
              </w:rPr>
            </w:pPr>
          </w:p>
        </w:tc>
        <w:tc>
          <w:tcPr>
            <w:tcW w:w="820" w:type="dxa"/>
            <w:vAlign w:val="bottom"/>
            <w:shd w:val="clear" w:color="auto" w:fill="E6E6E6"/>
          </w:tcPr>
          <w:p>
            <w:pPr>
              <w:spacing w:after="0"/>
              <w:rPr>
                <w:sz w:val="19"/>
                <w:szCs w:val="19"/>
                <w:color w:val="auto"/>
              </w:rPr>
            </w:pPr>
          </w:p>
        </w:tc>
        <w:tc>
          <w:tcPr>
            <w:tcW w:w="480" w:type="dxa"/>
            <w:vAlign w:val="bottom"/>
            <w:gridSpan w:val="2"/>
            <w:shd w:val="clear" w:color="auto" w:fill="E6E6E6"/>
          </w:tcPr>
          <w:p>
            <w:pPr>
              <w:ind w:lef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19"/>
                <w:szCs w:val="19"/>
                <w:color w:val="auto"/>
              </w:rPr>
            </w:pPr>
          </w:p>
        </w:tc>
        <w:tc>
          <w:tcPr>
            <w:tcW w:w="9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22,687</w:t>
            </w:r>
          </w:p>
        </w:tc>
      </w:tr>
      <w:tr>
        <w:trPr>
          <w:trHeight w:val="225"/>
        </w:trPr>
        <w:tc>
          <w:tcPr>
            <w:tcW w:w="53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Debt securities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6,579</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2"/>
          </w:tcPr>
          <w:p>
            <w:pPr>
              <w:ind w:left="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6,579</w:t>
            </w:r>
          </w:p>
        </w:tc>
      </w:tr>
      <w:tr>
        <w:trPr>
          <w:trHeight w:val="215"/>
        </w:trPr>
        <w:tc>
          <w:tcPr>
            <w:tcW w:w="53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assets</w:t>
            </w:r>
          </w:p>
        </w:tc>
        <w:tc>
          <w:tcPr>
            <w:tcW w:w="1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bottom w:val="single" w:sz="8" w:color="auto"/>
            </w:tcBorders>
            <w:shd w:val="clear" w:color="auto" w:fill="E6E6E6"/>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29,474</w:t>
            </w:r>
          </w:p>
        </w:tc>
        <w:tc>
          <w:tcPr>
            <w:tcW w:w="240" w:type="dxa"/>
            <w:vAlign w:val="bottom"/>
            <w:tcBorders>
              <w:top w:val="single" w:sz="8" w:color="E6E6E6"/>
            </w:tcBorders>
            <w:shd w:val="clear" w:color="auto" w:fill="E6E6E6"/>
          </w:tcPr>
          <w:p>
            <w:pPr>
              <w:spacing w:after="0"/>
              <w:rPr>
                <w:sz w:val="18"/>
                <w:szCs w:val="18"/>
                <w:color w:val="auto"/>
              </w:rPr>
            </w:pPr>
          </w:p>
        </w:tc>
        <w:tc>
          <w:tcPr>
            <w:tcW w:w="840" w:type="dxa"/>
            <w:vAlign w:val="bottom"/>
            <w:tcBorders>
              <w:top w:val="single" w:sz="8" w:color="auto"/>
              <w:bottom w:val="single" w:sz="8" w:color="auto"/>
            </w:tcBorders>
            <w:shd w:val="clear" w:color="auto" w:fill="E6E6E6"/>
          </w:tcPr>
          <w:p>
            <w:pPr>
              <w:jc w:val="right"/>
              <w:ind w:right="649"/>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top w:val="single" w:sz="8" w:color="auto"/>
              <w:bottom w:val="single" w:sz="8" w:color="auto"/>
            </w:tcBorders>
            <w:shd w:val="clear" w:color="auto" w:fill="E6E6E6"/>
          </w:tcPr>
          <w:p>
            <w:pPr>
              <w:ind w:left="4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240" w:type="dxa"/>
            <w:vAlign w:val="bottom"/>
            <w:tcBorders>
              <w:top w:val="single" w:sz="8" w:color="E6E6E6"/>
            </w:tcBorders>
            <w:shd w:val="clear" w:color="auto" w:fill="E6E6E6"/>
          </w:tcPr>
          <w:p>
            <w:pPr>
              <w:spacing w:after="0"/>
              <w:rPr>
                <w:sz w:val="18"/>
                <w:szCs w:val="18"/>
                <w:color w:val="auto"/>
              </w:rPr>
            </w:pPr>
          </w:p>
        </w:tc>
        <w:tc>
          <w:tcPr>
            <w:tcW w:w="820" w:type="dxa"/>
            <w:vAlign w:val="bottom"/>
            <w:tcBorders>
              <w:top w:val="single" w:sz="8" w:color="auto"/>
              <w:bottom w:val="single" w:sz="8" w:color="auto"/>
            </w:tcBorders>
            <w:shd w:val="clear" w:color="auto" w:fill="E6E6E6"/>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E6E6E6"/>
          </w:tcPr>
          <w:p>
            <w:pPr>
              <w:ind w:left="60"/>
              <w:spacing w:after="0" w:line="215" w:lineRule="exact"/>
              <w:rPr>
                <w:sz w:val="20"/>
                <w:szCs w:val="20"/>
                <w:color w:val="auto"/>
              </w:rPr>
            </w:pPr>
            <w:r>
              <w:rPr>
                <w:rFonts w:ascii="Times New Roman" w:cs="Times New Roman" w:eastAsia="Times New Roman" w:hAnsi="Times New Roman"/>
                <w:sz w:val="20"/>
                <w:szCs w:val="20"/>
                <w:color w:val="auto"/>
                <w:w w:val="89"/>
              </w:rPr>
              <w:t>—</w:t>
            </w:r>
          </w:p>
        </w:tc>
        <w:tc>
          <w:tcPr>
            <w:tcW w:w="22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jc w:val="right"/>
              <w:ind w:right="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29,474</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20"/>
          <w:szCs w:val="20"/>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201" w:lineRule="exact"/>
        <w:rPr>
          <w:sz w:val="20"/>
          <w:szCs w:val="20"/>
          <w:color w:val="auto"/>
        </w:rPr>
      </w:pPr>
    </w:p>
    <w:p>
      <w:pPr>
        <w:ind w:left="960" w:right="440" w:hanging="472"/>
        <w:spacing w:after="0" w:line="255" w:lineRule="auto"/>
        <w:tabs>
          <w:tab w:leader="none" w:pos="96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Assets contributed to the multiemployer plan by one employer may be used to provide benefits to employees of other participating employers.</w:t>
      </w:r>
    </w:p>
    <w:p>
      <w:pPr>
        <w:spacing w:after="0" w:line="197" w:lineRule="exact"/>
        <w:rPr>
          <w:rFonts w:ascii="PMingLiU" w:cs="PMingLiU" w:eastAsia="PMingLiU" w:hAnsi="PMingLiU"/>
          <w:sz w:val="20"/>
          <w:szCs w:val="20"/>
          <w:color w:val="auto"/>
        </w:rPr>
      </w:pPr>
    </w:p>
    <w:p>
      <w:pPr>
        <w:ind w:left="960" w:right="620" w:hanging="472"/>
        <w:spacing w:after="0" w:line="255" w:lineRule="auto"/>
        <w:tabs>
          <w:tab w:leader="none" w:pos="96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a participating employer stops contributing to the plan, the unfunded obligations of the plan may be borne by the remaining participating employers.</w:t>
      </w:r>
    </w:p>
    <w:p>
      <w:pPr>
        <w:spacing w:after="0" w:line="197" w:lineRule="exact"/>
        <w:rPr>
          <w:rFonts w:ascii="PMingLiU" w:cs="PMingLiU" w:eastAsia="PMingLiU" w:hAnsi="PMingLiU"/>
          <w:sz w:val="20"/>
          <w:szCs w:val="20"/>
          <w:color w:val="auto"/>
        </w:rPr>
      </w:pPr>
    </w:p>
    <w:p>
      <w:pPr>
        <w:ind w:left="960" w:right="400" w:hanging="472"/>
        <w:spacing w:after="0" w:line="255" w:lineRule="auto"/>
        <w:tabs>
          <w:tab w:leader="none" w:pos="96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the Company chooses to stop participating in some of its multiemployer plans, CECO may be required to pay those plans an amount based on the underfunded status of the plan, referred to as a withdrawal liability.</w:t>
      </w:r>
    </w:p>
    <w:p>
      <w:pPr>
        <w:spacing w:after="0" w:line="183"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Company’s participation in these plans for the year ended December 31, 2022, is outlined in the table below. The “EIN/Pension Plan Number” column provides the Employer Identification Number and the three-digit plan number, if applicable. Unless otherwise noted, the most recent Pension Protection Act zone status available in 2022 is for the plan’s year-end at December 31, 2021.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Pension</w:t>
            </w: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Protection</w:t>
            </w: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EIN/Pension</w:t>
            </w:r>
          </w:p>
        </w:tc>
        <w:tc>
          <w:tcPr>
            <w:tcW w:w="120" w:type="dxa"/>
            <w:vAlign w:val="bottom"/>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Act Zone</w:t>
            </w:r>
          </w:p>
        </w:tc>
        <w:tc>
          <w:tcPr>
            <w:tcW w:w="100" w:type="dxa"/>
            <w:vAlign w:val="bottom"/>
          </w:tcPr>
          <w:p>
            <w:pPr>
              <w:spacing w:after="0"/>
              <w:rPr>
                <w:sz w:val="15"/>
                <w:szCs w:val="15"/>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FIF/RP Status</w:t>
            </w:r>
          </w:p>
        </w:tc>
        <w:tc>
          <w:tcPr>
            <w:tcW w:w="1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Surcharge</w:t>
            </w:r>
          </w:p>
        </w:tc>
        <w:tc>
          <w:tcPr>
            <w:tcW w:w="10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of Collective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8"/>
              </w:rPr>
              <w:t>Status</w:t>
            </w:r>
          </w:p>
        </w:tc>
        <w:tc>
          <w:tcPr>
            <w:tcW w:w="10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Bargaining</w:t>
            </w:r>
          </w:p>
        </w:tc>
        <w:tc>
          <w:tcPr>
            <w:tcW w:w="0" w:type="dxa"/>
            <w:vAlign w:val="bottom"/>
          </w:tcPr>
          <w:p>
            <w:pPr>
              <w:spacing w:after="0"/>
              <w:rPr>
                <w:sz w:val="1"/>
                <w:szCs w:val="1"/>
                <w:color w:val="auto"/>
              </w:rPr>
            </w:pPr>
          </w:p>
        </w:tc>
      </w:tr>
      <w:tr>
        <w:trPr>
          <w:trHeight w:val="198"/>
        </w:trPr>
        <w:tc>
          <w:tcPr>
            <w:tcW w:w="3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Pension Fund</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Plan Number</w:t>
            </w:r>
          </w:p>
        </w:tc>
        <w:tc>
          <w:tcPr>
            <w:tcW w:w="108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Pending/Implemented</w:t>
            </w: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Imposed</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Agreement</w:t>
            </w:r>
          </w:p>
        </w:tc>
        <w:tc>
          <w:tcPr>
            <w:tcW w:w="0" w:type="dxa"/>
            <w:vAlign w:val="bottom"/>
          </w:tcPr>
          <w:p>
            <w:pPr>
              <w:spacing w:after="0"/>
              <w:rPr>
                <w:sz w:val="1"/>
                <w:szCs w:val="1"/>
                <w:color w:val="auto"/>
              </w:rPr>
            </w:pPr>
          </w:p>
        </w:tc>
      </w:tr>
      <w:tr>
        <w:trPr>
          <w:trHeight w:val="196"/>
        </w:trPr>
        <w:tc>
          <w:tcPr>
            <w:tcW w:w="3640" w:type="dxa"/>
            <w:vAlign w:val="bottom"/>
            <w:tcBorders>
              <w:top w:val="single" w:sz="8" w:color="auto"/>
            </w:tcBorders>
            <w:shd w:val="clear" w:color="auto" w:fill="E6E6E6"/>
          </w:tcPr>
          <w:p>
            <w:pPr>
              <w:spacing w:after="0" w:line="196" w:lineRule="exact"/>
              <w:rPr>
                <w:sz w:val="20"/>
                <w:szCs w:val="20"/>
                <w:color w:val="auto"/>
              </w:rPr>
            </w:pPr>
            <w:r>
              <w:rPr>
                <w:rFonts w:ascii="Times New Roman" w:cs="Times New Roman" w:eastAsia="Times New Roman" w:hAnsi="Times New Roman"/>
                <w:sz w:val="20"/>
                <w:szCs w:val="20"/>
                <w:color w:val="auto"/>
                <w:w w:val="99"/>
              </w:rPr>
              <w:t>Sheet Metal Workers’ National Pension Fund</w:t>
            </w:r>
          </w:p>
        </w:tc>
        <w:tc>
          <w:tcPr>
            <w:tcW w:w="100" w:type="dxa"/>
            <w:vAlign w:val="bottom"/>
            <w:tcBorders>
              <w:top w:val="single" w:sz="8" w:color="E6E6E6"/>
            </w:tcBorders>
            <w:shd w:val="clear" w:color="auto" w:fill="E6E6E6"/>
          </w:tcPr>
          <w:p>
            <w:pPr>
              <w:spacing w:after="0"/>
              <w:rPr>
                <w:sz w:val="17"/>
                <w:szCs w:val="17"/>
                <w:color w:val="auto"/>
              </w:rPr>
            </w:pPr>
          </w:p>
        </w:tc>
        <w:tc>
          <w:tcPr>
            <w:tcW w:w="1340" w:type="dxa"/>
            <w:vAlign w:val="bottom"/>
            <w:tcBorders>
              <w:top w:val="single" w:sz="8" w:color="auto"/>
            </w:tcBorders>
            <w:shd w:val="clear" w:color="auto" w:fill="E6E6E6"/>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52-6112463/001</w:t>
            </w:r>
          </w:p>
        </w:tc>
        <w:tc>
          <w:tcPr>
            <w:tcW w:w="120" w:type="dxa"/>
            <w:vAlign w:val="bottom"/>
            <w:tcBorders>
              <w:top w:val="single" w:sz="8" w:color="E6E6E6"/>
            </w:tcBorders>
            <w:shd w:val="clear" w:color="auto" w:fill="E6E6E6"/>
          </w:tcPr>
          <w:p>
            <w:pPr>
              <w:spacing w:after="0"/>
              <w:rPr>
                <w:sz w:val="17"/>
                <w:szCs w:val="17"/>
                <w:color w:val="auto"/>
              </w:rPr>
            </w:pPr>
          </w:p>
        </w:tc>
        <w:tc>
          <w:tcPr>
            <w:tcW w:w="960" w:type="dxa"/>
            <w:vAlign w:val="bottom"/>
            <w:tcBorders>
              <w:top w:val="single" w:sz="8" w:color="auto"/>
            </w:tcBorders>
            <w:shd w:val="clear" w:color="auto" w:fill="E6E6E6"/>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Green</w:t>
            </w:r>
          </w:p>
        </w:tc>
        <w:tc>
          <w:tcPr>
            <w:tcW w:w="100" w:type="dxa"/>
            <w:vAlign w:val="bottom"/>
            <w:tcBorders>
              <w:top w:val="single" w:sz="8" w:color="E6E6E6"/>
            </w:tcBorders>
            <w:shd w:val="clear" w:color="auto" w:fill="E6E6E6"/>
          </w:tcPr>
          <w:p>
            <w:pPr>
              <w:spacing w:after="0"/>
              <w:rPr>
                <w:sz w:val="17"/>
                <w:szCs w:val="17"/>
                <w:color w:val="auto"/>
              </w:rPr>
            </w:pPr>
          </w:p>
        </w:tc>
        <w:tc>
          <w:tcPr>
            <w:tcW w:w="2120" w:type="dxa"/>
            <w:vAlign w:val="bottom"/>
            <w:tcBorders>
              <w:top w:val="single" w:sz="8" w:color="auto"/>
            </w:tcBorders>
            <w:shd w:val="clear" w:color="auto" w:fill="E6E6E6"/>
          </w:tcPr>
          <w:p>
            <w:pPr>
              <w:jc w:val="center"/>
              <w:spacing w:after="0" w:line="196" w:lineRule="exact"/>
              <w:rPr>
                <w:sz w:val="20"/>
                <w:szCs w:val="20"/>
                <w:color w:val="auto"/>
              </w:rPr>
            </w:pPr>
            <w:r>
              <w:rPr>
                <w:rFonts w:ascii="Times New Roman" w:cs="Times New Roman" w:eastAsia="Times New Roman" w:hAnsi="Times New Roman"/>
                <w:sz w:val="20"/>
                <w:szCs w:val="20"/>
                <w:color w:val="auto"/>
                <w:w w:val="98"/>
              </w:rPr>
              <w:t>FIF: Yes - Implemented</w:t>
            </w:r>
          </w:p>
        </w:tc>
        <w:tc>
          <w:tcPr>
            <w:tcW w:w="100" w:type="dxa"/>
            <w:vAlign w:val="bottom"/>
            <w:tcBorders>
              <w:top w:val="single" w:sz="8" w:color="E6E6E6"/>
            </w:tcBorders>
            <w:shd w:val="clear" w:color="auto" w:fill="E6E6E6"/>
          </w:tcPr>
          <w:p>
            <w:pPr>
              <w:spacing w:after="0"/>
              <w:rPr>
                <w:sz w:val="17"/>
                <w:szCs w:val="17"/>
                <w:color w:val="auto"/>
              </w:rPr>
            </w:pPr>
          </w:p>
        </w:tc>
        <w:tc>
          <w:tcPr>
            <w:tcW w:w="760" w:type="dxa"/>
            <w:vAlign w:val="bottom"/>
            <w:tcBorders>
              <w:top w:val="single" w:sz="8" w:color="auto"/>
            </w:tcBorders>
            <w:shd w:val="clear" w:color="auto" w:fill="E6E6E6"/>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No</w:t>
            </w:r>
          </w:p>
        </w:tc>
        <w:tc>
          <w:tcPr>
            <w:tcW w:w="100" w:type="dxa"/>
            <w:vAlign w:val="bottom"/>
            <w:tcBorders>
              <w:top w:val="single" w:sz="8" w:color="E6E6E6"/>
            </w:tcBorders>
            <w:shd w:val="clear" w:color="auto" w:fill="E6E6E6"/>
          </w:tcPr>
          <w:p>
            <w:pPr>
              <w:spacing w:after="0"/>
              <w:rPr>
                <w:sz w:val="17"/>
                <w:szCs w:val="17"/>
                <w:color w:val="auto"/>
              </w:rPr>
            </w:pPr>
          </w:p>
        </w:tc>
        <w:tc>
          <w:tcPr>
            <w:tcW w:w="1260" w:type="dxa"/>
            <w:vAlign w:val="bottom"/>
            <w:tcBorders>
              <w:top w:val="single" w:sz="8" w:color="auto"/>
            </w:tcBorders>
            <w:shd w:val="clear" w:color="auto" w:fill="E6E6E6"/>
          </w:tcPr>
          <w:p>
            <w:pPr>
              <w:jc w:val="center"/>
              <w:spacing w:after="0" w:line="196" w:lineRule="exact"/>
              <w:rPr>
                <w:sz w:val="20"/>
                <w:szCs w:val="20"/>
                <w:color w:val="auto"/>
              </w:rPr>
            </w:pPr>
            <w:r>
              <w:rPr>
                <w:rFonts w:ascii="Times New Roman" w:cs="Times New Roman" w:eastAsia="Times New Roman" w:hAnsi="Times New Roman"/>
                <w:sz w:val="20"/>
                <w:szCs w:val="20"/>
                <w:color w:val="auto"/>
                <w:w w:val="97"/>
              </w:rPr>
              <w:t>Various</w:t>
            </w:r>
          </w:p>
        </w:tc>
        <w:tc>
          <w:tcPr>
            <w:tcW w:w="0" w:type="dxa"/>
            <w:vAlign w:val="bottom"/>
          </w:tcPr>
          <w:p>
            <w:pPr>
              <w:spacing w:after="0"/>
              <w:rPr>
                <w:sz w:val="1"/>
                <w:szCs w:val="1"/>
                <w:color w:val="auto"/>
              </w:rPr>
            </w:pPr>
          </w:p>
        </w:tc>
      </w:tr>
      <w:tr>
        <w:trPr>
          <w:trHeight w:val="245"/>
        </w:trPr>
        <w:tc>
          <w:tcPr>
            <w:tcW w:w="364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340" w:type="dxa"/>
            <w:vAlign w:val="bottom"/>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1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RP: Yes - Implemented</w:t>
            </w:r>
          </w:p>
        </w:tc>
        <w:tc>
          <w:tcPr>
            <w:tcW w:w="10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w w:val="99"/>
              </w:rPr>
              <w:t>Sheet Metal Workers Local 224 Pension Plan</w:t>
            </w:r>
          </w:p>
        </w:tc>
        <w:tc>
          <w:tcPr>
            <w:tcW w:w="100" w:type="dxa"/>
            <w:vAlign w:val="bottom"/>
          </w:tcPr>
          <w:p>
            <w:pPr>
              <w:spacing w:after="0"/>
              <w:rPr>
                <w:sz w:val="19"/>
                <w:szCs w:val="19"/>
                <w:color w:val="auto"/>
              </w:rPr>
            </w:pPr>
          </w:p>
        </w:tc>
        <w:tc>
          <w:tcPr>
            <w:tcW w:w="134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31-6171353/001</w:t>
            </w:r>
          </w:p>
        </w:tc>
        <w:tc>
          <w:tcPr>
            <w:tcW w:w="120" w:type="dxa"/>
            <w:vAlign w:val="bottom"/>
          </w:tcPr>
          <w:p>
            <w:pPr>
              <w:spacing w:after="0"/>
              <w:rPr>
                <w:sz w:val="19"/>
                <w:szCs w:val="19"/>
                <w:color w:val="auto"/>
              </w:rPr>
            </w:pPr>
          </w:p>
        </w:tc>
        <w:tc>
          <w:tcPr>
            <w:tcW w:w="96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8"/>
              </w:rPr>
              <w:t>Yellow</w:t>
            </w:r>
          </w:p>
        </w:tc>
        <w:tc>
          <w:tcPr>
            <w:tcW w:w="100" w:type="dxa"/>
            <w:vAlign w:val="bottom"/>
          </w:tcPr>
          <w:p>
            <w:pPr>
              <w:spacing w:after="0"/>
              <w:rPr>
                <w:sz w:val="19"/>
                <w:szCs w:val="19"/>
                <w:color w:val="auto"/>
              </w:rPr>
            </w:pPr>
          </w:p>
        </w:tc>
        <w:tc>
          <w:tcPr>
            <w:tcW w:w="212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FIF: Yes - Implemented</w:t>
            </w:r>
          </w:p>
        </w:tc>
        <w:tc>
          <w:tcPr>
            <w:tcW w:w="100" w:type="dxa"/>
            <w:vAlign w:val="bottom"/>
          </w:tcPr>
          <w:p>
            <w:pPr>
              <w:spacing w:after="0"/>
              <w:rPr>
                <w:sz w:val="19"/>
                <w:szCs w:val="19"/>
                <w:color w:val="auto"/>
              </w:rPr>
            </w:pPr>
          </w:p>
        </w:tc>
        <w:tc>
          <w:tcPr>
            <w:tcW w:w="76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97"/>
              </w:rPr>
              <w:t>No</w:t>
            </w:r>
          </w:p>
        </w:tc>
        <w:tc>
          <w:tcPr>
            <w:tcW w:w="100" w:type="dxa"/>
            <w:vAlign w:val="bottom"/>
          </w:tcPr>
          <w:p>
            <w:pPr>
              <w:spacing w:after="0"/>
              <w:rPr>
                <w:sz w:val="19"/>
                <w:szCs w:val="19"/>
                <w:color w:val="auto"/>
              </w:rPr>
            </w:pPr>
          </w:p>
        </w:tc>
        <w:tc>
          <w:tcPr>
            <w:tcW w:w="126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color w:val="auto"/>
                <w:w w:val="89"/>
              </w:rPr>
              <w:t>n/a</w:t>
            </w:r>
          </w:p>
        </w:tc>
        <w:tc>
          <w:tcPr>
            <w:tcW w:w="0" w:type="dxa"/>
            <w:vAlign w:val="bottom"/>
          </w:tcPr>
          <w:p>
            <w:pPr>
              <w:spacing w:after="0"/>
              <w:rPr>
                <w:sz w:val="1"/>
                <w:szCs w:val="1"/>
                <w:color w:val="auto"/>
              </w:rPr>
            </w:pPr>
          </w:p>
        </w:tc>
      </w:tr>
      <w:tr>
        <w:trPr>
          <w:trHeight w:val="206"/>
        </w:trPr>
        <w:tc>
          <w:tcPr>
            <w:tcW w:w="3640" w:type="dxa"/>
            <w:vAlign w:val="bottom"/>
            <w:shd w:val="clear" w:color="auto" w:fill="E6E6E6"/>
          </w:tcPr>
          <w:p>
            <w:pPr>
              <w:spacing w:after="0" w:line="206" w:lineRule="exact"/>
              <w:rPr>
                <w:sz w:val="20"/>
                <w:szCs w:val="20"/>
                <w:color w:val="auto"/>
              </w:rPr>
            </w:pPr>
            <w:r>
              <w:rPr>
                <w:rFonts w:ascii="Times New Roman" w:cs="Times New Roman" w:eastAsia="Times New Roman" w:hAnsi="Times New Roman"/>
                <w:sz w:val="20"/>
                <w:szCs w:val="20"/>
                <w:color w:val="auto"/>
              </w:rPr>
              <w:t>Sheet Metal Workers Local No. 177 Pension</w:t>
            </w:r>
          </w:p>
        </w:tc>
        <w:tc>
          <w:tcPr>
            <w:tcW w:w="1440" w:type="dxa"/>
            <w:vAlign w:val="bottom"/>
            <w:gridSpan w:val="2"/>
            <w:vMerge w:val="restart"/>
            <w:shd w:val="clear" w:color="auto" w:fill="E6E6E6"/>
          </w:tcPr>
          <w:p>
            <w:pPr>
              <w:jc w:val="center"/>
              <w:ind w:left="2"/>
              <w:spacing w:after="0"/>
              <w:rPr>
                <w:sz w:val="20"/>
                <w:szCs w:val="20"/>
                <w:color w:val="auto"/>
              </w:rPr>
            </w:pPr>
            <w:r>
              <w:rPr>
                <w:rFonts w:ascii="Times New Roman" w:cs="Times New Roman" w:eastAsia="Times New Roman" w:hAnsi="Times New Roman"/>
                <w:sz w:val="20"/>
                <w:szCs w:val="20"/>
                <w:color w:val="auto"/>
                <w:w w:val="98"/>
              </w:rPr>
              <w:t>62-6093256/001</w:t>
            </w:r>
          </w:p>
        </w:tc>
        <w:tc>
          <w:tcPr>
            <w:tcW w:w="120" w:type="dxa"/>
            <w:vAlign w:val="bottom"/>
            <w:shd w:val="clear" w:color="auto" w:fill="E6E6E6"/>
          </w:tcPr>
          <w:p>
            <w:pPr>
              <w:spacing w:after="0"/>
              <w:rPr>
                <w:sz w:val="17"/>
                <w:szCs w:val="17"/>
                <w:color w:val="auto"/>
              </w:rPr>
            </w:pPr>
          </w:p>
        </w:tc>
        <w:tc>
          <w:tcPr>
            <w:tcW w:w="96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Green</w:t>
            </w:r>
          </w:p>
        </w:tc>
        <w:tc>
          <w:tcPr>
            <w:tcW w:w="100" w:type="dxa"/>
            <w:vAlign w:val="bottom"/>
            <w:shd w:val="clear" w:color="auto" w:fill="E6E6E6"/>
          </w:tcPr>
          <w:p>
            <w:pPr>
              <w:spacing w:after="0"/>
              <w:rPr>
                <w:sz w:val="17"/>
                <w:szCs w:val="17"/>
                <w:color w:val="auto"/>
              </w:rPr>
            </w:pPr>
          </w:p>
        </w:tc>
        <w:tc>
          <w:tcPr>
            <w:tcW w:w="212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Is not subject</w:t>
            </w:r>
          </w:p>
        </w:tc>
        <w:tc>
          <w:tcPr>
            <w:tcW w:w="100" w:type="dxa"/>
            <w:vAlign w:val="bottom"/>
            <w:shd w:val="clear" w:color="auto" w:fill="E6E6E6"/>
          </w:tcPr>
          <w:p>
            <w:pPr>
              <w:spacing w:after="0"/>
              <w:rPr>
                <w:sz w:val="17"/>
                <w:szCs w:val="17"/>
                <w:color w:val="auto"/>
              </w:rPr>
            </w:pPr>
          </w:p>
        </w:tc>
        <w:tc>
          <w:tcPr>
            <w:tcW w:w="76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No</w:t>
            </w:r>
          </w:p>
        </w:tc>
        <w:tc>
          <w:tcPr>
            <w:tcW w:w="100" w:type="dxa"/>
            <w:vAlign w:val="bottom"/>
            <w:shd w:val="clear" w:color="auto" w:fill="E6E6E6"/>
          </w:tcPr>
          <w:p>
            <w:pPr>
              <w:spacing w:after="0"/>
              <w:rPr>
                <w:sz w:val="17"/>
                <w:szCs w:val="17"/>
                <w:color w:val="auto"/>
              </w:rPr>
            </w:pPr>
          </w:p>
        </w:tc>
        <w:tc>
          <w:tcPr>
            <w:tcW w:w="1260" w:type="dxa"/>
            <w:vAlign w:val="bottom"/>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7"/>
              </w:rPr>
              <w:t>April 30, 2023</w:t>
            </w:r>
          </w:p>
        </w:tc>
        <w:tc>
          <w:tcPr>
            <w:tcW w:w="0" w:type="dxa"/>
            <w:vAlign w:val="bottom"/>
          </w:tcPr>
          <w:p>
            <w:pPr>
              <w:spacing w:after="0"/>
              <w:rPr>
                <w:sz w:val="1"/>
                <w:szCs w:val="1"/>
                <w:color w:val="auto"/>
              </w:rPr>
            </w:pPr>
          </w:p>
        </w:tc>
      </w:tr>
      <w:tr>
        <w:trPr>
          <w:trHeight w:val="245"/>
        </w:trPr>
        <w:tc>
          <w:tcPr>
            <w:tcW w:w="36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Fund</w:t>
            </w:r>
          </w:p>
        </w:tc>
        <w:tc>
          <w:tcPr>
            <w:tcW w:w="1440" w:type="dxa"/>
            <w:vAlign w:val="bottom"/>
            <w:gridSpan w:val="2"/>
            <w:vMerge w:val="continue"/>
            <w:shd w:val="clear" w:color="auto" w:fill="E6E6E6"/>
          </w:tcPr>
          <w:p>
            <w:pPr>
              <w:spacing w:after="0"/>
              <w:rPr>
                <w:sz w:val="21"/>
                <w:szCs w:val="21"/>
                <w:color w:val="auto"/>
              </w:rPr>
            </w:pPr>
          </w:p>
        </w:tc>
        <w:tc>
          <w:tcPr>
            <w:tcW w:w="120" w:type="dxa"/>
            <w:vAlign w:val="bottom"/>
            <w:shd w:val="clear" w:color="auto" w:fill="E6E6E6"/>
          </w:tcPr>
          <w:p>
            <w:pPr>
              <w:spacing w:after="0"/>
              <w:rPr>
                <w:sz w:val="21"/>
                <w:szCs w:val="21"/>
                <w:color w:val="auto"/>
              </w:rPr>
            </w:pPr>
          </w:p>
        </w:tc>
        <w:tc>
          <w:tcPr>
            <w:tcW w:w="96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12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760" w:type="dxa"/>
            <w:vAlign w:val="bottom"/>
            <w:vMerge w:val="continue"/>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1260" w:type="dxa"/>
            <w:vAlign w:val="bottom"/>
            <w:vMerge w:val="continue"/>
            <w:shd w:val="clear" w:color="auto" w:fill="E6E6E6"/>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600"/>
          </w:cols>
          <w:pgMar w:left="820" w:top="1069" w:right="820" w:bottom="326" w:gutter="0" w:footer="0" w:header="0"/>
          <w:type w:val="continuous"/>
        </w:sectPr>
      </w:pPr>
    </w:p>
    <w:bookmarkStart w:id="83" w:name="page84"/>
    <w:bookmarkEnd w:id="83"/>
    <w:p>
      <w:pPr>
        <w:ind w:right="180"/>
        <w:spacing w:after="0" w:line="246" w:lineRule="auto"/>
        <w:rPr>
          <w:sz w:val="20"/>
          <w:szCs w:val="20"/>
          <w:color w:val="auto"/>
        </w:rPr>
      </w:pPr>
      <w:r>
        <w:rPr>
          <w:rFonts w:ascii="Times New Roman" w:cs="Times New Roman" w:eastAsia="Times New Roman" w:hAnsi="Times New Roman"/>
          <w:sz w:val="20"/>
          <w:szCs w:val="20"/>
          <w:color w:val="auto"/>
        </w:rPr>
        <w:t>Kirk and Blum was listed in the Sheet Metal Workers Local No. 177 Pension Fund’s Form 5500 as providing more than five percent of total contributions for the year ended December 31, 2021. The Company was not listed in any of the other plans’ Forms 5500 as providing more than five percent of the total contributions for the plans and plan years. At the date the financial statements were issued, Forms 5500 were not available for the plan years ended December 31, 2022.</w:t>
      </w:r>
    </w:p>
    <w:p>
      <w:pPr>
        <w:spacing w:after="0" w:line="194" w:lineRule="exact"/>
        <w:rPr>
          <w:sz w:val="20"/>
          <w:szCs w:val="20"/>
          <w:color w:val="auto"/>
        </w:rPr>
      </w:pPr>
    </w:p>
    <w:p>
      <w:pPr>
        <w:ind w:right="1120"/>
        <w:spacing w:after="0" w:line="269" w:lineRule="auto"/>
        <w:rPr>
          <w:sz w:val="20"/>
          <w:szCs w:val="20"/>
          <w:color w:val="auto"/>
        </w:rPr>
      </w:pPr>
      <w:r>
        <w:rPr>
          <w:rFonts w:ascii="Times New Roman" w:cs="Times New Roman" w:eastAsia="Times New Roman" w:hAnsi="Times New Roman"/>
          <w:sz w:val="20"/>
          <w:szCs w:val="20"/>
          <w:color w:val="auto"/>
        </w:rPr>
        <w:t>The Company has no current intention of withdrawing from any plan and, therefore, no liability has been provided in the accompanying consolidated financial statements.</w:t>
      </w:r>
    </w:p>
    <w:p>
      <w:pPr>
        <w:spacing w:after="0" w:line="17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Amounts charged to pension expense under the above plans including the multi-employer plans totaled $0.4 million, $0.6 million and $1.0 million in 2022, 2021 and 2020, respectively.</w:t>
      </w:r>
    </w:p>
    <w:p>
      <w:pPr>
        <w:spacing w:after="0" w:line="17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The Company has a 401(k) savings retirement plan for employees of certain of its subsidiaries. The plan covers substantially all employees who have 30 days of service, and who have attained 18 years of age. The plan allows the Company to make discretionary contributions and provides for employee salary deferrals of up to 100%. The Company made aggregate matching contributions and discretionary contributions of $1.5 million, $0.9 million, and $1.6 million during 2022, 2021 and 2020, respectively.</w:t>
      </w:r>
    </w:p>
    <w:p>
      <w:pPr>
        <w:spacing w:after="0" w:line="175"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The lease accounting guidance under ASC 842 establishes a right-of-use (“ROU”) model that requires a lessee to record a ROU asset and a lease liability on the balance sheet for all leases with terms longer than 12 months. The Company's leasing activity is primarily related to buildings used for manufacturing, warehousing, sales, and administrative activities. The Company determines if an arrangement is a lease at inception. Many of the Company's lease agreements contain renewal options; however, the Company does not recognize ROU assets or lease liabilities for renewal periods unless it is determined that lease renewal is reasonably certain at inception or when a triggering event occurs. Some of the Company's lease agreements contain rent escalation clauses, free-rent periods, or other lease concessions. The Company recognizes its minimum rental expense on a straight-line basis based on the fixed components of a lease arrangement. Variable lease costs represent amounts that are not fixed in nature and are not tied to an index or rate, and are recognized as incurred. The Company's variable lease costs are not material.</w:t>
      </w:r>
    </w:p>
    <w:p>
      <w:pPr>
        <w:spacing w:after="0" w:line="20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In determining its ROU assets and lease liabilities, the Company applies a discount rate to the minimum lease payments within each lease agreement. ASC 842 requires the Company to use the rate of interest that a lessee would have to pay to borrow on a collateralized basis over a similar term an amount equal to the lease payments in a similar economic environment. When the Company cannot readily determine the discount rate implicit in the lease agreement, it utilizes its fully collateralized incremental borrowing rate. To estimate its specific incremental borrowing rates the Company considers, among other factors, interest rates on its existing credit facilities, risk-free rates, the types of assets being leased, and the term of the leases.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8"/>
              <w:spacing w:after="0" w:line="170" w:lineRule="exact"/>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Operating lease cost (a)</w:t>
            </w:r>
          </w:p>
        </w:tc>
        <w:tc>
          <w:tcPr>
            <w:tcW w:w="20" w:type="dxa"/>
            <w:vAlign w:val="bottom"/>
          </w:tcPr>
          <w:p>
            <w:pPr>
              <w:spacing w:after="0"/>
              <w:rPr>
                <w:sz w:val="18"/>
                <w:szCs w:val="18"/>
                <w:color w:val="auto"/>
              </w:rPr>
            </w:pPr>
          </w:p>
        </w:tc>
        <w:tc>
          <w:tcPr>
            <w:tcW w:w="300" w:type="dxa"/>
            <w:vAlign w:val="bottom"/>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3,558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3,232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Finance lease cost:</w:t>
            </w: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Amortization of right-of-use assets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309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308</w:t>
            </w:r>
          </w:p>
        </w:tc>
        <w:tc>
          <w:tcPr>
            <w:tcW w:w="0" w:type="dxa"/>
            <w:vAlign w:val="bottom"/>
          </w:tcPr>
          <w:p>
            <w:pPr>
              <w:spacing w:after="0"/>
              <w:rPr>
                <w:sz w:val="1"/>
                <w:szCs w:val="1"/>
                <w:color w:val="auto"/>
              </w:rPr>
            </w:pPr>
          </w:p>
        </w:tc>
      </w:tr>
      <w:tr>
        <w:trPr>
          <w:trHeight w:val="225"/>
        </w:trPr>
        <w:tc>
          <w:tcPr>
            <w:tcW w:w="58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Interest on lease liability</w:t>
            </w: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289</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315</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338</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E6E6E6"/>
            </w:tcBorders>
          </w:tcPr>
          <w:p>
            <w:pPr>
              <w:spacing w:after="0" w:line="215" w:lineRule="exact"/>
              <w:rPr>
                <w:sz w:val="20"/>
                <w:szCs w:val="20"/>
                <w:color w:val="auto"/>
              </w:rPr>
            </w:pPr>
            <w:r>
              <w:rPr>
                <w:rFonts w:ascii="Times New Roman" w:cs="Times New Roman" w:eastAsia="Times New Roman" w:hAnsi="Times New Roman"/>
                <w:sz w:val="20"/>
                <w:szCs w:val="20"/>
                <w:color w:val="auto"/>
              </w:rPr>
              <w:t>Total finance lease cost</w:t>
            </w:r>
          </w:p>
        </w:tc>
        <w:tc>
          <w:tcPr>
            <w:tcW w:w="20" w:type="dxa"/>
            <w:vAlign w:val="bottom"/>
            <w:tcBorders>
              <w:bottom w:val="single" w:sz="8" w:color="E6E6E6"/>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598</w:t>
            </w:r>
          </w:p>
        </w:tc>
        <w:tc>
          <w:tcPr>
            <w:tcW w:w="2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623</w:t>
            </w:r>
          </w:p>
        </w:tc>
        <w:tc>
          <w:tcPr>
            <w:tcW w:w="220" w:type="dxa"/>
            <w:vAlign w:val="bottom"/>
            <w:tcBorders>
              <w:bottom w:val="single" w:sz="8" w:color="E6E6E6"/>
            </w:tcBorders>
          </w:tcPr>
          <w:p>
            <w:pPr>
              <w:spacing w:after="0"/>
              <w:rPr>
                <w:sz w:val="18"/>
                <w:szCs w:val="18"/>
                <w:color w:val="auto"/>
              </w:rPr>
            </w:pPr>
          </w:p>
        </w:tc>
        <w:tc>
          <w:tcPr>
            <w:tcW w:w="20" w:type="dxa"/>
            <w:vAlign w:val="bottom"/>
            <w:tcBorders>
              <w:bottom w:val="single" w:sz="8" w:color="E6E6E6"/>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646</w:t>
            </w:r>
          </w:p>
        </w:tc>
        <w:tc>
          <w:tcPr>
            <w:tcW w:w="12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lease cost</w:t>
            </w:r>
          </w:p>
        </w:tc>
        <w:tc>
          <w:tcPr>
            <w:tcW w:w="2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4,156</w:t>
            </w:r>
          </w:p>
        </w:tc>
        <w:tc>
          <w:tcPr>
            <w:tcW w:w="22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gridSpan w:val="2"/>
            <w:shd w:val="clear" w:color="auto" w:fill="E6E6E6"/>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3,855</w:t>
            </w:r>
          </w:p>
        </w:tc>
        <w:tc>
          <w:tcPr>
            <w:tcW w:w="220" w:type="dxa"/>
            <w:vAlign w:val="bottom"/>
            <w:tcBorders>
              <w:bottom w:val="single" w:sz="8" w:color="E6E6E6"/>
            </w:tcBorders>
            <w:shd w:val="clear" w:color="auto" w:fill="E6E6E6"/>
          </w:tcPr>
          <w:p>
            <w:pPr>
              <w:spacing w:after="0"/>
              <w:rPr>
                <w:sz w:val="20"/>
                <w:szCs w:val="20"/>
                <w:color w:val="auto"/>
              </w:rPr>
            </w:pPr>
          </w:p>
        </w:tc>
        <w:tc>
          <w:tcPr>
            <w:tcW w:w="20" w:type="dxa"/>
            <w:vAlign w:val="bottom"/>
            <w:tcBorders>
              <w:bottom w:val="single" w:sz="8" w:color="E6E6E6"/>
            </w:tcBorders>
            <w:shd w:val="clear" w:color="auto" w:fill="E6E6E6"/>
          </w:tcPr>
          <w:p>
            <w:pPr>
              <w:spacing w:after="0"/>
              <w:rPr>
                <w:sz w:val="20"/>
                <w:szCs w:val="20"/>
                <w:color w:val="auto"/>
              </w:rPr>
            </w:pPr>
          </w:p>
        </w:tc>
        <w:tc>
          <w:tcPr>
            <w:tcW w:w="300" w:type="dxa"/>
            <w:vAlign w:val="bottom"/>
            <w:tcBorders>
              <w:bottom w:val="single" w:sz="8" w:color="auto"/>
            </w:tcBorders>
            <w:shd w:val="clear" w:color="auto" w:fill="E6E6E6"/>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4,096</w:t>
            </w:r>
          </w:p>
        </w:tc>
        <w:tc>
          <w:tcPr>
            <w:tcW w:w="12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 includes variable lease costs which are immaterial</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1"/>
        </w:trPr>
        <w:tc>
          <w:tcPr>
            <w:tcW w:w="580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80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88"/>
              <w:spacing w:after="0" w:line="170"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6"/>
              <w:spacing w:after="0" w:line="170" w:lineRule="exact"/>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0" w:type="dxa"/>
            <w:vAlign w:val="bottom"/>
            <w:shd w:val="clear" w:color="auto" w:fill="E6E6E6"/>
          </w:tcPr>
          <w:p>
            <w:pPr>
              <w:ind w:left="160"/>
              <w:spacing w:after="0" w:line="226" w:lineRule="exact"/>
              <w:rPr>
                <w:sz w:val="20"/>
                <w:szCs w:val="20"/>
                <w:color w:val="auto"/>
              </w:rPr>
            </w:pPr>
            <w:r>
              <w:rPr>
                <w:rFonts w:ascii="Times New Roman" w:cs="Times New Roman" w:eastAsia="Times New Roman" w:hAnsi="Times New Roman"/>
                <w:sz w:val="20"/>
                <w:szCs w:val="20"/>
                <w:color w:val="auto"/>
              </w:rPr>
              <w:t>Operating cash flows from operating leases</w:t>
            </w:r>
          </w:p>
        </w:tc>
        <w:tc>
          <w:tcPr>
            <w:tcW w:w="320" w:type="dxa"/>
            <w:vAlign w:val="bottom"/>
            <w:gridSpan w:val="2"/>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3,637</w:t>
            </w:r>
          </w:p>
        </w:tc>
        <w:tc>
          <w:tcPr>
            <w:tcW w:w="400" w:type="dxa"/>
            <w:vAlign w:val="bottom"/>
            <w:gridSpan w:val="3"/>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3,171</w:t>
            </w:r>
          </w:p>
        </w:tc>
        <w:tc>
          <w:tcPr>
            <w:tcW w:w="20" w:type="dxa"/>
            <w:vAlign w:val="bottom"/>
            <w:shd w:val="clear" w:color="auto" w:fill="E6E6E6"/>
          </w:tcPr>
          <w:p>
            <w:pPr>
              <w:spacing w:after="0"/>
              <w:rPr>
                <w:sz w:val="21"/>
                <w:szCs w:val="21"/>
                <w:color w:val="auto"/>
              </w:rPr>
            </w:pPr>
          </w:p>
        </w:tc>
        <w:tc>
          <w:tcPr>
            <w:tcW w:w="540" w:type="dxa"/>
            <w:vAlign w:val="bottom"/>
            <w:gridSpan w:val="3"/>
            <w:shd w:val="clear" w:color="auto" w:fill="E6E6E6"/>
          </w:tcPr>
          <w:p>
            <w:pPr>
              <w:jc w:val="right"/>
              <w:ind w:right="133"/>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3,338</w:t>
            </w:r>
          </w:p>
        </w:tc>
        <w:tc>
          <w:tcPr>
            <w:tcW w:w="0" w:type="dxa"/>
            <w:vAlign w:val="bottom"/>
          </w:tcPr>
          <w:p>
            <w:pPr>
              <w:spacing w:after="0"/>
              <w:rPr>
                <w:sz w:val="1"/>
                <w:szCs w:val="1"/>
                <w:color w:val="auto"/>
              </w:rPr>
            </w:pPr>
          </w:p>
        </w:tc>
      </w:tr>
      <w:tr>
        <w:trPr>
          <w:trHeight w:val="20"/>
        </w:trPr>
        <w:tc>
          <w:tcPr>
            <w:tcW w:w="5800" w:type="dxa"/>
            <w:vAlign w:val="bottom"/>
            <w:tcBorders>
              <w:top w:val="single" w:sz="8" w:color="E6E6E6"/>
              <w:bottom w:val="single" w:sz="8" w:color="E6E6E6"/>
            </w:tcBorders>
            <w:vMerge w:val="restart"/>
          </w:tcPr>
          <w:p>
            <w:pPr>
              <w:ind w:left="16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bottom w:val="single" w:sz="8" w:color="E6E6E6"/>
            </w:tcBorders>
            <w:vMerge w:val="restart"/>
          </w:tcPr>
          <w:p>
            <w:pPr>
              <w:spacing w:after="0" w:line="20" w:lineRule="exact"/>
              <w:rPr>
                <w:sz w:val="1"/>
                <w:szCs w:val="1"/>
                <w:color w:val="auto"/>
              </w:rPr>
            </w:pPr>
          </w:p>
        </w:tc>
        <w:tc>
          <w:tcPr>
            <w:tcW w:w="220" w:type="dxa"/>
            <w:vAlign w:val="bottom"/>
            <w:tcBorders>
              <w:top w:val="single" w:sz="8" w:color="E6E6E6"/>
              <w:bottom w:val="single" w:sz="8" w:color="E6E6E6"/>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bottom w:val="single" w:sz="8" w:color="E6E6E6"/>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6E6E6"/>
              <w:bottom w:val="single" w:sz="8" w:color="E6E6E6"/>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tcBorders>
              <w:bottom w:val="single" w:sz="8" w:color="E6E6E6"/>
            </w:tcBorders>
            <w:vMerge w:val="continue"/>
          </w:tcPr>
          <w:p>
            <w:pPr>
              <w:spacing w:after="0"/>
              <w:rPr>
                <w:sz w:val="19"/>
                <w:szCs w:val="19"/>
                <w:color w:val="auto"/>
              </w:rPr>
            </w:pPr>
          </w:p>
        </w:tc>
        <w:tc>
          <w:tcPr>
            <w:tcW w:w="320" w:type="dxa"/>
            <w:vAlign w:val="bottom"/>
            <w:tcBorders>
              <w:bottom w:val="single" w:sz="8" w:color="auto"/>
            </w:tcBorders>
            <w:gridSpan w:val="2"/>
          </w:tcPr>
          <w:p>
            <w:pPr>
              <w:jc w:val="right"/>
              <w:ind w:right="122"/>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289</w:t>
            </w:r>
          </w:p>
        </w:tc>
        <w:tc>
          <w:tcPr>
            <w:tcW w:w="20" w:type="dxa"/>
            <w:vAlign w:val="bottom"/>
            <w:tcBorders>
              <w:bottom w:val="single" w:sz="8" w:color="E6E6E6"/>
            </w:tcBorders>
            <w:vMerge w:val="continue"/>
          </w:tcPr>
          <w:p>
            <w:pPr>
              <w:spacing w:after="0"/>
              <w:rPr>
                <w:sz w:val="19"/>
                <w:szCs w:val="19"/>
                <w:color w:val="auto"/>
              </w:rPr>
            </w:pPr>
          </w:p>
        </w:tc>
        <w:tc>
          <w:tcPr>
            <w:tcW w:w="220" w:type="dxa"/>
            <w:vAlign w:val="bottom"/>
            <w:tcBorders>
              <w:bottom w:val="single" w:sz="8" w:color="E6E6E6"/>
            </w:tcBorders>
            <w:vMerge w:val="continue"/>
          </w:tcPr>
          <w:p>
            <w:pPr>
              <w:spacing w:after="0"/>
              <w:rPr>
                <w:sz w:val="19"/>
                <w:szCs w:val="19"/>
                <w:color w:val="auto"/>
              </w:rPr>
            </w:pPr>
          </w:p>
        </w:tc>
        <w:tc>
          <w:tcPr>
            <w:tcW w:w="180" w:type="dxa"/>
            <w:vAlign w:val="bottom"/>
            <w:tcBorders>
              <w:bottom w:val="single" w:sz="8" w:color="auto"/>
            </w:tcBorders>
            <w:gridSpan w:val="2"/>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315</w:t>
            </w:r>
          </w:p>
        </w:tc>
        <w:tc>
          <w:tcPr>
            <w:tcW w:w="20" w:type="dxa"/>
            <w:vAlign w:val="bottom"/>
            <w:tcBorders>
              <w:bottom w:val="single" w:sz="8" w:color="E6E6E6"/>
            </w:tcBorders>
          </w:tcPr>
          <w:p>
            <w:pPr>
              <w:spacing w:after="0"/>
              <w:rPr>
                <w:sz w:val="19"/>
                <w:szCs w:val="19"/>
                <w:color w:val="auto"/>
              </w:rPr>
            </w:pPr>
          </w:p>
        </w:tc>
        <w:tc>
          <w:tcPr>
            <w:tcW w:w="220" w:type="dxa"/>
            <w:vAlign w:val="bottom"/>
            <w:tcBorders>
              <w:bottom w:val="single" w:sz="8" w:color="E6E6E6"/>
            </w:tcBorders>
            <w:vMerge w:val="continue"/>
          </w:tcPr>
          <w:p>
            <w:pPr>
              <w:spacing w:after="0"/>
              <w:rPr>
                <w:sz w:val="19"/>
                <w:szCs w:val="19"/>
                <w:color w:val="auto"/>
              </w:rPr>
            </w:pPr>
          </w:p>
        </w:tc>
        <w:tc>
          <w:tcPr>
            <w:tcW w:w="320" w:type="dxa"/>
            <w:vAlign w:val="bottom"/>
            <w:tcBorders>
              <w:bottom w:val="single" w:sz="8" w:color="auto"/>
            </w:tcBorders>
            <w:gridSpan w:val="2"/>
          </w:tcPr>
          <w:p>
            <w:pPr>
              <w:jc w:val="right"/>
              <w:ind w:right="133"/>
              <w:spacing w:after="0" w:line="18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20"/>
                <w:szCs w:val="20"/>
                <w:color w:val="auto"/>
              </w:rPr>
              <w:t>338</w:t>
            </w:r>
          </w:p>
        </w:tc>
        <w:tc>
          <w:tcPr>
            <w:tcW w:w="120" w:type="dxa"/>
            <w:vAlign w:val="bottom"/>
            <w:tcBorders>
              <w:bottom w:val="single" w:sz="8" w:color="E6E6E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E6E6E6"/>
            </w:tcBorders>
            <w:shd w:val="clear" w:color="auto" w:fill="E6E6E6"/>
          </w:tcPr>
          <w:p>
            <w:pPr>
              <w:ind w:left="160"/>
              <w:spacing w:after="0" w:line="209" w:lineRule="exact"/>
              <w:rPr>
                <w:sz w:val="20"/>
                <w:szCs w:val="20"/>
                <w:color w:val="auto"/>
              </w:rPr>
            </w:pPr>
            <w:r>
              <w:rPr>
                <w:rFonts w:ascii="Times New Roman" w:cs="Times New Roman" w:eastAsia="Times New Roman" w:hAnsi="Times New Roman"/>
                <w:sz w:val="20"/>
                <w:szCs w:val="20"/>
                <w:color w:val="auto"/>
              </w:rPr>
              <w:t>Financing cash flows from finance leases</w:t>
            </w:r>
          </w:p>
        </w:tc>
        <w:tc>
          <w:tcPr>
            <w:tcW w:w="320" w:type="dxa"/>
            <w:vAlign w:val="bottom"/>
            <w:tcBorders>
              <w:bottom w:val="single" w:sz="8" w:color="auto"/>
            </w:tcBorders>
            <w:gridSpan w:val="2"/>
            <w:shd w:val="clear" w:color="auto" w:fill="E6E6E6"/>
          </w:tcPr>
          <w:p>
            <w:pPr>
              <w:jc w:val="right"/>
              <w:ind w:right="122"/>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600</w:t>
            </w:r>
          </w:p>
        </w:tc>
        <w:tc>
          <w:tcPr>
            <w:tcW w:w="2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E6E6E6"/>
            </w:tcBorders>
            <w:shd w:val="clear" w:color="auto" w:fill="E6E6E6"/>
          </w:tcPr>
          <w:p>
            <w:pPr>
              <w:spacing w:after="0"/>
              <w:rPr>
                <w:sz w:val="19"/>
                <w:szCs w:val="19"/>
                <w:color w:val="auto"/>
              </w:rPr>
            </w:pPr>
          </w:p>
        </w:tc>
        <w:tc>
          <w:tcPr>
            <w:tcW w:w="180" w:type="dxa"/>
            <w:vAlign w:val="bottom"/>
            <w:tcBorders>
              <w:bottom w:val="single" w:sz="8" w:color="auto"/>
            </w:tcBorders>
            <w:gridSpan w:val="2"/>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603</w:t>
            </w:r>
          </w:p>
        </w:tc>
        <w:tc>
          <w:tcPr>
            <w:tcW w:w="20" w:type="dxa"/>
            <w:vAlign w:val="bottom"/>
            <w:tcBorders>
              <w:bottom w:val="single" w:sz="8" w:color="E6E6E6"/>
            </w:tcBorders>
            <w:shd w:val="clear" w:color="auto" w:fill="E6E6E6"/>
          </w:tcPr>
          <w:p>
            <w:pPr>
              <w:spacing w:after="0"/>
              <w:rPr>
                <w:sz w:val="19"/>
                <w:szCs w:val="19"/>
                <w:color w:val="auto"/>
              </w:rPr>
            </w:pPr>
          </w:p>
        </w:tc>
        <w:tc>
          <w:tcPr>
            <w:tcW w:w="220" w:type="dxa"/>
            <w:vAlign w:val="bottom"/>
            <w:tcBorders>
              <w:bottom w:val="single" w:sz="8" w:color="E6E6E6"/>
            </w:tcBorders>
            <w:shd w:val="clear" w:color="auto" w:fill="E6E6E6"/>
          </w:tcPr>
          <w:p>
            <w:pPr>
              <w:spacing w:after="0"/>
              <w:rPr>
                <w:sz w:val="19"/>
                <w:szCs w:val="19"/>
                <w:color w:val="auto"/>
              </w:rPr>
            </w:pPr>
          </w:p>
        </w:tc>
        <w:tc>
          <w:tcPr>
            <w:tcW w:w="320" w:type="dxa"/>
            <w:vAlign w:val="bottom"/>
            <w:tcBorders>
              <w:bottom w:val="single" w:sz="8" w:color="auto"/>
            </w:tcBorders>
            <w:gridSpan w:val="2"/>
            <w:shd w:val="clear" w:color="auto" w:fill="E6E6E6"/>
          </w:tcPr>
          <w:p>
            <w:pPr>
              <w:jc w:val="right"/>
              <w:ind w:right="133"/>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09" w:lineRule="exact"/>
              <w:rPr>
                <w:sz w:val="20"/>
                <w:szCs w:val="20"/>
                <w:color w:val="auto"/>
              </w:rPr>
            </w:pPr>
            <w:r>
              <w:rPr>
                <w:rFonts w:ascii="Times New Roman" w:cs="Times New Roman" w:eastAsia="Times New Roman" w:hAnsi="Times New Roman"/>
                <w:sz w:val="20"/>
                <w:szCs w:val="20"/>
                <w:color w:val="auto"/>
              </w:rPr>
              <w:t>467</w:t>
            </w:r>
          </w:p>
        </w:tc>
        <w:tc>
          <w:tcPr>
            <w:tcW w:w="120" w:type="dxa"/>
            <w:vAlign w:val="bottom"/>
            <w:tcBorders>
              <w:bottom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Right of use assets obtained in exchange for lease obligations</w:t>
            </w: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800" w:type="dxa"/>
            <w:vAlign w:val="bottom"/>
            <w:shd w:val="clear" w:color="auto" w:fill="E6E6E6"/>
          </w:tcPr>
          <w:p>
            <w:pPr>
              <w:ind w:left="160"/>
              <w:spacing w:after="0" w:line="226" w:lineRule="exact"/>
              <w:rPr>
                <w:sz w:val="20"/>
                <w:szCs w:val="20"/>
                <w:color w:val="auto"/>
              </w:rPr>
            </w:pPr>
            <w:r>
              <w:rPr>
                <w:rFonts w:ascii="Times New Roman" w:cs="Times New Roman" w:eastAsia="Times New Roman" w:hAnsi="Times New Roman"/>
                <w:sz w:val="20"/>
                <w:szCs w:val="20"/>
                <w:color w:val="auto"/>
              </w:rPr>
              <w:t>Operating leases</w:t>
            </w:r>
          </w:p>
        </w:tc>
        <w:tc>
          <w:tcPr>
            <w:tcW w:w="320" w:type="dxa"/>
            <w:vAlign w:val="bottom"/>
            <w:gridSpan w:val="2"/>
            <w:shd w:val="clear" w:color="auto" w:fill="E6E6E6"/>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3,487</w:t>
            </w:r>
          </w:p>
        </w:tc>
        <w:tc>
          <w:tcPr>
            <w:tcW w:w="400" w:type="dxa"/>
            <w:vAlign w:val="bottom"/>
            <w:gridSpan w:val="3"/>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2,206</w:t>
            </w:r>
          </w:p>
        </w:tc>
        <w:tc>
          <w:tcPr>
            <w:tcW w:w="20" w:type="dxa"/>
            <w:vAlign w:val="bottom"/>
            <w:shd w:val="clear" w:color="auto" w:fill="E6E6E6"/>
          </w:tcPr>
          <w:p>
            <w:pPr>
              <w:spacing w:after="0"/>
              <w:rPr>
                <w:sz w:val="21"/>
                <w:szCs w:val="21"/>
                <w:color w:val="auto"/>
              </w:rPr>
            </w:pPr>
          </w:p>
        </w:tc>
        <w:tc>
          <w:tcPr>
            <w:tcW w:w="540" w:type="dxa"/>
            <w:vAlign w:val="bottom"/>
            <w:gridSpan w:val="3"/>
            <w:shd w:val="clear" w:color="auto" w:fill="E6E6E6"/>
          </w:tcPr>
          <w:p>
            <w:pPr>
              <w:jc w:val="right"/>
              <w:ind w:right="133"/>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545</w:t>
            </w:r>
          </w:p>
        </w:tc>
        <w:tc>
          <w:tcPr>
            <w:tcW w:w="0" w:type="dxa"/>
            <w:vAlign w:val="bottom"/>
          </w:tcPr>
          <w:p>
            <w:pPr>
              <w:spacing w:after="0"/>
              <w:rPr>
                <w:sz w:val="1"/>
                <w:szCs w:val="1"/>
                <w:color w:val="auto"/>
              </w:rPr>
            </w:pPr>
          </w:p>
        </w:tc>
      </w:tr>
      <w:tr>
        <w:trPr>
          <w:trHeight w:val="20"/>
        </w:trPr>
        <w:tc>
          <w:tcPr>
            <w:tcW w:w="580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6E6E6"/>
            </w:tcBorders>
          </w:tcPr>
          <w:p>
            <w:pPr>
              <w:spacing w:after="0" w:line="20" w:lineRule="exact"/>
              <w:rPr>
                <w:sz w:val="1"/>
                <w:szCs w:val="1"/>
                <w:color w:val="auto"/>
              </w:rPr>
            </w:pPr>
          </w:p>
        </w:tc>
        <w:tc>
          <w:tcPr>
            <w:tcW w:w="220" w:type="dxa"/>
            <w:vAlign w:val="bottom"/>
            <w:tcBorders>
              <w:top w:val="single" w:sz="8" w:color="E6E6E6"/>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6E6E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69" w:right="820" w:bottom="326"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600"/>
          </w:cols>
          <w:pgMar w:left="820" w:top="1069" w:right="820" w:bottom="326"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85"/>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84"/>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Operating leases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Right-of-use assets from operating leases</w:t>
            </w:r>
          </w:p>
        </w:tc>
        <w:tc>
          <w:tcPr>
            <w:tcW w:w="440" w:type="dxa"/>
            <w:vAlign w:val="bottom"/>
            <w:gridSpan w:val="3"/>
            <w:shd w:val="clear" w:color="auto" w:fill="E6E6E6"/>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11,373</w:t>
            </w: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36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10,893</w:t>
            </w:r>
          </w:p>
        </w:tc>
        <w:tc>
          <w:tcPr>
            <w:tcW w:w="0" w:type="dxa"/>
            <w:vAlign w:val="bottom"/>
          </w:tcPr>
          <w:p>
            <w:pPr>
              <w:spacing w:after="0"/>
              <w:rPr>
                <w:sz w:val="1"/>
                <w:szCs w:val="1"/>
                <w:color w:val="auto"/>
              </w:rPr>
            </w:pPr>
          </w:p>
        </w:tc>
      </w:tr>
      <w:tr>
        <w:trPr>
          <w:trHeight w:val="215"/>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Accounts payable and accrued expenses</w:t>
            </w:r>
          </w:p>
        </w:tc>
        <w:tc>
          <w:tcPr>
            <w:tcW w:w="440" w:type="dxa"/>
            <w:vAlign w:val="bottom"/>
            <w:gridSpan w:val="3"/>
            <w:shd w:val="clear" w:color="auto" w:fill="E6E6E6"/>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3,228</w:t>
            </w: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360" w:type="dxa"/>
            <w:vAlign w:val="bottom"/>
            <w:gridSpan w:val="2"/>
            <w:shd w:val="clear" w:color="auto" w:fill="E6E6E6"/>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2,414</w:t>
            </w: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Operating lease liabilities</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8,453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8,762</w:t>
            </w:r>
          </w:p>
        </w:tc>
        <w:tc>
          <w:tcPr>
            <w:tcW w:w="0" w:type="dxa"/>
            <w:vAlign w:val="bottom"/>
          </w:tcPr>
          <w:p>
            <w:pPr>
              <w:spacing w:after="0"/>
              <w:rPr>
                <w:sz w:val="1"/>
                <w:szCs w:val="1"/>
                <w:color w:val="auto"/>
              </w:rPr>
            </w:pPr>
          </w:p>
        </w:tc>
      </w:tr>
      <w:tr>
        <w:trPr>
          <w:trHeight w:val="215"/>
        </w:trPr>
        <w:tc>
          <w:tcPr>
            <w:tcW w:w="66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operating lease liabilities</w:t>
            </w:r>
          </w:p>
        </w:tc>
        <w:tc>
          <w:tcPr>
            <w:tcW w:w="20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gridSpan w:val="2"/>
            <w:shd w:val="clear" w:color="auto" w:fill="E6E6E6"/>
          </w:tcPr>
          <w:p>
            <w:pPr>
              <w:jc w:val="right"/>
              <w:ind w:right="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11,681</w:t>
            </w:r>
          </w:p>
        </w:tc>
        <w:tc>
          <w:tcPr>
            <w:tcW w:w="8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spacing w:after="0"/>
              <w:rPr>
                <w:sz w:val="18"/>
                <w:szCs w:val="18"/>
                <w:color w:val="auto"/>
              </w:rPr>
            </w:pPr>
          </w:p>
        </w:tc>
        <w:tc>
          <w:tcPr>
            <w:tcW w:w="360" w:type="dxa"/>
            <w:vAlign w:val="bottom"/>
            <w:tcBorders>
              <w:top w:val="single" w:sz="8" w:color="auto"/>
              <w:bottom w:val="single" w:sz="8" w:color="auto"/>
            </w:tcBorders>
            <w:gridSpan w:val="2"/>
            <w:shd w:val="clear" w:color="auto" w:fill="E6E6E6"/>
          </w:tcPr>
          <w:p>
            <w:pPr>
              <w:jc w:val="right"/>
              <w:ind w:right="1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11,176</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Finance leases</w:t>
            </w:r>
          </w:p>
        </w:tc>
        <w:tc>
          <w:tcPr>
            <w:tcW w:w="2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4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440" w:type="dxa"/>
            <w:vAlign w:val="bottom"/>
            <w:gridSpan w:val="3"/>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2,329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2,619</w:t>
            </w:r>
          </w:p>
        </w:tc>
        <w:tc>
          <w:tcPr>
            <w:tcW w:w="0" w:type="dxa"/>
            <w:vAlign w:val="bottom"/>
          </w:tcPr>
          <w:p>
            <w:pPr>
              <w:spacing w:after="0"/>
              <w:rPr>
                <w:sz w:val="1"/>
                <w:szCs w:val="1"/>
                <w:color w:val="auto"/>
              </w:rPr>
            </w:pPr>
          </w:p>
        </w:tc>
      </w:tr>
      <w:tr>
        <w:trPr>
          <w:trHeight w:val="215"/>
        </w:trPr>
        <w:tc>
          <w:tcPr>
            <w:tcW w:w="668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spacing w:after="0"/>
              <w:rPr>
                <w:sz w:val="18"/>
                <w:szCs w:val="18"/>
                <w:color w:val="auto"/>
              </w:rPr>
            </w:pPr>
          </w:p>
        </w:tc>
        <w:tc>
          <w:tcPr>
            <w:tcW w:w="14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spacing w:after="0"/>
              <w:rPr>
                <w:sz w:val="18"/>
                <w:szCs w:val="18"/>
                <w:color w:val="auto"/>
              </w:rPr>
            </w:pPr>
          </w:p>
        </w:tc>
        <w:tc>
          <w:tcPr>
            <w:tcW w:w="1320" w:type="dxa"/>
            <w:vAlign w:val="bottom"/>
            <w:tcBorders>
              <w:top w:val="single" w:sz="8" w:color="auto"/>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Accounts payable and accrued expenses</w:t>
            </w:r>
          </w:p>
        </w:tc>
        <w:tc>
          <w:tcPr>
            <w:tcW w:w="200" w:type="dxa"/>
            <w:vAlign w:val="bottom"/>
          </w:tcPr>
          <w:p>
            <w:pPr>
              <w:spacing w:after="0"/>
              <w:rPr>
                <w:sz w:val="19"/>
                <w:szCs w:val="19"/>
                <w:color w:val="auto"/>
              </w:rPr>
            </w:pPr>
          </w:p>
        </w:tc>
        <w:tc>
          <w:tcPr>
            <w:tcW w:w="240" w:type="dxa"/>
            <w:vAlign w:val="bottom"/>
            <w:gridSpan w:val="2"/>
          </w:tcPr>
          <w:p>
            <w:pPr>
              <w:jc w:val="right"/>
              <w:ind w:right="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gridSpan w:val="2"/>
          </w:tcPr>
          <w:p>
            <w:pPr>
              <w:jc w:val="right"/>
              <w:ind w:right="16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 liabilities</w:t>
            </w:r>
          </w:p>
        </w:tc>
        <w:tc>
          <w:tcPr>
            <w:tcW w:w="2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5,537</w:t>
            </w:r>
          </w:p>
        </w:tc>
        <w:tc>
          <w:tcPr>
            <w:tcW w:w="8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6,183</w:t>
            </w:r>
          </w:p>
        </w:tc>
        <w:tc>
          <w:tcPr>
            <w:tcW w:w="0" w:type="dxa"/>
            <w:vAlign w:val="bottom"/>
          </w:tcPr>
          <w:p>
            <w:pPr>
              <w:spacing w:after="0"/>
              <w:rPr>
                <w:sz w:val="1"/>
                <w:szCs w:val="1"/>
                <w:color w:val="auto"/>
              </w:rPr>
            </w:pPr>
          </w:p>
        </w:tc>
      </w:tr>
      <w:tr>
        <w:trPr>
          <w:trHeight w:val="215"/>
        </w:trPr>
        <w:tc>
          <w:tcPr>
            <w:tcW w:w="66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Total finance lease liabilities</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6,182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9"/>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as of December 31, 2022 were as follows: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4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440" w:type="dxa"/>
            <w:vAlign w:val="bottom"/>
            <w:gridSpan w:val="2"/>
            <w:shd w:val="clear" w:color="auto" w:fill="E6E6E6"/>
          </w:tcPr>
          <w:p>
            <w:pPr>
              <w:jc w:val="center"/>
              <w:ind w:right="740"/>
              <w:spacing w:after="0"/>
              <w:rPr>
                <w:sz w:val="20"/>
                <w:szCs w:val="20"/>
                <w:color w:val="auto"/>
              </w:rPr>
            </w:pPr>
            <w:r>
              <w:rPr>
                <w:rFonts w:ascii="Times New Roman" w:cs="Times New Roman" w:eastAsia="Times New Roman" w:hAnsi="Times New Roman"/>
                <w:sz w:val="20"/>
                <w:szCs w:val="20"/>
                <w:color w:val="auto"/>
                <w:w w:val="98"/>
              </w:rPr>
              <w:t>10 years</w:t>
            </w:r>
          </w:p>
        </w:tc>
        <w:tc>
          <w:tcPr>
            <w:tcW w:w="0" w:type="dxa"/>
            <w:vAlign w:val="bottom"/>
          </w:tcPr>
          <w:p>
            <w:pPr>
              <w:spacing w:after="0"/>
              <w:rPr>
                <w:sz w:val="1"/>
                <w:szCs w:val="1"/>
                <w:color w:val="auto"/>
              </w:rPr>
            </w:pPr>
          </w:p>
        </w:tc>
      </w:tr>
      <w:tr>
        <w:trPr>
          <w:trHeight w:val="263"/>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760"/>
              <w:spacing w:after="0"/>
              <w:rPr>
                <w:sz w:val="20"/>
                <w:szCs w:val="20"/>
                <w:color w:val="auto"/>
              </w:rPr>
            </w:pPr>
            <w:r>
              <w:rPr>
                <w:rFonts w:ascii="Times New Roman" w:cs="Times New Roman" w:eastAsia="Times New Roman" w:hAnsi="Times New Roman"/>
                <w:sz w:val="20"/>
                <w:szCs w:val="20"/>
                <w:color w:val="auto"/>
                <w:w w:val="97"/>
              </w:rPr>
              <w:t>8 years</w:t>
            </w:r>
          </w:p>
        </w:tc>
        <w:tc>
          <w:tcPr>
            <w:tcW w:w="0" w:type="dxa"/>
            <w:vAlign w:val="bottom"/>
          </w:tcPr>
          <w:p>
            <w:pPr>
              <w:spacing w:after="0"/>
              <w:rPr>
                <w:sz w:val="1"/>
                <w:szCs w:val="1"/>
                <w:color w:val="auto"/>
              </w:rPr>
            </w:pPr>
          </w:p>
        </w:tc>
      </w:tr>
      <w:tr>
        <w:trPr>
          <w:trHeight w:val="263"/>
        </w:trPr>
        <w:tc>
          <w:tcPr>
            <w:tcW w:w="66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4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3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leases</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jc w:val="center"/>
              <w:ind w:right="544"/>
              <w:spacing w:after="0"/>
              <w:rPr>
                <w:sz w:val="20"/>
                <w:szCs w:val="20"/>
                <w:color w:val="auto"/>
              </w:rPr>
            </w:pPr>
            <w:r>
              <w:rPr>
                <w:rFonts w:ascii="Times New Roman" w:cs="Times New Roman" w:eastAsia="Times New Roman" w:hAnsi="Times New Roman"/>
                <w:sz w:val="20"/>
                <w:szCs w:val="20"/>
                <w:color w:val="auto"/>
                <w:w w:val="95"/>
              </w:rPr>
              <w:t>4.7%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Finance leases</w:t>
            </w:r>
          </w:p>
        </w:tc>
        <w:tc>
          <w:tcPr>
            <w:tcW w:w="200" w:type="dxa"/>
            <w:vAlign w:val="bottom"/>
            <w:shd w:val="clear" w:color="auto" w:fill="E6E6E6"/>
          </w:tcPr>
          <w:p>
            <w:pPr>
              <w:spacing w:after="0"/>
              <w:rPr>
                <w:sz w:val="22"/>
                <w:szCs w:val="22"/>
                <w:color w:val="auto"/>
              </w:rPr>
            </w:pPr>
          </w:p>
        </w:tc>
        <w:tc>
          <w:tcPr>
            <w:tcW w:w="6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4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1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60" w:type="dxa"/>
            <w:vAlign w:val="bottom"/>
            <w:shd w:val="clear" w:color="auto" w:fill="E6E6E6"/>
          </w:tcPr>
          <w:p>
            <w:pPr>
              <w:spacing w:after="0"/>
              <w:rPr>
                <w:sz w:val="22"/>
                <w:szCs w:val="22"/>
                <w:color w:val="auto"/>
              </w:rPr>
            </w:pPr>
          </w:p>
        </w:tc>
        <w:tc>
          <w:tcPr>
            <w:tcW w:w="1320" w:type="dxa"/>
            <w:vAlign w:val="bottom"/>
            <w:shd w:val="clear" w:color="auto" w:fill="E6E6E6"/>
          </w:tcPr>
          <w:p>
            <w:pPr>
              <w:jc w:val="center"/>
              <w:ind w:right="544"/>
              <w:spacing w:after="0"/>
              <w:rPr>
                <w:sz w:val="20"/>
                <w:szCs w:val="20"/>
                <w:color w:val="auto"/>
              </w:rPr>
            </w:pPr>
            <w:r>
              <w:rPr>
                <w:rFonts w:ascii="Times New Roman" w:cs="Times New Roman" w:eastAsia="Times New Roman" w:hAnsi="Times New Roman"/>
                <w:sz w:val="20"/>
                <w:szCs w:val="20"/>
                <w:color w:val="auto"/>
                <w:w w:val="95"/>
              </w:rPr>
              <w:t>4.6%</w:t>
            </w:r>
          </w:p>
        </w:tc>
        <w:tc>
          <w:tcPr>
            <w:tcW w:w="12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478"/>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2022, maturities of lease liabilities were as follows: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w w:val="98"/>
              </w:rPr>
              <w:t>Finance Leases</w:t>
            </w:r>
          </w:p>
        </w:tc>
        <w:tc>
          <w:tcPr>
            <w:tcW w:w="0" w:type="dxa"/>
            <w:vAlign w:val="bottom"/>
          </w:tcPr>
          <w:p>
            <w:pPr>
              <w:spacing w:after="0"/>
              <w:rPr>
                <w:sz w:val="1"/>
                <w:szCs w:val="1"/>
                <w:color w:val="auto"/>
              </w:rPr>
            </w:pPr>
          </w:p>
        </w:tc>
      </w:tr>
      <w:tr>
        <w:trPr>
          <w:trHeight w:val="215"/>
        </w:trPr>
        <w:tc>
          <w:tcPr>
            <w:tcW w:w="66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2023</w:t>
            </w:r>
          </w:p>
        </w:tc>
        <w:tc>
          <w:tcPr>
            <w:tcW w:w="20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spacing w:after="0"/>
              <w:rPr>
                <w:sz w:val="18"/>
                <w:szCs w:val="18"/>
                <w:color w:val="auto"/>
              </w:rPr>
            </w:pPr>
          </w:p>
        </w:tc>
        <w:tc>
          <w:tcPr>
            <w:tcW w:w="1500" w:type="dxa"/>
            <w:vAlign w:val="bottom"/>
            <w:tcBorders>
              <w:top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3,405</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spacing w:after="0"/>
              <w:rPr>
                <w:sz w:val="18"/>
                <w:szCs w:val="18"/>
                <w:color w:val="auto"/>
              </w:rPr>
            </w:pPr>
          </w:p>
        </w:tc>
        <w:tc>
          <w:tcPr>
            <w:tcW w:w="13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907</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2024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2,979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2025</w:t>
            </w:r>
          </w:p>
        </w:tc>
        <w:tc>
          <w:tcPr>
            <w:tcW w:w="2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50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2,375</w:t>
            </w:r>
          </w:p>
        </w:tc>
        <w:tc>
          <w:tcPr>
            <w:tcW w:w="1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943</w:t>
            </w: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2026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1,543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962</w:t>
            </w:r>
          </w:p>
        </w:tc>
        <w:tc>
          <w:tcPr>
            <w:tcW w:w="0" w:type="dxa"/>
            <w:vAlign w:val="bottom"/>
          </w:tcPr>
          <w:p>
            <w:pPr>
              <w:spacing w:after="0"/>
              <w:rPr>
                <w:sz w:val="1"/>
                <w:szCs w:val="1"/>
                <w:color w:val="auto"/>
              </w:rPr>
            </w:pPr>
          </w:p>
        </w:tc>
      </w:tr>
      <w:tr>
        <w:trPr>
          <w:trHeight w:val="225"/>
        </w:trPr>
        <w:tc>
          <w:tcPr>
            <w:tcW w:w="6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2027</w:t>
            </w:r>
          </w:p>
        </w:tc>
        <w:tc>
          <w:tcPr>
            <w:tcW w:w="20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150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668</w:t>
            </w:r>
          </w:p>
        </w:tc>
        <w:tc>
          <w:tcPr>
            <w:tcW w:w="18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982</w:t>
            </w:r>
          </w:p>
        </w:tc>
        <w:tc>
          <w:tcPr>
            <w:tcW w:w="0" w:type="dxa"/>
            <w:vAlign w:val="bottom"/>
          </w:tcPr>
          <w:p>
            <w:pPr>
              <w:spacing w:after="0"/>
              <w:rPr>
                <w:sz w:val="1"/>
                <w:szCs w:val="1"/>
                <w:color w:val="auto"/>
              </w:rPr>
            </w:pPr>
          </w:p>
        </w:tc>
      </w:tr>
      <w:tr>
        <w:trPr>
          <w:trHeight w:val="225"/>
        </w:trPr>
        <w:tc>
          <w:tcPr>
            <w:tcW w:w="6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1,891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2,597</w:t>
            </w:r>
          </w:p>
        </w:tc>
        <w:tc>
          <w:tcPr>
            <w:tcW w:w="0" w:type="dxa"/>
            <w:vAlign w:val="bottom"/>
          </w:tcPr>
          <w:p>
            <w:pPr>
              <w:spacing w:after="0"/>
              <w:rPr>
                <w:sz w:val="1"/>
                <w:szCs w:val="1"/>
                <w:color w:val="auto"/>
              </w:rPr>
            </w:pPr>
          </w:p>
        </w:tc>
      </w:tr>
      <w:tr>
        <w:trPr>
          <w:trHeight w:val="215"/>
        </w:trPr>
        <w:tc>
          <w:tcPr>
            <w:tcW w:w="66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Total minimum lease payments</w:t>
            </w:r>
          </w:p>
        </w:tc>
        <w:tc>
          <w:tcPr>
            <w:tcW w:w="20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12,861</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tcBorders>
            <w:shd w:val="clear" w:color="auto" w:fill="E6E6E6"/>
          </w:tcPr>
          <w:p>
            <w:pPr>
              <w:jc w:val="right"/>
              <w:ind w:right="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7,316</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8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Less imputed interest</w:t>
            </w:r>
          </w:p>
        </w:tc>
        <w:tc>
          <w:tcPr>
            <w:tcW w:w="200" w:type="dxa"/>
            <w:vAlign w:val="bottom"/>
            <w:tcBorders>
              <w:bottom w:val="single" w:sz="8" w:color="E6E6E6"/>
            </w:tcBorders>
          </w:tcPr>
          <w:p>
            <w:pPr>
              <w:spacing w:after="0"/>
              <w:rPr>
                <w:sz w:val="19"/>
                <w:szCs w:val="19"/>
                <w:color w:val="auto"/>
              </w:rPr>
            </w:pPr>
          </w:p>
        </w:tc>
        <w:tc>
          <w:tcPr>
            <w:tcW w:w="60" w:type="dxa"/>
            <w:vAlign w:val="bottom"/>
            <w:tcBorders>
              <w:bottom w:val="single" w:sz="8" w:color="E6E6E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(1,180)</w:t>
            </w:r>
          </w:p>
        </w:tc>
        <w:tc>
          <w:tcPr>
            <w:tcW w:w="180" w:type="dxa"/>
            <w:vAlign w:val="bottom"/>
            <w:tcBorders>
              <w:bottom w:val="single" w:sz="8" w:color="E6E6E6"/>
            </w:tcBorders>
          </w:tcPr>
          <w:p>
            <w:pPr>
              <w:spacing w:after="0"/>
              <w:rPr>
                <w:sz w:val="19"/>
                <w:szCs w:val="19"/>
                <w:color w:val="auto"/>
              </w:rPr>
            </w:pPr>
          </w:p>
        </w:tc>
        <w:tc>
          <w:tcPr>
            <w:tcW w:w="10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(1,134)</w:t>
            </w:r>
          </w:p>
        </w:tc>
        <w:tc>
          <w:tcPr>
            <w:tcW w:w="12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Lease liability</w:t>
            </w:r>
          </w:p>
        </w:tc>
        <w:tc>
          <w:tcPr>
            <w:tcW w:w="200" w:type="dxa"/>
            <w:vAlign w:val="bottom"/>
            <w:shd w:val="clear" w:color="auto" w:fill="E6E6E6"/>
          </w:tcPr>
          <w:p>
            <w:pPr>
              <w:spacing w:after="0"/>
              <w:rPr>
                <w:sz w:val="18"/>
                <w:szCs w:val="18"/>
                <w:color w:val="auto"/>
              </w:rPr>
            </w:pPr>
          </w:p>
        </w:tc>
        <w:tc>
          <w:tcPr>
            <w:tcW w:w="60" w:type="dxa"/>
            <w:vAlign w:val="bottom"/>
            <w:shd w:val="clear" w:color="auto" w:fill="E6E6E6"/>
          </w:tcPr>
          <w:p>
            <w:pPr>
              <w:spacing w:after="0"/>
              <w:rPr>
                <w:sz w:val="18"/>
                <w:szCs w:val="18"/>
                <w:color w:val="auto"/>
              </w:rPr>
            </w:pPr>
          </w:p>
        </w:tc>
        <w:tc>
          <w:tcPr>
            <w:tcW w:w="1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11,681</w:t>
            </w: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60" w:type="dxa"/>
            <w:vAlign w:val="bottom"/>
            <w:tcBorders>
              <w:bottom w:val="single" w:sz="8" w:color="auto"/>
            </w:tcBorders>
            <w:shd w:val="clear" w:color="auto" w:fill="E6E6E6"/>
          </w:tcPr>
          <w:p>
            <w:pPr>
              <w:jc w:val="right"/>
              <w:ind w:right="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6,182</w:t>
            </w: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472"/>
        <w:spacing w:after="0"/>
        <w:tabs>
          <w:tab w:leader="none" w:pos="4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Asbestos cases</w:t>
      </w:r>
    </w:p>
    <w:p>
      <w:pPr>
        <w:spacing w:after="0" w:line="2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9"/>
          <w:szCs w:val="19"/>
          <w:color w:val="auto"/>
        </w:rPr>
        <w:t>The Company's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December 31, 2022 for cases involving asbestos-related claims were $6.2 million which together with all</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600"/>
          </w:cols>
          <w:pgMar w:left="820" w:top="1069" w:right="820" w:bottom="326" w:gutter="0" w:footer="0" w:header="0"/>
          <w:type w:val="continuous"/>
        </w:sectPr>
      </w:pPr>
    </w:p>
    <w:bookmarkStart w:id="85" w:name="page86"/>
    <w:bookmarkEnd w:id="85"/>
    <w:p>
      <w:pPr>
        <w:ind w:right="100"/>
        <w:spacing w:after="0" w:line="269" w:lineRule="auto"/>
        <w:rPr>
          <w:sz w:val="20"/>
          <w:szCs w:val="20"/>
          <w:color w:val="auto"/>
        </w:rPr>
      </w:pPr>
      <w:r>
        <w:rPr>
          <w:rFonts w:ascii="Times New Roman" w:cs="Times New Roman" w:eastAsia="Times New Roman" w:hAnsi="Times New Roman"/>
          <w:sz w:val="20"/>
          <w:szCs w:val="20"/>
          <w:color w:val="auto"/>
        </w:rPr>
        <w:t>legal fees other than corporate counsel expenses have substantially been paid by the Company’s insurers. The average cost per settled claim, excluding legal fees, was approximately $42,000.</w:t>
      </w:r>
    </w:p>
    <w:p>
      <w:pPr>
        <w:spacing w:after="0" w:line="17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Based upon the most recent information available to the Company regarding such claims, there were a total of 247 cases pending against the Company as of December 31, 2022 (with Illinois, New York, Pennsylvania and West Virginia having the largest number of cases), as compared with 223 cases that were pending as of December 31, 2021. During 2022, 139 new cases were filed against the Company, and the Company was dismissed from 84 cases and settled 31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227"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Company is also a party to routine contract and employment-related litigation matters and routine audits of state and local tax returns arising in the ordinary course of its business.</w:t>
      </w:r>
    </w:p>
    <w:p>
      <w:pPr>
        <w:spacing w:after="0" w:line="170"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The final outcome and impact of open matters, and related claims and investigations that may be brought in the future, are subject to many variables, and cannot be predicted. In accordance with ASC 450, “Contingencies,” and related guidance, the Company records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94"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The Company is not aware of pending claims or assessments, other than as described above, which may have a material adverse impact on its liquidity, financial position, results of operations, or cash flows.</w:t>
      </w:r>
    </w:p>
    <w:p>
      <w:pPr>
        <w:spacing w:after="0" w:line="166"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before income taxes was generated in the United States and globally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20" w:type="dxa"/>
            <w:vAlign w:val="bottom"/>
          </w:tcPr>
          <w:p>
            <w:pPr>
              <w:spacing w:after="0"/>
              <w:rPr>
                <w:sz w:val="17"/>
                <w:szCs w:val="17"/>
                <w:color w:val="auto"/>
              </w:rPr>
            </w:pPr>
          </w:p>
        </w:tc>
        <w:tc>
          <w:tcPr>
            <w:tcW w:w="1080" w:type="dxa"/>
            <w:vAlign w:val="bottom"/>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47"/>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7"/>
                <w:szCs w:val="17"/>
                <w:color w:val="auto"/>
              </w:rPr>
            </w:pPr>
          </w:p>
        </w:tc>
      </w:tr>
      <w:tr>
        <w:trPr>
          <w:trHeight w:val="215"/>
        </w:trPr>
        <w:tc>
          <w:tcPr>
            <w:tcW w:w="58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Domestic</w:t>
            </w:r>
          </w:p>
        </w:tc>
        <w:tc>
          <w:tcPr>
            <w:tcW w:w="320" w:type="dxa"/>
            <w:vAlign w:val="bottom"/>
            <w:tcBorders>
              <w:top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11,971</w:t>
            </w:r>
          </w:p>
        </w:tc>
        <w:tc>
          <w:tcPr>
            <w:tcW w:w="240" w:type="dxa"/>
            <w:vAlign w:val="bottom"/>
            <w:tcBorders>
              <w:top w:val="single" w:sz="8" w:color="E6E6E6"/>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771</w:t>
            </w:r>
          </w:p>
        </w:tc>
        <w:tc>
          <w:tcPr>
            <w:tcW w:w="2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3,495</w:t>
            </w: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5820" w:type="dxa"/>
            <w:vAlign w:val="bottom"/>
            <w:tcBorders>
              <w:bottom w:val="single" w:sz="8" w:color="E6E6E6"/>
            </w:tcBorders>
          </w:tcPr>
          <w:p>
            <w:pPr>
              <w:spacing w:after="0" w:line="226" w:lineRule="exact"/>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11,718</w:t>
            </w:r>
          </w:p>
        </w:tc>
        <w:tc>
          <w:tcPr>
            <w:tcW w:w="240" w:type="dxa"/>
            <w:vAlign w:val="bottom"/>
            <w:tcBorders>
              <w:bottom w:val="single" w:sz="8" w:color="E6E6E6"/>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3,903</w:t>
            </w:r>
          </w:p>
        </w:tc>
        <w:tc>
          <w:tcPr>
            <w:tcW w:w="240" w:type="dxa"/>
            <w:vAlign w:val="bottom"/>
            <w:tcBorders>
              <w:bottom w:val="single" w:sz="8" w:color="E6E6E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8,349</w:t>
            </w:r>
          </w:p>
        </w:tc>
        <w:tc>
          <w:tcPr>
            <w:tcW w:w="120" w:type="dxa"/>
            <w:vAlign w:val="bottom"/>
            <w:tcBorders>
              <w:bottom w:val="single" w:sz="8" w:color="E6E6E6"/>
            </w:tcBorders>
          </w:tcPr>
          <w:p>
            <w:pPr>
              <w:spacing w:after="0"/>
              <w:rPr>
                <w:sz w:val="19"/>
                <w:szCs w:val="19"/>
                <w:color w:val="auto"/>
              </w:rPr>
            </w:pPr>
          </w:p>
        </w:tc>
      </w:tr>
      <w:tr>
        <w:trPr>
          <w:trHeight w:val="215"/>
        </w:trPr>
        <w:tc>
          <w:tcPr>
            <w:tcW w:w="5820" w:type="dxa"/>
            <w:vAlign w:val="bottom"/>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23,689</w:t>
            </w:r>
          </w:p>
        </w:tc>
        <w:tc>
          <w:tcPr>
            <w:tcW w:w="240" w:type="dxa"/>
            <w:vAlign w:val="bottom"/>
            <w:shd w:val="clear" w:color="auto" w:fill="E6E6E6"/>
          </w:tcPr>
          <w:p>
            <w:pPr>
              <w:spacing w:after="0"/>
              <w:rPr>
                <w:sz w:val="18"/>
                <w:szCs w:val="18"/>
                <w:color w:val="auto"/>
              </w:rPr>
            </w:pPr>
          </w:p>
        </w:tc>
        <w:tc>
          <w:tcPr>
            <w:tcW w:w="900" w:type="dxa"/>
            <w:vAlign w:val="bottom"/>
            <w:tcBorders>
              <w:bottom w:val="single" w:sz="8" w:color="auto"/>
            </w:tcBorders>
            <w:shd w:val="clear" w:color="auto" w:fill="E6E6E6"/>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4,674</w:t>
            </w:r>
          </w:p>
        </w:tc>
        <w:tc>
          <w:tcPr>
            <w:tcW w:w="240" w:type="dxa"/>
            <w:vAlign w:val="bottom"/>
            <w:shd w:val="clear" w:color="auto" w:fill="E6E6E6"/>
          </w:tcPr>
          <w:p>
            <w:pPr>
              <w:spacing w:after="0"/>
              <w:rPr>
                <w:sz w:val="18"/>
                <w:szCs w:val="18"/>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11,844</w:t>
            </w:r>
          </w:p>
        </w:tc>
        <w:tc>
          <w:tcPr>
            <w:tcW w:w="120" w:type="dxa"/>
            <w:vAlign w:val="bottom"/>
            <w:shd w:val="clear" w:color="auto" w:fill="E6E6E6"/>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$1.3 million has been recorded for the deferred taxes on such undistributed foreign earnings as of December 31, 2022. The deferred taxes are attributable primarily to the foreign withholding taxes that would become payable should the Company repatriate cash held in its foreign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(benefit) consisted of the following for the years ended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7"/>
                <w:szCs w:val="17"/>
                <w:color w:val="auto"/>
              </w:rPr>
            </w:pPr>
          </w:p>
        </w:tc>
      </w:tr>
      <w:tr>
        <w:trPr>
          <w:trHeight w:val="215"/>
        </w:trPr>
        <w:tc>
          <w:tcPr>
            <w:tcW w:w="58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Current:</w:t>
            </w: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6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5,009</w:t>
            </w:r>
          </w:p>
        </w:tc>
        <w:tc>
          <w:tcPr>
            <w:tcW w:w="240" w:type="dxa"/>
            <w:vAlign w:val="bottom"/>
          </w:tcPr>
          <w:p>
            <w:pPr>
              <w:spacing w:after="0"/>
              <w:rPr>
                <w:sz w:val="19"/>
                <w:szCs w:val="19"/>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354</w:t>
            </w:r>
          </w:p>
        </w:tc>
        <w:tc>
          <w:tcPr>
            <w:tcW w:w="240" w:type="dxa"/>
            <w:vAlign w:val="bottom"/>
          </w:tcPr>
          <w:p>
            <w:pPr>
              <w:spacing w:after="0"/>
              <w:rPr>
                <w:sz w:val="19"/>
                <w:szCs w:val="19"/>
                <w:color w:val="auto"/>
              </w:rPr>
            </w:pP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(239)</w:t>
            </w:r>
          </w:p>
        </w:tc>
        <w:tc>
          <w:tcPr>
            <w:tcW w:w="120" w:type="dxa"/>
            <w:vAlign w:val="bottom"/>
          </w:tcPr>
          <w:p>
            <w:pPr>
              <w:spacing w:after="0"/>
              <w:rPr>
                <w:sz w:val="19"/>
                <w:szCs w:val="19"/>
                <w:color w:val="auto"/>
              </w:rPr>
            </w:pP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State</w:t>
            </w: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836</w:t>
            </w: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278</w:t>
            </w: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241</w:t>
            </w:r>
          </w:p>
        </w:tc>
      </w:tr>
      <w:tr>
        <w:trPr>
          <w:trHeight w:val="22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Foreign</w:t>
            </w: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1,755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1,972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2,632</w:t>
            </w:r>
          </w:p>
        </w:tc>
      </w:tr>
      <w:tr>
        <w:trPr>
          <w:trHeight w:val="215"/>
        </w:trPr>
        <w:tc>
          <w:tcPr>
            <w:tcW w:w="582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spacing w:after="0"/>
              <w:rPr>
                <w:sz w:val="18"/>
                <w:szCs w:val="18"/>
                <w:color w:val="auto"/>
              </w:rPr>
            </w:pP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7,600</w:t>
            </w:r>
          </w:p>
        </w:tc>
        <w:tc>
          <w:tcPr>
            <w:tcW w:w="2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spacing w:after="0"/>
              <w:rPr>
                <w:sz w:val="18"/>
                <w:szCs w:val="18"/>
                <w:color w:val="auto"/>
              </w:rPr>
            </w:pP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2,604</w:t>
            </w:r>
          </w:p>
        </w:tc>
        <w:tc>
          <w:tcPr>
            <w:tcW w:w="24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spacing w:after="0"/>
              <w:rPr>
                <w:sz w:val="18"/>
                <w:szCs w:val="18"/>
                <w:color w:val="auto"/>
              </w:rPr>
            </w:pP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2,634</w:t>
            </w:r>
          </w:p>
        </w:tc>
        <w:tc>
          <w:tcPr>
            <w:tcW w:w="120" w:type="dxa"/>
            <w:vAlign w:val="bottom"/>
            <w:tcBorders>
              <w:top w:val="single" w:sz="8" w:color="E6E6E6"/>
            </w:tcBorders>
            <w:shd w:val="clear" w:color="auto" w:fill="E6E6E6"/>
          </w:tcPr>
          <w:p>
            <w:pPr>
              <w:spacing w:after="0"/>
              <w:rPr>
                <w:sz w:val="18"/>
                <w:szCs w:val="18"/>
                <w:color w:val="auto"/>
              </w:rPr>
            </w:pPr>
          </w:p>
        </w:tc>
      </w:tr>
      <w:tr>
        <w:trPr>
          <w:trHeight w:val="215"/>
        </w:trPr>
        <w:tc>
          <w:tcPr>
            <w:tcW w:w="582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Deferred: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Federal</w:t>
            </w:r>
          </w:p>
        </w:tc>
        <w:tc>
          <w:tcPr>
            <w:tcW w:w="320" w:type="dxa"/>
            <w:vAlign w:val="bottom"/>
            <w:shd w:val="clear" w:color="auto" w:fill="E6E6E6"/>
          </w:tcPr>
          <w:p>
            <w:pPr>
              <w:spacing w:after="0"/>
              <w:rPr>
                <w:sz w:val="19"/>
                <w:szCs w:val="19"/>
                <w:color w:val="auto"/>
              </w:rPr>
            </w:pPr>
          </w:p>
        </w:tc>
        <w:tc>
          <w:tcPr>
            <w:tcW w:w="132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(3,001)</w:t>
            </w: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426</w:t>
            </w: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1,638</w:t>
            </w:r>
          </w:p>
        </w:tc>
      </w:tr>
      <w:tr>
        <w:trPr>
          <w:trHeight w:val="225"/>
        </w:trPr>
        <w:tc>
          <w:tcPr>
            <w:tcW w:w="58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(231)</w:t>
            </w: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313</w:t>
            </w:r>
          </w:p>
        </w:tc>
      </w:tr>
      <w:tr>
        <w:trPr>
          <w:trHeight w:val="225"/>
        </w:trPr>
        <w:tc>
          <w:tcPr>
            <w:tcW w:w="58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Foreign</w:t>
            </w: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1,058</w:t>
            </w:r>
          </w:p>
        </w:tc>
        <w:tc>
          <w:tcPr>
            <w:tcW w:w="24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(384)</w:t>
            </w:r>
          </w:p>
        </w:tc>
        <w:tc>
          <w:tcPr>
            <w:tcW w:w="32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(913)</w:t>
            </w:r>
          </w:p>
        </w:tc>
      </w:tr>
      <w:tr>
        <w:trPr>
          <w:trHeight w:val="215"/>
        </w:trPr>
        <w:tc>
          <w:tcPr>
            <w:tcW w:w="582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(2,174)</w:t>
            </w:r>
          </w:p>
        </w:tc>
        <w:tc>
          <w:tcPr>
            <w:tcW w:w="24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87</w:t>
            </w:r>
          </w:p>
        </w:tc>
        <w:tc>
          <w:tcPr>
            <w:tcW w:w="240" w:type="dxa"/>
            <w:vAlign w:val="bottom"/>
            <w:tcBorders>
              <w:bottom w:val="single" w:sz="8" w:color="E6E6E6"/>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1,038</w:t>
            </w:r>
          </w:p>
        </w:tc>
        <w:tc>
          <w:tcPr>
            <w:tcW w:w="120" w:type="dxa"/>
            <w:vAlign w:val="bottom"/>
            <w:tcBorders>
              <w:bottom w:val="single" w:sz="8" w:color="E6E6E6"/>
            </w:tcBorders>
          </w:tcPr>
          <w:p>
            <w:pPr>
              <w:spacing w:after="0"/>
              <w:rPr>
                <w:sz w:val="18"/>
                <w:szCs w:val="18"/>
                <w:color w:val="auto"/>
              </w:rPr>
            </w:pPr>
          </w:p>
        </w:tc>
      </w:tr>
      <w:tr>
        <w:trPr>
          <w:trHeight w:val="235"/>
        </w:trPr>
        <w:tc>
          <w:tcPr>
            <w:tcW w:w="582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5,426</w:t>
            </w:r>
          </w:p>
        </w:tc>
        <w:tc>
          <w:tcPr>
            <w:tcW w:w="24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2,691</w:t>
            </w:r>
          </w:p>
        </w:tc>
        <w:tc>
          <w:tcPr>
            <w:tcW w:w="240" w:type="dxa"/>
            <w:vAlign w:val="bottom"/>
            <w:tcBorders>
              <w:bottom w:val="single" w:sz="8" w:color="E6E6E6"/>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3,672</w:t>
            </w:r>
          </w:p>
        </w:tc>
        <w:tc>
          <w:tcPr>
            <w:tcW w:w="120" w:type="dxa"/>
            <w:vAlign w:val="bottom"/>
            <w:tcBorders>
              <w:bottom w:val="single" w:sz="8" w:color="E6E6E6"/>
            </w:tcBorders>
            <w:shd w:val="clear" w:color="auto" w:fill="E6E6E6"/>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600"/>
          </w:cols>
          <w:pgMar w:left="820" w:top="1069" w:right="820" w:bottom="326"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The income tax expense (benefit) differs from the statutory rate due to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42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7"/>
                <w:szCs w:val="17"/>
                <w:color w:val="auto"/>
              </w:rPr>
            </w:pPr>
          </w:p>
        </w:tc>
      </w:tr>
      <w:tr>
        <w:trPr>
          <w:trHeight w:val="215"/>
        </w:trPr>
        <w:tc>
          <w:tcPr>
            <w:tcW w:w="540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Tax expense at statutory rate</w:t>
            </w:r>
          </w:p>
        </w:tc>
        <w:tc>
          <w:tcPr>
            <w:tcW w:w="42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4,975</w:t>
            </w:r>
          </w:p>
        </w:tc>
        <w:tc>
          <w:tcPr>
            <w:tcW w:w="1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981</w:t>
            </w: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20" w:type="dxa"/>
            <w:vAlign w:val="bottom"/>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2,487</w:t>
            </w:r>
          </w:p>
        </w:tc>
        <w:tc>
          <w:tcPr>
            <w:tcW w:w="120" w:type="dxa"/>
            <w:vAlign w:val="bottom"/>
            <w:shd w:val="clear" w:color="auto" w:fill="E6E6E6"/>
          </w:tcPr>
          <w:p>
            <w:pPr>
              <w:spacing w:after="0"/>
              <w:rPr>
                <w:sz w:val="18"/>
                <w:szCs w:val="18"/>
                <w:color w:val="auto"/>
              </w:rPr>
            </w:pPr>
          </w:p>
        </w:tc>
      </w:tr>
      <w:tr>
        <w:trPr>
          <w:trHeight w:val="225"/>
        </w:trPr>
        <w:tc>
          <w:tcPr>
            <w:tcW w:w="54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Increase (decrease) in tax resulting from:</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State income tax, net of federal benefit</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340</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334</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503</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Change in uncertain tax position reserves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(115)</w:t>
            </w: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Other permanent differences</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383</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22</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601</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Impact of rate differences and adjustments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101</w:t>
            </w: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United States tax credits and incentives</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(626)</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300</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153</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Foreign tax credits and incentives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(895)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(794)</w:t>
            </w: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Change in valuation allowance</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(526)</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(489)</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(218)</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Foreign withholding taxes on repatriation of foreign earnings</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242</w:t>
            </w: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Earnout expense (income)</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(48)</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6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233</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293</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Investment in joint venture</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(1,341)</w:t>
            </w:r>
          </w:p>
        </w:tc>
      </w:tr>
      <w:tr>
        <w:trPr>
          <w:trHeight w:val="225"/>
        </w:trPr>
        <w:tc>
          <w:tcPr>
            <w:tcW w:w="540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Net effect GILTI and FDII</w:t>
            </w:r>
          </w:p>
        </w:tc>
        <w:tc>
          <w:tcPr>
            <w:tcW w:w="42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565</w:t>
            </w:r>
          </w:p>
        </w:tc>
        <w:tc>
          <w:tcPr>
            <w:tcW w:w="1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1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1,598</w:t>
            </w:r>
          </w:p>
        </w:tc>
      </w:tr>
      <w:tr>
        <w:trPr>
          <w:trHeight w:val="225"/>
        </w:trPr>
        <w:tc>
          <w:tcPr>
            <w:tcW w:w="540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Other</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162</w:t>
            </w:r>
          </w:p>
        </w:tc>
      </w:tr>
      <w:tr>
        <w:trPr>
          <w:trHeight w:val="215"/>
        </w:trPr>
        <w:tc>
          <w:tcPr>
            <w:tcW w:w="5400" w:type="dxa"/>
            <w:vAlign w:val="bottom"/>
            <w:tcBorders>
              <w:top w:val="single" w:sz="8" w:color="E6E6E6"/>
            </w:tcBorders>
            <w:shd w:val="clear" w:color="auto" w:fill="E6E6E6"/>
          </w:tcPr>
          <w:p>
            <w:pPr>
              <w:spacing w:after="0"/>
              <w:rPr>
                <w:sz w:val="18"/>
                <w:szCs w:val="18"/>
                <w:color w:val="auto"/>
              </w:rPr>
            </w:pPr>
          </w:p>
        </w:tc>
        <w:tc>
          <w:tcPr>
            <w:tcW w:w="42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5,426</w:t>
            </w:r>
          </w:p>
        </w:tc>
        <w:tc>
          <w:tcPr>
            <w:tcW w:w="14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2,691</w:t>
            </w:r>
          </w:p>
        </w:tc>
        <w:tc>
          <w:tcPr>
            <w:tcW w:w="1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3,672</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600"/>
        <w:spacing w:after="0" w:line="252" w:lineRule="auto"/>
        <w:rPr>
          <w:sz w:val="20"/>
          <w:szCs w:val="20"/>
          <w:color w:val="auto"/>
        </w:rPr>
      </w:pPr>
      <w:r>
        <w:rPr>
          <w:rFonts w:ascii="Times New Roman" w:cs="Times New Roman" w:eastAsia="Times New Roman" w:hAnsi="Times New Roman"/>
          <w:sz w:val="20"/>
          <w:szCs w:val="20"/>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7"/>
                <w:szCs w:val="17"/>
                <w:color w:val="auto"/>
              </w:rPr>
            </w:pPr>
          </w:p>
        </w:tc>
      </w:tr>
      <w:tr>
        <w:trPr>
          <w:trHeight w:val="215"/>
        </w:trPr>
        <w:tc>
          <w:tcPr>
            <w:tcW w:w="68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Gross deferred tax assets:</w:t>
            </w: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8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38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Accrued expenses</w:t>
            </w:r>
          </w:p>
        </w:tc>
        <w:tc>
          <w:tcPr>
            <w:tcW w:w="380" w:type="dxa"/>
            <w:vAlign w:val="bottom"/>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692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775</w:t>
            </w:r>
          </w:p>
        </w:tc>
        <w:tc>
          <w:tcPr>
            <w:tcW w:w="120" w:type="dxa"/>
            <w:vAlign w:val="bottom"/>
          </w:tcPr>
          <w:p>
            <w:pPr>
              <w:spacing w:after="0"/>
              <w:rPr>
                <w:sz w:val="19"/>
                <w:szCs w:val="19"/>
                <w:color w:val="auto"/>
              </w:rPr>
            </w:pP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Reserves on assets</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2,228</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1,576</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Share-based compensation awards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452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400</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Minimum pension</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1,247</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1,239</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Net operating loss carry-forwards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3,142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3,001</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Tax credit carry-forwards</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2,349</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2,464</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Investment in joint venture</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1,226</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Leases</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2,564</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2,424</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Research and development costs</w:t>
            </w:r>
          </w:p>
        </w:tc>
        <w:tc>
          <w:tcPr>
            <w:tcW w:w="380" w:type="dxa"/>
            <w:vAlign w:val="bottom"/>
          </w:tcPr>
          <w:p>
            <w:pPr>
              <w:spacing w:after="0"/>
              <w:rPr>
                <w:sz w:val="19"/>
                <w:szCs w:val="19"/>
                <w:color w:val="auto"/>
              </w:rPr>
            </w:pPr>
          </w:p>
        </w:tc>
        <w:tc>
          <w:tcPr>
            <w:tcW w:w="1460" w:type="dxa"/>
            <w:vAlign w:val="bottom"/>
            <w:gridSpan w:val="2"/>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3,224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Other</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80"/>
              <w:spacing w:after="0" w:line="226"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582</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Valuation allowances</w:t>
            </w:r>
          </w:p>
        </w:tc>
        <w:tc>
          <w:tcPr>
            <w:tcW w:w="380" w:type="dxa"/>
            <w:vAlign w:val="bottom"/>
          </w:tcPr>
          <w:p>
            <w:pPr>
              <w:spacing w:after="0"/>
              <w:rPr>
                <w:sz w:val="19"/>
                <w:szCs w:val="19"/>
                <w:color w:val="auto"/>
              </w:rPr>
            </w:pPr>
          </w:p>
        </w:tc>
        <w:tc>
          <w:tcPr>
            <w:tcW w:w="146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(4,950)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(5,476)</w:t>
            </w:r>
          </w:p>
        </w:tc>
      </w:tr>
      <w:tr>
        <w:trPr>
          <w:trHeight w:val="215"/>
        </w:trPr>
        <w:tc>
          <w:tcPr>
            <w:tcW w:w="688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11,832</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8,211</w:t>
            </w:r>
          </w:p>
        </w:tc>
        <w:tc>
          <w:tcPr>
            <w:tcW w:w="120" w:type="dxa"/>
            <w:vAlign w:val="bottom"/>
            <w:tcBorders>
              <w:top w:val="single" w:sz="8" w:color="E6E6E6"/>
            </w:tcBorders>
            <w:shd w:val="clear" w:color="auto" w:fill="E6E6E6"/>
          </w:tcPr>
          <w:p>
            <w:pPr>
              <w:spacing w:after="0"/>
              <w:rPr>
                <w:sz w:val="18"/>
                <w:szCs w:val="18"/>
                <w:color w:val="auto"/>
              </w:rPr>
            </w:pPr>
          </w:p>
        </w:tc>
      </w:tr>
      <w:tr>
        <w:trPr>
          <w:trHeight w:val="215"/>
        </w:trPr>
        <w:tc>
          <w:tcPr>
            <w:tcW w:w="68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Gross deferred tax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Depreciation</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(727)</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(881)</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Goodwill and intangibles</w:t>
            </w:r>
          </w:p>
        </w:tc>
        <w:tc>
          <w:tcPr>
            <w:tcW w:w="380" w:type="dxa"/>
            <w:vAlign w:val="bottom"/>
          </w:tcPr>
          <w:p>
            <w:pPr>
              <w:spacing w:after="0"/>
              <w:rPr>
                <w:sz w:val="19"/>
                <w:szCs w:val="19"/>
                <w:color w:val="auto"/>
              </w:rPr>
            </w:pPr>
          </w:p>
        </w:tc>
        <w:tc>
          <w:tcPr>
            <w:tcW w:w="146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(13,310)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(11,501)</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Prepaid expenses and inventory</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(783)</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(132)</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Withholding tax on unremitted foreign earnings</w:t>
            </w:r>
          </w:p>
        </w:tc>
        <w:tc>
          <w:tcPr>
            <w:tcW w:w="380" w:type="dxa"/>
            <w:vAlign w:val="bottom"/>
          </w:tcPr>
          <w:p>
            <w:pPr>
              <w:spacing w:after="0"/>
              <w:rPr>
                <w:sz w:val="19"/>
                <w:szCs w:val="19"/>
                <w:color w:val="auto"/>
              </w:rPr>
            </w:pPr>
          </w:p>
        </w:tc>
        <w:tc>
          <w:tcPr>
            <w:tcW w:w="146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(1,254)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(1,114)</w:t>
            </w: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Leases</w:t>
            </w:r>
          </w:p>
        </w:tc>
        <w:tc>
          <w:tcPr>
            <w:tcW w:w="38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(2,564)</w:t>
            </w:r>
          </w:p>
        </w:tc>
        <w:tc>
          <w:tcPr>
            <w:tcW w:w="1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(2,424)</w:t>
            </w: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Revenue recognition</w:t>
            </w:r>
          </w:p>
        </w:tc>
        <w:tc>
          <w:tcPr>
            <w:tcW w:w="380" w:type="dxa"/>
            <w:vAlign w:val="bottom"/>
          </w:tcPr>
          <w:p>
            <w:pPr>
              <w:spacing w:after="0"/>
              <w:rPr>
                <w:sz w:val="19"/>
                <w:szCs w:val="19"/>
                <w:color w:val="auto"/>
              </w:rPr>
            </w:pPr>
          </w:p>
        </w:tc>
        <w:tc>
          <w:tcPr>
            <w:tcW w:w="1460" w:type="dxa"/>
            <w:vAlign w:val="bottom"/>
            <w:gridSpan w:val="2"/>
          </w:tcPr>
          <w:p>
            <w:pPr>
              <w:jc w:val="right"/>
              <w:ind w:right="100"/>
              <w:spacing w:after="0" w:line="226" w:lineRule="exact"/>
              <w:rPr>
                <w:sz w:val="20"/>
                <w:szCs w:val="20"/>
                <w:color w:val="auto"/>
              </w:rPr>
            </w:pPr>
            <w:r>
              <w:rPr>
                <w:rFonts w:ascii="Times New Roman" w:cs="Times New Roman" w:eastAsia="Times New Roman" w:hAnsi="Times New Roman"/>
                <w:sz w:val="20"/>
                <w:szCs w:val="20"/>
                <w:color w:val="auto"/>
              </w:rPr>
              <w:t>(1,031)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(44)</w:t>
            </w:r>
          </w:p>
        </w:tc>
      </w:tr>
      <w:tr>
        <w:trPr>
          <w:trHeight w:val="215"/>
        </w:trPr>
        <w:tc>
          <w:tcPr>
            <w:tcW w:w="688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spacing w:after="0"/>
              <w:rPr>
                <w:sz w:val="18"/>
                <w:szCs w:val="18"/>
                <w:color w:val="auto"/>
              </w:rPr>
            </w:pP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(19,669)</w:t>
            </w:r>
          </w:p>
        </w:tc>
        <w:tc>
          <w:tcPr>
            <w:tcW w:w="18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spacing w:after="0"/>
              <w:rPr>
                <w:sz w:val="18"/>
                <w:szCs w:val="18"/>
                <w:color w:val="auto"/>
              </w:rPr>
            </w:pP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(16,096)</w:t>
            </w:r>
          </w:p>
        </w:tc>
        <w:tc>
          <w:tcPr>
            <w:tcW w:w="120" w:type="dxa"/>
            <w:vAlign w:val="bottom"/>
            <w:tcBorders>
              <w:top w:val="single" w:sz="8" w:color="E6E6E6"/>
            </w:tcBorders>
            <w:shd w:val="clear" w:color="auto" w:fill="E6E6E6"/>
          </w:tcPr>
          <w:p>
            <w:pPr>
              <w:spacing w:after="0"/>
              <w:rPr>
                <w:sz w:val="18"/>
                <w:szCs w:val="18"/>
                <w:color w:val="auto"/>
              </w:rPr>
            </w:pPr>
          </w:p>
        </w:tc>
      </w:tr>
      <w:tr>
        <w:trPr>
          <w:trHeight w:val="215"/>
        </w:trPr>
        <w:tc>
          <w:tcPr>
            <w:tcW w:w="688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deferred tax liabilities</w:t>
            </w:r>
          </w:p>
        </w:tc>
        <w:tc>
          <w:tcPr>
            <w:tcW w:w="380" w:type="dxa"/>
            <w:vAlign w:val="bottom"/>
            <w:tcBorders>
              <w:bottom w:val="single" w:sz="8" w:color="auto"/>
            </w:tcBorders>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(7,837)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(7,885)</w:t>
            </w:r>
          </w:p>
        </w:tc>
        <w:tc>
          <w:tcPr>
            <w:tcW w:w="12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As of December 31, 2022, state and local net operating loss carry forwards total $48.3 million, which expire from 2023 to 2042. The Company has recorded a valuation allowance on certain of these net operating loss carry forwards to reflect expected realization. The Company also has net operating loss carry forwards in foreign jurisdictions totaling $8.8 million. A valuation allowance of $6.1 million has been established against these losses in foreign jurisdictions. As of December 31, 2022 and 2021, the Company has recorded a valuation reserve in the amount of $5.0 million and $5.5 million, respectively. The changes in the valuation allowance resulted in additional income tax expense (benefit) of $(0.5) million, $(0.5) million, and $(0.2) million in 2022, 2021, and 2020, respectively.</w:t>
      </w:r>
    </w:p>
    <w:p>
      <w:pPr>
        <w:spacing w:after="0" w:line="20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F-27</w:t>
      </w:r>
    </w:p>
    <w:p>
      <w:pPr>
        <w:sectPr>
          <w:pgSz w:w="12240" w:h="15840" w:orient="portrait"/>
          <w:cols w:equalWidth="0" w:num="1">
            <w:col w:w="10600"/>
          </w:cols>
          <w:pgMar w:left="820" w:top="1069" w:right="820" w:bottom="315" w:gutter="0" w:footer="0" w:header="0"/>
        </w:sectPr>
      </w:pPr>
    </w:p>
    <w:bookmarkStart w:id="87" w:name="page88"/>
    <w:bookmarkEnd w:id="87"/>
    <w:p>
      <w:pPr>
        <w:ind w:right="20"/>
        <w:spacing w:after="0" w:line="246" w:lineRule="auto"/>
        <w:rPr>
          <w:sz w:val="20"/>
          <w:szCs w:val="20"/>
          <w:color w:val="auto"/>
        </w:rPr>
      </w:pPr>
      <w:r>
        <w:rPr>
          <w:rFonts w:ascii="Times New Roman" w:cs="Times New Roman" w:eastAsia="Times New Roman" w:hAnsi="Times New Roman"/>
          <w:sz w:val="20"/>
          <w:szCs w:val="20"/>
          <w:color w:val="auto"/>
        </w:rPr>
        <w:t>income, and tax-planning strategies in making this assessment. Based on this assessment, management believes it is more likely than not that the Company will realize the benefits of these deductible differences, net of the existing valuation allowances at December 31, 2022. The amount of the deferred tax assets considered realizable, however, could be reduced in the near term if estimates of future taxable income during the carryforward period are reduced.</w:t>
      </w:r>
    </w:p>
    <w:p>
      <w:pPr>
        <w:spacing w:after="0" w:line="1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00" w:type="dxa"/>
            <w:vAlign w:val="bottom"/>
            <w:tcBorders>
              <w:bottom w:val="single" w:sz="8" w:color="E6E6E6"/>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bottom w:val="single" w:sz="8" w:color="E6E6E6"/>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7"/>
                <w:szCs w:val="17"/>
                <w:color w:val="auto"/>
              </w:rPr>
            </w:pPr>
          </w:p>
        </w:tc>
      </w:tr>
      <w:tr>
        <w:trPr>
          <w:trHeight w:val="215"/>
        </w:trPr>
        <w:tc>
          <w:tcPr>
            <w:tcW w:w="56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as of January 1,</w:t>
            </w:r>
          </w:p>
        </w:tc>
        <w:tc>
          <w:tcPr>
            <w:tcW w:w="1200" w:type="dxa"/>
            <w:vAlign w:val="bottom"/>
            <w:shd w:val="clear" w:color="auto" w:fill="E6E6E6"/>
          </w:tcPr>
          <w:p>
            <w:pPr>
              <w:spacing w:after="0"/>
              <w:rPr>
                <w:sz w:val="18"/>
                <w:szCs w:val="18"/>
                <w:color w:val="auto"/>
              </w:rPr>
            </w:pPr>
          </w:p>
        </w:tc>
        <w:tc>
          <w:tcPr>
            <w:tcW w:w="380" w:type="dxa"/>
            <w:vAlign w:val="bottom"/>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141</w:t>
            </w:r>
          </w:p>
        </w:tc>
        <w:tc>
          <w:tcPr>
            <w:tcW w:w="280" w:type="dxa"/>
            <w:vAlign w:val="bottom"/>
            <w:shd w:val="clear" w:color="auto" w:fill="E6E6E6"/>
          </w:tcPr>
          <w:p>
            <w:pPr>
              <w:spacing w:after="0"/>
              <w:rPr>
                <w:sz w:val="18"/>
                <w:szCs w:val="18"/>
                <w:color w:val="auto"/>
              </w:rPr>
            </w:pPr>
          </w:p>
        </w:tc>
        <w:tc>
          <w:tcPr>
            <w:tcW w:w="380" w:type="dxa"/>
            <w:vAlign w:val="bottom"/>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139</w:t>
            </w:r>
          </w:p>
        </w:tc>
        <w:tc>
          <w:tcPr>
            <w:tcW w:w="120" w:type="dxa"/>
            <w:vAlign w:val="bottom"/>
            <w:shd w:val="clear" w:color="auto" w:fill="E6E6E6"/>
          </w:tcPr>
          <w:p>
            <w:pPr>
              <w:spacing w:after="0"/>
              <w:rPr>
                <w:sz w:val="18"/>
                <w:szCs w:val="18"/>
                <w:color w:val="auto"/>
              </w:rPr>
            </w:pPr>
          </w:p>
        </w:tc>
      </w:tr>
      <w:tr>
        <w:trPr>
          <w:trHeight w:val="225"/>
        </w:trPr>
        <w:tc>
          <w:tcPr>
            <w:tcW w:w="5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Additions for tax positions taken in prior years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120" w:type="dxa"/>
            <w:vAlign w:val="bottom"/>
          </w:tcPr>
          <w:p>
            <w:pPr>
              <w:spacing w:after="0"/>
              <w:rPr>
                <w:sz w:val="19"/>
                <w:szCs w:val="19"/>
                <w:color w:val="auto"/>
              </w:rPr>
            </w:pPr>
          </w:p>
        </w:tc>
      </w:tr>
      <w:tr>
        <w:trPr>
          <w:trHeight w:val="225"/>
        </w:trPr>
        <w:tc>
          <w:tcPr>
            <w:tcW w:w="568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Reductions of tax positions taken in prior years</w:t>
            </w:r>
          </w:p>
        </w:tc>
        <w:tc>
          <w:tcPr>
            <w:tcW w:w="120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560" w:type="dxa"/>
            <w:vAlign w:val="bottom"/>
            <w:gridSpan w:val="2"/>
            <w:shd w:val="clear" w:color="auto" w:fill="E6E6E6"/>
          </w:tcPr>
          <w:p>
            <w:pPr>
              <w:ind w:left="11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r>
      <w:tr>
        <w:trPr>
          <w:trHeight w:val="225"/>
        </w:trPr>
        <w:tc>
          <w:tcPr>
            <w:tcW w:w="56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Reductions for settlements on tax positions of prior years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ind w:left="11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w:t>
            </w:r>
          </w:p>
        </w:tc>
      </w:tr>
      <w:tr>
        <w:trPr>
          <w:trHeight w:val="215"/>
        </w:trPr>
        <w:tc>
          <w:tcPr>
            <w:tcW w:w="568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Balance as of December 31,</w:t>
            </w:r>
          </w:p>
        </w:tc>
        <w:tc>
          <w:tcPr>
            <w:tcW w:w="120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144</w:t>
            </w:r>
          </w:p>
        </w:tc>
        <w:tc>
          <w:tcPr>
            <w:tcW w:w="280" w:type="dxa"/>
            <w:vAlign w:val="bottom"/>
            <w:tcBorders>
              <w:top w:val="single" w:sz="8" w:color="E6E6E6"/>
            </w:tcBorders>
            <w:shd w:val="clear" w:color="auto" w:fill="E6E6E6"/>
          </w:tcPr>
          <w:p>
            <w:pPr>
              <w:spacing w:after="0"/>
              <w:rPr>
                <w:sz w:val="18"/>
                <w:szCs w:val="18"/>
                <w:color w:val="auto"/>
              </w:rPr>
            </w:pPr>
          </w:p>
        </w:tc>
        <w:tc>
          <w:tcPr>
            <w:tcW w:w="380" w:type="dxa"/>
            <w:vAlign w:val="bottom"/>
            <w:tcBorders>
              <w:top w:val="single" w:sz="8" w:color="auto"/>
              <w:bottom w:val="single" w:sz="8" w:color="auto"/>
            </w:tcBorders>
            <w:shd w:val="clear" w:color="auto" w:fill="E6E6E6"/>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141</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Company recognizes interest and penalties related to uncertain tax positions in income tax expense. The reserve for uncertain tax positions includes $0.1 million of interest and penalties as of December 31, 2022 and 2021. The favorable settlement of all uncertain tax positions would impact the Company’s effective income tax rate. Tax years going back to 2017 remain open for all significant state and foreign authorities.</w:t>
      </w:r>
    </w:p>
    <w:p>
      <w:pPr>
        <w:spacing w:after="0" w:line="190"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 and Joint Ventures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Rubber LLC</w:t>
      </w:r>
    </w:p>
    <w:p>
      <w:pPr>
        <w:spacing w:after="0" w:line="227"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On March 7, 2022, the Company, through the EFM JV, acquired 100% of the equity interests of General Rubber LLC ("GRC") for $19.7 million in cash, which was financed with a combination of a draw on the Company's revolving credit facility and issuance of term debt by the EFM JV. As additional consideration, the former owners of GRC were issued 10% of the equity interest in the EFM JV, resulting in the Company holding 63% of the equity in the joint venture. The fair value ascribed to the equity interest of the former owners of GRC was approximately $4.1 million. As of December 31, 2022, there were $13.4 million in current assets, $27.7 million in long-lived assets, and $29.8 million in total liabilities related to the EFM JV included in the Consolidated Balance Sheets. For the year ended December 31, 2022, EFM JV accounted for $35.8 million in revenue.</w:t>
      </w:r>
    </w:p>
    <w:p>
      <w:pPr>
        <w:spacing w:after="0" w:line="20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GRC engineers and manufactures non-metallic expansion joints and flow control products including rubber expansion joints, ducting expansion joints, and industrial pinch and duck bill valves, serving the industrial water and wastewater markets. The acquisition diversifies and expands the EFM JV product offerings within the Engineered Systems segment. The following table summarizes the fair values of the assets acquired and liabilities assumed at the date of closing.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(including cash of $137)</w:t>
            </w:r>
          </w:p>
        </w:tc>
        <w:tc>
          <w:tcPr>
            <w:tcW w:w="3480" w:type="dxa"/>
            <w:vAlign w:val="bottom"/>
            <w:gridSpan w:val="2"/>
          </w:tcPr>
          <w:p>
            <w:pPr>
              <w:jc w:val="right"/>
              <w:ind w:right="48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4,963</w:t>
            </w: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459</w:t>
            </w:r>
          </w:p>
        </w:tc>
      </w:tr>
      <w:tr>
        <w:trPr>
          <w:trHeight w:val="225"/>
        </w:trPr>
        <w:tc>
          <w:tcPr>
            <w:tcW w:w="5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2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11,120</w:t>
            </w: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 finite life</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8,380</w:t>
            </w:r>
          </w:p>
        </w:tc>
      </w:tr>
      <w:tr>
        <w:trPr>
          <w:trHeight w:val="215"/>
        </w:trPr>
        <w:tc>
          <w:tcPr>
            <w:tcW w:w="590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assets acquired</w:t>
            </w:r>
          </w:p>
        </w:tc>
        <w:tc>
          <w:tcPr>
            <w:tcW w:w="28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24,922</w:t>
            </w:r>
          </w:p>
        </w:tc>
        <w:tc>
          <w:tcPr>
            <w:tcW w:w="120" w:type="dxa"/>
            <w:vAlign w:val="bottom"/>
          </w:tcPr>
          <w:p>
            <w:pPr>
              <w:spacing w:after="0"/>
              <w:rPr>
                <w:sz w:val="18"/>
                <w:szCs w:val="18"/>
                <w:color w:val="auto"/>
              </w:rPr>
            </w:pP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(714)</w:t>
            </w:r>
          </w:p>
        </w:tc>
      </w:tr>
      <w:tr>
        <w:trPr>
          <w:trHeight w:val="225"/>
        </w:trPr>
        <w:tc>
          <w:tcPr>
            <w:tcW w:w="5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liability</w:t>
            </w:r>
          </w:p>
        </w:tc>
        <w:tc>
          <w:tcPr>
            <w:tcW w:w="2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(388)</w:t>
            </w:r>
          </w:p>
        </w:tc>
      </w:tr>
      <w:tr>
        <w:trPr>
          <w:trHeight w:val="235"/>
        </w:trPr>
        <w:tc>
          <w:tcPr>
            <w:tcW w:w="5900" w:type="dxa"/>
            <w:vAlign w:val="bottom"/>
            <w:tcBorders>
              <w:top w:val="single" w:sz="8" w:color="E6E6E6"/>
              <w:bottom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assets acquired</w:t>
            </w:r>
          </w:p>
        </w:tc>
        <w:tc>
          <w:tcPr>
            <w:tcW w:w="2800" w:type="dxa"/>
            <w:vAlign w:val="bottom"/>
            <w:tcBorders>
              <w:top w:val="single" w:sz="8" w:color="E6E6E6"/>
              <w:bottom w:val="single" w:sz="8" w:color="E6E6E6"/>
            </w:tcBorders>
            <w:shd w:val="clear" w:color="auto" w:fill="E6E6E6"/>
          </w:tcPr>
          <w:p>
            <w:pPr>
              <w:spacing w:after="0"/>
              <w:rPr>
                <w:sz w:val="20"/>
                <w:szCs w:val="20"/>
                <w:color w:val="auto"/>
              </w:rPr>
            </w:pPr>
          </w:p>
        </w:tc>
        <w:tc>
          <w:tcPr>
            <w:tcW w:w="680" w:type="dxa"/>
            <w:vAlign w:val="bottom"/>
            <w:tcBorders>
              <w:top w:val="single" w:sz="8" w:color="auto"/>
              <w:bottom w:val="single" w:sz="8" w:color="auto"/>
            </w:tcBorders>
            <w:shd w:val="clear" w:color="auto" w:fill="E6E6E6"/>
          </w:tcPr>
          <w:p>
            <w:pPr>
              <w:jc w:val="right"/>
              <w:ind w:right="4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23,820</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5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Company acquired customer lists and tradename intangible assets valued at $7.7 million and $0.7 million, respectively. These assets were determined to have useful lives of 10 years.</w:t>
      </w:r>
    </w:p>
    <w:p>
      <w:pPr>
        <w:spacing w:after="0" w:line="16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2022, GRC accounted for $11.7 million in revenue and $2.1 million of net income included in the Company’s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Compass Water Solutions, Inc.</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600"/>
          </w:cols>
          <w:pgMar w:left="820" w:top="1069" w:right="820" w:bottom="326" w:gutter="0" w:footer="0" w:header="0"/>
          <w:type w:val="continuous"/>
        </w:sectPr>
      </w:pPr>
    </w:p>
    <w:bookmarkStart w:id="88" w:name="page89"/>
    <w:bookmarkEnd w:id="88"/>
    <w:p>
      <w:pPr>
        <w:ind w:right="140"/>
        <w:spacing w:after="0" w:line="242" w:lineRule="auto"/>
        <w:rPr>
          <w:sz w:val="20"/>
          <w:szCs w:val="20"/>
          <w:color w:val="auto"/>
        </w:rPr>
      </w:pPr>
      <w:r>
        <w:rPr>
          <w:rFonts w:ascii="Times New Roman" w:cs="Times New Roman" w:eastAsia="Times New Roman" w:hAnsi="Times New Roman"/>
          <w:sz w:val="20"/>
          <w:szCs w:val="20"/>
          <w:color w:val="auto"/>
        </w:rPr>
        <w:t>On May 3, 2022, the Company acquired 100% of the equity interests of Compass Water Solutions, Inc. ("Compass") for $9.0 million in cash, which was financed with a draw on the Company’s revolving credit facility, and $2.0 million in notes payable to the former owners over two years. As additional consideration, the former owners are entitled to earn-out payments based upon a multiple of specified financial results through April 30, 2023. Based on projections at the acquisition date, the Company estimated the fair value of the earn-out to be $1.4 million. As of December 31, 2022, the earnout liability recorded in “Accounts payable and accrued expenses” on the Consolidated Balance Sheets is $1.2 million.</w:t>
      </w:r>
    </w:p>
    <w:p>
      <w:pPr>
        <w:spacing w:after="0" w:line="19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Compass is a leading global supplier of membrane-based industrial water and wastewater treatment systems that help customers achieve regulatory compliance of water discharge at the lowest lifecycle cost. The acquisition diversifies and expands the Company's industrial water product offerings within the Engineered Systems segment. The following table summarizes the fair values of the assets acquired and liabilities assumed at the date of closing.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(including cash of $334)</w:t>
            </w:r>
          </w:p>
        </w:tc>
        <w:tc>
          <w:tcPr>
            <w:tcW w:w="3480" w:type="dxa"/>
            <w:vAlign w:val="bottom"/>
            <w:gridSpan w:val="2"/>
          </w:tcPr>
          <w:p>
            <w:pPr>
              <w:jc w:val="right"/>
              <w:ind w:right="482"/>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4,796</w:t>
            </w: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101</w:t>
            </w:r>
          </w:p>
        </w:tc>
      </w:tr>
      <w:tr>
        <w:trPr>
          <w:trHeight w:val="225"/>
        </w:trPr>
        <w:tc>
          <w:tcPr>
            <w:tcW w:w="5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2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4,848</w:t>
            </w: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 finite life</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4,900</w:t>
            </w:r>
          </w:p>
        </w:tc>
      </w:tr>
      <w:tr>
        <w:trPr>
          <w:trHeight w:val="215"/>
        </w:trPr>
        <w:tc>
          <w:tcPr>
            <w:tcW w:w="590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assets acquired</w:t>
            </w:r>
          </w:p>
        </w:tc>
        <w:tc>
          <w:tcPr>
            <w:tcW w:w="28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14,645</w:t>
            </w:r>
          </w:p>
        </w:tc>
        <w:tc>
          <w:tcPr>
            <w:tcW w:w="120" w:type="dxa"/>
            <w:vAlign w:val="bottom"/>
          </w:tcPr>
          <w:p>
            <w:pPr>
              <w:spacing w:after="0"/>
              <w:rPr>
                <w:sz w:val="18"/>
                <w:szCs w:val="18"/>
                <w:color w:val="auto"/>
              </w:rPr>
            </w:pPr>
          </w:p>
        </w:tc>
      </w:tr>
      <w:tr>
        <w:trPr>
          <w:trHeight w:val="225"/>
        </w:trPr>
        <w:tc>
          <w:tcPr>
            <w:tcW w:w="59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280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1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(623)</w:t>
            </w:r>
          </w:p>
        </w:tc>
        <w:tc>
          <w:tcPr>
            <w:tcW w:w="120" w:type="dxa"/>
            <w:vAlign w:val="bottom"/>
            <w:shd w:val="clear" w:color="auto" w:fill="E6E6E6"/>
          </w:tcPr>
          <w:p>
            <w:pPr>
              <w:spacing w:after="0"/>
              <w:rPr>
                <w:sz w:val="19"/>
                <w:szCs w:val="19"/>
                <w:color w:val="auto"/>
              </w:rPr>
            </w:pPr>
          </w:p>
        </w:tc>
      </w:tr>
      <w:tr>
        <w:trPr>
          <w:trHeight w:val="225"/>
        </w:trPr>
        <w:tc>
          <w:tcPr>
            <w:tcW w:w="59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liability</w:t>
            </w:r>
          </w:p>
        </w:tc>
        <w:tc>
          <w:tcPr>
            <w:tcW w:w="2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(1,627)</w:t>
            </w:r>
          </w:p>
        </w:tc>
      </w:tr>
      <w:tr>
        <w:trPr>
          <w:trHeight w:val="215"/>
        </w:trPr>
        <w:tc>
          <w:tcPr>
            <w:tcW w:w="5900" w:type="dxa"/>
            <w:vAlign w:val="bottom"/>
            <w:tcBorders>
              <w:top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assets acquired</w:t>
            </w:r>
          </w:p>
        </w:tc>
        <w:tc>
          <w:tcPr>
            <w:tcW w:w="2800" w:type="dxa"/>
            <w:vAlign w:val="bottom"/>
            <w:tcBorders>
              <w:top w:val="single" w:sz="8" w:color="E6E6E6"/>
            </w:tcBorders>
            <w:shd w:val="clear" w:color="auto" w:fill="E6E6E6"/>
          </w:tcPr>
          <w:p>
            <w:pPr>
              <w:spacing w:after="0"/>
              <w:rPr>
                <w:sz w:val="18"/>
                <w:szCs w:val="18"/>
                <w:color w:val="auto"/>
              </w:rPr>
            </w:pPr>
          </w:p>
        </w:tc>
        <w:tc>
          <w:tcPr>
            <w:tcW w:w="680" w:type="dxa"/>
            <w:vAlign w:val="bottom"/>
            <w:tcBorders>
              <w:top w:val="single" w:sz="8" w:color="auto"/>
              <w:bottom w:val="single" w:sz="8" w:color="auto"/>
            </w:tcBorders>
            <w:shd w:val="clear" w:color="auto" w:fill="E6E6E6"/>
          </w:tcPr>
          <w:p>
            <w:pPr>
              <w:jc w:val="right"/>
              <w:ind w:right="4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12,395</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Company acquired customer lists and tradename intangible assets valued at $4.4 million and $0.5 million, respectively. These assets were determined to have useful lives of 10 years.</w:t>
      </w:r>
    </w:p>
    <w:p>
      <w:pPr>
        <w:spacing w:after="0" w:line="17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2022, Compass accounted for $3.7 million in revenue and $0.1 million of net loss included in the Company’s results.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Western Air Ducts Ltd.</w:t>
      </w:r>
    </w:p>
    <w:p>
      <w:pPr>
        <w:spacing w:after="0" w:line="217"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9"/>
          <w:szCs w:val="19"/>
          <w:color w:val="auto"/>
        </w:rPr>
        <w:t>On June 22, 2022, the Company acquired 100% of the equity interests of Western Air Ducts Limited for $10.7 million in cash, which was financed with a draw on the Company’s revolving credit facility, and deferred cash consideration of $0.8 million payable in one year. The deferred consideration is recorded in “Accounts payable and accrued expenses” on the Consolidated Balance Sheets.</w:t>
      </w:r>
    </w:p>
    <w:p>
      <w:pPr>
        <w:spacing w:after="0" w:line="16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Western Air Ducts is a leading European supplier of dust and fume extraction solutions, providing consultation, design, manufacturing, installation, and service. The acquisition diversifies and expands the Company's industrial air product offerings within the Industrial Process Solutions segment. The following table summarizes the fair values of the assets acquired and liabilities assumed at the date of closing.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5"/>
        </w:trPr>
        <w:tc>
          <w:tcPr>
            <w:tcW w:w="87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(including cash of $1,557)</w:t>
            </w:r>
          </w:p>
        </w:tc>
        <w:tc>
          <w:tcPr>
            <w:tcW w:w="660" w:type="dxa"/>
            <w:vAlign w:val="bottom"/>
          </w:tcPr>
          <w:p>
            <w:pPr>
              <w:jc w:val="right"/>
              <w:ind w:right="462"/>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2,711</w:t>
            </w:r>
          </w:p>
        </w:tc>
      </w:tr>
      <w:tr>
        <w:trPr>
          <w:trHeight w:val="225"/>
        </w:trPr>
        <w:tc>
          <w:tcPr>
            <w:tcW w:w="8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6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188</w:t>
            </w:r>
          </w:p>
        </w:tc>
      </w:tr>
      <w:tr>
        <w:trPr>
          <w:trHeight w:val="225"/>
        </w:trPr>
        <w:tc>
          <w:tcPr>
            <w:tcW w:w="8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660" w:type="dxa"/>
            <w:vAlign w:val="bottom"/>
          </w:tcPr>
          <w:p>
            <w:pPr>
              <w:spacing w:after="0"/>
              <w:rPr>
                <w:sz w:val="19"/>
                <w:szCs w:val="19"/>
                <w:color w:val="auto"/>
              </w:rPr>
            </w:pPr>
          </w:p>
        </w:tc>
        <w:tc>
          <w:tcPr>
            <w:tcW w:w="122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7,344</w:t>
            </w:r>
          </w:p>
        </w:tc>
      </w:tr>
      <w:tr>
        <w:trPr>
          <w:trHeight w:val="225"/>
        </w:trPr>
        <w:tc>
          <w:tcPr>
            <w:tcW w:w="8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 finite life</w:t>
            </w:r>
          </w:p>
        </w:tc>
        <w:tc>
          <w:tcPr>
            <w:tcW w:w="6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3,158</w:t>
            </w:r>
          </w:p>
        </w:tc>
      </w:tr>
      <w:tr>
        <w:trPr>
          <w:trHeight w:val="215"/>
        </w:trPr>
        <w:tc>
          <w:tcPr>
            <w:tcW w:w="872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assets acquired</w:t>
            </w:r>
          </w:p>
        </w:tc>
        <w:tc>
          <w:tcPr>
            <w:tcW w:w="6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13,401</w:t>
            </w:r>
          </w:p>
        </w:tc>
        <w:tc>
          <w:tcPr>
            <w:tcW w:w="120" w:type="dxa"/>
            <w:vAlign w:val="bottom"/>
          </w:tcPr>
          <w:p>
            <w:pPr>
              <w:spacing w:after="0"/>
              <w:rPr>
                <w:sz w:val="18"/>
                <w:szCs w:val="18"/>
                <w:color w:val="auto"/>
              </w:rPr>
            </w:pPr>
          </w:p>
        </w:tc>
      </w:tr>
      <w:tr>
        <w:trPr>
          <w:trHeight w:val="225"/>
        </w:trPr>
        <w:tc>
          <w:tcPr>
            <w:tcW w:w="872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660" w:type="dxa"/>
            <w:vAlign w:val="bottom"/>
            <w:shd w:val="clear" w:color="auto" w:fill="E6E6E6"/>
          </w:tcPr>
          <w:p>
            <w:pPr>
              <w:spacing w:after="0"/>
              <w:rPr>
                <w:sz w:val="19"/>
                <w:szCs w:val="19"/>
                <w:color w:val="auto"/>
              </w:rPr>
            </w:pPr>
          </w:p>
        </w:tc>
        <w:tc>
          <w:tcPr>
            <w:tcW w:w="122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(1,127)</w:t>
            </w:r>
          </w:p>
        </w:tc>
      </w:tr>
      <w:tr>
        <w:trPr>
          <w:trHeight w:val="225"/>
        </w:trPr>
        <w:tc>
          <w:tcPr>
            <w:tcW w:w="872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liability</w:t>
            </w:r>
          </w:p>
        </w:tc>
        <w:tc>
          <w:tcPr>
            <w:tcW w:w="660" w:type="dxa"/>
            <w:vAlign w:val="bottom"/>
          </w:tcPr>
          <w:p>
            <w:pPr>
              <w:spacing w:after="0"/>
              <w:rPr>
                <w:sz w:val="19"/>
                <w:szCs w:val="19"/>
                <w:color w:val="auto"/>
              </w:rPr>
            </w:pPr>
          </w:p>
        </w:tc>
        <w:tc>
          <w:tcPr>
            <w:tcW w:w="122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(824)</w:t>
            </w:r>
          </w:p>
        </w:tc>
      </w:tr>
      <w:tr>
        <w:trPr>
          <w:trHeight w:val="235"/>
        </w:trPr>
        <w:tc>
          <w:tcPr>
            <w:tcW w:w="8720" w:type="dxa"/>
            <w:vAlign w:val="bottom"/>
            <w:tcBorders>
              <w:top w:val="single" w:sz="8" w:color="E6E6E6"/>
              <w:bottom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assets acquired</w:t>
            </w:r>
          </w:p>
        </w:tc>
        <w:tc>
          <w:tcPr>
            <w:tcW w:w="660" w:type="dxa"/>
            <w:vAlign w:val="bottom"/>
            <w:tcBorders>
              <w:top w:val="single" w:sz="8" w:color="auto"/>
              <w:bottom w:val="single" w:sz="8" w:color="auto"/>
            </w:tcBorders>
            <w:shd w:val="clear" w:color="auto" w:fill="E6E6E6"/>
          </w:tcPr>
          <w:p>
            <w:pPr>
              <w:jc w:val="right"/>
              <w:ind w:right="46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11,450</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8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Company acquired customer lists and tradename intangible assets valued at $2.8 million and $0.4 million, respectively. These assets were determined to have useful lives of 10 years.</w:t>
      </w:r>
    </w:p>
    <w:p>
      <w:pPr>
        <w:spacing w:after="0" w:line="161"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2022, Western Air Ducts accounted for $1.5 million in revenue and $0.3 million of net loss included in the Company's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DS21 Co., Ltd.</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600"/>
          </w:cols>
          <w:pgMar w:left="820" w:top="1069" w:right="820" w:bottom="326" w:gutter="0" w:footer="0" w:header="0"/>
          <w:type w:val="continuous"/>
        </w:sectPr>
      </w:pPr>
    </w:p>
    <w:bookmarkStart w:id="89" w:name="page90"/>
    <w:bookmarkEnd w:id="89"/>
    <w:p>
      <w:pPr>
        <w:jc w:val="both"/>
        <w:ind w:right="220"/>
        <w:spacing w:after="0" w:line="252" w:lineRule="auto"/>
        <w:rPr>
          <w:sz w:val="20"/>
          <w:szCs w:val="20"/>
          <w:color w:val="auto"/>
        </w:rPr>
      </w:pPr>
      <w:r>
        <w:rPr>
          <w:rFonts w:ascii="Times New Roman" w:cs="Times New Roman" w:eastAsia="Times New Roman" w:hAnsi="Times New Roman"/>
          <w:sz w:val="20"/>
          <w:szCs w:val="20"/>
          <w:color w:val="auto"/>
        </w:rPr>
        <w:t>On September 19, 2022, the Company acquired 100% of the equity interests of DS21 Co., Ltd. ("DS21") for $9.2 million, including $8.9 million in cash, which was financed with a draw on the Company’s revolving credit facility, and deferred cash consideration of $0.3 million payable in one year.</w:t>
      </w:r>
    </w:p>
    <w:p>
      <w:pPr>
        <w:spacing w:after="0" w:line="17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DS21 is a South Korean-based design and manufacturing firm specializing in innovative water and wastewater treatment solutions. The addition of DS21 advances the Company's leadership position in niche oily water and produced water treatment, demineralization water treatment and ultra-pure water supply applications within the Company's Engineered Systems segment. The following table summarizes the fair values of the assets acquired and liabilities assumed at the date of closing.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 (including cash of $1,453)</w:t>
            </w:r>
          </w:p>
        </w:tc>
        <w:tc>
          <w:tcPr>
            <w:tcW w:w="700" w:type="dxa"/>
            <w:vAlign w:val="bottom"/>
            <w:gridSpan w:val="2"/>
          </w:tcPr>
          <w:p>
            <w:pPr>
              <w:jc w:val="right"/>
              <w:ind w:right="513"/>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5,099</w:t>
            </w:r>
          </w:p>
        </w:tc>
        <w:tc>
          <w:tcPr>
            <w:tcW w:w="100" w:type="dxa"/>
            <w:vAlign w:val="bottom"/>
          </w:tcPr>
          <w:p>
            <w:pPr>
              <w:spacing w:after="0"/>
              <w:rPr>
                <w:sz w:val="21"/>
                <w:szCs w:val="21"/>
                <w:color w:val="auto"/>
              </w:rPr>
            </w:pPr>
          </w:p>
        </w:tc>
      </w:tr>
      <w:tr>
        <w:trPr>
          <w:trHeight w:val="225"/>
        </w:trPr>
        <w:tc>
          <w:tcPr>
            <w:tcW w:w="8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16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4,112</w:t>
            </w:r>
          </w:p>
        </w:tc>
        <w:tc>
          <w:tcPr>
            <w:tcW w:w="100" w:type="dxa"/>
            <w:vAlign w:val="bottom"/>
            <w:shd w:val="clear" w:color="auto" w:fill="E6E6E6"/>
          </w:tcPr>
          <w:p>
            <w:pPr>
              <w:spacing w:after="0"/>
              <w:rPr>
                <w:sz w:val="19"/>
                <w:szCs w:val="19"/>
                <w:color w:val="auto"/>
              </w:rPr>
            </w:pPr>
          </w:p>
        </w:tc>
      </w:tr>
      <w:tr>
        <w:trPr>
          <w:trHeight w:val="225"/>
        </w:trPr>
        <w:tc>
          <w:tcPr>
            <w:tcW w:w="8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Intangible - finite life</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422</w:t>
            </w:r>
          </w:p>
        </w:tc>
        <w:tc>
          <w:tcPr>
            <w:tcW w:w="100" w:type="dxa"/>
            <w:vAlign w:val="bottom"/>
          </w:tcPr>
          <w:p>
            <w:pPr>
              <w:spacing w:after="0"/>
              <w:rPr>
                <w:sz w:val="19"/>
                <w:szCs w:val="19"/>
                <w:color w:val="auto"/>
              </w:rPr>
            </w:pPr>
          </w:p>
        </w:tc>
      </w:tr>
      <w:tr>
        <w:trPr>
          <w:trHeight w:val="225"/>
        </w:trPr>
        <w:tc>
          <w:tcPr>
            <w:tcW w:w="8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16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557</w:t>
            </w:r>
          </w:p>
        </w:tc>
        <w:tc>
          <w:tcPr>
            <w:tcW w:w="100" w:type="dxa"/>
            <w:vAlign w:val="bottom"/>
            <w:shd w:val="clear" w:color="auto" w:fill="E6E6E6"/>
          </w:tcPr>
          <w:p>
            <w:pPr>
              <w:spacing w:after="0"/>
              <w:rPr>
                <w:sz w:val="19"/>
                <w:szCs w:val="19"/>
                <w:color w:val="auto"/>
              </w:rPr>
            </w:pPr>
          </w:p>
        </w:tc>
      </w:tr>
      <w:tr>
        <w:trPr>
          <w:trHeight w:val="225"/>
        </w:trPr>
        <w:tc>
          <w:tcPr>
            <w:tcW w:w="8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169</w:t>
            </w:r>
          </w:p>
        </w:tc>
        <w:tc>
          <w:tcPr>
            <w:tcW w:w="100" w:type="dxa"/>
            <w:vAlign w:val="bottom"/>
          </w:tcPr>
          <w:p>
            <w:pPr>
              <w:spacing w:after="0"/>
              <w:rPr>
                <w:sz w:val="19"/>
                <w:szCs w:val="19"/>
                <w:color w:val="auto"/>
              </w:rPr>
            </w:pPr>
          </w:p>
        </w:tc>
      </w:tr>
      <w:tr>
        <w:trPr>
          <w:trHeight w:val="215"/>
        </w:trPr>
        <w:tc>
          <w:tcPr>
            <w:tcW w:w="8640" w:type="dxa"/>
            <w:vAlign w:val="bottom"/>
            <w:tcBorders>
              <w:top w:val="single" w:sz="8" w:color="E6E6E6"/>
            </w:tcBorders>
            <w:shd w:val="clear" w:color="auto" w:fill="E6E6E6"/>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assets acquired</w:t>
            </w:r>
          </w:p>
        </w:tc>
        <w:tc>
          <w:tcPr>
            <w:tcW w:w="20" w:type="dxa"/>
            <w:vAlign w:val="bottom"/>
            <w:tcBorders>
              <w:top w:val="single" w:sz="8" w:color="E6E6E6"/>
            </w:tcBorders>
            <w:shd w:val="clear" w:color="auto" w:fill="E6E6E6"/>
          </w:tcPr>
          <w:p>
            <w:pPr>
              <w:spacing w:after="0"/>
              <w:rPr>
                <w:sz w:val="18"/>
                <w:szCs w:val="18"/>
                <w:color w:val="auto"/>
              </w:rPr>
            </w:pPr>
          </w:p>
        </w:tc>
        <w:tc>
          <w:tcPr>
            <w:tcW w:w="680" w:type="dxa"/>
            <w:vAlign w:val="bottom"/>
            <w:tcBorders>
              <w:top w:val="single" w:sz="8" w:color="auto"/>
            </w:tcBorders>
            <w:shd w:val="clear" w:color="auto" w:fill="E6E6E6"/>
          </w:tcPr>
          <w:p>
            <w:pPr>
              <w:spacing w:after="0"/>
              <w:rPr>
                <w:sz w:val="18"/>
                <w:szCs w:val="18"/>
                <w:color w:val="auto"/>
              </w:rPr>
            </w:pPr>
          </w:p>
        </w:tc>
        <w:tc>
          <w:tcPr>
            <w:tcW w:w="114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10,359</w:t>
            </w: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r>
      <w:tr>
        <w:trPr>
          <w:trHeight w:val="225"/>
        </w:trPr>
        <w:tc>
          <w:tcPr>
            <w:tcW w:w="86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5"/>
        </w:trPr>
        <w:tc>
          <w:tcPr>
            <w:tcW w:w="864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 liabilities</w:t>
            </w:r>
          </w:p>
        </w:tc>
        <w:tc>
          <w:tcPr>
            <w:tcW w:w="20" w:type="dxa"/>
            <w:vAlign w:val="bottom"/>
            <w:shd w:val="clear" w:color="auto" w:fill="E6E6E6"/>
          </w:tcPr>
          <w:p>
            <w:pPr>
              <w:spacing w:after="0"/>
              <w:rPr>
                <w:sz w:val="19"/>
                <w:szCs w:val="19"/>
                <w:color w:val="auto"/>
              </w:rPr>
            </w:pPr>
          </w:p>
        </w:tc>
        <w:tc>
          <w:tcPr>
            <w:tcW w:w="680" w:type="dxa"/>
            <w:vAlign w:val="bottom"/>
            <w:shd w:val="clear" w:color="auto" w:fill="E6E6E6"/>
          </w:tcPr>
          <w:p>
            <w:pPr>
              <w:spacing w:after="0"/>
              <w:rPr>
                <w:sz w:val="19"/>
                <w:szCs w:val="19"/>
                <w:color w:val="auto"/>
              </w:rPr>
            </w:pPr>
          </w:p>
        </w:tc>
        <w:tc>
          <w:tcPr>
            <w:tcW w:w="1260" w:type="dxa"/>
            <w:vAlign w:val="bottom"/>
            <w:gridSpan w:val="3"/>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(113)</w:t>
            </w:r>
          </w:p>
        </w:tc>
      </w:tr>
      <w:tr>
        <w:trPr>
          <w:trHeight w:val="215"/>
        </w:trPr>
        <w:tc>
          <w:tcPr>
            <w:tcW w:w="8640" w:type="dxa"/>
            <w:vAlign w:val="bottom"/>
          </w:tcPr>
          <w:p>
            <w:pPr>
              <w:ind w:left="200"/>
              <w:spacing w:after="0" w:line="215" w:lineRule="exact"/>
              <w:rPr>
                <w:sz w:val="20"/>
                <w:szCs w:val="20"/>
                <w:color w:val="auto"/>
              </w:rPr>
            </w:pPr>
            <w:r>
              <w:rPr>
                <w:rFonts w:ascii="Times New Roman" w:cs="Times New Roman" w:eastAsia="Times New Roman" w:hAnsi="Times New Roman"/>
                <w:sz w:val="20"/>
                <w:szCs w:val="20"/>
                <w:color w:val="auto"/>
              </w:rPr>
              <w:t>Net assets acquired</w:t>
            </w: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9,238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Company acquired customer lists and tradename intangible assets valued at $0.1 million and $0.3 million, respectively. These assets were determined to have useful lives of 10 years.</w:t>
      </w:r>
    </w:p>
    <w:p>
      <w:pPr>
        <w:spacing w:after="0" w:line="16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2022, DS21 accounted for $1.9 million in revenue and $0.5 million of net loss included in the Company's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Environmental Integrated Solutions</w:t>
      </w:r>
    </w:p>
    <w:p>
      <w:pPr>
        <w:spacing w:after="0" w:line="217"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On June 4, 2020, the Company acquired 100% of the equity interests of Environmental Integrated Solutions (“EIS”) for $10.3 million in cash, which was financed through the revolving credit facility. As additional consideration, the former owners were entitled to earn-out payments based upon a multiple of specified financial results through December 31, 2021, which was estimated to be $0.6 million at the acquisition date. See Note 7 for additional information on the earnout.</w:t>
      </w:r>
    </w:p>
    <w:p>
      <w:pPr>
        <w:spacing w:after="0" w:line="184"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EIS engineers products that clean air through a variety of technologies including volatile organic compounds (“VOC”) abatement, odor control, regenerative thermal oxidizers, and other air pollution control solutions, which complements the Industrial Process Solutions segment businesses. The following table summarizes the fair values of the assets acquired and liabilities assumed at the date of closing.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84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assets (including cash of $4,212)</w:t>
            </w:r>
          </w:p>
        </w:tc>
        <w:tc>
          <w:tcPr>
            <w:tcW w:w="880" w:type="dxa"/>
            <w:vAlign w:val="bottom"/>
            <w:gridSpan w:val="2"/>
            <w:shd w:val="clear" w:color="auto" w:fill="E6E6E6"/>
          </w:tcPr>
          <w:p>
            <w:pPr>
              <w:jc w:val="right"/>
              <w:ind w:right="50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6,416</w:t>
            </w:r>
          </w:p>
        </w:tc>
      </w:tr>
      <w:tr>
        <w:trPr>
          <w:trHeight w:val="225"/>
        </w:trPr>
        <w:tc>
          <w:tcPr>
            <w:tcW w:w="84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26</w:t>
            </w:r>
          </w:p>
        </w:tc>
      </w:tr>
      <w:tr>
        <w:trPr>
          <w:trHeight w:val="225"/>
        </w:trPr>
        <w:tc>
          <w:tcPr>
            <w:tcW w:w="84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 assets</w:t>
            </w: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44</w:t>
            </w:r>
          </w:p>
        </w:tc>
      </w:tr>
      <w:tr>
        <w:trPr>
          <w:trHeight w:val="225"/>
        </w:trPr>
        <w:tc>
          <w:tcPr>
            <w:tcW w:w="84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7,022</w:t>
            </w:r>
          </w:p>
        </w:tc>
      </w:tr>
      <w:tr>
        <w:trPr>
          <w:trHeight w:val="225"/>
        </w:trPr>
        <w:tc>
          <w:tcPr>
            <w:tcW w:w="84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Intangible - finite life</w:t>
            </w: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4,840</w:t>
            </w:r>
          </w:p>
        </w:tc>
      </w:tr>
      <w:tr>
        <w:trPr>
          <w:trHeight w:val="215"/>
        </w:trPr>
        <w:tc>
          <w:tcPr>
            <w:tcW w:w="846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assets acquired</w:t>
            </w:r>
          </w:p>
        </w:tc>
        <w:tc>
          <w:tcPr>
            <w:tcW w:w="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18,348</w:t>
            </w:r>
          </w:p>
        </w:tc>
        <w:tc>
          <w:tcPr>
            <w:tcW w:w="120" w:type="dxa"/>
            <w:vAlign w:val="bottom"/>
          </w:tcPr>
          <w:p>
            <w:pPr>
              <w:spacing w:after="0"/>
              <w:rPr>
                <w:sz w:val="18"/>
                <w:szCs w:val="18"/>
                <w:color w:val="auto"/>
              </w:rPr>
            </w:pPr>
          </w:p>
        </w:tc>
      </w:tr>
      <w:tr>
        <w:trPr>
          <w:trHeight w:val="225"/>
        </w:trPr>
        <w:tc>
          <w:tcPr>
            <w:tcW w:w="84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180" w:type="dxa"/>
            <w:vAlign w:val="bottom"/>
            <w:shd w:val="clear" w:color="auto" w:fill="E6E6E6"/>
          </w:tcPr>
          <w:p>
            <w:pPr>
              <w:spacing w:after="0"/>
              <w:rPr>
                <w:sz w:val="19"/>
                <w:szCs w:val="19"/>
                <w:color w:val="auto"/>
              </w:rPr>
            </w:pPr>
          </w:p>
        </w:tc>
        <w:tc>
          <w:tcPr>
            <w:tcW w:w="70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(6,514)</w:t>
            </w:r>
          </w:p>
        </w:tc>
      </w:tr>
      <w:tr>
        <w:trPr>
          <w:trHeight w:val="225"/>
        </w:trPr>
        <w:tc>
          <w:tcPr>
            <w:tcW w:w="84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liability</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(920)</w:t>
            </w:r>
          </w:p>
        </w:tc>
      </w:tr>
      <w:tr>
        <w:trPr>
          <w:trHeight w:val="249"/>
        </w:trPr>
        <w:tc>
          <w:tcPr>
            <w:tcW w:w="8460" w:type="dxa"/>
            <w:vAlign w:val="bottom"/>
            <w:tcBorders>
              <w:top w:val="single" w:sz="8" w:color="E6E6E6"/>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color w:val="auto"/>
              </w:rPr>
              <w:t>Net assets acquired</w:t>
            </w:r>
          </w:p>
        </w:tc>
        <w:tc>
          <w:tcPr>
            <w:tcW w:w="180" w:type="dxa"/>
            <w:vAlign w:val="bottom"/>
          </w:tcPr>
          <w:p>
            <w:pPr>
              <w:spacing w:after="0"/>
              <w:rPr>
                <w:sz w:val="21"/>
                <w:szCs w:val="21"/>
                <w:color w:val="auto"/>
              </w:rPr>
            </w:pPr>
          </w:p>
        </w:tc>
        <w:tc>
          <w:tcPr>
            <w:tcW w:w="700" w:type="dxa"/>
            <w:vAlign w:val="bottom"/>
            <w:tcBorders>
              <w:top w:val="single" w:sz="8" w:color="auto"/>
              <w:bottom w:val="single" w:sz="8" w:color="auto"/>
            </w:tcBorders>
            <w:shd w:val="clear" w:color="auto" w:fill="E6E6E6"/>
          </w:tcPr>
          <w:p>
            <w:pPr>
              <w:jc w:val="right"/>
              <w:ind w:right="502"/>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10,914</w:t>
            </w:r>
          </w:p>
        </w:tc>
        <w:tc>
          <w:tcPr>
            <w:tcW w:w="120" w:type="dxa"/>
            <w:vAlign w:val="bottom"/>
            <w:tcBorders>
              <w:top w:val="single" w:sz="8" w:color="E6E6E6"/>
              <w:bottom w:val="single" w:sz="8" w:color="E6E6E6"/>
            </w:tcBorders>
            <w:shd w:val="clear" w:color="auto" w:fill="E6E6E6"/>
          </w:tcPr>
          <w:p>
            <w:pPr>
              <w:spacing w:after="0"/>
              <w:rPr>
                <w:sz w:val="21"/>
                <w:szCs w:val="21"/>
                <w:color w:val="auto"/>
              </w:rPr>
            </w:pPr>
          </w:p>
        </w:tc>
      </w:tr>
      <w:tr>
        <w:trPr>
          <w:trHeight w:val="20"/>
        </w:trPr>
        <w:tc>
          <w:tcPr>
            <w:tcW w:w="8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20"/>
          <w:szCs w:val="20"/>
          <w:color w:val="auto"/>
        </w:rPr>
        <w:t>The Company acquired customer lists and tradename intangible assets valued at $4.2 million and $0.6 million, respectively. These assets were determined to have useful lives of 10 years.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Mader</w:t>
      </w:r>
    </w:p>
    <w:p>
      <w:pPr>
        <w:spacing w:after="0" w:line="21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9"/>
          <w:szCs w:val="19"/>
          <w:color w:val="auto"/>
        </w:rPr>
        <w:t>On July 31, 2020, the Company entered into the JV Agreement with Mader in which CECO contributed the net assets of its Effox-Flextor damper business and Mader contributed the net assets of its damper business. Under the terms of the JV Agreement, CECO will hold 70% of the equity in the joint venture, and 50% voting interest. The Company determined CECO was the primary beneficiary of this variable interest entity and therefore the 30% noncontrolling equity interest is in the Consolidated Balance Sheet.</w:t>
      </w:r>
    </w:p>
    <w:p>
      <w:pPr>
        <w:sectPr>
          <w:pgSz w:w="12240" w:h="15840" w:orient="portrait"/>
          <w:cols w:equalWidth="0" w:num="1">
            <w:col w:w="10600"/>
          </w:cols>
          <w:pgMar w:left="820" w:top="1069" w:right="820" w:bottom="326"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600"/>
          </w:cols>
          <w:pgMar w:left="820" w:top="1069" w:right="820" w:bottom="326" w:gutter="0" w:footer="0" w:header="0"/>
          <w:type w:val="continuous"/>
        </w:sectPr>
      </w:pPr>
    </w:p>
    <w:bookmarkStart w:id="90" w:name="page91"/>
    <w:bookmarkEnd w:id="90"/>
    <w:p>
      <w:pPr>
        <w:ind w:right="60"/>
        <w:spacing w:after="0" w:line="269" w:lineRule="auto"/>
        <w:rPr>
          <w:sz w:val="20"/>
          <w:szCs w:val="20"/>
          <w:color w:val="auto"/>
        </w:rPr>
      </w:pPr>
      <w:r>
        <w:rPr>
          <w:rFonts w:ascii="Times New Roman" w:cs="Times New Roman" w:eastAsia="Times New Roman" w:hAnsi="Times New Roman"/>
          <w:sz w:val="20"/>
          <w:szCs w:val="20"/>
          <w:color w:val="auto"/>
        </w:rPr>
        <w:t>The results of the EFM JV are included in the Engineered Systems segment. The fair value of Mader’s net assets contributed was $1.0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fair values of the assets acquired and liabilities assumed at the JV agreement date.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8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Current assets (including cash of $229)</w:t>
            </w:r>
          </w:p>
        </w:tc>
        <w:tc>
          <w:tcPr>
            <w:tcW w:w="3500" w:type="dxa"/>
            <w:vAlign w:val="bottom"/>
            <w:gridSpan w:val="2"/>
            <w:shd w:val="clear" w:color="auto" w:fill="E6E6E6"/>
          </w:tcPr>
          <w:p>
            <w:pPr>
              <w:jc w:val="right"/>
              <w:ind w:right="52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2,040</w:t>
            </w:r>
          </w:p>
        </w:tc>
      </w:tr>
      <w:tr>
        <w:trPr>
          <w:trHeight w:val="225"/>
        </w:trPr>
        <w:tc>
          <w:tcPr>
            <w:tcW w:w="58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Property and equipment</w:t>
            </w:r>
          </w:p>
        </w:tc>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103</w:t>
            </w:r>
          </w:p>
        </w:tc>
      </w:tr>
      <w:tr>
        <w:trPr>
          <w:trHeight w:val="225"/>
        </w:trPr>
        <w:tc>
          <w:tcPr>
            <w:tcW w:w="58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Goodwill</w:t>
            </w:r>
          </w:p>
        </w:tc>
        <w:tc>
          <w:tcPr>
            <w:tcW w:w="27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2,085</w:t>
            </w:r>
          </w:p>
        </w:tc>
      </w:tr>
      <w:tr>
        <w:trPr>
          <w:trHeight w:val="225"/>
        </w:trPr>
        <w:tc>
          <w:tcPr>
            <w:tcW w:w="58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Deferred income tax asset</w:t>
            </w:r>
          </w:p>
        </w:tc>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287</w:t>
            </w:r>
          </w:p>
        </w:tc>
      </w:tr>
      <w:tr>
        <w:trPr>
          <w:trHeight w:val="215"/>
        </w:trPr>
        <w:tc>
          <w:tcPr>
            <w:tcW w:w="586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assets assumed</w:t>
            </w:r>
          </w:p>
        </w:tc>
        <w:tc>
          <w:tcPr>
            <w:tcW w:w="2780" w:type="dxa"/>
            <w:vAlign w:val="bottom"/>
            <w:tcBorders>
              <w:top w:val="single" w:sz="8" w:color="E6E6E6"/>
            </w:tcBorders>
            <w:shd w:val="clear" w:color="auto" w:fill="E6E6E6"/>
          </w:tcPr>
          <w:p>
            <w:pPr>
              <w:spacing w:after="0"/>
              <w:rPr>
                <w:sz w:val="18"/>
                <w:szCs w:val="18"/>
                <w:color w:val="auto"/>
              </w:rPr>
            </w:pPr>
          </w:p>
        </w:tc>
        <w:tc>
          <w:tcPr>
            <w:tcW w:w="720" w:type="dxa"/>
            <w:vAlign w:val="bottom"/>
            <w:tcBorders>
              <w:top w:val="single" w:sz="8" w:color="auto"/>
            </w:tcBorders>
            <w:shd w:val="clear" w:color="auto" w:fill="E6E6E6"/>
          </w:tcPr>
          <w:p>
            <w:pPr>
              <w:spacing w:after="0"/>
              <w:rPr>
                <w:sz w:val="18"/>
                <w:szCs w:val="18"/>
                <w:color w:val="auto"/>
              </w:rPr>
            </w:pPr>
          </w:p>
        </w:tc>
        <w:tc>
          <w:tcPr>
            <w:tcW w:w="1120" w:type="dxa"/>
            <w:vAlign w:val="bottom"/>
            <w:tcBorders>
              <w:top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4,515</w:t>
            </w:r>
          </w:p>
        </w:tc>
        <w:tc>
          <w:tcPr>
            <w:tcW w:w="120" w:type="dxa"/>
            <w:vAlign w:val="bottom"/>
            <w:tcBorders>
              <w:top w:val="single" w:sz="8" w:color="E6E6E6"/>
            </w:tcBorders>
            <w:shd w:val="clear" w:color="auto" w:fill="E6E6E6"/>
          </w:tcPr>
          <w:p>
            <w:pPr>
              <w:spacing w:after="0"/>
              <w:rPr>
                <w:sz w:val="18"/>
                <w:szCs w:val="18"/>
                <w:color w:val="auto"/>
              </w:rPr>
            </w:pPr>
          </w:p>
        </w:tc>
      </w:tr>
      <w:tr>
        <w:trPr>
          <w:trHeight w:val="225"/>
        </w:trPr>
        <w:tc>
          <w:tcPr>
            <w:tcW w:w="58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Current liabilities assumed</w:t>
            </w:r>
          </w:p>
        </w:tc>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(515)</w:t>
            </w:r>
          </w:p>
        </w:tc>
        <w:tc>
          <w:tcPr>
            <w:tcW w:w="120" w:type="dxa"/>
            <w:vAlign w:val="bottom"/>
          </w:tcPr>
          <w:p>
            <w:pPr>
              <w:spacing w:after="0"/>
              <w:rPr>
                <w:sz w:val="19"/>
                <w:szCs w:val="19"/>
                <w:color w:val="auto"/>
              </w:rPr>
            </w:pPr>
          </w:p>
        </w:tc>
      </w:tr>
      <w:tr>
        <w:trPr>
          <w:trHeight w:val="225"/>
        </w:trPr>
        <w:tc>
          <w:tcPr>
            <w:tcW w:w="586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Other liabilities</w:t>
            </w:r>
          </w:p>
        </w:tc>
        <w:tc>
          <w:tcPr>
            <w:tcW w:w="2780" w:type="dxa"/>
            <w:vAlign w:val="bottom"/>
            <w:shd w:val="clear" w:color="auto" w:fill="E6E6E6"/>
          </w:tcPr>
          <w:p>
            <w:pPr>
              <w:spacing w:after="0"/>
              <w:rPr>
                <w:sz w:val="19"/>
                <w:szCs w:val="19"/>
                <w:color w:val="auto"/>
              </w:rPr>
            </w:pPr>
          </w:p>
        </w:tc>
        <w:tc>
          <w:tcPr>
            <w:tcW w:w="720" w:type="dxa"/>
            <w:vAlign w:val="bottom"/>
            <w:shd w:val="clear" w:color="auto" w:fill="E6E6E6"/>
          </w:tcPr>
          <w:p>
            <w:pPr>
              <w:spacing w:after="0"/>
              <w:rPr>
                <w:sz w:val="19"/>
                <w:szCs w:val="19"/>
                <w:color w:val="auto"/>
              </w:rPr>
            </w:pPr>
          </w:p>
        </w:tc>
        <w:tc>
          <w:tcPr>
            <w:tcW w:w="1240" w:type="dxa"/>
            <w:vAlign w:val="bottom"/>
            <w:gridSpan w:val="2"/>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(500)</w:t>
            </w:r>
          </w:p>
        </w:tc>
      </w:tr>
      <w:tr>
        <w:trPr>
          <w:trHeight w:val="225"/>
        </w:trPr>
        <w:tc>
          <w:tcPr>
            <w:tcW w:w="58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Long term debt</w:t>
            </w:r>
          </w:p>
        </w:tc>
        <w:tc>
          <w:tcPr>
            <w:tcW w:w="2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(2,508)</w:t>
            </w:r>
          </w:p>
        </w:tc>
      </w:tr>
      <w:tr>
        <w:trPr>
          <w:trHeight w:val="215"/>
        </w:trPr>
        <w:tc>
          <w:tcPr>
            <w:tcW w:w="586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color w:val="auto"/>
              </w:rPr>
              <w:t>Net assets acquired</w:t>
            </w:r>
          </w:p>
        </w:tc>
        <w:tc>
          <w:tcPr>
            <w:tcW w:w="2780" w:type="dxa"/>
            <w:vAlign w:val="bottom"/>
            <w:tcBorders>
              <w:top w:val="single" w:sz="8" w:color="E6E6E6"/>
            </w:tcBorders>
            <w:shd w:val="clear" w:color="auto" w:fill="E6E6E6"/>
          </w:tcPr>
          <w:p>
            <w:pPr>
              <w:spacing w:after="0"/>
              <w:rPr>
                <w:sz w:val="18"/>
                <w:szCs w:val="18"/>
                <w:color w:val="auto"/>
              </w:rPr>
            </w:pPr>
          </w:p>
        </w:tc>
        <w:tc>
          <w:tcPr>
            <w:tcW w:w="720" w:type="dxa"/>
            <w:vAlign w:val="bottom"/>
            <w:tcBorders>
              <w:top w:val="single" w:sz="8" w:color="auto"/>
              <w:bottom w:val="single" w:sz="8" w:color="auto"/>
            </w:tcBorders>
            <w:shd w:val="clear" w:color="auto" w:fill="E6E6E6"/>
          </w:tcPr>
          <w:p>
            <w:pPr>
              <w:jc w:val="right"/>
              <w:ind w:right="5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992</w:t>
            </w:r>
          </w:p>
        </w:tc>
        <w:tc>
          <w:tcPr>
            <w:tcW w:w="120" w:type="dxa"/>
            <w:vAlign w:val="bottom"/>
            <w:tcBorders>
              <w:top w:val="single" w:sz="8" w:color="E6E6E6"/>
            </w:tcBorders>
            <w:shd w:val="clear" w:color="auto" w:fill="E6E6E6"/>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The approximate fair values of the assets acquired and liabilities assumed related to the acquisitions occurring in 2022 are based on preliminary estimates and assumptions. These preliminary estimates and assumptions could change significantly during the purchase price measurement period as the Company finalizes the valuation of assets acquired and liabilities assumed. These changes could result in material variances between the Company's future financial results, including variances in the estimated purchase price, fair values recorded and expenses associated with these items.</w:t>
      </w:r>
    </w:p>
    <w:p>
      <w:pPr>
        <w:spacing w:after="0" w:line="18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9"/>
          <w:szCs w:val="19"/>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62"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Acquisition and integration expenses on the Consolidated Statements of Income are related to acquisition activities, which include retention, legal, accounting, banking, and other expenses.</w:t>
      </w:r>
    </w:p>
    <w:p>
      <w:pPr>
        <w:spacing w:after="0" w:line="16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following unaudited pro forma financial information represents the Company’s results of operations as if the GRC, Compass, Western Air Ducts, and DS21 acquisitions had occurred on January 1,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 except per share data)</w:t>
            </w:r>
          </w:p>
        </w:tc>
        <w:tc>
          <w:tcPr>
            <w:tcW w:w="1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60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9"/>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6"/>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sales</w:t>
            </w:r>
          </w:p>
        </w:tc>
        <w:tc>
          <w:tcPr>
            <w:tcW w:w="1260" w:type="dxa"/>
            <w:vAlign w:val="bottom"/>
          </w:tcPr>
          <w:p>
            <w:pPr>
              <w:spacing w:after="0"/>
              <w:rPr>
                <w:sz w:val="18"/>
                <w:szCs w:val="18"/>
                <w:color w:val="auto"/>
              </w:rPr>
            </w:pPr>
          </w:p>
        </w:tc>
        <w:tc>
          <w:tcPr>
            <w:tcW w:w="380" w:type="dxa"/>
            <w:vAlign w:val="bottom"/>
          </w:tcPr>
          <w:p>
            <w:pPr>
              <w:jc w:val="right"/>
              <w:ind w:right="18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435,216</w:t>
            </w:r>
          </w:p>
        </w:tc>
        <w:tc>
          <w:tcPr>
            <w:tcW w:w="280" w:type="dxa"/>
            <w:vAlign w:val="bottom"/>
          </w:tcPr>
          <w:p>
            <w:pPr>
              <w:spacing w:after="0"/>
              <w:rPr>
                <w:sz w:val="18"/>
                <w:szCs w:val="18"/>
                <w:color w:val="auto"/>
              </w:rPr>
            </w:pPr>
          </w:p>
        </w:tc>
        <w:tc>
          <w:tcPr>
            <w:tcW w:w="5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358,724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Net income attributable to CECO Environmental Corp.</w:t>
            </w:r>
          </w:p>
        </w:tc>
        <w:tc>
          <w:tcPr>
            <w:tcW w:w="1260" w:type="dxa"/>
            <w:vAlign w:val="bottom"/>
            <w:shd w:val="clear" w:color="auto" w:fill="E6E6E6"/>
          </w:tcPr>
          <w:p>
            <w:pPr>
              <w:spacing w:after="0"/>
              <w:rPr>
                <w:sz w:val="19"/>
                <w:szCs w:val="19"/>
                <w:color w:val="auto"/>
              </w:rPr>
            </w:pPr>
          </w:p>
        </w:tc>
        <w:tc>
          <w:tcPr>
            <w:tcW w:w="380" w:type="dxa"/>
            <w:vAlign w:val="bottom"/>
            <w:shd w:val="clear" w:color="auto" w:fill="E6E6E6"/>
          </w:tcPr>
          <w:p>
            <w:pPr>
              <w:spacing w:after="0"/>
              <w:rPr>
                <w:sz w:val="19"/>
                <w:szCs w:val="19"/>
                <w:color w:val="auto"/>
              </w:rPr>
            </w:pPr>
          </w:p>
        </w:tc>
        <w:tc>
          <w:tcPr>
            <w:tcW w:w="13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18,074</w:t>
            </w:r>
          </w:p>
        </w:tc>
        <w:tc>
          <w:tcPr>
            <w:tcW w:w="28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4,466</w:t>
            </w:r>
          </w:p>
        </w:tc>
        <w:tc>
          <w:tcPr>
            <w:tcW w:w="0" w:type="dxa"/>
            <w:vAlign w:val="bottom"/>
          </w:tcPr>
          <w:p>
            <w:pPr>
              <w:spacing w:after="0"/>
              <w:rPr>
                <w:sz w:val="1"/>
                <w:szCs w:val="1"/>
                <w:color w:val="auto"/>
              </w:rPr>
            </w:pPr>
          </w:p>
        </w:tc>
      </w:tr>
      <w:tr>
        <w:trPr>
          <w:trHeight w:val="225"/>
        </w:trPr>
        <w:tc>
          <w:tcPr>
            <w:tcW w:w="56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Earnings per share:</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E6E6E6"/>
          </w:tcPr>
          <w:p>
            <w:pPr>
              <w:spacing w:after="0" w:line="226" w:lineRule="exact"/>
              <w:rPr>
                <w:sz w:val="20"/>
                <w:szCs w:val="20"/>
                <w:color w:val="auto"/>
              </w:rPr>
            </w:pPr>
            <w:r>
              <w:rPr>
                <w:rFonts w:ascii="Times New Roman" w:cs="Times New Roman" w:eastAsia="Times New Roman" w:hAnsi="Times New Roman"/>
                <w:sz w:val="20"/>
                <w:szCs w:val="20"/>
                <w:color w:val="auto"/>
              </w:rPr>
              <w:t>Basic</w:t>
            </w:r>
          </w:p>
        </w:tc>
        <w:tc>
          <w:tcPr>
            <w:tcW w:w="1640" w:type="dxa"/>
            <w:vAlign w:val="bottom"/>
            <w:gridSpan w:val="2"/>
            <w:shd w:val="clear" w:color="auto" w:fill="E6E6E6"/>
          </w:tcPr>
          <w:p>
            <w:pPr>
              <w:jc w:val="right"/>
              <w:ind w:right="182"/>
              <w:spacing w:after="0" w:line="226"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0.52</w:t>
            </w:r>
          </w:p>
        </w:tc>
        <w:tc>
          <w:tcPr>
            <w:tcW w:w="780" w:type="dxa"/>
            <w:vAlign w:val="bottom"/>
            <w:gridSpan w:val="2"/>
            <w:shd w:val="clear" w:color="auto" w:fill="E6E6E6"/>
          </w:tcPr>
          <w:p>
            <w:pPr>
              <w:jc w:val="right"/>
              <w:ind w:right="333"/>
              <w:spacing w:after="0" w:line="226" w:lineRule="exact"/>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0.13</w:t>
            </w:r>
          </w:p>
        </w:tc>
        <w:tc>
          <w:tcPr>
            <w:tcW w:w="0" w:type="dxa"/>
            <w:vAlign w:val="bottom"/>
          </w:tcPr>
          <w:p>
            <w:pPr>
              <w:spacing w:after="0"/>
              <w:rPr>
                <w:sz w:val="1"/>
                <w:szCs w:val="1"/>
                <w:color w:val="auto"/>
              </w:rPr>
            </w:pPr>
          </w:p>
        </w:tc>
      </w:tr>
      <w:tr>
        <w:trPr>
          <w:trHeight w:val="263"/>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1640" w:type="dxa"/>
            <w:vAlign w:val="bottom"/>
            <w:gridSpan w:val="2"/>
          </w:tcPr>
          <w:p>
            <w:pPr>
              <w:jc w:val="right"/>
              <w:ind w:right="182"/>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0.52</w:t>
            </w:r>
          </w:p>
        </w:tc>
        <w:tc>
          <w:tcPr>
            <w:tcW w:w="780" w:type="dxa"/>
            <w:vAlign w:val="bottom"/>
            <w:gridSpan w:val="2"/>
          </w:tcPr>
          <w:p>
            <w:pPr>
              <w:jc w:val="right"/>
              <w:ind w:right="333"/>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0.13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94"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Segment Information</w:t>
      </w:r>
    </w:p>
    <w:p>
      <w:pPr>
        <w:spacing w:after="0" w:line="23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Company’s operations are organized and reviewed by management along its product lines or end markets that the segment serves and are presented in two reportable segments. The results of the segments are reviewed through to the “Income from operations” line on the Consolidated Statements of Income. The accounting policies of the segments are the same as those in the consolidated financial statements.</w:t>
      </w: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600"/>
          </w:cols>
          <w:pgMar w:left="820" w:top="1069" w:right="820" w:bottom="326"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color w:val="auto"/>
        </w:rPr>
        <w:t>The Company’s reportable segments are organized as groups of similar products and services, as described as follows:</w:t>
      </w:r>
    </w:p>
    <w:p>
      <w:pPr>
        <w:spacing w:after="0" w:line="241" w:lineRule="exact"/>
        <w:rPr>
          <w:sz w:val="20"/>
          <w:szCs w:val="20"/>
          <w:color w:val="auto"/>
        </w:rPr>
      </w:pPr>
    </w:p>
    <w:p>
      <w:pPr>
        <w:ind w:left="960" w:right="80" w:hanging="473"/>
        <w:spacing w:after="0" w:line="241" w:lineRule="auto"/>
        <w:tabs>
          <w:tab w:leader="none" w:pos="96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Engineered Systems segment: </w:t>
      </w:r>
      <w:r>
        <w:rPr>
          <w:rFonts w:ascii="Times New Roman" w:cs="Times New Roman" w:eastAsia="Times New Roman" w:hAnsi="Times New Roman"/>
          <w:sz w:val="20"/>
          <w:szCs w:val="20"/>
          <w:color w:val="auto"/>
        </w:rPr>
        <w:t>The Company's Engineered Systems segment serves the power generation, hydrocarbon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processing, water/wastewater treatment, oily water separation and treatment, marine and naval vessels, and midstream oil &amp; gas sectors. The Company is a key part of helping meet the global demand for environmental and equipment protection solutions with its highly engineered platforms including emissions control, fluid bed cyclones, thermal acoustics, separation &amp; filtration, and dampers &amp; expansion joints.</w:t>
      </w:r>
    </w:p>
    <w:p>
      <w:pPr>
        <w:spacing w:after="0" w:line="90" w:lineRule="exact"/>
        <w:rPr>
          <w:rFonts w:ascii="PMingLiU" w:cs="PMingLiU" w:eastAsia="PMingLiU" w:hAnsi="PMingLiU"/>
          <w:sz w:val="20"/>
          <w:szCs w:val="20"/>
          <w:color w:val="auto"/>
        </w:rPr>
      </w:pPr>
    </w:p>
    <w:p>
      <w:pPr>
        <w:ind w:left="960" w:right="60" w:hanging="473"/>
        <w:spacing w:after="0" w:line="252" w:lineRule="auto"/>
        <w:tabs>
          <w:tab w:leader="none" w:pos="960" w:val="left"/>
        </w:tabs>
        <w:numPr>
          <w:ilvl w:val="0"/>
          <w:numId w:val="37"/>
        </w:numPr>
        <w:rPr>
          <w:rFonts w:ascii="PMingLiU" w:cs="PMingLiU" w:eastAsia="PMingLiU" w:hAnsi="PMingLiU"/>
          <w:sz w:val="19"/>
          <w:szCs w:val="19"/>
          <w:color w:val="auto"/>
        </w:rPr>
      </w:pPr>
      <w:r>
        <w:rPr>
          <w:rFonts w:ascii="Times New Roman" w:cs="Times New Roman" w:eastAsia="Times New Roman" w:hAnsi="Times New Roman"/>
          <w:sz w:val="19"/>
          <w:szCs w:val="19"/>
          <w:b w:val="1"/>
          <w:bCs w:val="1"/>
          <w:color w:val="auto"/>
        </w:rPr>
        <w:t xml:space="preserve">Industrial Process Solutions segment: </w:t>
      </w:r>
      <w:r>
        <w:rPr>
          <w:rFonts w:ascii="Times New Roman" w:cs="Times New Roman" w:eastAsia="Times New Roman" w:hAnsi="Times New Roman"/>
          <w:sz w:val="19"/>
          <w:szCs w:val="19"/>
          <w:color w:val="auto"/>
        </w:rPr>
        <w:t>The Company's Industrial Process Solutions segment serves the broad industrial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w:t>
      </w:r>
    </w:p>
    <w:p>
      <w:pPr>
        <w:spacing w:after="0" w:line="2" w:lineRule="exact"/>
        <w:rPr>
          <w:rFonts w:ascii="PMingLiU" w:cs="PMingLiU" w:eastAsia="PMingLiU" w:hAnsi="PMingLiU"/>
          <w:sz w:val="19"/>
          <w:szCs w:val="19"/>
          <w:color w:val="auto"/>
        </w:rPr>
      </w:pPr>
    </w:p>
    <w:p>
      <w:pPr>
        <w:ind w:left="960" w:right="20"/>
        <w:spacing w:after="0" w:line="237" w:lineRule="auto"/>
        <w:rPr>
          <w:rFonts w:ascii="PMingLiU" w:cs="PMingLiU" w:eastAsia="PMingLiU" w:hAnsi="PMingLiU"/>
          <w:sz w:val="19"/>
          <w:szCs w:val="19"/>
          <w:color w:val="auto"/>
        </w:rPr>
      </w:pPr>
      <w:r>
        <w:rPr>
          <w:rFonts w:ascii="Times New Roman" w:cs="Times New Roman" w:eastAsia="Times New Roman" w:hAnsi="Times New Roman"/>
          <w:sz w:val="20"/>
          <w:szCs w:val="20"/>
          <w:color w:val="auto"/>
        </w:rPr>
        <w:t>For Industrial Air applications, the Company assists companies maintain clean and safe operations for employees, reduce energy consumption, minimize waste for customers, and ensure they meet regulatory standards for toxic emissions, fumes, volatile organic compounds, and odor elimination through the Company's platforms including duct fabrication &amp; installation, industrial air, and fluid handling.</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16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E6E6E6"/>
            </w:tcBorders>
          </w:tcPr>
          <w:p>
            <w:pPr>
              <w:spacing w:after="0"/>
              <w:rPr>
                <w:sz w:val="17"/>
                <w:szCs w:val="17"/>
                <w:color w:val="auto"/>
              </w:rPr>
            </w:pPr>
          </w:p>
        </w:tc>
        <w:tc>
          <w:tcPr>
            <w:tcW w:w="8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7"/>
                <w:szCs w:val="17"/>
                <w:color w:val="auto"/>
              </w:rPr>
            </w:pPr>
          </w:p>
        </w:tc>
      </w:tr>
      <w:tr>
        <w:trPr>
          <w:trHeight w:val="215"/>
        </w:trPr>
        <w:tc>
          <w:tcPr>
            <w:tcW w:w="46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Sales (less intra-, inter-segment sales)</w:t>
            </w:r>
          </w:p>
        </w:tc>
        <w:tc>
          <w:tcPr>
            <w:tcW w:w="11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4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160" w:type="dxa"/>
            <w:vAlign w:val="bottom"/>
          </w:tcPr>
          <w:p>
            <w:pPr>
              <w:spacing w:after="0"/>
              <w:rPr>
                <w:sz w:val="19"/>
                <w:szCs w:val="19"/>
                <w:color w:val="auto"/>
              </w:rPr>
            </w:pPr>
          </w:p>
        </w:tc>
        <w:tc>
          <w:tcPr>
            <w:tcW w:w="320" w:type="dxa"/>
            <w:vAlign w:val="bottom"/>
            <w:gridSpan w:val="2"/>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263,224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gridSpan w:val="2"/>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186,926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33"/>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205,494</w:t>
            </w:r>
          </w:p>
        </w:tc>
        <w:tc>
          <w:tcPr>
            <w:tcW w:w="120" w:type="dxa"/>
            <w:vAlign w:val="bottom"/>
          </w:tcPr>
          <w:p>
            <w:pPr>
              <w:spacing w:after="0"/>
              <w:rPr>
                <w:sz w:val="19"/>
                <w:szCs w:val="19"/>
                <w:color w:val="auto"/>
              </w:rPr>
            </w:pPr>
          </w:p>
        </w:tc>
      </w:tr>
      <w:tr>
        <w:trPr>
          <w:trHeight w:val="225"/>
        </w:trPr>
        <w:tc>
          <w:tcPr>
            <w:tcW w:w="4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1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159,403</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137,214</w:t>
            </w:r>
          </w:p>
        </w:tc>
        <w:tc>
          <w:tcPr>
            <w:tcW w:w="1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110,517</w:t>
            </w:r>
          </w:p>
        </w:tc>
      </w:tr>
      <w:tr>
        <w:trPr>
          <w:trHeight w:val="215"/>
        </w:trPr>
        <w:tc>
          <w:tcPr>
            <w:tcW w:w="464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Total net sales</w:t>
            </w:r>
          </w:p>
        </w:tc>
        <w:tc>
          <w:tcPr>
            <w:tcW w:w="116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422,627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324,140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33"/>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316,011</w:t>
            </w:r>
          </w:p>
        </w:tc>
        <w:tc>
          <w:tcPr>
            <w:tcW w:w="12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5"/>
        </w:trPr>
        <w:tc>
          <w:tcPr>
            <w:tcW w:w="46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16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24"/>
                <w:szCs w:val="24"/>
                <w:color w:val="auto"/>
              </w:rPr>
            </w:pPr>
          </w:p>
        </w:tc>
      </w:tr>
      <w:tr>
        <w:trPr>
          <w:trHeight w:val="215"/>
        </w:trPr>
        <w:tc>
          <w:tcPr>
            <w:tcW w:w="46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11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300" w:type="dxa"/>
            <w:vAlign w:val="bottom"/>
            <w:shd w:val="clear" w:color="auto" w:fill="E6E6E6"/>
          </w:tcPr>
          <w:p>
            <w:pPr>
              <w:spacing w:after="0"/>
              <w:rPr>
                <w:sz w:val="18"/>
                <w:szCs w:val="18"/>
                <w:color w:val="auto"/>
              </w:rPr>
            </w:pPr>
          </w:p>
        </w:tc>
        <w:tc>
          <w:tcPr>
            <w:tcW w:w="10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r>
      <w:tr>
        <w:trPr>
          <w:trHeight w:val="225"/>
        </w:trPr>
        <w:tc>
          <w:tcPr>
            <w:tcW w:w="4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180" w:type="dxa"/>
            <w:vAlign w:val="bottom"/>
            <w:gridSpan w:val="2"/>
          </w:tcPr>
          <w:p>
            <w:pPr>
              <w:spacing w:after="0"/>
              <w:rPr>
                <w:sz w:val="19"/>
                <w:szCs w:val="19"/>
                <w:color w:val="auto"/>
              </w:rPr>
            </w:pP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36,200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25,770</w:t>
            </w:r>
          </w:p>
        </w:tc>
        <w:tc>
          <w:tcPr>
            <w:tcW w:w="16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34,170</w:t>
            </w:r>
          </w:p>
        </w:tc>
        <w:tc>
          <w:tcPr>
            <w:tcW w:w="120" w:type="dxa"/>
            <w:vAlign w:val="bottom"/>
          </w:tcPr>
          <w:p>
            <w:pPr>
              <w:spacing w:after="0"/>
              <w:rPr>
                <w:sz w:val="19"/>
                <w:szCs w:val="19"/>
                <w:color w:val="auto"/>
              </w:rPr>
            </w:pPr>
          </w:p>
        </w:tc>
      </w:tr>
      <w:tr>
        <w:trPr>
          <w:trHeight w:val="225"/>
        </w:trPr>
        <w:tc>
          <w:tcPr>
            <w:tcW w:w="46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11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22,705</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08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15,054</w:t>
            </w:r>
          </w:p>
        </w:tc>
        <w:tc>
          <w:tcPr>
            <w:tcW w:w="16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20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7,220</w:t>
            </w:r>
          </w:p>
        </w:tc>
      </w:tr>
      <w:tr>
        <w:trPr>
          <w:trHeight w:val="225"/>
        </w:trPr>
        <w:tc>
          <w:tcPr>
            <w:tcW w:w="46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Corporate and Other (1)</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3"/>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(36,744)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(30,967)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(28,044)</w:t>
            </w:r>
          </w:p>
        </w:tc>
      </w:tr>
      <w:tr>
        <w:trPr>
          <w:trHeight w:val="235"/>
        </w:trPr>
        <w:tc>
          <w:tcPr>
            <w:tcW w:w="4640" w:type="dxa"/>
            <w:vAlign w:val="bottom"/>
            <w:tcBorders>
              <w:top w:val="single" w:sz="8" w:color="E6E6E6"/>
              <w:bottom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1160" w:type="dxa"/>
            <w:vAlign w:val="bottom"/>
            <w:tcBorders>
              <w:top w:val="single" w:sz="8" w:color="E6E6E6"/>
              <w:bottom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E6E6E6"/>
            </w:tcBorders>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22,161</w:t>
            </w:r>
          </w:p>
        </w:tc>
        <w:tc>
          <w:tcPr>
            <w:tcW w:w="220" w:type="dxa"/>
            <w:vAlign w:val="bottom"/>
            <w:tcBorders>
              <w:top w:val="single" w:sz="8" w:color="E6E6E6"/>
              <w:bottom w:val="single" w:sz="8" w:color="E6E6E6"/>
            </w:tcBorders>
            <w:shd w:val="clear" w:color="auto" w:fill="E6E6E6"/>
          </w:tcPr>
          <w:p>
            <w:pPr>
              <w:spacing w:after="0"/>
              <w:rPr>
                <w:sz w:val="20"/>
                <w:szCs w:val="20"/>
                <w:color w:val="auto"/>
              </w:rPr>
            </w:pPr>
          </w:p>
        </w:tc>
        <w:tc>
          <w:tcPr>
            <w:tcW w:w="20" w:type="dxa"/>
            <w:vAlign w:val="bottom"/>
            <w:tcBorders>
              <w:top w:val="single" w:sz="8" w:color="E6E6E6"/>
              <w:bottom w:val="single" w:sz="8" w:color="E6E6E6"/>
            </w:tcBorders>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jc w:val="right"/>
              <w:ind w:right="1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9,857</w:t>
            </w:r>
          </w:p>
        </w:tc>
        <w:tc>
          <w:tcPr>
            <w:tcW w:w="160" w:type="dxa"/>
            <w:vAlign w:val="bottom"/>
            <w:tcBorders>
              <w:top w:val="single" w:sz="8" w:color="E6E6E6"/>
              <w:bottom w:val="single" w:sz="8" w:color="E6E6E6"/>
            </w:tcBorders>
            <w:shd w:val="clear" w:color="auto" w:fill="E6E6E6"/>
          </w:tcPr>
          <w:p>
            <w:pPr>
              <w:spacing w:after="0"/>
              <w:rPr>
                <w:sz w:val="20"/>
                <w:szCs w:val="20"/>
                <w:color w:val="auto"/>
              </w:rPr>
            </w:pPr>
          </w:p>
        </w:tc>
        <w:tc>
          <w:tcPr>
            <w:tcW w:w="100" w:type="dxa"/>
            <w:vAlign w:val="bottom"/>
            <w:tcBorders>
              <w:top w:val="single" w:sz="8" w:color="E6E6E6"/>
              <w:bottom w:val="single" w:sz="8" w:color="E6E6E6"/>
            </w:tcBorders>
            <w:gridSpan w:val="2"/>
            <w:shd w:val="clear" w:color="auto" w:fill="E6E6E6"/>
          </w:tcPr>
          <w:p>
            <w:pPr>
              <w:spacing w:after="0"/>
              <w:rPr>
                <w:sz w:val="20"/>
                <w:szCs w:val="20"/>
                <w:color w:val="auto"/>
              </w:rPr>
            </w:pPr>
          </w:p>
        </w:tc>
        <w:tc>
          <w:tcPr>
            <w:tcW w:w="300" w:type="dxa"/>
            <w:vAlign w:val="bottom"/>
            <w:tcBorders>
              <w:top w:val="single" w:sz="8" w:color="auto"/>
              <w:bottom w:val="single" w:sz="8" w:color="auto"/>
            </w:tcBorders>
            <w:shd w:val="clear" w:color="auto" w:fill="E6E6E6"/>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13,346</w:t>
            </w:r>
          </w:p>
        </w:tc>
        <w:tc>
          <w:tcPr>
            <w:tcW w:w="120" w:type="dxa"/>
            <w:vAlign w:val="bottom"/>
            <w:tcBorders>
              <w:top w:val="single" w:sz="8" w:color="E6E6E6"/>
              <w:bottom w:val="single" w:sz="8" w:color="E6E6E6"/>
            </w:tcBorders>
            <w:shd w:val="clear" w:color="auto" w:fill="E6E6E6"/>
          </w:tcPr>
          <w:p>
            <w:pPr>
              <w:spacing w:after="0"/>
              <w:rPr>
                <w:sz w:val="20"/>
                <w:szCs w:val="20"/>
                <w:color w:val="auto"/>
              </w:rPr>
            </w:pPr>
          </w:p>
        </w:tc>
      </w:tr>
      <w:tr>
        <w:trPr>
          <w:trHeight w:val="20"/>
        </w:trPr>
        <w:tc>
          <w:tcPr>
            <w:tcW w:w="4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400" w:right="140" w:hanging="348"/>
        <w:spacing w:after="0" w:line="269" w:lineRule="auto"/>
        <w:tabs>
          <w:tab w:leader="none" w:pos="4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Includes corporate compensation, professional services, information technology, acquisition and integration expenses, and other general, administrative corporate expenses.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80" w:type="dxa"/>
            <w:vAlign w:val="bottom"/>
            <w:tcBorders>
              <w:bottom w:val="single" w:sz="8" w:color="E6E6E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E6E6E6"/>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E6E6E6"/>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Property and Equipment Additions</w:t>
            </w:r>
          </w:p>
        </w:tc>
        <w:tc>
          <w:tcPr>
            <w:tcW w:w="12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280" w:type="dxa"/>
            <w:vAlign w:val="bottom"/>
          </w:tcPr>
          <w:p>
            <w:pPr>
              <w:spacing w:after="0"/>
              <w:rPr>
                <w:sz w:val="19"/>
                <w:szCs w:val="19"/>
                <w:color w:val="auto"/>
              </w:rPr>
            </w:pP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203</w:t>
            </w:r>
          </w:p>
        </w:tc>
        <w:tc>
          <w:tcPr>
            <w:tcW w:w="240" w:type="dxa"/>
            <w:vAlign w:val="bottom"/>
          </w:tcPr>
          <w:p>
            <w:pPr>
              <w:spacing w:after="0"/>
              <w:rPr>
                <w:sz w:val="19"/>
                <w:szCs w:val="19"/>
                <w:color w:val="auto"/>
              </w:rPr>
            </w:pPr>
          </w:p>
        </w:tc>
        <w:tc>
          <w:tcPr>
            <w:tcW w:w="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w w:val="86"/>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550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12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879</w:t>
            </w:r>
          </w:p>
        </w:tc>
        <w:tc>
          <w:tcPr>
            <w:tcW w:w="2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8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w w:val="86"/>
              </w:rPr>
              <w:t>721</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1,349</w:t>
            </w: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Corporate and Other</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2,294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spacing w:after="0" w:line="226" w:lineRule="exact"/>
              <w:rPr>
                <w:sz w:val="20"/>
                <w:szCs w:val="20"/>
                <w:color w:val="auto"/>
              </w:rPr>
            </w:pPr>
            <w:r>
              <w:rPr>
                <w:rFonts w:ascii="Times New Roman" w:cs="Times New Roman" w:eastAsia="Times New Roman" w:hAnsi="Times New Roman"/>
                <w:sz w:val="20"/>
                <w:szCs w:val="20"/>
                <w:color w:val="auto"/>
              </w:rPr>
              <w:t>1,795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2,046</w:t>
            </w:r>
          </w:p>
        </w:tc>
        <w:tc>
          <w:tcPr>
            <w:tcW w:w="0" w:type="dxa"/>
            <w:vAlign w:val="bottom"/>
          </w:tcPr>
          <w:p>
            <w:pPr>
              <w:spacing w:after="0"/>
              <w:rPr>
                <w:sz w:val="1"/>
                <w:szCs w:val="1"/>
                <w:color w:val="auto"/>
              </w:rPr>
            </w:pPr>
          </w:p>
        </w:tc>
      </w:tr>
      <w:tr>
        <w:trPr>
          <w:trHeight w:val="215"/>
        </w:trPr>
        <w:tc>
          <w:tcPr>
            <w:tcW w:w="45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Property and equipment additions</w:t>
            </w:r>
          </w:p>
        </w:tc>
        <w:tc>
          <w:tcPr>
            <w:tcW w:w="128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3,376</w:t>
            </w:r>
          </w:p>
        </w:tc>
        <w:tc>
          <w:tcPr>
            <w:tcW w:w="24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gridSpan w:val="4"/>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2,616</w:t>
            </w:r>
          </w:p>
        </w:tc>
        <w:tc>
          <w:tcPr>
            <w:tcW w:w="1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3,945</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5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80" w:type="dxa"/>
            <w:vAlign w:val="bottom"/>
            <w:tcBorders>
              <w:bottom w:val="single" w:sz="8" w:color="E6E6E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Depreciation and Amortization</w:t>
            </w:r>
          </w:p>
        </w:tc>
        <w:tc>
          <w:tcPr>
            <w:tcW w:w="12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280" w:type="dxa"/>
            <w:vAlign w:val="bottom"/>
          </w:tcPr>
          <w:p>
            <w:pPr>
              <w:spacing w:after="0"/>
              <w:rPr>
                <w:sz w:val="19"/>
                <w:szCs w:val="19"/>
                <w:color w:val="auto"/>
              </w:rPr>
            </w:pPr>
          </w:p>
        </w:tc>
        <w:tc>
          <w:tcPr>
            <w:tcW w:w="320" w:type="dxa"/>
            <w:vAlign w:val="bottom"/>
          </w:tcPr>
          <w:p>
            <w:pPr>
              <w:jc w:val="right"/>
              <w:ind w:right="12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4,672</w:t>
            </w:r>
          </w:p>
        </w:tc>
        <w:tc>
          <w:tcPr>
            <w:tcW w:w="240" w:type="dxa"/>
            <w:vAlign w:val="bottom"/>
          </w:tcPr>
          <w:p>
            <w:pPr>
              <w:spacing w:after="0"/>
              <w:rPr>
                <w:sz w:val="19"/>
                <w:szCs w:val="19"/>
                <w:color w:val="auto"/>
              </w:rPr>
            </w:pPr>
          </w:p>
        </w:tc>
        <w:tc>
          <w:tcPr>
            <w:tcW w:w="1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gridSpan w:val="4"/>
          </w:tcPr>
          <w:p>
            <w:pPr>
              <w:jc w:val="right"/>
              <w:spacing w:after="0" w:line="226" w:lineRule="exact"/>
              <w:rPr>
                <w:sz w:val="20"/>
                <w:szCs w:val="20"/>
                <w:color w:val="auto"/>
              </w:rPr>
            </w:pPr>
            <w:r>
              <w:rPr>
                <w:rFonts w:ascii="Times New Roman" w:cs="Times New Roman" w:eastAsia="Times New Roman" w:hAnsi="Times New Roman"/>
                <w:sz w:val="20"/>
                <w:szCs w:val="20"/>
                <w:color w:val="auto"/>
              </w:rPr>
              <w:t>4,249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12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108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4,388</w:t>
            </w:r>
          </w:p>
        </w:tc>
        <w:tc>
          <w:tcPr>
            <w:tcW w:w="2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280" w:type="dxa"/>
            <w:vAlign w:val="bottom"/>
            <w:gridSpan w:val="4"/>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4,299</w:t>
            </w: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4,199</w:t>
            </w: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Corporate and Other</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1,554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4"/>
          </w:tcPr>
          <w:p>
            <w:pPr>
              <w:jc w:val="right"/>
              <w:spacing w:after="0" w:line="226" w:lineRule="exact"/>
              <w:rPr>
                <w:sz w:val="20"/>
                <w:szCs w:val="20"/>
                <w:color w:val="auto"/>
              </w:rPr>
            </w:pPr>
            <w:r>
              <w:rPr>
                <w:rFonts w:ascii="Times New Roman" w:cs="Times New Roman" w:eastAsia="Times New Roman" w:hAnsi="Times New Roman"/>
                <w:sz w:val="20"/>
                <w:szCs w:val="20"/>
                <w:color w:val="auto"/>
              </w:rPr>
              <w:t>1,305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765</w:t>
            </w:r>
          </w:p>
        </w:tc>
        <w:tc>
          <w:tcPr>
            <w:tcW w:w="0" w:type="dxa"/>
            <w:vAlign w:val="bottom"/>
          </w:tcPr>
          <w:p>
            <w:pPr>
              <w:spacing w:after="0"/>
              <w:rPr>
                <w:sz w:val="1"/>
                <w:szCs w:val="1"/>
                <w:color w:val="auto"/>
              </w:rPr>
            </w:pPr>
          </w:p>
        </w:tc>
      </w:tr>
      <w:tr>
        <w:trPr>
          <w:trHeight w:val="215"/>
        </w:trPr>
        <w:tc>
          <w:tcPr>
            <w:tcW w:w="45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Depreciation and amortization</w:t>
            </w:r>
          </w:p>
        </w:tc>
        <w:tc>
          <w:tcPr>
            <w:tcW w:w="128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auto"/>
              <w:bottom w:val="single" w:sz="8" w:color="auto"/>
            </w:tcBorders>
            <w:shd w:val="clear" w:color="auto" w:fill="E6E6E6"/>
          </w:tcPr>
          <w:p>
            <w:pPr>
              <w:jc w:val="right"/>
              <w:ind w:right="12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gridSpan w:val="2"/>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10,614</w:t>
            </w:r>
          </w:p>
        </w:tc>
        <w:tc>
          <w:tcPr>
            <w:tcW w:w="24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gridSpan w:val="4"/>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9,853</w:t>
            </w:r>
          </w:p>
        </w:tc>
        <w:tc>
          <w:tcPr>
            <w:tcW w:w="1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9,921</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E6E6E6"/>
            </w:tcBorders>
            <w:vMerge w:val="continue"/>
          </w:tcPr>
          <w:p>
            <w:pPr>
              <w:spacing w:after="0"/>
              <w:rPr>
                <w:sz w:val="14"/>
                <w:szCs w:val="14"/>
                <w:color w:val="auto"/>
              </w:rPr>
            </w:pPr>
          </w:p>
        </w:tc>
        <w:tc>
          <w:tcPr>
            <w:tcW w:w="1280" w:type="dxa"/>
            <w:vAlign w:val="bottom"/>
            <w:tcBorders>
              <w:bottom w:val="single" w:sz="8" w:color="E6E6E6"/>
            </w:tcBorders>
          </w:tcPr>
          <w:p>
            <w:pPr>
              <w:spacing w:after="0"/>
              <w:rPr>
                <w:sz w:val="14"/>
                <w:szCs w:val="14"/>
                <w:color w:val="auto"/>
              </w:rPr>
            </w:pPr>
          </w:p>
        </w:tc>
        <w:tc>
          <w:tcPr>
            <w:tcW w:w="320" w:type="dxa"/>
            <w:vAlign w:val="bottom"/>
            <w:tcBorders>
              <w:bottom w:val="single" w:sz="8" w:color="E6E6E6"/>
            </w:tcBorders>
          </w:tcPr>
          <w:p>
            <w:pPr>
              <w:spacing w:after="0"/>
              <w:rPr>
                <w:sz w:val="14"/>
                <w:szCs w:val="14"/>
                <w:color w:val="auto"/>
              </w:rPr>
            </w:pPr>
          </w:p>
        </w:tc>
        <w:tc>
          <w:tcPr>
            <w:tcW w:w="740" w:type="dxa"/>
            <w:vAlign w:val="bottom"/>
            <w:tcBorders>
              <w:bottom w:val="single" w:sz="8" w:color="E6E6E6"/>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6E6E6"/>
            </w:tcBorders>
          </w:tcPr>
          <w:p>
            <w:pPr>
              <w:spacing w:after="0"/>
              <w:rPr>
                <w:sz w:val="14"/>
                <w:szCs w:val="14"/>
                <w:color w:val="auto"/>
              </w:rPr>
            </w:pPr>
          </w:p>
        </w:tc>
        <w:tc>
          <w:tcPr>
            <w:tcW w:w="260" w:type="dxa"/>
            <w:vAlign w:val="bottom"/>
            <w:tcBorders>
              <w:bottom w:val="single" w:sz="8" w:color="E6E6E6"/>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86"/>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Identifiable Assets</w:t>
            </w:r>
          </w:p>
        </w:tc>
        <w:tc>
          <w:tcPr>
            <w:tcW w:w="1280" w:type="dxa"/>
            <w:vAlign w:val="bottom"/>
            <w:shd w:val="clear" w:color="auto" w:fill="E6E6E6"/>
          </w:tcPr>
          <w:p>
            <w:pPr>
              <w:spacing w:after="0"/>
              <w:rPr>
                <w:sz w:val="18"/>
                <w:szCs w:val="18"/>
                <w:color w:val="auto"/>
              </w:rPr>
            </w:pPr>
          </w:p>
        </w:tc>
        <w:tc>
          <w:tcPr>
            <w:tcW w:w="320" w:type="dxa"/>
            <w:vAlign w:val="bottom"/>
            <w:shd w:val="clear" w:color="auto" w:fill="E6E6E6"/>
          </w:tcPr>
          <w:p>
            <w:pPr>
              <w:spacing w:after="0"/>
              <w:rPr>
                <w:sz w:val="18"/>
                <w:szCs w:val="18"/>
                <w:color w:val="auto"/>
              </w:rPr>
            </w:pPr>
          </w:p>
        </w:tc>
        <w:tc>
          <w:tcPr>
            <w:tcW w:w="740" w:type="dxa"/>
            <w:vAlign w:val="bottom"/>
            <w:shd w:val="clear" w:color="auto" w:fill="E6E6E6"/>
          </w:tcPr>
          <w:p>
            <w:pPr>
              <w:spacing w:after="0"/>
              <w:rPr>
                <w:sz w:val="18"/>
                <w:szCs w:val="18"/>
                <w:color w:val="auto"/>
              </w:rPr>
            </w:pPr>
          </w:p>
        </w:tc>
        <w:tc>
          <w:tcPr>
            <w:tcW w:w="34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ind w:right="14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ind w:left="360"/>
              <w:spacing w:after="0" w:line="226" w:lineRule="exact"/>
              <w:rPr>
                <w:sz w:val="20"/>
                <w:szCs w:val="20"/>
                <w:color w:val="auto"/>
              </w:rPr>
            </w:pPr>
            <w:r>
              <w:rPr>
                <w:rFonts w:ascii="Times New Roman" w:cs="Times New Roman" w:eastAsia="Times New Roman" w:hAnsi="Times New Roman"/>
                <w:sz w:val="20"/>
                <w:szCs w:val="20"/>
                <w:color w:val="auto"/>
                <w:w w:val="92"/>
              </w:rPr>
              <w:t>332,820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gridSpan w:val="2"/>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262,558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4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1280" w:type="dxa"/>
            <w:vAlign w:val="bottom"/>
            <w:shd w:val="clear" w:color="auto" w:fill="E6E6E6"/>
          </w:tcPr>
          <w:p>
            <w:pPr>
              <w:spacing w:after="0"/>
              <w:rPr>
                <w:sz w:val="19"/>
                <w:szCs w:val="19"/>
                <w:color w:val="auto"/>
              </w:rPr>
            </w:pPr>
          </w:p>
        </w:tc>
        <w:tc>
          <w:tcPr>
            <w:tcW w:w="320" w:type="dxa"/>
            <w:vAlign w:val="bottom"/>
            <w:shd w:val="clear" w:color="auto" w:fill="E6E6E6"/>
          </w:tcPr>
          <w:p>
            <w:pPr>
              <w:spacing w:after="0"/>
              <w:rPr>
                <w:sz w:val="19"/>
                <w:szCs w:val="19"/>
                <w:color w:val="auto"/>
              </w:rPr>
            </w:pPr>
          </w:p>
        </w:tc>
        <w:tc>
          <w:tcPr>
            <w:tcW w:w="7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ind w:left="360"/>
              <w:spacing w:after="0" w:line="226" w:lineRule="exact"/>
              <w:rPr>
                <w:sz w:val="20"/>
                <w:szCs w:val="20"/>
                <w:color w:val="auto"/>
              </w:rPr>
            </w:pPr>
            <w:r>
              <w:rPr>
                <w:rFonts w:ascii="Times New Roman" w:cs="Times New Roman" w:eastAsia="Times New Roman" w:hAnsi="Times New Roman"/>
                <w:sz w:val="20"/>
                <w:szCs w:val="20"/>
                <w:color w:val="auto"/>
                <w:w w:val="95"/>
              </w:rPr>
              <w:t>150,458</w:t>
            </w:r>
          </w:p>
        </w:tc>
        <w:tc>
          <w:tcPr>
            <w:tcW w:w="2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26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141,975</w:t>
            </w:r>
          </w:p>
        </w:tc>
        <w:tc>
          <w:tcPr>
            <w:tcW w:w="0" w:type="dxa"/>
            <w:vAlign w:val="bottom"/>
          </w:tcPr>
          <w:p>
            <w:pPr>
              <w:spacing w:after="0"/>
              <w:rPr>
                <w:sz w:val="1"/>
                <w:szCs w:val="1"/>
                <w:color w:val="auto"/>
              </w:rPr>
            </w:pPr>
          </w:p>
        </w:tc>
      </w:tr>
      <w:tr>
        <w:trPr>
          <w:trHeight w:val="225"/>
        </w:trPr>
        <w:tc>
          <w:tcPr>
            <w:tcW w:w="454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Corporate and Other (2)</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ind w:left="440"/>
              <w:spacing w:after="0" w:line="226" w:lineRule="exact"/>
              <w:rPr>
                <w:sz w:val="20"/>
                <w:szCs w:val="20"/>
                <w:color w:val="auto"/>
              </w:rPr>
            </w:pPr>
            <w:r>
              <w:rPr>
                <w:rFonts w:ascii="Times New Roman" w:cs="Times New Roman" w:eastAsia="Times New Roman" w:hAnsi="Times New Roman"/>
                <w:sz w:val="20"/>
                <w:szCs w:val="20"/>
                <w:color w:val="auto"/>
                <w:w w:val="98"/>
              </w:rPr>
              <w:t>21,443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11,664</w:t>
            </w:r>
          </w:p>
        </w:tc>
        <w:tc>
          <w:tcPr>
            <w:tcW w:w="0" w:type="dxa"/>
            <w:vAlign w:val="bottom"/>
          </w:tcPr>
          <w:p>
            <w:pPr>
              <w:spacing w:after="0"/>
              <w:rPr>
                <w:sz w:val="1"/>
                <w:szCs w:val="1"/>
                <w:color w:val="auto"/>
              </w:rPr>
            </w:pPr>
          </w:p>
        </w:tc>
      </w:tr>
      <w:tr>
        <w:trPr>
          <w:trHeight w:val="215"/>
        </w:trPr>
        <w:tc>
          <w:tcPr>
            <w:tcW w:w="4540" w:type="dxa"/>
            <w:vAlign w:val="bottom"/>
            <w:tcBorders>
              <w:top w:val="single" w:sz="8" w:color="E6E6E6"/>
            </w:tcBorders>
            <w:shd w:val="clear" w:color="auto" w:fill="E6E6E6"/>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Identifiable assets</w:t>
            </w:r>
          </w:p>
        </w:tc>
        <w:tc>
          <w:tcPr>
            <w:tcW w:w="1280" w:type="dxa"/>
            <w:vAlign w:val="bottom"/>
            <w:tcBorders>
              <w:top w:val="single" w:sz="8" w:color="E6E6E6"/>
            </w:tcBorders>
            <w:shd w:val="clear" w:color="auto" w:fill="E6E6E6"/>
          </w:tcPr>
          <w:p>
            <w:pPr>
              <w:spacing w:after="0"/>
              <w:rPr>
                <w:sz w:val="18"/>
                <w:szCs w:val="18"/>
                <w:color w:val="auto"/>
              </w:rPr>
            </w:pPr>
          </w:p>
        </w:tc>
        <w:tc>
          <w:tcPr>
            <w:tcW w:w="320" w:type="dxa"/>
            <w:vAlign w:val="bottom"/>
            <w:tcBorders>
              <w:top w:val="single" w:sz="8" w:color="E6E6E6"/>
            </w:tcBorders>
            <w:shd w:val="clear" w:color="auto" w:fill="E6E6E6"/>
          </w:tcPr>
          <w:p>
            <w:pPr>
              <w:spacing w:after="0"/>
              <w:rPr>
                <w:sz w:val="18"/>
                <w:szCs w:val="18"/>
                <w:color w:val="auto"/>
              </w:rPr>
            </w:pPr>
          </w:p>
        </w:tc>
        <w:tc>
          <w:tcPr>
            <w:tcW w:w="740" w:type="dxa"/>
            <w:vAlign w:val="bottom"/>
            <w:tcBorders>
              <w:top w:val="single" w:sz="8" w:color="E6E6E6"/>
            </w:tcBorders>
            <w:shd w:val="clear" w:color="auto" w:fill="E6E6E6"/>
          </w:tcPr>
          <w:p>
            <w:pPr>
              <w:spacing w:after="0"/>
              <w:rPr>
                <w:sz w:val="18"/>
                <w:szCs w:val="18"/>
                <w:color w:val="auto"/>
              </w:rPr>
            </w:pPr>
          </w:p>
        </w:tc>
        <w:tc>
          <w:tcPr>
            <w:tcW w:w="340" w:type="dxa"/>
            <w:vAlign w:val="bottom"/>
            <w:tcBorders>
              <w:top w:val="single" w:sz="8" w:color="auto"/>
              <w:bottom w:val="single" w:sz="8" w:color="auto"/>
            </w:tcBorders>
            <w:shd w:val="clear" w:color="auto" w:fill="E6E6E6"/>
          </w:tcPr>
          <w:p>
            <w:pPr>
              <w:jc w:val="right"/>
              <w:ind w:right="14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240" w:type="dxa"/>
            <w:vAlign w:val="bottom"/>
            <w:tcBorders>
              <w:top w:val="single" w:sz="8" w:color="auto"/>
              <w:bottom w:val="single" w:sz="8" w:color="auto"/>
            </w:tcBorders>
            <w:shd w:val="clear" w:color="auto" w:fill="E6E6E6"/>
          </w:tcPr>
          <w:p>
            <w:pPr>
              <w:spacing w:after="0"/>
              <w:rPr>
                <w:sz w:val="18"/>
                <w:szCs w:val="18"/>
                <w:color w:val="auto"/>
              </w:rPr>
            </w:pPr>
          </w:p>
        </w:tc>
        <w:tc>
          <w:tcPr>
            <w:tcW w:w="100" w:type="dxa"/>
            <w:vAlign w:val="bottom"/>
            <w:tcBorders>
              <w:top w:val="single" w:sz="8" w:color="auto"/>
              <w:bottom w:val="single" w:sz="8" w:color="auto"/>
            </w:tcBorders>
            <w:shd w:val="clear" w:color="auto" w:fill="E6E6E6"/>
          </w:tcPr>
          <w:p>
            <w:pPr>
              <w:spacing w:after="0"/>
              <w:rPr>
                <w:sz w:val="18"/>
                <w:szCs w:val="18"/>
                <w:color w:val="auto"/>
              </w:rPr>
            </w:pPr>
          </w:p>
        </w:tc>
        <w:tc>
          <w:tcPr>
            <w:tcW w:w="980" w:type="dxa"/>
            <w:vAlign w:val="bottom"/>
            <w:tcBorders>
              <w:top w:val="single" w:sz="8" w:color="auto"/>
              <w:bottom w:val="single" w:sz="8" w:color="auto"/>
            </w:tcBorders>
            <w:shd w:val="clear" w:color="auto" w:fill="E6E6E6"/>
          </w:tcPr>
          <w:p>
            <w:pPr>
              <w:ind w:left="360"/>
              <w:spacing w:after="0" w:line="215" w:lineRule="exact"/>
              <w:rPr>
                <w:sz w:val="20"/>
                <w:szCs w:val="20"/>
                <w:color w:val="auto"/>
              </w:rPr>
            </w:pPr>
            <w:r>
              <w:rPr>
                <w:rFonts w:ascii="Times New Roman" w:cs="Times New Roman" w:eastAsia="Times New Roman" w:hAnsi="Times New Roman"/>
                <w:sz w:val="20"/>
                <w:szCs w:val="20"/>
                <w:color w:val="auto"/>
                <w:w w:val="92"/>
              </w:rPr>
              <w:t>504,721</w:t>
            </w:r>
          </w:p>
        </w:tc>
        <w:tc>
          <w:tcPr>
            <w:tcW w:w="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auto"/>
              <w:bottom w:val="single" w:sz="8" w:color="auto"/>
            </w:tcBorders>
            <w:gridSpan w:val="2"/>
            <w:shd w:val="clear" w:color="auto" w:fill="E6E6E6"/>
          </w:tcPr>
          <w:p>
            <w:pPr>
              <w:jc w:val="right"/>
              <w:ind w:right="8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top w:val="single" w:sz="8" w:color="auto"/>
              <w:bottom w:val="single" w:sz="8" w:color="auto"/>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spacing w:after="0"/>
              <w:rPr>
                <w:sz w:val="18"/>
                <w:szCs w:val="18"/>
                <w:color w:val="auto"/>
              </w:rPr>
            </w:pPr>
          </w:p>
        </w:tc>
        <w:tc>
          <w:tcPr>
            <w:tcW w:w="1140" w:type="dxa"/>
            <w:vAlign w:val="bottom"/>
            <w:tcBorders>
              <w:top w:val="single" w:sz="8" w:color="auto"/>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416,197</w:t>
            </w:r>
          </w:p>
        </w:tc>
        <w:tc>
          <w:tcPr>
            <w:tcW w:w="12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00"/>
          </w:cols>
          <w:pgMar w:left="820" w:top="1069" w:right="820" w:bottom="32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600"/>
          </w:cols>
          <w:pgMar w:left="820" w:top="1069" w:right="820" w:bottom="326" w:gutter="0" w:footer="0" w:header="0"/>
          <w:type w:val="continuous"/>
        </w:sectPr>
      </w:pPr>
    </w:p>
    <w:bookmarkStart w:id="92" w:name="page93"/>
    <w:bookmarkEnd w:id="92"/>
    <w:p>
      <w:pPr>
        <w:ind w:left="400" w:hanging="350"/>
        <w:spacing w:after="0"/>
        <w:tabs>
          <w:tab w:leader="none" w:pos="4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Corporate assets primarily consist of cash, property, plant and equipment, and income tax related assets.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880" w:type="dxa"/>
            <w:vAlign w:val="bottom"/>
            <w:tcBorders>
              <w:bottom w:val="single" w:sz="8" w:color="E6E6E6"/>
            </w:tcBorders>
            <w:vMerge w:val="continue"/>
          </w:tcPr>
          <w:p>
            <w:pPr>
              <w:spacing w:after="0"/>
              <w:rPr>
                <w:sz w:val="14"/>
                <w:szCs w:val="14"/>
                <w:color w:val="auto"/>
              </w:rPr>
            </w:pPr>
          </w:p>
        </w:tc>
        <w:tc>
          <w:tcPr>
            <w:tcW w:w="20" w:type="dxa"/>
            <w:vAlign w:val="bottom"/>
            <w:tcBorders>
              <w:bottom w:val="single" w:sz="8" w:color="E6E6E6"/>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0"/>
              <w:spacing w:after="0" w:line="170" w:lineRule="exact"/>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6E6E6"/>
            </w:tcBorders>
          </w:tcPr>
          <w:p>
            <w:pPr>
              <w:spacing w:after="0"/>
              <w:rPr>
                <w:sz w:val="14"/>
                <w:szCs w:val="14"/>
                <w:color w:val="auto"/>
              </w:rPr>
            </w:pPr>
          </w:p>
        </w:tc>
        <w:tc>
          <w:tcPr>
            <w:tcW w:w="260" w:type="dxa"/>
            <w:vAlign w:val="bottom"/>
            <w:tcBorders>
              <w:bottom w:val="single" w:sz="8" w:color="E6E6E6"/>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87"/>
              <w:spacing w:after="0" w:line="170" w:lineRule="exact"/>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88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Goodwill</w:t>
            </w:r>
          </w:p>
        </w:tc>
        <w:tc>
          <w:tcPr>
            <w:tcW w:w="20" w:type="dxa"/>
            <w:vAlign w:val="bottom"/>
            <w:shd w:val="clear" w:color="auto" w:fill="E6E6E6"/>
          </w:tcPr>
          <w:p>
            <w:pPr>
              <w:spacing w:after="0"/>
              <w:rPr>
                <w:sz w:val="18"/>
                <w:szCs w:val="18"/>
                <w:color w:val="auto"/>
              </w:rPr>
            </w:pPr>
          </w:p>
        </w:tc>
        <w:tc>
          <w:tcPr>
            <w:tcW w:w="360" w:type="dxa"/>
            <w:vAlign w:val="bottom"/>
            <w:shd w:val="clear" w:color="auto" w:fill="E6E6E6"/>
          </w:tcPr>
          <w:p>
            <w:pPr>
              <w:spacing w:after="0"/>
              <w:rPr>
                <w:sz w:val="18"/>
                <w:szCs w:val="18"/>
                <w:color w:val="auto"/>
              </w:rPr>
            </w:pPr>
          </w:p>
        </w:tc>
        <w:tc>
          <w:tcPr>
            <w:tcW w:w="128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50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8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20" w:type="dxa"/>
            <w:vAlign w:val="bottom"/>
          </w:tcPr>
          <w:p>
            <w:pPr>
              <w:spacing w:after="0"/>
              <w:rPr>
                <w:sz w:val="19"/>
                <w:szCs w:val="19"/>
                <w:color w:val="auto"/>
              </w:rPr>
            </w:pPr>
          </w:p>
        </w:tc>
        <w:tc>
          <w:tcPr>
            <w:tcW w:w="36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114,746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ind w:right="302"/>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99,303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8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shd w:val="clear" w:color="auto" w:fill="E6E6E6"/>
          </w:tcPr>
          <w:p>
            <w:pPr>
              <w:spacing w:after="0"/>
              <w:rPr>
                <w:sz w:val="19"/>
                <w:szCs w:val="19"/>
                <w:color w:val="auto"/>
              </w:rPr>
            </w:pPr>
          </w:p>
        </w:tc>
        <w:tc>
          <w:tcPr>
            <w:tcW w:w="360" w:type="dxa"/>
            <w:vAlign w:val="bottom"/>
            <w:shd w:val="clear" w:color="auto" w:fill="E6E6E6"/>
          </w:tcPr>
          <w:p>
            <w:pPr>
              <w:spacing w:after="0"/>
              <w:rPr>
                <w:sz w:val="19"/>
                <w:szCs w:val="19"/>
                <w:color w:val="auto"/>
              </w:rPr>
            </w:pPr>
          </w:p>
        </w:tc>
        <w:tc>
          <w:tcPr>
            <w:tcW w:w="1300" w:type="dxa"/>
            <w:vAlign w:val="bottom"/>
            <w:gridSpan w:val="2"/>
            <w:shd w:val="clear" w:color="auto" w:fill="E6E6E6"/>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68,451</w:t>
            </w:r>
          </w:p>
        </w:tc>
        <w:tc>
          <w:tcPr>
            <w:tcW w:w="260" w:type="dxa"/>
            <w:vAlign w:val="bottom"/>
            <w:shd w:val="clear" w:color="auto" w:fill="E6E6E6"/>
          </w:tcPr>
          <w:p>
            <w:pPr>
              <w:spacing w:after="0"/>
              <w:rPr>
                <w:sz w:val="19"/>
                <w:szCs w:val="19"/>
                <w:color w:val="auto"/>
              </w:rPr>
            </w:pPr>
          </w:p>
        </w:tc>
        <w:tc>
          <w:tcPr>
            <w:tcW w:w="500" w:type="dxa"/>
            <w:vAlign w:val="bottom"/>
            <w:shd w:val="clear" w:color="auto" w:fill="E6E6E6"/>
          </w:tcPr>
          <w:p>
            <w:pPr>
              <w:spacing w:after="0"/>
              <w:rPr>
                <w:sz w:val="19"/>
                <w:szCs w:val="19"/>
                <w:color w:val="auto"/>
              </w:rPr>
            </w:pPr>
          </w:p>
        </w:tc>
        <w:tc>
          <w:tcPr>
            <w:tcW w:w="1280" w:type="dxa"/>
            <w:vAlign w:val="bottom"/>
            <w:gridSpan w:val="2"/>
            <w:shd w:val="clear" w:color="auto" w:fill="E6E6E6"/>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rPr>
              <w:t>61,880</w:t>
            </w:r>
          </w:p>
        </w:tc>
        <w:tc>
          <w:tcPr>
            <w:tcW w:w="0" w:type="dxa"/>
            <w:vAlign w:val="bottom"/>
          </w:tcPr>
          <w:p>
            <w:pPr>
              <w:spacing w:after="0"/>
              <w:rPr>
                <w:sz w:val="1"/>
                <w:szCs w:val="1"/>
                <w:color w:val="auto"/>
              </w:rPr>
            </w:pPr>
          </w:p>
        </w:tc>
      </w:tr>
      <w:tr>
        <w:trPr>
          <w:trHeight w:val="215"/>
        </w:trPr>
        <w:tc>
          <w:tcPr>
            <w:tcW w:w="688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Goodwill</w:t>
            </w: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183,197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02"/>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161,183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Intra-segment and Inter-segment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divisions that sell to each other within segments (intra-segment sales) and between segments (inter-segment sales)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indicated in the following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2022</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tcBorders>
              <w:bottom w:val="single" w:sz="8" w:color="auto"/>
            </w:tcBorders>
            <w:gridSpan w:val="2"/>
          </w:tcPr>
          <w:p>
            <w:pPr>
              <w:ind w:left="420"/>
              <w:spacing w:after="0" w:line="170" w:lineRule="exact"/>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Net Sales to</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Intra-Segment</w:t>
            </w:r>
          </w:p>
        </w:tc>
        <w:tc>
          <w:tcPr>
            <w:tcW w:w="1140" w:type="dxa"/>
            <w:vAlign w:val="bottom"/>
          </w:tcPr>
          <w:p>
            <w:pPr>
              <w:jc w:val="center"/>
              <w:ind w:right="2"/>
              <w:spacing w:after="0" w:line="153" w:lineRule="exact"/>
              <w:rPr>
                <w:sz w:val="20"/>
                <w:szCs w:val="20"/>
                <w:color w:val="auto"/>
              </w:rPr>
            </w:pPr>
            <w:r>
              <w:rPr>
                <w:rFonts w:ascii="Times New Roman" w:cs="Times New Roman" w:eastAsia="Times New Roman" w:hAnsi="Times New Roman"/>
                <w:sz w:val="16"/>
                <w:szCs w:val="16"/>
                <w:b w:val="1"/>
                <w:bCs w:val="1"/>
                <w:color w:val="auto"/>
                <w:w w:val="96"/>
              </w:rPr>
              <w:t>Industrial</w:t>
            </w:r>
          </w:p>
        </w:tc>
        <w:tc>
          <w:tcPr>
            <w:tcW w:w="13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Engineered</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10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 Sales</w:t>
            </w:r>
          </w:p>
        </w:tc>
        <w:tc>
          <w:tcPr>
            <w:tcW w:w="1420" w:type="dxa"/>
            <w:vAlign w:val="bottom"/>
            <w:vMerge w:val="continue"/>
          </w:tcPr>
          <w:p>
            <w:pPr>
              <w:spacing w:after="0"/>
              <w:rPr>
                <w:sz w:val="15"/>
                <w:szCs w:val="15"/>
                <w:color w:val="auto"/>
              </w:rPr>
            </w:pPr>
          </w:p>
        </w:tc>
        <w:tc>
          <w:tcPr>
            <w:tcW w:w="1140" w:type="dxa"/>
            <w:vAlign w:val="bottom"/>
          </w:tcPr>
          <w:p>
            <w:pPr>
              <w:jc w:val="center"/>
              <w:ind w:right="2"/>
              <w:spacing w:after="0" w:line="181" w:lineRule="exact"/>
              <w:rPr>
                <w:sz w:val="20"/>
                <w:szCs w:val="20"/>
                <w:color w:val="auto"/>
              </w:rPr>
            </w:pPr>
            <w:r>
              <w:rPr>
                <w:rFonts w:ascii="Times New Roman" w:cs="Times New Roman" w:eastAsia="Times New Roman" w:hAnsi="Times New Roman"/>
                <w:sz w:val="16"/>
                <w:szCs w:val="16"/>
                <w:b w:val="1"/>
                <w:bCs w:val="1"/>
                <w:color w:val="auto"/>
                <w:w w:val="96"/>
              </w:rPr>
              <w:t>Process</w:t>
            </w:r>
          </w:p>
        </w:tc>
        <w:tc>
          <w:tcPr>
            <w:tcW w:w="1380" w:type="dxa"/>
            <w:vAlign w:val="bottom"/>
            <w:vMerge w:val="continue"/>
          </w:tcPr>
          <w:p>
            <w:pPr>
              <w:spacing w:after="0"/>
              <w:rPr>
                <w:sz w:val="15"/>
                <w:szCs w:val="15"/>
                <w:color w:val="auto"/>
              </w:rPr>
            </w:pPr>
          </w:p>
        </w:tc>
        <w:tc>
          <w:tcPr>
            <w:tcW w:w="10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7"/>
              </w:rPr>
              <w:t>Outside</w:t>
            </w:r>
          </w:p>
        </w:tc>
        <w:tc>
          <w:tcPr>
            <w:tcW w:w="0" w:type="dxa"/>
            <w:vAlign w:val="bottom"/>
          </w:tcPr>
          <w:p>
            <w:pPr>
              <w:spacing w:after="0"/>
              <w:rPr>
                <w:sz w:val="1"/>
                <w:szCs w:val="1"/>
                <w:color w:val="auto"/>
              </w:rPr>
            </w:pPr>
          </w:p>
        </w:tc>
      </w:tr>
      <w:tr>
        <w:trPr>
          <w:trHeight w:val="198"/>
        </w:trPr>
        <w:tc>
          <w:tcPr>
            <w:tcW w:w="442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11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138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Systems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Customers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Sales</w:t>
            </w: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8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14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278,354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3"/>
          </w:tcPr>
          <w:p>
            <w:pPr>
              <w:jc w:val="right"/>
              <w:ind w:right="57"/>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(14,088)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4"/>
          </w:tcPr>
          <w:p>
            <w:pPr>
              <w:jc w:val="right"/>
              <w:ind w:right="6"/>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(1,042)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3"/>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4"/>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263,224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165,220</w:t>
            </w:r>
          </w:p>
        </w:tc>
        <w:tc>
          <w:tcPr>
            <w:tcW w:w="20" w:type="dxa"/>
            <w:vAlign w:val="bottom"/>
            <w:shd w:val="clear" w:color="auto" w:fill="E6E6E6"/>
          </w:tcPr>
          <w:p>
            <w:pPr>
              <w:spacing w:after="0"/>
              <w:rPr>
                <w:sz w:val="21"/>
                <w:szCs w:val="21"/>
                <w:color w:val="auto"/>
              </w:rPr>
            </w:pPr>
          </w:p>
        </w:tc>
        <w:tc>
          <w:tcPr>
            <w:tcW w:w="18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0" w:type="dxa"/>
            <w:vAlign w:val="bottom"/>
            <w:shd w:val="clear" w:color="auto" w:fill="E6E6E6"/>
          </w:tcPr>
          <w:p>
            <w:pPr>
              <w:spacing w:after="0"/>
              <w:rPr>
                <w:sz w:val="21"/>
                <w:szCs w:val="21"/>
                <w:color w:val="auto"/>
              </w:rPr>
            </w:pPr>
          </w:p>
        </w:tc>
        <w:tc>
          <w:tcPr>
            <w:tcW w:w="960" w:type="dxa"/>
            <w:vAlign w:val="bottom"/>
            <w:gridSpan w:val="5"/>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(5,536)</w:t>
            </w:r>
          </w:p>
        </w:tc>
        <w:tc>
          <w:tcPr>
            <w:tcW w:w="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9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16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80" w:type="dxa"/>
            <w:vAlign w:val="bottom"/>
            <w:shd w:val="clear" w:color="auto" w:fill="E6E6E6"/>
          </w:tcPr>
          <w:p>
            <w:pPr>
              <w:spacing w:after="0"/>
              <w:rPr>
                <w:sz w:val="21"/>
                <w:szCs w:val="21"/>
                <w:color w:val="auto"/>
              </w:rPr>
            </w:pPr>
          </w:p>
        </w:tc>
        <w:tc>
          <w:tcPr>
            <w:tcW w:w="1040" w:type="dxa"/>
            <w:vAlign w:val="bottom"/>
            <w:gridSpan w:val="5"/>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(281)</w:t>
            </w:r>
          </w:p>
        </w:tc>
        <w:tc>
          <w:tcPr>
            <w:tcW w:w="10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20" w:type="dxa"/>
            <w:vAlign w:val="bottom"/>
            <w:shd w:val="clear" w:color="auto" w:fill="E6E6E6"/>
          </w:tcPr>
          <w:p>
            <w:pPr>
              <w:spacing w:after="0"/>
              <w:rPr>
                <w:sz w:val="21"/>
                <w:szCs w:val="21"/>
                <w:color w:val="auto"/>
              </w:rPr>
            </w:pPr>
          </w:p>
        </w:tc>
        <w:tc>
          <w:tcPr>
            <w:tcW w:w="60" w:type="dxa"/>
            <w:vAlign w:val="bottom"/>
            <w:shd w:val="clear" w:color="auto" w:fill="E6E6E6"/>
          </w:tcPr>
          <w:p>
            <w:pPr>
              <w:spacing w:after="0"/>
              <w:rPr>
                <w:sz w:val="21"/>
                <w:szCs w:val="21"/>
                <w:color w:val="auto"/>
              </w:rPr>
            </w:pPr>
          </w:p>
        </w:tc>
        <w:tc>
          <w:tcPr>
            <w:tcW w:w="980" w:type="dxa"/>
            <w:vAlign w:val="bottom"/>
            <w:gridSpan w:val="4"/>
            <w:shd w:val="clear" w:color="auto" w:fill="E6E6E6"/>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159,403</w:t>
            </w:r>
          </w:p>
        </w:tc>
        <w:tc>
          <w:tcPr>
            <w:tcW w:w="6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420" w:type="dxa"/>
            <w:vAlign w:val="bottom"/>
            <w:tcBorders>
              <w:top w:val="single" w:sz="8" w:color="E6E6E6"/>
            </w:tcBorders>
          </w:tcPr>
          <w:p>
            <w:pPr>
              <w:ind w:left="400"/>
              <w:spacing w:after="0" w:line="195" w:lineRule="exact"/>
              <w:rPr>
                <w:sz w:val="20"/>
                <w:szCs w:val="20"/>
                <w:color w:val="auto"/>
              </w:rPr>
            </w:pPr>
            <w:r>
              <w:rPr>
                <w:rFonts w:ascii="Times New Roman" w:cs="Times New Roman" w:eastAsia="Times New Roman" w:hAnsi="Times New Roman"/>
                <w:sz w:val="20"/>
                <w:szCs w:val="20"/>
                <w:color w:val="auto"/>
              </w:rPr>
              <w:t>Total net sales</w:t>
            </w:r>
          </w:p>
        </w:tc>
        <w:tc>
          <w:tcPr>
            <w:tcW w:w="140" w:type="dxa"/>
            <w:vAlign w:val="bottom"/>
            <w:tcBorders>
              <w:top w:val="single" w:sz="8" w:color="auto"/>
              <w:bottom w:val="single" w:sz="8" w:color="auto"/>
            </w:tcBorders>
            <w:gridSpan w:val="3"/>
          </w:tcPr>
          <w:p>
            <w:pPr>
              <w:spacing w:after="0" w:line="195"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443,574</w:t>
            </w:r>
          </w:p>
        </w:tc>
        <w:tc>
          <w:tcPr>
            <w:tcW w:w="20" w:type="dxa"/>
            <w:vAlign w:val="bottom"/>
            <w:tcBorders>
              <w:top w:val="single" w:sz="8" w:color="E6E6E6"/>
            </w:tcBorders>
          </w:tcPr>
          <w:p>
            <w:pPr>
              <w:spacing w:after="0"/>
              <w:rPr>
                <w:sz w:val="16"/>
                <w:szCs w:val="16"/>
                <w:color w:val="auto"/>
              </w:rPr>
            </w:pPr>
          </w:p>
        </w:tc>
        <w:tc>
          <w:tcPr>
            <w:tcW w:w="180" w:type="dxa"/>
            <w:vAlign w:val="bottom"/>
            <w:tcBorders>
              <w:top w:val="single" w:sz="8" w:color="E6E6E6"/>
            </w:tcBorders>
          </w:tcPr>
          <w:p>
            <w:pPr>
              <w:spacing w:after="0"/>
              <w:rPr>
                <w:sz w:val="16"/>
                <w:szCs w:val="16"/>
                <w:color w:val="auto"/>
              </w:rPr>
            </w:pPr>
          </w:p>
        </w:tc>
        <w:tc>
          <w:tcPr>
            <w:tcW w:w="240" w:type="dxa"/>
            <w:vAlign w:val="bottom"/>
            <w:tcBorders>
              <w:top w:val="single" w:sz="8" w:color="auto"/>
              <w:bottom w:val="single" w:sz="8" w:color="auto"/>
            </w:tcBorders>
            <w:gridSpan w:val="3"/>
          </w:tcPr>
          <w:p>
            <w:pPr>
              <w:jc w:val="right"/>
              <w:ind w:right="57"/>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(19,624</w:t>
            </w:r>
          </w:p>
        </w:tc>
        <w:tc>
          <w:tcPr>
            <w:tcW w:w="140" w:type="dxa"/>
            <w:vAlign w:val="bottom"/>
            <w:tcBorders>
              <w:top w:val="single" w:sz="8" w:color="E6E6E6"/>
            </w:tcBorders>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E6E6E6"/>
            </w:tcBorders>
          </w:tcPr>
          <w:p>
            <w:pPr>
              <w:spacing w:after="0"/>
              <w:rPr>
                <w:sz w:val="16"/>
                <w:szCs w:val="16"/>
                <w:color w:val="auto"/>
              </w:rPr>
            </w:pPr>
          </w:p>
        </w:tc>
        <w:tc>
          <w:tcPr>
            <w:tcW w:w="160" w:type="dxa"/>
            <w:vAlign w:val="bottom"/>
            <w:tcBorders>
              <w:top w:val="single" w:sz="8" w:color="auto"/>
              <w:bottom w:val="single" w:sz="8" w:color="auto"/>
            </w:tcBorders>
            <w:gridSpan w:val="4"/>
          </w:tcPr>
          <w:p>
            <w:pPr>
              <w:jc w:val="right"/>
              <w:ind w:right="6"/>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(1,042)</w:t>
            </w: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160" w:type="dxa"/>
            <w:vAlign w:val="bottom"/>
            <w:tcBorders>
              <w:top w:val="single" w:sz="8" w:color="E6E6E6"/>
            </w:tcBorders>
          </w:tcPr>
          <w:p>
            <w:pPr>
              <w:spacing w:after="0"/>
              <w:rPr>
                <w:sz w:val="16"/>
                <w:szCs w:val="16"/>
                <w:color w:val="auto"/>
              </w:rPr>
            </w:pPr>
          </w:p>
        </w:tc>
        <w:tc>
          <w:tcPr>
            <w:tcW w:w="120" w:type="dxa"/>
            <w:vAlign w:val="bottom"/>
            <w:tcBorders>
              <w:top w:val="single" w:sz="8" w:color="auto"/>
              <w:bottom w:val="single" w:sz="8" w:color="auto"/>
            </w:tcBorders>
            <w:gridSpan w:val="3"/>
          </w:tcPr>
          <w:p>
            <w:pPr>
              <w:jc w:val="right"/>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(281)</w:t>
            </w: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20" w:type="dxa"/>
            <w:vAlign w:val="bottom"/>
            <w:tcBorders>
              <w:top w:val="single" w:sz="8" w:color="E6E6E6"/>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100" w:type="dxa"/>
            <w:vAlign w:val="bottom"/>
            <w:tcBorders>
              <w:top w:val="single" w:sz="8" w:color="E6E6E6"/>
            </w:tcBorders>
          </w:tcPr>
          <w:p>
            <w:pPr>
              <w:spacing w:after="0"/>
              <w:rPr>
                <w:sz w:val="16"/>
                <w:szCs w:val="16"/>
                <w:color w:val="auto"/>
              </w:rPr>
            </w:pPr>
          </w:p>
        </w:tc>
        <w:tc>
          <w:tcPr>
            <w:tcW w:w="120" w:type="dxa"/>
            <w:vAlign w:val="bottom"/>
            <w:tcBorders>
              <w:top w:val="single" w:sz="8" w:color="auto"/>
              <w:bottom w:val="single" w:sz="8" w:color="auto"/>
            </w:tcBorders>
            <w:gridSpan w:val="4"/>
          </w:tcPr>
          <w:p>
            <w:pPr>
              <w:jc w:val="right"/>
              <w:spacing w:after="0" w:line="195"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gridSpan w:val="3"/>
          </w:tcPr>
          <w:p>
            <w:pPr>
              <w:jc w:val="right"/>
              <w:ind w:right="40"/>
              <w:spacing w:after="0" w:line="195" w:lineRule="exact"/>
              <w:rPr>
                <w:sz w:val="20"/>
                <w:szCs w:val="20"/>
                <w:color w:val="auto"/>
              </w:rPr>
            </w:pPr>
            <w:r>
              <w:rPr>
                <w:rFonts w:ascii="Times New Roman" w:cs="Times New Roman" w:eastAsia="Times New Roman" w:hAnsi="Times New Roman"/>
                <w:sz w:val="20"/>
                <w:szCs w:val="20"/>
                <w:color w:val="auto"/>
              </w:rPr>
              <w:t>422,627</w:t>
            </w:r>
          </w:p>
        </w:tc>
        <w:tc>
          <w:tcPr>
            <w:tcW w:w="20" w:type="dxa"/>
            <w:vAlign w:val="bottom"/>
            <w:tcBorders>
              <w:top w:val="single" w:sz="8" w:color="E6E6E6"/>
            </w:tcBorders>
          </w:tcPr>
          <w:p>
            <w:pPr>
              <w:spacing w:after="0"/>
              <w:rPr>
                <w:sz w:val="16"/>
                <w:szCs w:val="16"/>
                <w:color w:val="auto"/>
              </w:rPr>
            </w:pPr>
          </w:p>
        </w:tc>
        <w:tc>
          <w:tcPr>
            <w:tcW w:w="6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3"/>
          </w:tcPr>
          <w:p>
            <w:pPr>
              <w:ind w:left="260"/>
              <w:spacing w:after="0" w:line="170" w:lineRule="exact"/>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Net Sales to</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Intra-Segment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w w:val="99"/>
              </w:rPr>
              <w:t>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6"/>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Total Sales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6"/>
              </w:rPr>
              <w:t>Process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5"/>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7"/>
              </w:rPr>
              <w:t>Outside</w:t>
            </w:r>
          </w:p>
        </w:tc>
        <w:tc>
          <w:tcPr>
            <w:tcW w:w="0" w:type="dxa"/>
            <w:vAlign w:val="bottom"/>
          </w:tcPr>
          <w:p>
            <w:pPr>
              <w:spacing w:after="0"/>
              <w:rPr>
                <w:sz w:val="1"/>
                <w:szCs w:val="1"/>
                <w:color w:val="auto"/>
              </w:rPr>
            </w:pPr>
          </w:p>
        </w:tc>
      </w:tr>
      <w:tr>
        <w:trPr>
          <w:trHeight w:val="198"/>
        </w:trPr>
        <w:tc>
          <w:tcPr>
            <w:tcW w:w="4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Systems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Customers</w:t>
            </w:r>
          </w:p>
        </w:tc>
        <w:tc>
          <w:tcPr>
            <w:tcW w:w="0" w:type="dxa"/>
            <w:vAlign w:val="bottom"/>
          </w:tcPr>
          <w:p>
            <w:pPr>
              <w:spacing w:after="0"/>
              <w:rPr>
                <w:sz w:val="1"/>
                <w:szCs w:val="1"/>
                <w:color w:val="auto"/>
              </w:rPr>
            </w:pPr>
          </w:p>
        </w:tc>
      </w:tr>
      <w:tr>
        <w:trPr>
          <w:trHeight w:val="215"/>
        </w:trPr>
        <w:tc>
          <w:tcPr>
            <w:tcW w:w="44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Sales</w:t>
            </w: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8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20" w:type="dxa"/>
            <w:vAlign w:val="bottom"/>
          </w:tcPr>
          <w:p>
            <w:pPr>
              <w:spacing w:after="0"/>
              <w:rPr>
                <w:sz w:val="19"/>
                <w:szCs w:val="19"/>
                <w:color w:val="auto"/>
              </w:rPr>
            </w:pPr>
          </w:p>
        </w:tc>
        <w:tc>
          <w:tcPr>
            <w:tcW w:w="12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197,380</w:t>
            </w: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20" w:type="dxa"/>
            <w:vAlign w:val="bottom"/>
            <w:gridSpan w:val="2"/>
          </w:tcPr>
          <w:p>
            <w:pPr>
              <w:jc w:val="right"/>
              <w:ind w:right="37"/>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(9,483)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(971)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4"/>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186,926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152,886</w:t>
            </w:r>
          </w:p>
        </w:tc>
        <w:tc>
          <w:tcPr>
            <w:tcW w:w="2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60" w:type="dxa"/>
            <w:vAlign w:val="bottom"/>
            <w:gridSpan w:val="5"/>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(14,533)</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00" w:type="dxa"/>
            <w:vAlign w:val="bottom"/>
            <w:gridSpan w:val="4"/>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040" w:type="dxa"/>
            <w:vAlign w:val="bottom"/>
            <w:gridSpan w:val="5"/>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(1,139)</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980" w:type="dxa"/>
            <w:vAlign w:val="bottom"/>
            <w:gridSpan w:val="4"/>
            <w:shd w:val="clear" w:color="auto" w:fill="E6E6E6"/>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137,214</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net sales</w:t>
            </w:r>
          </w:p>
        </w:tc>
        <w:tc>
          <w:tcPr>
            <w:tcW w:w="20" w:type="dxa"/>
            <w:vAlign w:val="bottom"/>
          </w:tcPr>
          <w:p>
            <w:pPr>
              <w:spacing w:after="0"/>
              <w:rPr>
                <w:sz w:val="18"/>
                <w:szCs w:val="18"/>
                <w:color w:val="auto"/>
              </w:rPr>
            </w:pPr>
          </w:p>
        </w:tc>
        <w:tc>
          <w:tcPr>
            <w:tcW w:w="120" w:type="dxa"/>
            <w:vAlign w:val="bottom"/>
            <w:tcBorders>
              <w:top w:val="single" w:sz="8" w:color="auto"/>
            </w:tcBorders>
            <w:gridSpan w:val="2"/>
          </w:tcPr>
          <w:p>
            <w:pPr>
              <w:spacing w:after="0" w:line="215" w:lineRule="exact"/>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350,266</w:t>
            </w:r>
          </w:p>
        </w:tc>
        <w:tc>
          <w:tcPr>
            <w:tcW w:w="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20" w:type="dxa"/>
            <w:vAlign w:val="bottom"/>
            <w:tcBorders>
              <w:top w:val="single" w:sz="8" w:color="auto"/>
            </w:tcBorders>
            <w:gridSpan w:val="2"/>
          </w:tcPr>
          <w:p>
            <w:pPr>
              <w:jc w:val="right"/>
              <w:ind w:right="37"/>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(24,016</w:t>
            </w:r>
          </w:p>
        </w:tc>
        <w:tc>
          <w:tcPr>
            <w:tcW w:w="120" w:type="dxa"/>
            <w:vAlign w:val="bottom"/>
            <w:gridSpan w:val="3"/>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gridSpan w:val="2"/>
          </w:tcPr>
          <w:p>
            <w:pPr>
              <w:spacing w:after="0"/>
              <w:rPr>
                <w:sz w:val="18"/>
                <w:szCs w:val="18"/>
                <w:color w:val="auto"/>
              </w:rPr>
            </w:pPr>
          </w:p>
        </w:tc>
        <w:tc>
          <w:tcPr>
            <w:tcW w:w="140" w:type="dxa"/>
            <w:vAlign w:val="bottom"/>
            <w:tcBorders>
              <w:top w:val="single" w:sz="8" w:color="auto"/>
            </w:tcBorders>
            <w:gridSpan w:val="3"/>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(971)</w:t>
            </w:r>
          </w:p>
        </w:tc>
        <w:tc>
          <w:tcPr>
            <w:tcW w:w="2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3"/>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(1,139)</w:t>
            </w:r>
          </w:p>
        </w:tc>
        <w:tc>
          <w:tcPr>
            <w:tcW w:w="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324,140</w:t>
            </w:r>
          </w:p>
        </w:tc>
        <w:tc>
          <w:tcPr>
            <w:tcW w:w="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5"/>
        </w:trPr>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Year Ended December 31, 2020</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3"/>
          </w:tcPr>
          <w:p>
            <w:pPr>
              <w:ind w:left="260"/>
              <w:spacing w:after="0" w:line="170" w:lineRule="exact"/>
              <w:rPr>
                <w:sz w:val="20"/>
                <w:szCs w:val="20"/>
                <w:color w:val="auto"/>
              </w:rPr>
            </w:pPr>
            <w:r>
              <w:rPr>
                <w:rFonts w:ascii="Times New Roman" w:cs="Times New Roman" w:eastAsia="Times New Roman" w:hAnsi="Times New Roman"/>
                <w:sz w:val="16"/>
                <w:szCs w:val="16"/>
                <w:b w:val="1"/>
                <w:bCs w:val="1"/>
                <w:color w:val="auto"/>
              </w:rPr>
              <w:t>Less Inter-Segment Sales</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Net Sales to</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Intra-Segment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w w:val="99"/>
              </w:rPr>
              <w:t>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6"/>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Engineered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(table only 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Total Sales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6"/>
              </w:rPr>
              <w:t>Process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5"/>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w w:val="97"/>
              </w:rPr>
              <w:t>Outside</w:t>
            </w:r>
          </w:p>
        </w:tc>
        <w:tc>
          <w:tcPr>
            <w:tcW w:w="0" w:type="dxa"/>
            <w:vAlign w:val="bottom"/>
          </w:tcPr>
          <w:p>
            <w:pPr>
              <w:spacing w:after="0"/>
              <w:rPr>
                <w:sz w:val="1"/>
                <w:szCs w:val="1"/>
                <w:color w:val="auto"/>
              </w:rPr>
            </w:pPr>
          </w:p>
        </w:tc>
      </w:tr>
      <w:tr>
        <w:trPr>
          <w:trHeight w:val="198"/>
        </w:trPr>
        <w:tc>
          <w:tcPr>
            <w:tcW w:w="4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Sales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Solutions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6"/>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Systems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Customers</w:t>
            </w:r>
          </w:p>
        </w:tc>
        <w:tc>
          <w:tcPr>
            <w:tcW w:w="0" w:type="dxa"/>
            <w:vAlign w:val="bottom"/>
          </w:tcPr>
          <w:p>
            <w:pPr>
              <w:spacing w:after="0"/>
              <w:rPr>
                <w:sz w:val="1"/>
                <w:szCs w:val="1"/>
                <w:color w:val="auto"/>
              </w:rPr>
            </w:pPr>
          </w:p>
        </w:tc>
      </w:tr>
      <w:tr>
        <w:trPr>
          <w:trHeight w:val="215"/>
        </w:trPr>
        <w:tc>
          <w:tcPr>
            <w:tcW w:w="4420" w:type="dxa"/>
            <w:vAlign w:val="bottom"/>
            <w:tcBorders>
              <w:top w:val="single" w:sz="8" w:color="E6E6E6"/>
            </w:tcBorders>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Sales</w:t>
            </w: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auto"/>
            </w:tcBorders>
            <w:shd w:val="clear" w:color="auto" w:fill="E6E6E6"/>
          </w:tcPr>
          <w:p>
            <w:pPr>
              <w:spacing w:after="0"/>
              <w:rPr>
                <w:sz w:val="18"/>
                <w:szCs w:val="18"/>
                <w:color w:val="auto"/>
              </w:rPr>
            </w:pPr>
          </w:p>
        </w:tc>
        <w:tc>
          <w:tcPr>
            <w:tcW w:w="8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90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16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9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6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200"/>
              <w:spacing w:after="0" w:line="226" w:lineRule="exact"/>
              <w:rPr>
                <w:sz w:val="20"/>
                <w:szCs w:val="20"/>
                <w:color w:val="auto"/>
              </w:rPr>
            </w:pPr>
            <w:r>
              <w:rPr>
                <w:rFonts w:ascii="Times New Roman" w:cs="Times New Roman" w:eastAsia="Times New Roman" w:hAnsi="Times New Roman"/>
                <w:sz w:val="20"/>
                <w:szCs w:val="20"/>
                <w:color w:val="auto"/>
              </w:rPr>
              <w:t>Engineered Systems segment</w:t>
            </w:r>
          </w:p>
        </w:tc>
        <w:tc>
          <w:tcPr>
            <w:tcW w:w="40" w:type="dxa"/>
            <w:vAlign w:val="bottom"/>
            <w:gridSpan w:val="2"/>
          </w:tcPr>
          <w:p>
            <w:pPr>
              <w:spacing w:after="0"/>
              <w:rPr>
                <w:sz w:val="19"/>
                <w:szCs w:val="19"/>
                <w:color w:val="auto"/>
              </w:rPr>
            </w:pPr>
          </w:p>
        </w:tc>
        <w:tc>
          <w:tcPr>
            <w:tcW w:w="1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218,290</w:t>
            </w:r>
          </w:p>
        </w:tc>
        <w:tc>
          <w:tcPr>
            <w:tcW w:w="220" w:type="dxa"/>
            <w:vAlign w:val="bottom"/>
            <w:gridSpan w:val="3"/>
          </w:tcPr>
          <w:p>
            <w:pPr>
              <w:spacing w:after="0"/>
              <w:rPr>
                <w:sz w:val="19"/>
                <w:szCs w:val="19"/>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4"/>
          </w:tcPr>
          <w:p>
            <w:pPr>
              <w:jc w:val="right"/>
              <w:ind w:right="55"/>
              <w:spacing w:after="0" w:line="226" w:lineRule="exact"/>
              <w:rPr>
                <w:sz w:val="20"/>
                <w:szCs w:val="20"/>
                <w:color w:val="auto"/>
              </w:rPr>
            </w:pPr>
            <w:r>
              <w:rPr>
                <w:rFonts w:ascii="Times New Roman" w:cs="Times New Roman" w:eastAsia="Times New Roman" w:hAnsi="Times New Roman"/>
                <w:sz w:val="20"/>
                <w:szCs w:val="20"/>
                <w:color w:val="auto"/>
              </w:rPr>
              <w:t>(11,333)</w:t>
            </w:r>
          </w:p>
        </w:tc>
        <w:tc>
          <w:tcPr>
            <w:tcW w:w="80" w:type="dxa"/>
            <w:vAlign w:val="bottom"/>
          </w:tcPr>
          <w:p>
            <w:pPr>
              <w:spacing w:after="0"/>
              <w:rPr>
                <w:sz w:val="19"/>
                <w:szCs w:val="19"/>
                <w:color w:val="auto"/>
              </w:rPr>
            </w:pPr>
          </w:p>
        </w:tc>
        <w:tc>
          <w:tcPr>
            <w:tcW w:w="120" w:type="dxa"/>
            <w:vAlign w:val="bottom"/>
            <w:gridSpan w:val="4"/>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(1,463)</w:t>
            </w:r>
          </w:p>
        </w:tc>
        <w:tc>
          <w:tcPr>
            <w:tcW w:w="1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205,494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E6E6E6"/>
          </w:tcPr>
          <w:p>
            <w:pPr>
              <w:ind w:left="200"/>
              <w:spacing w:after="0" w:line="226" w:lineRule="exact"/>
              <w:rPr>
                <w:sz w:val="20"/>
                <w:szCs w:val="20"/>
                <w:color w:val="auto"/>
              </w:rPr>
            </w:pPr>
            <w:r>
              <w:rPr>
                <w:rFonts w:ascii="Times New Roman" w:cs="Times New Roman" w:eastAsia="Times New Roman" w:hAnsi="Times New Roman"/>
                <w:sz w:val="20"/>
                <w:szCs w:val="20"/>
                <w:color w:val="auto"/>
              </w:rPr>
              <w:t>Industrial Process Solutions segment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920" w:type="dxa"/>
            <w:vAlign w:val="bottom"/>
            <w:gridSpan w:val="2"/>
            <w:shd w:val="clear" w:color="auto" w:fill="E6E6E6"/>
          </w:tcPr>
          <w:p>
            <w:pPr>
              <w:jc w:val="right"/>
              <w:spacing w:after="0" w:line="226" w:lineRule="exact"/>
              <w:rPr>
                <w:sz w:val="20"/>
                <w:szCs w:val="20"/>
                <w:color w:val="auto"/>
              </w:rPr>
            </w:pPr>
            <w:r>
              <w:rPr>
                <w:rFonts w:ascii="Times New Roman" w:cs="Times New Roman" w:eastAsia="Times New Roman" w:hAnsi="Times New Roman"/>
                <w:sz w:val="20"/>
                <w:szCs w:val="20"/>
                <w:color w:val="auto"/>
              </w:rPr>
              <w:t>124,547</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960" w:type="dxa"/>
            <w:vAlign w:val="bottom"/>
            <w:gridSpan w:val="5"/>
            <w:shd w:val="clear" w:color="auto" w:fill="E6E6E6"/>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rPr>
              <w:t>(12,798)</w:t>
            </w:r>
          </w:p>
        </w:tc>
        <w:tc>
          <w:tcPr>
            <w:tcW w:w="6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1100" w:type="dxa"/>
            <w:vAlign w:val="bottom"/>
            <w:gridSpan w:val="4"/>
            <w:shd w:val="clear" w:color="auto" w:fill="E6E6E6"/>
          </w:tcPr>
          <w:p>
            <w:pPr>
              <w:jc w:val="right"/>
              <w:ind w:right="20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80" w:type="dxa"/>
            <w:vAlign w:val="bottom"/>
            <w:shd w:val="clear" w:color="auto" w:fill="E6E6E6"/>
          </w:tcPr>
          <w:p>
            <w:pPr>
              <w:spacing w:after="0"/>
              <w:rPr>
                <w:sz w:val="19"/>
                <w:szCs w:val="19"/>
                <w:color w:val="auto"/>
              </w:rPr>
            </w:pPr>
          </w:p>
        </w:tc>
        <w:tc>
          <w:tcPr>
            <w:tcW w:w="1040" w:type="dxa"/>
            <w:vAlign w:val="bottom"/>
            <w:gridSpan w:val="5"/>
            <w:shd w:val="clear" w:color="auto" w:fill="E6E6E6"/>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(1,232)</w:t>
            </w:r>
          </w:p>
        </w:tc>
        <w:tc>
          <w:tcPr>
            <w:tcW w:w="1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60" w:type="dxa"/>
            <w:vAlign w:val="bottom"/>
            <w:shd w:val="clear" w:color="auto" w:fill="E6E6E6"/>
          </w:tcPr>
          <w:p>
            <w:pPr>
              <w:spacing w:after="0"/>
              <w:rPr>
                <w:sz w:val="19"/>
                <w:szCs w:val="19"/>
                <w:color w:val="auto"/>
              </w:rPr>
            </w:pPr>
          </w:p>
        </w:tc>
        <w:tc>
          <w:tcPr>
            <w:tcW w:w="980" w:type="dxa"/>
            <w:vAlign w:val="bottom"/>
            <w:gridSpan w:val="4"/>
            <w:shd w:val="clear" w:color="auto" w:fill="E6E6E6"/>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rPr>
              <w:t>110,517</w:t>
            </w:r>
          </w:p>
        </w:tc>
        <w:tc>
          <w:tcPr>
            <w:tcW w:w="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net sales</w:t>
            </w:r>
          </w:p>
        </w:tc>
        <w:tc>
          <w:tcPr>
            <w:tcW w:w="40" w:type="dxa"/>
            <w:vAlign w:val="bottom"/>
            <w:gridSpan w:val="2"/>
          </w:tcPr>
          <w:p>
            <w:pPr>
              <w:spacing w:after="0"/>
              <w:rPr>
                <w:sz w:val="18"/>
                <w:szCs w:val="18"/>
                <w:color w:val="auto"/>
              </w:rPr>
            </w:pPr>
          </w:p>
        </w:tc>
        <w:tc>
          <w:tcPr>
            <w:tcW w:w="100" w:type="dxa"/>
            <w:vAlign w:val="bottom"/>
            <w:tcBorders>
              <w:top w:val="single" w:sz="8" w:color="auto"/>
            </w:tcBorders>
          </w:tcPr>
          <w:p>
            <w:pPr>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342,837</w:t>
            </w:r>
          </w:p>
        </w:tc>
        <w:tc>
          <w:tcPr>
            <w:tcW w:w="220" w:type="dxa"/>
            <w:vAlign w:val="bottom"/>
            <w:gridSpan w:val="3"/>
          </w:tcPr>
          <w:p>
            <w:pPr>
              <w:spacing w:after="0"/>
              <w:rPr>
                <w:sz w:val="18"/>
                <w:szCs w:val="18"/>
                <w:color w:val="auto"/>
              </w:rPr>
            </w:pPr>
          </w:p>
        </w:tc>
        <w:tc>
          <w:tcPr>
            <w:tcW w:w="2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3"/>
          </w:tcPr>
          <w:p>
            <w:pPr>
              <w:jc w:val="right"/>
              <w:ind w:right="2"/>
              <w:spacing w:after="0" w:line="215" w:lineRule="exact"/>
              <w:rPr>
                <w:sz w:val="20"/>
                <w:szCs w:val="20"/>
                <w:color w:val="auto"/>
              </w:rPr>
            </w:pPr>
            <w:r>
              <w:rPr>
                <w:rFonts w:ascii="Times New Roman" w:cs="Times New Roman" w:eastAsia="Times New Roman" w:hAnsi="Times New Roman"/>
                <w:sz w:val="20"/>
                <w:szCs w:val="20"/>
                <w:color w:val="auto"/>
              </w:rPr>
              <w:t>(24,131</w:t>
            </w:r>
          </w:p>
        </w:tc>
        <w:tc>
          <w:tcPr>
            <w:tcW w:w="100" w:type="dxa"/>
            <w:vAlign w:val="bottom"/>
            <w:gridSpan w:val="2"/>
          </w:tcPr>
          <w:p>
            <w:pPr>
              <w:jc w:val="right"/>
              <w:ind w:right="80"/>
              <w:spacing w:after="0"/>
              <w:rPr>
                <w:sz w:val="20"/>
                <w:szCs w:val="20"/>
                <w:color w:val="auto"/>
              </w:rPr>
            </w:pPr>
            <w:r>
              <w:rPr>
                <w:rFonts w:ascii="Times New Roman" w:cs="Times New Roman" w:eastAsia="Times New Roman" w:hAnsi="Times New Roman"/>
                <w:sz w:val="1"/>
                <w:szCs w:val="1"/>
                <w:color w:val="auto"/>
                <w:w w:val="4294967281"/>
              </w:rPr>
              <w:t>)</w:t>
            </w:r>
          </w:p>
        </w:tc>
        <w:tc>
          <w:tcPr>
            <w:tcW w:w="120" w:type="dxa"/>
            <w:vAlign w:val="bottom"/>
            <w:gridSpan w:val="4"/>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(1,463)</w:t>
            </w:r>
          </w:p>
        </w:tc>
        <w:tc>
          <w:tcPr>
            <w:tcW w:w="18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(1,232)</w:t>
            </w:r>
          </w:p>
        </w:tc>
        <w:tc>
          <w:tcPr>
            <w:tcW w:w="1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316,011</w:t>
            </w:r>
          </w:p>
        </w:tc>
        <w:tc>
          <w:tcPr>
            <w:tcW w:w="4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single customer represented greater than 10% of consolidated net sales or accounts receivable for 2022, 2021, or 2020.</w:t>
      </w:r>
    </w:p>
    <w:p>
      <w:pPr>
        <w:spacing w:after="0" w:line="23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For 2022, 2021, and 2020, sales outside the United States accounted for approximately 35%, 38%, and 35%, respectively, of consolidated net sales. The largest portions of sales outside the United States in 2022 were in Europe (20%), and Asia (11%). Of consolidated long-lived assets, $39.9 million and $26.7 million were located outside of the United States as of December 31, 2022 and 2021, respectively. The largest portion of long-lived assets located outside the United States at December 31, 2022 were in Europe ($30.5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Subsequent Events</w:t>
      </w:r>
    </w:p>
    <w:p>
      <w:pPr>
        <w:spacing w:after="0" w:line="235"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9"/>
          <w:szCs w:val="19"/>
          <w:color w:val="auto"/>
        </w:rPr>
        <w:t>On January 10, 2023, the Company completed the acquisition of Wakefield Acoustics, Ltd. ("Wakefield"), based in the United Kingdom. Wakefield is a leading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F-33</w:t>
      </w:r>
    </w:p>
    <w:p>
      <w:pPr>
        <w:sectPr>
          <w:pgSz w:w="12240" w:h="15840" w:orient="portrait"/>
          <w:cols w:equalWidth="0" w:num="1">
            <w:col w:w="10600"/>
          </w:cols>
          <w:pgMar w:left="820" w:top="1069" w:right="820" w:bottom="315"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color w:val="auto"/>
        </w:rPr>
        <w:t>industries. This acquisition advances the Company's leadership position within the industrial silencing and noise attenuation market by adding a range of solutions and access to new geographic markets and industrial segments. The purchase price is approximately $5 million and was financed using a combination of cash and debt under the Company's existing Credit Facility, as well as a potential earnout payment to the sellers. The impact for this acquisition is not included in the Company's results for the year ended December 31, 2022. The initial accounting for the acquisition was not complete at the time the financial statements were issued due to the timing of the acquisition and the filing of this Annual Report on Form 10-K. As a result, complete disclosures required under ASC 805, Business Combinations cannot be made at this time.</w:t>
      </w:r>
    </w:p>
    <w:p>
      <w:pPr>
        <w:sectPr>
          <w:pgSz w:w="12240" w:h="15840" w:orient="portrait"/>
          <w:cols w:equalWidth="0" w:num="1">
            <w:col w:w="10580"/>
          </w:cols>
          <w:pgMar w:left="820" w:top="1069" w:right="840" w:bottom="3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580"/>
          </w:cols>
          <w:pgMar w:left="820" w:top="1069" w:right="840" w:bottom="326" w:gutter="0" w:footer="0" w:header="0"/>
          <w:type w:val="continuous"/>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28"/>
          <w:szCs w:val="28"/>
          <w:b w:val="1"/>
          <w:bCs w:val="1"/>
          <w:color w:val="262626"/>
        </w:rPr>
        <w:t>Supplementary Reconciliation of Non-GAAP Financial Measures: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b w:val="1"/>
                <w:bCs w:val="1"/>
                <w:color w:val="262626"/>
              </w:rPr>
              <w:t>(dollars in millions)</w:t>
            </w:r>
          </w:p>
        </w:tc>
        <w:tc>
          <w:tcPr>
            <w:tcW w:w="1640" w:type="dxa"/>
            <w:vAlign w:val="bottom"/>
            <w:tcBorders>
              <w:bottom w:val="single" w:sz="8" w:color="262626"/>
            </w:tcBorders>
            <w:gridSpan w:val="2"/>
          </w:tcPr>
          <w:p>
            <w:pPr>
              <w:jc w:val="right"/>
              <w:ind w:right="30"/>
              <w:spacing w:after="0"/>
              <w:rPr>
                <w:sz w:val="20"/>
                <w:szCs w:val="20"/>
                <w:color w:val="auto"/>
              </w:rPr>
            </w:pPr>
            <w:r>
              <w:rPr>
                <w:rFonts w:ascii="Arial" w:cs="Arial" w:eastAsia="Arial" w:hAnsi="Arial"/>
                <w:sz w:val="18"/>
                <w:szCs w:val="18"/>
                <w:b w:val="1"/>
                <w:bCs w:val="1"/>
                <w:color w:val="262626"/>
              </w:rPr>
              <w:t>Annual 2020</w:t>
            </w:r>
          </w:p>
        </w:tc>
        <w:tc>
          <w:tcPr>
            <w:tcW w:w="1400" w:type="dxa"/>
            <w:vAlign w:val="bottom"/>
            <w:tcBorders>
              <w:bottom w:val="single" w:sz="8" w:color="262626"/>
            </w:tcBorders>
            <w:gridSpan w:val="2"/>
          </w:tcPr>
          <w:p>
            <w:pPr>
              <w:jc w:val="right"/>
              <w:ind w:right="50"/>
              <w:spacing w:after="0"/>
              <w:rPr>
                <w:sz w:val="20"/>
                <w:szCs w:val="20"/>
                <w:color w:val="auto"/>
              </w:rPr>
            </w:pPr>
            <w:r>
              <w:rPr>
                <w:rFonts w:ascii="Arial" w:cs="Arial" w:eastAsia="Arial" w:hAnsi="Arial"/>
                <w:sz w:val="18"/>
                <w:szCs w:val="18"/>
                <w:b w:val="1"/>
                <w:bCs w:val="1"/>
                <w:color w:val="262626"/>
              </w:rPr>
              <w:t>Annual 2021</w:t>
            </w:r>
          </w:p>
        </w:tc>
        <w:tc>
          <w:tcPr>
            <w:tcW w:w="1480" w:type="dxa"/>
            <w:vAlign w:val="bottom"/>
            <w:tcBorders>
              <w:bottom w:val="single" w:sz="8" w:color="262626"/>
            </w:tcBorders>
            <w:gridSpan w:val="2"/>
          </w:tcPr>
          <w:p>
            <w:pPr>
              <w:jc w:val="right"/>
              <w:ind w:right="130"/>
              <w:spacing w:after="0"/>
              <w:rPr>
                <w:sz w:val="20"/>
                <w:szCs w:val="20"/>
                <w:color w:val="auto"/>
              </w:rPr>
            </w:pPr>
            <w:r>
              <w:rPr>
                <w:rFonts w:ascii="Arial" w:cs="Arial" w:eastAsia="Arial" w:hAnsi="Arial"/>
                <w:sz w:val="18"/>
                <w:szCs w:val="18"/>
                <w:b w:val="1"/>
                <w:bCs w:val="1"/>
                <w:color w:val="262626"/>
              </w:rPr>
              <w:t>Annual 2022</w:t>
            </w:r>
          </w:p>
        </w:tc>
      </w:tr>
      <w:tr>
        <w:trPr>
          <w:trHeight w:val="325"/>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Net income as reported in accordance with GAAP</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8.2</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1.4</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17.4</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Amortization expenses</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7.4</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6.7</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7.0</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Earnout expenses</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1.4</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1.1</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(0.2)</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Restructuring expenses</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2.3</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0.6</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0.1</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Acquisition and integration expenses</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1.4</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0.8</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4.5</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Executive transition expenses</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1.5</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1.2</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Intangible asset impairment</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0.9</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Foreign currency remeasurement</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0.3</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2.0</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(1.3)</w:t>
            </w:r>
          </w:p>
        </w:tc>
      </w:tr>
      <w:tr>
        <w:trPr>
          <w:trHeight w:val="315"/>
        </w:trPr>
        <w:tc>
          <w:tcPr>
            <w:tcW w:w="4540" w:type="dxa"/>
            <w:vAlign w:val="bottom"/>
            <w:tcBorders>
              <w:bottom w:val="single" w:sz="8" w:color="262626"/>
            </w:tcBorders>
          </w:tcPr>
          <w:p>
            <w:pPr>
              <w:ind w:left="80"/>
              <w:spacing w:after="0" w:line="219" w:lineRule="exact"/>
              <w:rPr>
                <w:sz w:val="20"/>
                <w:szCs w:val="20"/>
                <w:color w:val="auto"/>
              </w:rPr>
            </w:pPr>
            <w:r>
              <w:rPr>
                <w:rFonts w:ascii="Arial" w:cs="Arial" w:eastAsia="Arial" w:hAnsi="Arial"/>
                <w:sz w:val="18"/>
                <w:szCs w:val="18"/>
                <w:color w:val="262626"/>
              </w:rPr>
              <w:t>7D[</w:t>
            </w:r>
            <w:r>
              <w:rPr>
                <w:rFonts w:ascii="PMingLiU" w:cs="PMingLiU" w:eastAsia="PMingLiU" w:hAnsi="PMingLiU"/>
                <w:sz w:val="18"/>
                <w:szCs w:val="18"/>
                <w:color w:val="262626"/>
              </w:rPr>
              <w:t/>
            </w:r>
            <w:r>
              <w:rPr>
                <w:rFonts w:ascii="Arial" w:cs="Arial" w:eastAsia="Arial" w:hAnsi="Arial"/>
                <w:sz w:val="18"/>
                <w:szCs w:val="18"/>
                <w:color w:val="262626"/>
              </w:rPr>
              <w:t>H[SHQVH</w:t>
            </w:r>
            <w:r>
              <w:rPr>
                <w:rFonts w:ascii="PMingLiU" w:cs="PMingLiU" w:eastAsia="PMingLiU" w:hAnsi="PMingLiU"/>
                <w:sz w:val="18"/>
                <w:szCs w:val="18"/>
                <w:color w:val="262626"/>
              </w:rPr>
              <w:t/>
            </w:r>
            <w:r>
              <w:rPr>
                <w:rFonts w:ascii="Arial" w:cs="Arial" w:eastAsia="Arial" w:hAnsi="Arial"/>
                <w:sz w:val="18"/>
                <w:szCs w:val="18"/>
                <w:color w:val="262626"/>
              </w:rPr>
              <w:t>EHQHƓW</w:t>
            </w:r>
            <w:r>
              <w:rPr>
                <w:rFonts w:ascii="PMingLiU" w:cs="PMingLiU" w:eastAsia="PMingLiU" w:hAnsi="PMingLiU"/>
                <w:sz w:val="18"/>
                <w:szCs w:val="18"/>
                <w:color w:val="262626"/>
              </w:rPr>
              <w:t/>
            </w:r>
            <w:r>
              <w:rPr>
                <w:rFonts w:ascii="Arial" w:cs="Arial" w:eastAsia="Arial" w:hAnsi="Arial"/>
                <w:sz w:val="18"/>
                <w:szCs w:val="18"/>
                <w:color w:val="262626"/>
              </w:rPr>
              <w:t>RI</w:t>
            </w:r>
            <w:r>
              <w:rPr>
                <w:rFonts w:ascii="PMingLiU" w:cs="PMingLiU" w:eastAsia="PMingLiU" w:hAnsi="PMingLiU"/>
                <w:sz w:val="18"/>
                <w:szCs w:val="18"/>
                <w:color w:val="262626"/>
              </w:rPr>
              <w:t/>
            </w:r>
            <w:r>
              <w:rPr>
                <w:rFonts w:ascii="Arial" w:cs="Arial" w:eastAsia="Arial" w:hAnsi="Arial"/>
                <w:sz w:val="18"/>
                <w:szCs w:val="18"/>
                <w:color w:val="262626"/>
              </w:rPr>
              <w:t>DGMXVWPHQWV</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30"/>
              <w:spacing w:after="0"/>
              <w:rPr>
                <w:sz w:val="20"/>
                <w:szCs w:val="20"/>
                <w:color w:val="auto"/>
              </w:rPr>
            </w:pPr>
            <w:r>
              <w:rPr>
                <w:rFonts w:ascii="Arial" w:cs="Arial" w:eastAsia="Arial" w:hAnsi="Arial"/>
                <w:sz w:val="18"/>
                <w:szCs w:val="18"/>
                <w:color w:val="262626"/>
              </w:rPr>
              <w:t>(3.9)</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30"/>
              <w:spacing w:after="0"/>
              <w:rPr>
                <w:sz w:val="20"/>
                <w:szCs w:val="20"/>
                <w:color w:val="auto"/>
              </w:rPr>
            </w:pPr>
            <w:r>
              <w:rPr>
                <w:rFonts w:ascii="Arial" w:cs="Arial" w:eastAsia="Arial" w:hAnsi="Arial"/>
                <w:sz w:val="18"/>
                <w:szCs w:val="18"/>
                <w:color w:val="262626"/>
              </w:rPr>
              <w:t>(2.8)</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(2.8)</w:t>
            </w:r>
          </w:p>
        </w:tc>
      </w:tr>
      <w:tr>
        <w:trPr>
          <w:trHeight w:val="325"/>
        </w:trPr>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262626"/>
              </w:rPr>
              <w:t>Non-GAAP net income</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262626"/>
              </w:rPr>
              <w:t>19.5</w:t>
            </w: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262626"/>
              </w:rPr>
              <w:t>9.8</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262626"/>
              </w:rPr>
              <w:t>25.9</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Depreciation</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2.5</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3.2</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3.6</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Non-cash stock compensation</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2.0</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3.3</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3.9</w:t>
            </w:r>
          </w:p>
        </w:tc>
      </w:tr>
      <w:tr>
        <w:trPr>
          <w:trHeight w:val="322"/>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Other (income) expense, net</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30"/>
              <w:spacing w:after="0"/>
              <w:rPr>
                <w:sz w:val="20"/>
                <w:szCs w:val="20"/>
                <w:color w:val="auto"/>
              </w:rPr>
            </w:pPr>
            <w:r>
              <w:rPr>
                <w:rFonts w:ascii="Arial" w:cs="Arial" w:eastAsia="Arial" w:hAnsi="Arial"/>
                <w:sz w:val="18"/>
                <w:szCs w:val="18"/>
                <w:color w:val="262626"/>
              </w:rPr>
              <w:t>(2.3)</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0.2</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(5.6)</w:t>
            </w:r>
          </w:p>
        </w:tc>
      </w:tr>
      <w:tr>
        <w:trPr>
          <w:trHeight w:val="322"/>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Interest expense</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3.5</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3.0</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5.4</w:t>
            </w:r>
          </w:p>
        </w:tc>
      </w:tr>
      <w:tr>
        <w:trPr>
          <w:trHeight w:val="320"/>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Income tax expense</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7.6</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5.5</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8.2</w:t>
            </w:r>
          </w:p>
        </w:tc>
      </w:tr>
      <w:tr>
        <w:trPr>
          <w:trHeight w:val="315"/>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Noncontrolling interest</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0.6</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0.8</w:t>
            </w:r>
          </w:p>
        </w:tc>
      </w:tr>
      <w:tr>
        <w:trPr>
          <w:trHeight w:val="325"/>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i w:val="1"/>
                <w:iCs w:val="1"/>
                <w:color w:val="262626"/>
              </w:rPr>
              <w:t>Adjusted EBITDA</w:t>
            </w:r>
          </w:p>
        </w:tc>
        <w:tc>
          <w:tcPr>
            <w:tcW w:w="7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32.8</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25.6</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42.2</w:t>
            </w:r>
          </w:p>
        </w:tc>
      </w:tr>
      <w:tr>
        <w:trPr>
          <w:trHeight w:val="321"/>
        </w:trPr>
        <w:tc>
          <w:tcPr>
            <w:tcW w:w="4540" w:type="dxa"/>
            <w:vAlign w:val="bottom"/>
            <w:tcBorders>
              <w:bottom w:val="single" w:sz="8" w:color="262626"/>
            </w:tcBorders>
          </w:tcPr>
          <w:p>
            <w:pPr>
              <w:ind w:left="80"/>
              <w:spacing w:after="0"/>
              <w:rPr>
                <w:sz w:val="20"/>
                <w:szCs w:val="20"/>
                <w:color w:val="auto"/>
              </w:rPr>
            </w:pPr>
            <w:r>
              <w:rPr>
                <w:rFonts w:ascii="Arial" w:cs="Arial" w:eastAsia="Arial" w:hAnsi="Arial"/>
                <w:sz w:val="18"/>
                <w:szCs w:val="18"/>
                <w:i w:val="1"/>
                <w:iCs w:val="1"/>
                <w:color w:val="262626"/>
              </w:rPr>
              <w:t>Adjusted EBITDA margin</w:t>
            </w:r>
          </w:p>
        </w:tc>
        <w:tc>
          <w:tcPr>
            <w:tcW w:w="740" w:type="dxa"/>
            <w:vAlign w:val="bottom"/>
            <w:tcBorders>
              <w:bottom w:val="single" w:sz="8" w:color="262626"/>
            </w:tcBorders>
          </w:tcPr>
          <w:p>
            <w:pPr>
              <w:spacing w:after="0"/>
              <w:rPr>
                <w:sz w:val="24"/>
                <w:szCs w:val="24"/>
                <w:color w:val="auto"/>
              </w:rPr>
            </w:pPr>
          </w:p>
        </w:tc>
        <w:tc>
          <w:tcPr>
            <w:tcW w:w="900" w:type="dxa"/>
            <w:vAlign w:val="bottom"/>
            <w:tcBorders>
              <w:bottom w:val="single" w:sz="8" w:color="262626"/>
            </w:tcBorders>
          </w:tcPr>
          <w:p>
            <w:pPr>
              <w:jc w:val="right"/>
              <w:ind w:right="150"/>
              <w:spacing w:after="0"/>
              <w:rPr>
                <w:sz w:val="20"/>
                <w:szCs w:val="20"/>
                <w:color w:val="auto"/>
              </w:rPr>
            </w:pPr>
            <w:r>
              <w:rPr>
                <w:rFonts w:ascii="Arial" w:cs="Arial" w:eastAsia="Arial" w:hAnsi="Arial"/>
                <w:sz w:val="18"/>
                <w:szCs w:val="18"/>
                <w:color w:val="262626"/>
              </w:rPr>
              <w:t>10.4%</w:t>
            </w:r>
          </w:p>
        </w:tc>
        <w:tc>
          <w:tcPr>
            <w:tcW w:w="500" w:type="dxa"/>
            <w:vAlign w:val="bottom"/>
            <w:tcBorders>
              <w:bottom w:val="single" w:sz="8" w:color="262626"/>
            </w:tcBorders>
          </w:tcPr>
          <w:p>
            <w:pPr>
              <w:spacing w:after="0"/>
              <w:rPr>
                <w:sz w:val="24"/>
                <w:szCs w:val="24"/>
                <w:color w:val="auto"/>
              </w:rPr>
            </w:pPr>
          </w:p>
        </w:tc>
        <w:tc>
          <w:tcPr>
            <w:tcW w:w="900" w:type="dxa"/>
            <w:vAlign w:val="bottom"/>
            <w:tcBorders>
              <w:bottom w:val="single" w:sz="8" w:color="262626"/>
            </w:tcBorders>
          </w:tcPr>
          <w:p>
            <w:pPr>
              <w:jc w:val="right"/>
              <w:ind w:right="150"/>
              <w:spacing w:after="0"/>
              <w:rPr>
                <w:sz w:val="20"/>
                <w:szCs w:val="20"/>
                <w:color w:val="auto"/>
              </w:rPr>
            </w:pPr>
            <w:r>
              <w:rPr>
                <w:rFonts w:ascii="Arial" w:cs="Arial" w:eastAsia="Arial" w:hAnsi="Arial"/>
                <w:sz w:val="18"/>
                <w:szCs w:val="18"/>
                <w:color w:val="262626"/>
              </w:rPr>
              <w:t>7.9%</w:t>
            </w:r>
          </w:p>
        </w:tc>
        <w:tc>
          <w:tcPr>
            <w:tcW w:w="540" w:type="dxa"/>
            <w:vAlign w:val="bottom"/>
            <w:tcBorders>
              <w:bottom w:val="single" w:sz="8" w:color="262626"/>
            </w:tcBorders>
          </w:tcPr>
          <w:p>
            <w:pPr>
              <w:spacing w:after="0"/>
              <w:rPr>
                <w:sz w:val="24"/>
                <w:szCs w:val="24"/>
                <w:color w:val="auto"/>
              </w:rPr>
            </w:pPr>
          </w:p>
        </w:tc>
        <w:tc>
          <w:tcPr>
            <w:tcW w:w="940" w:type="dxa"/>
            <w:vAlign w:val="bottom"/>
            <w:tcBorders>
              <w:bottom w:val="single" w:sz="8" w:color="262626"/>
            </w:tcBorders>
          </w:tcPr>
          <w:p>
            <w:pPr>
              <w:jc w:val="right"/>
              <w:ind w:right="190"/>
              <w:spacing w:after="0"/>
              <w:rPr>
                <w:sz w:val="20"/>
                <w:szCs w:val="20"/>
                <w:color w:val="auto"/>
              </w:rPr>
            </w:pPr>
            <w:r>
              <w:rPr>
                <w:rFonts w:ascii="Arial" w:cs="Arial" w:eastAsia="Arial" w:hAnsi="Arial"/>
                <w:sz w:val="18"/>
                <w:szCs w:val="18"/>
                <w:color w:val="262626"/>
              </w:rPr>
              <w:t>10.0%</w:t>
            </w:r>
          </w:p>
        </w:tc>
      </w:tr>
    </w:tbl>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88"/>
        </w:trPr>
        <w:tc>
          <w:tcPr>
            <w:tcW w:w="4400" w:type="dxa"/>
            <w:vAlign w:val="bottom"/>
            <w:tcBorders>
              <w:bottom w:val="single" w:sz="8" w:color="262626"/>
            </w:tcBorders>
          </w:tcPr>
          <w:p>
            <w:pPr>
              <w:ind w:left="80"/>
              <w:spacing w:after="0"/>
              <w:rPr>
                <w:sz w:val="20"/>
                <w:szCs w:val="20"/>
                <w:color w:val="auto"/>
              </w:rPr>
            </w:pPr>
            <w:r>
              <w:rPr>
                <w:rFonts w:ascii="Arial" w:cs="Arial" w:eastAsia="Arial" w:hAnsi="Arial"/>
                <w:sz w:val="18"/>
                <w:szCs w:val="18"/>
                <w:b w:val="1"/>
                <w:bCs w:val="1"/>
                <w:color w:val="262626"/>
              </w:rPr>
              <w:t>(dollars in millions)</w:t>
            </w:r>
          </w:p>
        </w:tc>
        <w:tc>
          <w:tcPr>
            <w:tcW w:w="1780" w:type="dxa"/>
            <w:vAlign w:val="bottom"/>
            <w:tcBorders>
              <w:bottom w:val="single" w:sz="8" w:color="262626"/>
            </w:tcBorders>
            <w:gridSpan w:val="2"/>
          </w:tcPr>
          <w:p>
            <w:pPr>
              <w:jc w:val="right"/>
              <w:ind w:right="30"/>
              <w:spacing w:after="0"/>
              <w:rPr>
                <w:sz w:val="20"/>
                <w:szCs w:val="20"/>
                <w:color w:val="auto"/>
              </w:rPr>
            </w:pPr>
            <w:r>
              <w:rPr>
                <w:rFonts w:ascii="Arial" w:cs="Arial" w:eastAsia="Arial" w:hAnsi="Arial"/>
                <w:sz w:val="18"/>
                <w:szCs w:val="18"/>
                <w:b w:val="1"/>
                <w:bCs w:val="1"/>
                <w:color w:val="262626"/>
              </w:rPr>
              <w:t>Annual 2020</w:t>
            </w:r>
          </w:p>
        </w:tc>
        <w:tc>
          <w:tcPr>
            <w:tcW w:w="1400" w:type="dxa"/>
            <w:vAlign w:val="bottom"/>
            <w:tcBorders>
              <w:bottom w:val="single" w:sz="8" w:color="262626"/>
            </w:tcBorders>
            <w:gridSpan w:val="2"/>
          </w:tcPr>
          <w:p>
            <w:pPr>
              <w:jc w:val="right"/>
              <w:ind w:right="50"/>
              <w:spacing w:after="0"/>
              <w:rPr>
                <w:sz w:val="20"/>
                <w:szCs w:val="20"/>
                <w:color w:val="auto"/>
              </w:rPr>
            </w:pPr>
            <w:r>
              <w:rPr>
                <w:rFonts w:ascii="Arial" w:cs="Arial" w:eastAsia="Arial" w:hAnsi="Arial"/>
                <w:sz w:val="18"/>
                <w:szCs w:val="18"/>
                <w:b w:val="1"/>
                <w:bCs w:val="1"/>
                <w:color w:val="262626"/>
              </w:rPr>
              <w:t>Annual 2021</w:t>
            </w:r>
          </w:p>
        </w:tc>
        <w:tc>
          <w:tcPr>
            <w:tcW w:w="1480" w:type="dxa"/>
            <w:vAlign w:val="bottom"/>
            <w:tcBorders>
              <w:bottom w:val="single" w:sz="8" w:color="262626"/>
            </w:tcBorders>
            <w:gridSpan w:val="2"/>
          </w:tcPr>
          <w:p>
            <w:pPr>
              <w:jc w:val="right"/>
              <w:ind w:right="130"/>
              <w:spacing w:after="0"/>
              <w:rPr>
                <w:sz w:val="20"/>
                <w:szCs w:val="20"/>
                <w:color w:val="auto"/>
              </w:rPr>
            </w:pPr>
            <w:r>
              <w:rPr>
                <w:rFonts w:ascii="Arial" w:cs="Arial" w:eastAsia="Arial" w:hAnsi="Arial"/>
                <w:sz w:val="18"/>
                <w:szCs w:val="18"/>
                <w:b w:val="1"/>
                <w:bCs w:val="1"/>
                <w:color w:val="262626"/>
              </w:rPr>
              <w:t>Annual 2022</w:t>
            </w:r>
          </w:p>
        </w:tc>
      </w:tr>
      <w:tr>
        <w:trPr>
          <w:trHeight w:val="325"/>
        </w:trPr>
        <w:tc>
          <w:tcPr>
            <w:tcW w:w="440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Net cash provided by operating activities</w:t>
            </w:r>
          </w:p>
        </w:tc>
        <w:tc>
          <w:tcPr>
            <w:tcW w:w="900" w:type="dxa"/>
            <w:vAlign w:val="bottom"/>
            <w:tcBorders>
              <w:bottom w:val="single" w:sz="8" w:color="262626"/>
            </w:tcBorders>
          </w:tcPr>
          <w:p>
            <w:pPr>
              <w:jc w:val="right"/>
              <w:ind w:right="90"/>
              <w:spacing w:after="0"/>
              <w:rPr>
                <w:sz w:val="20"/>
                <w:szCs w:val="20"/>
                <w:color w:val="auto"/>
              </w:rPr>
            </w:pPr>
            <w:r>
              <w:rPr>
                <w:rFonts w:ascii="Arial" w:cs="Arial" w:eastAsia="Arial" w:hAnsi="Arial"/>
                <w:sz w:val="18"/>
                <w:szCs w:val="18"/>
                <w:color w:val="262626"/>
              </w:rPr>
              <w:t>$</w:t>
            </w:r>
          </w:p>
        </w:tc>
        <w:tc>
          <w:tcPr>
            <w:tcW w:w="88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4.4</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13.3</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29.6</w:t>
            </w:r>
          </w:p>
        </w:tc>
      </w:tr>
      <w:tr>
        <w:trPr>
          <w:trHeight w:val="320"/>
        </w:trPr>
        <w:tc>
          <w:tcPr>
            <w:tcW w:w="4400" w:type="dxa"/>
            <w:vAlign w:val="bottom"/>
            <w:tcBorders>
              <w:bottom w:val="single" w:sz="8" w:color="262626"/>
            </w:tcBorders>
          </w:tcPr>
          <w:p>
            <w:pPr>
              <w:ind w:left="80"/>
              <w:spacing w:after="0"/>
              <w:rPr>
                <w:sz w:val="20"/>
                <w:szCs w:val="20"/>
                <w:color w:val="auto"/>
              </w:rPr>
            </w:pPr>
            <w:r>
              <w:rPr>
                <w:rFonts w:ascii="Arial" w:cs="Arial" w:eastAsia="Arial" w:hAnsi="Arial"/>
                <w:sz w:val="18"/>
                <w:szCs w:val="18"/>
                <w:color w:val="262626"/>
              </w:rPr>
              <w:t>Earnouts payments (within operating activities)</w:t>
            </w:r>
          </w:p>
        </w:tc>
        <w:tc>
          <w:tcPr>
            <w:tcW w:w="900" w:type="dxa"/>
            <w:vAlign w:val="bottom"/>
            <w:tcBorders>
              <w:bottom w:val="single" w:sz="8" w:color="262626"/>
            </w:tcBorders>
          </w:tcPr>
          <w:p>
            <w:pPr>
              <w:jc w:val="right"/>
              <w:ind w:right="90"/>
              <w:spacing w:after="0"/>
              <w:rPr>
                <w:sz w:val="20"/>
                <w:szCs w:val="20"/>
                <w:color w:val="auto"/>
              </w:rPr>
            </w:pPr>
            <w:r>
              <w:rPr>
                <w:rFonts w:ascii="Arial" w:cs="Arial" w:eastAsia="Arial" w:hAnsi="Arial"/>
                <w:sz w:val="18"/>
                <w:szCs w:val="18"/>
                <w:color w:val="262626"/>
              </w:rPr>
              <w:t>$</w:t>
            </w:r>
          </w:p>
        </w:tc>
        <w:tc>
          <w:tcPr>
            <w:tcW w:w="88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0.6</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1.0</w:t>
            </w:r>
          </w:p>
        </w:tc>
      </w:tr>
      <w:tr>
        <w:trPr>
          <w:trHeight w:val="315"/>
        </w:trPr>
        <w:tc>
          <w:tcPr>
            <w:tcW w:w="4400" w:type="dxa"/>
            <w:vAlign w:val="bottom"/>
            <w:tcBorders>
              <w:bottom w:val="single" w:sz="8" w:color="262626"/>
            </w:tcBorders>
          </w:tcPr>
          <w:p>
            <w:pPr>
              <w:ind w:left="80"/>
              <w:spacing w:after="0" w:line="219" w:lineRule="exact"/>
              <w:rPr>
                <w:sz w:val="20"/>
                <w:szCs w:val="20"/>
                <w:color w:val="auto"/>
              </w:rPr>
            </w:pPr>
            <w:r>
              <w:rPr>
                <w:rFonts w:ascii="Arial" w:cs="Arial" w:eastAsia="Arial" w:hAnsi="Arial"/>
                <w:sz w:val="18"/>
                <w:szCs w:val="18"/>
                <w:color w:val="262626"/>
              </w:rPr>
              <w:t>$FTXLVWLRQV</w:t>
            </w:r>
            <w:r>
              <w:rPr>
                <w:rFonts w:ascii="PMingLiU" w:cs="PMingLiU" w:eastAsia="PMingLiU" w:hAnsi="PMingLiU"/>
                <w:sz w:val="18"/>
                <w:szCs w:val="18"/>
                <w:color w:val="262626"/>
              </w:rPr>
              <w:t/>
            </w:r>
            <w:r>
              <w:rPr>
                <w:rFonts w:ascii="Arial" w:cs="Arial" w:eastAsia="Arial" w:hAnsi="Arial"/>
                <w:sz w:val="18"/>
                <w:szCs w:val="18"/>
                <w:color w:val="262626"/>
              </w:rPr>
              <w:t>RI</w:t>
            </w:r>
            <w:r>
              <w:rPr>
                <w:rFonts w:ascii="PMingLiU" w:cs="PMingLiU" w:eastAsia="PMingLiU" w:hAnsi="PMingLiU"/>
                <w:sz w:val="18"/>
                <w:szCs w:val="18"/>
                <w:color w:val="262626"/>
              </w:rPr>
              <w:t/>
            </w:r>
            <w:r>
              <w:rPr>
                <w:rFonts w:ascii="Arial" w:cs="Arial" w:eastAsia="Arial" w:hAnsi="Arial"/>
                <w:sz w:val="18"/>
                <w:szCs w:val="18"/>
                <w:color w:val="262626"/>
              </w:rPr>
              <w:t>SURSHUW\</w:t>
            </w:r>
            <w:r>
              <w:rPr>
                <w:rFonts w:ascii="PMingLiU" w:cs="PMingLiU" w:eastAsia="PMingLiU" w:hAnsi="PMingLiU"/>
                <w:sz w:val="18"/>
                <w:szCs w:val="18"/>
                <w:color w:val="262626"/>
              </w:rPr>
              <w:t/>
            </w:r>
            <w:r>
              <w:rPr>
                <w:rFonts w:ascii="Arial" w:cs="Arial" w:eastAsia="Arial" w:hAnsi="Arial"/>
                <w:sz w:val="18"/>
                <w:szCs w:val="18"/>
                <w:color w:val="262626"/>
              </w:rPr>
              <w:t>DQG</w:t>
            </w:r>
            <w:r>
              <w:rPr>
                <w:rFonts w:ascii="PMingLiU" w:cs="PMingLiU" w:eastAsia="PMingLiU" w:hAnsi="PMingLiU"/>
                <w:sz w:val="18"/>
                <w:szCs w:val="18"/>
                <w:color w:val="262626"/>
              </w:rPr>
              <w:t/>
            </w:r>
            <w:r>
              <w:rPr>
                <w:rFonts w:ascii="Arial" w:cs="Arial" w:eastAsia="Arial" w:hAnsi="Arial"/>
                <w:sz w:val="18"/>
                <w:szCs w:val="18"/>
                <w:color w:val="262626"/>
              </w:rPr>
              <w:t>HTXLSPHQW</w:t>
            </w:r>
          </w:p>
        </w:tc>
        <w:tc>
          <w:tcPr>
            <w:tcW w:w="900" w:type="dxa"/>
            <w:vAlign w:val="bottom"/>
            <w:tcBorders>
              <w:bottom w:val="single" w:sz="8" w:color="262626"/>
            </w:tcBorders>
          </w:tcPr>
          <w:p>
            <w:pPr>
              <w:jc w:val="right"/>
              <w:ind w:right="90"/>
              <w:spacing w:after="0"/>
              <w:rPr>
                <w:sz w:val="20"/>
                <w:szCs w:val="20"/>
                <w:color w:val="auto"/>
              </w:rPr>
            </w:pPr>
            <w:r>
              <w:rPr>
                <w:rFonts w:ascii="Arial" w:cs="Arial" w:eastAsia="Arial" w:hAnsi="Arial"/>
                <w:sz w:val="18"/>
                <w:szCs w:val="18"/>
                <w:color w:val="262626"/>
              </w:rPr>
              <w:t>$</w:t>
            </w:r>
          </w:p>
        </w:tc>
        <w:tc>
          <w:tcPr>
            <w:tcW w:w="880" w:type="dxa"/>
            <w:vAlign w:val="bottom"/>
            <w:tcBorders>
              <w:bottom w:val="single" w:sz="8" w:color="262626"/>
            </w:tcBorders>
          </w:tcPr>
          <w:p>
            <w:pPr>
              <w:jc w:val="right"/>
              <w:ind w:right="230"/>
              <w:spacing w:after="0"/>
              <w:rPr>
                <w:sz w:val="20"/>
                <w:szCs w:val="20"/>
                <w:color w:val="auto"/>
              </w:rPr>
            </w:pPr>
            <w:r>
              <w:rPr>
                <w:rFonts w:ascii="Arial" w:cs="Arial" w:eastAsia="Arial" w:hAnsi="Arial"/>
                <w:sz w:val="18"/>
                <w:szCs w:val="18"/>
                <w:color w:val="262626"/>
              </w:rPr>
              <w:t>(3.9)</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30"/>
              <w:spacing w:after="0"/>
              <w:rPr>
                <w:sz w:val="20"/>
                <w:szCs w:val="20"/>
                <w:color w:val="auto"/>
              </w:rPr>
            </w:pPr>
            <w:r>
              <w:rPr>
                <w:rFonts w:ascii="Arial" w:cs="Arial" w:eastAsia="Arial" w:hAnsi="Arial"/>
                <w:sz w:val="18"/>
                <w:szCs w:val="18"/>
                <w:color w:val="262626"/>
              </w:rPr>
              <w:t>(2.6)</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(3.4)</w:t>
            </w:r>
          </w:p>
        </w:tc>
      </w:tr>
      <w:tr>
        <w:trPr>
          <w:trHeight w:val="325"/>
        </w:trPr>
        <w:tc>
          <w:tcPr>
            <w:tcW w:w="4400" w:type="dxa"/>
            <w:vAlign w:val="bottom"/>
            <w:tcBorders>
              <w:bottom w:val="single" w:sz="8" w:color="262626"/>
            </w:tcBorders>
          </w:tcPr>
          <w:p>
            <w:pPr>
              <w:ind w:left="80"/>
              <w:spacing w:after="0" w:line="219" w:lineRule="exact"/>
              <w:rPr>
                <w:sz w:val="20"/>
                <w:szCs w:val="20"/>
                <w:color w:val="auto"/>
              </w:rPr>
            </w:pPr>
            <w:r>
              <w:rPr>
                <w:rFonts w:ascii="Arial" w:cs="Arial" w:eastAsia="Arial" w:hAnsi="Arial"/>
                <w:sz w:val="18"/>
                <w:szCs w:val="18"/>
                <w:color w:val="262626"/>
              </w:rPr>
              <w:t>)UHH</w:t>
            </w:r>
            <w:r>
              <w:rPr>
                <w:rFonts w:ascii="PMingLiU" w:cs="PMingLiU" w:eastAsia="PMingLiU" w:hAnsi="PMingLiU"/>
                <w:sz w:val="18"/>
                <w:szCs w:val="18"/>
                <w:color w:val="262626"/>
              </w:rPr>
              <w:t/>
            </w:r>
            <w:r>
              <w:rPr>
                <w:rFonts w:ascii="Arial" w:cs="Arial" w:eastAsia="Arial" w:hAnsi="Arial"/>
                <w:sz w:val="18"/>
                <w:szCs w:val="18"/>
                <w:color w:val="262626"/>
              </w:rPr>
              <w:t>FDVK</w:t>
            </w:r>
            <w:r>
              <w:rPr>
                <w:rFonts w:ascii="PMingLiU" w:cs="PMingLiU" w:eastAsia="PMingLiU" w:hAnsi="PMingLiU"/>
                <w:sz w:val="18"/>
                <w:szCs w:val="18"/>
                <w:color w:val="262626"/>
              </w:rPr>
              <w:t/>
            </w:r>
            <w:r>
              <w:rPr>
                <w:rFonts w:ascii="Arial" w:cs="Arial" w:eastAsia="Arial" w:hAnsi="Arial"/>
                <w:sz w:val="18"/>
                <w:szCs w:val="18"/>
                <w:color w:val="262626"/>
              </w:rPr>
              <w:t>ŴRZ</w:t>
            </w:r>
          </w:p>
        </w:tc>
        <w:tc>
          <w:tcPr>
            <w:tcW w:w="900" w:type="dxa"/>
            <w:vAlign w:val="bottom"/>
            <w:tcBorders>
              <w:bottom w:val="single" w:sz="8" w:color="262626"/>
            </w:tcBorders>
          </w:tcPr>
          <w:p>
            <w:pPr>
              <w:jc w:val="right"/>
              <w:ind w:right="90"/>
              <w:spacing w:after="0"/>
              <w:rPr>
                <w:sz w:val="20"/>
                <w:szCs w:val="20"/>
                <w:color w:val="auto"/>
              </w:rPr>
            </w:pPr>
            <w:r>
              <w:rPr>
                <w:rFonts w:ascii="Arial" w:cs="Arial" w:eastAsia="Arial" w:hAnsi="Arial"/>
                <w:sz w:val="18"/>
                <w:szCs w:val="18"/>
                <w:color w:val="262626"/>
              </w:rPr>
              <w:t>$</w:t>
            </w:r>
          </w:p>
        </w:tc>
        <w:tc>
          <w:tcPr>
            <w:tcW w:w="88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0.5</w:t>
            </w:r>
          </w:p>
        </w:tc>
        <w:tc>
          <w:tcPr>
            <w:tcW w:w="50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00" w:type="dxa"/>
            <w:vAlign w:val="bottom"/>
            <w:tcBorders>
              <w:bottom w:val="single" w:sz="8" w:color="262626"/>
            </w:tcBorders>
          </w:tcPr>
          <w:p>
            <w:pPr>
              <w:jc w:val="right"/>
              <w:ind w:right="290"/>
              <w:spacing w:after="0"/>
              <w:rPr>
                <w:sz w:val="20"/>
                <w:szCs w:val="20"/>
                <w:color w:val="auto"/>
              </w:rPr>
            </w:pPr>
            <w:r>
              <w:rPr>
                <w:rFonts w:ascii="Arial" w:cs="Arial" w:eastAsia="Arial" w:hAnsi="Arial"/>
                <w:sz w:val="18"/>
                <w:szCs w:val="18"/>
                <w:color w:val="262626"/>
              </w:rPr>
              <w:t>11.3</w:t>
            </w:r>
          </w:p>
        </w:tc>
        <w:tc>
          <w:tcPr>
            <w:tcW w:w="540" w:type="dxa"/>
            <w:vAlign w:val="bottom"/>
            <w:tcBorders>
              <w:bottom w:val="single" w:sz="8" w:color="262626"/>
            </w:tcBorders>
          </w:tcPr>
          <w:p>
            <w:pPr>
              <w:jc w:val="right"/>
              <w:ind w:right="70"/>
              <w:spacing w:after="0"/>
              <w:rPr>
                <w:sz w:val="20"/>
                <w:szCs w:val="20"/>
                <w:color w:val="auto"/>
              </w:rPr>
            </w:pPr>
            <w:r>
              <w:rPr>
                <w:rFonts w:ascii="Arial" w:cs="Arial" w:eastAsia="Arial" w:hAnsi="Arial"/>
                <w:sz w:val="18"/>
                <w:szCs w:val="18"/>
                <w:color w:val="262626"/>
              </w:rPr>
              <w:t>$</w:t>
            </w:r>
          </w:p>
        </w:tc>
        <w:tc>
          <w:tcPr>
            <w:tcW w:w="940" w:type="dxa"/>
            <w:vAlign w:val="bottom"/>
            <w:tcBorders>
              <w:bottom w:val="single" w:sz="8" w:color="262626"/>
            </w:tcBorders>
          </w:tcPr>
          <w:p>
            <w:pPr>
              <w:jc w:val="right"/>
              <w:ind w:right="350"/>
              <w:spacing w:after="0"/>
              <w:rPr>
                <w:sz w:val="20"/>
                <w:szCs w:val="20"/>
                <w:color w:val="auto"/>
              </w:rPr>
            </w:pPr>
            <w:r>
              <w:rPr>
                <w:rFonts w:ascii="Arial" w:cs="Arial" w:eastAsia="Arial" w:hAnsi="Arial"/>
                <w:sz w:val="18"/>
                <w:szCs w:val="18"/>
                <w:color w:val="262626"/>
              </w:rPr>
              <w:t>27.2</w:t>
            </w:r>
          </w:p>
        </w:tc>
      </w:tr>
    </w:tbl>
    <w:p>
      <w:pPr>
        <w:sectPr>
          <w:pgSz w:w="12240" w:h="15840" w:orient="portrait"/>
          <w:cols w:equalWidth="0" w:num="1">
            <w:col w:w="9360"/>
          </w:cols>
          <w:pgMar w:left="1440" w:top="1124" w:right="1440" w:bottom="1440" w:gutter="0" w:footer="0" w:header="0"/>
        </w:sectPr>
      </w:pPr>
    </w:p>
    <w:bookmarkStart w:id="96" w:name="page97"/>
    <w:bookmarkEnd w:id="96"/>
    <w:p>
      <w:pPr>
        <w:ind w:left="160"/>
        <w:spacing w:after="0"/>
        <w:rPr>
          <w:sz w:val="20"/>
          <w:szCs w:val="20"/>
          <w:color w:val="auto"/>
        </w:rPr>
      </w:pPr>
      <w:r>
        <w:rPr>
          <w:sz w:val="1"/>
          <w:szCs w:val="1"/>
          <w:color w:val="auto"/>
        </w:rPr>
        <w:drawing>
          <wp:inline distT="0" distB="0" distL="0" distR="0">
            <wp:extent cx="304165" cy="32956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0">
                      <a:extLst>
                        <a:ext uri="{28A0092B-C50C-407E-A947-70E740481C1C}"/>
                      </a:extLst>
                    </a:blip>
                    <a:srcRect/>
                    <a:stretch>
                      <a:fillRect/>
                    </a:stretch>
                  </pic:blipFill>
                  <pic:spPr bwMode="auto">
                    <a:xfrm>
                      <a:off x="0" y="0"/>
                      <a:ext cx="304165" cy="329565"/>
                    </a:xfrm>
                    <a:prstGeom prst="rect">
                      <a:avLst/>
                    </a:prstGeom>
                    <a:noFill/>
                    <a:ln>
                      <a:noFill/>
                    </a:ln>
                  </pic:spPr>
                </pic:pic>
              </a:graphicData>
            </a:graphic>
          </wp:inline>
        </w:drawing>
      </w:r>
      <w:r>
        <w:rPr>
          <w:rFonts w:ascii="Arial" w:cs="Arial" w:eastAsia="Arial" w:hAnsi="Arial"/>
          <w:sz w:val="39"/>
          <w:szCs w:val="39"/>
          <w:b w:val="1"/>
          <w:bCs w:val="1"/>
          <w:color w:val="273D86"/>
        </w:rPr>
        <w:t>Corporate Information</w:t>
      </w:r>
    </w:p>
    <w:p>
      <w:pPr>
        <w:sectPr>
          <w:pgSz w:w="12240" w:h="15840" w:orient="portrait"/>
          <w:cols w:equalWidth="0" w:num="1">
            <w:col w:w="10240"/>
          </w:cols>
          <w:pgMar w:left="1100" w:top="838" w:right="900" w:bottom="76" w:gutter="0" w:footer="0" w:header="0"/>
        </w:sectPr>
      </w:pPr>
    </w:p>
    <w:p>
      <w:pPr>
        <w:spacing w:after="0" w:line="394"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98B82F"/>
        </w:rPr>
        <w:t>Board of Directors</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Jason DeZwirek</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Chairman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Todd Gleason</w:t>
      </w:r>
    </w:p>
    <w:p>
      <w:pPr>
        <w:spacing w:after="0" w:line="14" w:lineRule="exact"/>
        <w:rPr>
          <w:sz w:val="20"/>
          <w:szCs w:val="20"/>
          <w:color w:val="auto"/>
        </w:rPr>
      </w:pPr>
    </w:p>
    <w:p>
      <w:pPr>
        <w:ind w:left="140"/>
        <w:spacing w:after="0" w:line="194" w:lineRule="exact"/>
        <w:rPr>
          <w:sz w:val="20"/>
          <w:szCs w:val="20"/>
          <w:color w:val="auto"/>
        </w:rPr>
      </w:pP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,_LJ\[P]L</w:t>
      </w:r>
      <w:r>
        <w:rPr>
          <w:rFonts w:ascii="PMingLiU" w:cs="PMingLiU" w:eastAsia="PMingLiU" w:hAnsi="PMingLiU"/>
          <w:sz w:val="16"/>
          <w:szCs w:val="16"/>
          <w:color w:val="262626"/>
        </w:rPr>
        <w:t/>
      </w:r>
      <w:r>
        <w:rPr>
          <w:rFonts w:ascii="Arial" w:cs="Arial" w:eastAsia="Arial" w:hAnsi="Arial"/>
          <w:sz w:val="16"/>
          <w:szCs w:val="16"/>
          <w:color w:val="262626"/>
        </w:rPr>
        <w:t>6ɉJLY</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Robert E. Knowling, Jr.</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Chairman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Eagles Landing Partners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David B. Liner</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Former General Counsel, Corporate</w:t>
      </w:r>
    </w:p>
    <w:p>
      <w:pPr>
        <w:spacing w:after="0" w:line="47" w:lineRule="exact"/>
        <w:rPr>
          <w:sz w:val="20"/>
          <w:szCs w:val="20"/>
          <w:color w:val="auto"/>
        </w:rPr>
      </w:pPr>
    </w:p>
    <w:p>
      <w:pPr>
        <w:ind w:left="140"/>
        <w:spacing w:after="0" w:line="170" w:lineRule="exact"/>
        <w:rPr>
          <w:sz w:val="20"/>
          <w:szCs w:val="20"/>
          <w:color w:val="auto"/>
        </w:rPr>
      </w:pPr>
      <w:r>
        <w:rPr>
          <w:rFonts w:ascii="Arial" w:cs="Arial" w:eastAsia="Arial" w:hAnsi="Arial"/>
          <w:sz w:val="14"/>
          <w:szCs w:val="14"/>
          <w:color w:val="262626"/>
        </w:rPr>
        <w:t>:LJYL[HY`</w:t>
      </w:r>
      <w:r>
        <w:rPr>
          <w:rFonts w:ascii="PMingLiU" w:cs="PMingLiU" w:eastAsia="PMingLiU" w:hAnsi="PMingLiU"/>
          <w:sz w:val="14"/>
          <w:szCs w:val="14"/>
          <w:color w:val="262626"/>
        </w:rPr>
        <w:t/>
      </w:r>
      <w:r>
        <w:rPr>
          <w:rFonts w:ascii="Arial" w:cs="Arial" w:eastAsia="Arial" w:hAnsi="Arial"/>
          <w:sz w:val="14"/>
          <w:szCs w:val="14"/>
          <w:color w:val="262626"/>
        </w:rPr>
        <w:t>HUK</w:t>
      </w:r>
      <w:r>
        <w:rPr>
          <w:rFonts w:ascii="PMingLiU" w:cs="PMingLiU" w:eastAsia="PMingLiU" w:hAnsi="PMingLiU"/>
          <w:sz w:val="14"/>
          <w:szCs w:val="14"/>
          <w:color w:val="262626"/>
        </w:rPr>
        <w:t/>
      </w:r>
      <w:r>
        <w:rPr>
          <w:rFonts w:ascii="Arial" w:cs="Arial" w:eastAsia="Arial" w:hAnsi="Arial"/>
          <w:sz w:val="14"/>
          <w:szCs w:val="14"/>
          <w:color w:val="262626"/>
        </w:rPr>
        <w:t>*OPLM</w:t>
      </w:r>
      <w:r>
        <w:rPr>
          <w:rFonts w:ascii="PMingLiU" w:cs="PMingLiU" w:eastAsia="PMingLiU" w:hAnsi="PMingLiU"/>
          <w:sz w:val="14"/>
          <w:szCs w:val="14"/>
          <w:color w:val="262626"/>
        </w:rPr>
        <w:t/>
      </w:r>
      <w:r>
        <w:rPr>
          <w:rFonts w:ascii="Arial" w:cs="Arial" w:eastAsia="Arial" w:hAnsi="Arial"/>
          <w:sz w:val="14"/>
          <w:szCs w:val="14"/>
          <w:color w:val="262626"/>
        </w:rPr>
        <w:t>*VTWSPHUJL</w:t>
      </w:r>
      <w:r>
        <w:rPr>
          <w:rFonts w:ascii="PMingLiU" w:cs="PMingLiU" w:eastAsia="PMingLiU" w:hAnsi="PMingLiU"/>
          <w:sz w:val="14"/>
          <w:szCs w:val="14"/>
          <w:color w:val="262626"/>
        </w:rPr>
        <w:t/>
      </w:r>
      <w:r>
        <w:rPr>
          <w:rFonts w:ascii="Arial" w:cs="Arial" w:eastAsia="Arial" w:hAnsi="Arial"/>
          <w:sz w:val="14"/>
          <w:szCs w:val="14"/>
          <w:color w:val="262626"/>
        </w:rPr>
        <w:t>6ɉJLY</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Roper Technologies, Inc.</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Claudio A. Mannarino</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President</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262626"/>
        </w:rPr>
        <w:t>Sette CS Inc.</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262626"/>
        </w:rPr>
        <w:t>Munish Nanda</w:t>
      </w:r>
    </w:p>
    <w:p>
      <w:pPr>
        <w:spacing w:after="0" w:line="14" w:lineRule="exact"/>
        <w:rPr>
          <w:sz w:val="20"/>
          <w:szCs w:val="20"/>
          <w:color w:val="auto"/>
        </w:rPr>
      </w:pPr>
    </w:p>
    <w:p>
      <w:pPr>
        <w:ind w:left="140" w:right="620"/>
        <w:spacing w:after="0" w:line="435" w:lineRule="auto"/>
        <w:rPr>
          <w:sz w:val="20"/>
          <w:szCs w:val="20"/>
          <w:color w:val="auto"/>
        </w:rPr>
      </w:pPr>
      <w:r>
        <w:rPr>
          <w:rFonts w:ascii="Arial" w:cs="Arial" w:eastAsia="Arial" w:hAnsi="Arial"/>
          <w:sz w:val="14"/>
          <w:szCs w:val="14"/>
          <w:color w:val="262626"/>
        </w:rPr>
        <w:t>President, Americas &amp; Europe Watts Water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Valerie Gentile Sachs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62626"/>
        </w:rPr>
        <w:t>Former Vice President,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62626"/>
        </w:rPr>
        <w:t>General Counsel</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and Corporate Secretary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OM Group,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Richard F. Wallman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62626"/>
        </w:rPr>
        <w:t>Former Senior Vice President</w:t>
      </w:r>
    </w:p>
    <w:p>
      <w:pPr>
        <w:spacing w:after="0" w:line="47"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HUK</w:t>
      </w:r>
      <w:r>
        <w:rPr>
          <w:rFonts w:ascii="PMingLiU" w:cs="PMingLiU" w:eastAsia="PMingLiU" w:hAnsi="PMingLiU"/>
          <w:sz w:val="16"/>
          <w:szCs w:val="16"/>
          <w:color w:val="262626"/>
        </w:rPr>
        <w:t/>
      </w: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-PUHUJPHS</w:t>
      </w:r>
      <w:r>
        <w:rPr>
          <w:rFonts w:ascii="PMingLiU" w:cs="PMingLiU" w:eastAsia="PMingLiU" w:hAnsi="PMingLiU"/>
          <w:sz w:val="16"/>
          <w:szCs w:val="16"/>
          <w:color w:val="262626"/>
        </w:rPr>
        <w:t/>
      </w:r>
      <w:r>
        <w:rPr>
          <w:rFonts w:ascii="Arial" w:cs="Arial" w:eastAsia="Arial" w:hAnsi="Arial"/>
          <w:sz w:val="16"/>
          <w:szCs w:val="16"/>
          <w:color w:val="262626"/>
        </w:rPr>
        <w:t>6ɉJLY</w:t>
      </w:r>
      <w:r>
        <w:rPr>
          <w:rFonts w:ascii="PMingLiU" w:cs="PMingLiU" w:eastAsia="PMingLiU" w:hAnsi="PMingLiU"/>
          <w:sz w:val="16"/>
          <w:szCs w:val="16"/>
          <w:color w:val="262626"/>
        </w:rPr>
        <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62626"/>
        </w:rPr>
        <w:t>Honeywell International, Inc.</w:t>
      </w:r>
    </w:p>
    <w:p>
      <w:pPr>
        <w:spacing w:after="0" w:line="209" w:lineRule="exact"/>
        <w:rPr>
          <w:sz w:val="20"/>
          <w:szCs w:val="20"/>
          <w:color w:val="auto"/>
        </w:rPr>
      </w:pPr>
    </w:p>
    <w:p>
      <w:pPr>
        <w:spacing w:after="0" w:line="255" w:lineRule="exact"/>
        <w:rPr>
          <w:sz w:val="20"/>
          <w:szCs w:val="20"/>
          <w:color w:val="auto"/>
        </w:rPr>
      </w:pPr>
      <w:r>
        <w:rPr>
          <w:rFonts w:ascii="Arial" w:cs="Arial" w:eastAsia="Arial" w:hAnsi="Arial"/>
          <w:sz w:val="21"/>
          <w:szCs w:val="21"/>
          <w:b w:val="1"/>
          <w:bCs w:val="1"/>
          <w:color w:val="98B82F"/>
        </w:rPr>
        <w:t>([HFXWLYH</w:t>
      </w:r>
      <w:r>
        <w:rPr>
          <w:rFonts w:ascii="PMingLiU" w:cs="PMingLiU" w:eastAsia="PMingLiU" w:hAnsi="PMingLiU"/>
          <w:sz w:val="21"/>
          <w:szCs w:val="21"/>
          <w:b w:val="1"/>
          <w:bCs w:val="1"/>
          <w:color w:val="98B82F"/>
        </w:rPr>
        <w:t/>
      </w:r>
      <w:r>
        <w:rPr>
          <w:rFonts w:ascii="Arial" w:cs="Arial" w:eastAsia="Arial" w:hAnsi="Arial"/>
          <w:sz w:val="21"/>
          <w:szCs w:val="21"/>
          <w:b w:val="1"/>
          <w:bCs w:val="1"/>
          <w:color w:val="98B82F"/>
        </w:rPr>
        <w:t>2IƓFHUV</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Todd Gleason</w:t>
      </w:r>
    </w:p>
    <w:p>
      <w:pPr>
        <w:spacing w:after="0" w:line="14"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,_LJ\[P]L</w:t>
      </w:r>
      <w:r>
        <w:rPr>
          <w:rFonts w:ascii="PMingLiU" w:cs="PMingLiU" w:eastAsia="PMingLiU" w:hAnsi="PMingLiU"/>
          <w:sz w:val="16"/>
          <w:szCs w:val="16"/>
          <w:color w:val="262626"/>
        </w:rPr>
        <w:t/>
      </w:r>
      <w:r>
        <w:rPr>
          <w:rFonts w:ascii="Arial" w:cs="Arial" w:eastAsia="Arial" w:hAnsi="Arial"/>
          <w:sz w:val="16"/>
          <w:szCs w:val="16"/>
          <w:color w:val="262626"/>
        </w:rPr>
        <w:t>6ɉJLY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Peter Johansson</w:t>
      </w:r>
    </w:p>
    <w:p>
      <w:pPr>
        <w:spacing w:after="0" w:line="14" w:lineRule="exact"/>
        <w:rPr>
          <w:sz w:val="20"/>
          <w:szCs w:val="20"/>
          <w:color w:val="auto"/>
        </w:rPr>
      </w:pPr>
    </w:p>
    <w:p>
      <w:pPr>
        <w:spacing w:after="0" w:line="170" w:lineRule="exact"/>
        <w:rPr>
          <w:sz w:val="20"/>
          <w:szCs w:val="20"/>
          <w:color w:val="auto"/>
        </w:rPr>
      </w:pPr>
      <w:r>
        <w:rPr>
          <w:rFonts w:ascii="Arial" w:cs="Arial" w:eastAsia="Arial" w:hAnsi="Arial"/>
          <w:sz w:val="14"/>
          <w:szCs w:val="14"/>
          <w:color w:val="262626"/>
        </w:rPr>
        <w:t>*OPLM</w:t>
      </w:r>
      <w:r>
        <w:rPr>
          <w:rFonts w:ascii="PMingLiU" w:cs="PMingLiU" w:eastAsia="PMingLiU" w:hAnsi="PMingLiU"/>
          <w:sz w:val="14"/>
          <w:szCs w:val="14"/>
          <w:color w:val="262626"/>
        </w:rPr>
        <w:t/>
      </w:r>
      <w:r>
        <w:rPr>
          <w:rFonts w:ascii="Arial" w:cs="Arial" w:eastAsia="Arial" w:hAnsi="Arial"/>
          <w:sz w:val="14"/>
          <w:szCs w:val="14"/>
          <w:color w:val="262626"/>
        </w:rPr>
        <w:t>-PUHUJPHS</w:t>
      </w:r>
      <w:r>
        <w:rPr>
          <w:rFonts w:ascii="PMingLiU" w:cs="PMingLiU" w:eastAsia="PMingLiU" w:hAnsi="PMingLiU"/>
          <w:sz w:val="14"/>
          <w:szCs w:val="14"/>
          <w:color w:val="262626"/>
        </w:rPr>
        <w:t/>
      </w:r>
      <w:r>
        <w:rPr>
          <w:rFonts w:ascii="Arial" w:cs="Arial" w:eastAsia="Arial" w:hAnsi="Arial"/>
          <w:sz w:val="14"/>
          <w:szCs w:val="14"/>
          <w:color w:val="262626"/>
        </w:rPr>
        <w:t>:[YH[LN`</w:t>
      </w:r>
      <w:r>
        <w:rPr>
          <w:rFonts w:ascii="PMingLiU" w:cs="PMingLiU" w:eastAsia="PMingLiU" w:hAnsi="PMingLiU"/>
          <w:sz w:val="14"/>
          <w:szCs w:val="14"/>
          <w:color w:val="262626"/>
        </w:rPr>
        <w:t/>
      </w:r>
      <w:r>
        <w:rPr>
          <w:rFonts w:ascii="Arial" w:cs="Arial" w:eastAsia="Arial" w:hAnsi="Arial"/>
          <w:sz w:val="14"/>
          <w:szCs w:val="14"/>
          <w:color w:val="262626"/>
        </w:rPr>
        <w:t>6ɉJLY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Ramesh Nuggihalli</w:t>
      </w:r>
    </w:p>
    <w:p>
      <w:pPr>
        <w:spacing w:after="0" w:line="14"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6WLYH[PUN</w:t>
      </w:r>
      <w:r>
        <w:rPr>
          <w:rFonts w:ascii="PMingLiU" w:cs="PMingLiU" w:eastAsia="PMingLiU" w:hAnsi="PMingLiU"/>
          <w:sz w:val="16"/>
          <w:szCs w:val="16"/>
          <w:color w:val="262626"/>
        </w:rPr>
        <w:t/>
      </w:r>
      <w:r>
        <w:rPr>
          <w:rFonts w:ascii="Arial" w:cs="Arial" w:eastAsia="Arial" w:hAnsi="Arial"/>
          <w:sz w:val="16"/>
          <w:szCs w:val="16"/>
          <w:color w:val="262626"/>
        </w:rPr>
        <w:t>6ɉJLY</w:t>
      </w:r>
      <w:r>
        <w:rPr>
          <w:rFonts w:ascii="PMingLiU" w:cs="PMingLiU" w:eastAsia="PMingLiU" w:hAnsi="PMingLiU"/>
          <w:sz w:val="16"/>
          <w:szCs w:val="16"/>
          <w:color w:val="262626"/>
        </w:rPr>
        <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Lynn Watkins-Asiyanbi</w:t>
      </w:r>
    </w:p>
    <w:p>
      <w:pPr>
        <w:spacing w:after="0" w:line="14" w:lineRule="exact"/>
        <w:rPr>
          <w:sz w:val="20"/>
          <w:szCs w:val="20"/>
          <w:color w:val="auto"/>
        </w:rPr>
      </w:pPr>
    </w:p>
    <w:p>
      <w:pPr>
        <w:spacing w:after="0" w:line="170" w:lineRule="exact"/>
        <w:rPr>
          <w:sz w:val="20"/>
          <w:szCs w:val="20"/>
          <w:color w:val="auto"/>
        </w:rPr>
      </w:pPr>
      <w:r>
        <w:rPr>
          <w:rFonts w:ascii="Arial" w:cs="Arial" w:eastAsia="Arial" w:hAnsi="Arial"/>
          <w:sz w:val="14"/>
          <w:szCs w:val="14"/>
          <w:color w:val="262626"/>
        </w:rPr>
        <w:t>*OPLM</w:t>
      </w:r>
      <w:r>
        <w:rPr>
          <w:rFonts w:ascii="PMingLiU" w:cs="PMingLiU" w:eastAsia="PMingLiU" w:hAnsi="PMingLiU"/>
          <w:sz w:val="14"/>
          <w:szCs w:val="14"/>
          <w:color w:val="262626"/>
        </w:rPr>
        <w:t/>
      </w:r>
      <w:r>
        <w:rPr>
          <w:rFonts w:ascii="Arial" w:cs="Arial" w:eastAsia="Arial" w:hAnsi="Arial"/>
          <w:sz w:val="14"/>
          <w:szCs w:val="14"/>
          <w:color w:val="262626"/>
        </w:rPr>
        <w:t>(KTPUPZ[YH[P]L</w:t>
      </w:r>
      <w:r>
        <w:rPr>
          <w:rFonts w:ascii="PMingLiU" w:cs="PMingLiU" w:eastAsia="PMingLiU" w:hAnsi="PMingLiU"/>
          <w:sz w:val="14"/>
          <w:szCs w:val="14"/>
          <w:color w:val="262626"/>
        </w:rPr>
        <w:t/>
      </w:r>
      <w:r>
        <w:rPr>
          <w:rFonts w:ascii="Arial" w:cs="Arial" w:eastAsia="Arial" w:hAnsi="Arial"/>
          <w:sz w:val="14"/>
          <w:szCs w:val="14"/>
          <w:color w:val="262626"/>
        </w:rPr>
        <w:t>3LNHS</w:t>
      </w:r>
      <w:r>
        <w:rPr>
          <w:rFonts w:ascii="PMingLiU" w:cs="PMingLiU" w:eastAsia="PMingLiU" w:hAnsi="PMingLiU"/>
          <w:sz w:val="14"/>
          <w:szCs w:val="14"/>
          <w:color w:val="262626"/>
        </w:rPr>
        <w:t/>
      </w:r>
      <w:r>
        <w:rPr>
          <w:rFonts w:ascii="Arial" w:cs="Arial" w:eastAsia="Arial" w:hAnsi="Arial"/>
          <w:sz w:val="14"/>
          <w:szCs w:val="14"/>
          <w:color w:val="262626"/>
        </w:rPr>
        <w:t>6ɉJLY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Paul Gohr</w:t>
      </w:r>
    </w:p>
    <w:p>
      <w:pPr>
        <w:spacing w:after="0" w:line="14" w:lineRule="exact"/>
        <w:rPr>
          <w:sz w:val="20"/>
          <w:szCs w:val="20"/>
          <w:color w:val="auto"/>
        </w:rPr>
      </w:pPr>
    </w:p>
    <w:p>
      <w:pPr>
        <w:spacing w:after="0" w:line="194" w:lineRule="exact"/>
        <w:rPr>
          <w:sz w:val="20"/>
          <w:szCs w:val="20"/>
          <w:color w:val="auto"/>
        </w:rPr>
      </w:pPr>
      <w:r>
        <w:rPr>
          <w:rFonts w:ascii="Arial" w:cs="Arial" w:eastAsia="Arial" w:hAnsi="Arial"/>
          <w:sz w:val="16"/>
          <w:szCs w:val="16"/>
          <w:color w:val="262626"/>
        </w:rPr>
        <w:t>*OPLM</w:t>
      </w:r>
      <w:r>
        <w:rPr>
          <w:rFonts w:ascii="PMingLiU" w:cs="PMingLiU" w:eastAsia="PMingLiU" w:hAnsi="PMingLiU"/>
          <w:sz w:val="16"/>
          <w:szCs w:val="16"/>
          <w:color w:val="262626"/>
        </w:rPr>
        <w:t/>
      </w:r>
      <w:r>
        <w:rPr>
          <w:rFonts w:ascii="Arial" w:cs="Arial" w:eastAsia="Arial" w:hAnsi="Arial"/>
          <w:sz w:val="16"/>
          <w:szCs w:val="16"/>
          <w:color w:val="262626"/>
        </w:rPr>
        <w:t>(JJV\U[PUN</w:t>
      </w:r>
      <w:r>
        <w:rPr>
          <w:rFonts w:ascii="PMingLiU" w:cs="PMingLiU" w:eastAsia="PMingLiU" w:hAnsi="PMingLiU"/>
          <w:sz w:val="16"/>
          <w:szCs w:val="16"/>
          <w:color w:val="262626"/>
        </w:rPr>
        <w:t/>
      </w:r>
      <w:r>
        <w:rPr>
          <w:rFonts w:ascii="Arial" w:cs="Arial" w:eastAsia="Arial" w:hAnsi="Arial"/>
          <w:sz w:val="16"/>
          <w:szCs w:val="16"/>
          <w:color w:val="262626"/>
        </w:rPr>
        <w:t>6ɉJLY</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98B82F"/>
        </w:rPr>
        <w:t>Corporate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Annual Meeting</w:t>
      </w:r>
    </w:p>
    <w:p>
      <w:pPr>
        <w:spacing w:after="0" w:line="14" w:lineRule="exact"/>
        <w:rPr>
          <w:sz w:val="20"/>
          <w:szCs w:val="20"/>
          <w:color w:val="auto"/>
        </w:rPr>
      </w:pPr>
    </w:p>
    <w:p>
      <w:pPr>
        <w:spacing w:after="0" w:line="347" w:lineRule="auto"/>
        <w:rPr>
          <w:sz w:val="20"/>
          <w:szCs w:val="20"/>
          <w:color w:val="auto"/>
        </w:rPr>
      </w:pPr>
      <w:r>
        <w:rPr>
          <w:rFonts w:ascii="Arial" w:cs="Arial" w:eastAsia="Arial" w:hAnsi="Arial"/>
          <w:sz w:val="14"/>
          <w:szCs w:val="14"/>
          <w:color w:val="262626"/>
        </w:rPr>
        <w:t>Annual Meeting: CECO Environmental Corp.’s Annual Meeting of Stockholders at 8:00 a.m. Central Time on Monday, June 5, 2023, virtually through www.virtualshareholdermeeting.com/CECO2023</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Common Stock</w:t>
      </w:r>
    </w:p>
    <w:p>
      <w:pPr>
        <w:spacing w:after="0" w:line="14" w:lineRule="exact"/>
        <w:rPr>
          <w:sz w:val="20"/>
          <w:szCs w:val="20"/>
          <w:color w:val="auto"/>
        </w:rPr>
      </w:pPr>
    </w:p>
    <w:p>
      <w:pPr>
        <w:jc w:val="both"/>
        <w:ind w:right="60"/>
        <w:spacing w:after="0" w:line="376" w:lineRule="auto"/>
        <w:rPr>
          <w:sz w:val="20"/>
          <w:szCs w:val="20"/>
          <w:color w:val="auto"/>
        </w:rPr>
      </w:pPr>
      <w:r>
        <w:rPr>
          <w:rFonts w:ascii="Arial" w:cs="Arial" w:eastAsia="Arial" w:hAnsi="Arial"/>
          <w:sz w:val="14"/>
          <w:szCs w:val="14"/>
          <w:color w:val="262626"/>
        </w:rPr>
        <w:t>The Common Stock of CECO Environmental Corp. is traded on the Nasdaq Global Select Market under the symbol [“CECO”]</w:t>
      </w:r>
    </w:p>
    <w:p>
      <w:pPr>
        <w:spacing w:after="0" w:line="103" w:lineRule="exact"/>
        <w:rPr>
          <w:sz w:val="20"/>
          <w:szCs w:val="20"/>
          <w:color w:val="auto"/>
        </w:rPr>
      </w:pPr>
    </w:p>
    <w:p>
      <w:pPr>
        <w:spacing w:after="0" w:line="194" w:lineRule="exact"/>
        <w:rPr>
          <w:sz w:val="20"/>
          <w:szCs w:val="20"/>
          <w:color w:val="auto"/>
        </w:rPr>
      </w:pPr>
      <w:r>
        <w:rPr>
          <w:rFonts w:ascii="Arial" w:cs="Arial" w:eastAsia="Arial" w:hAnsi="Arial"/>
          <w:sz w:val="16"/>
          <w:szCs w:val="16"/>
          <w:b w:val="1"/>
          <w:bCs w:val="1"/>
          <w:color w:val="262626"/>
        </w:rPr>
        <w:t>&amp;RUSRUDWH</w:t>
      </w:r>
      <w:r>
        <w:rPr>
          <w:rFonts w:ascii="PMingLiU" w:cs="PMingLiU" w:eastAsia="PMingLiU" w:hAnsi="PMingLiU"/>
          <w:sz w:val="16"/>
          <w:szCs w:val="16"/>
          <w:b w:val="1"/>
          <w:bCs w:val="1"/>
          <w:color w:val="262626"/>
        </w:rPr>
        <w:t/>
      </w:r>
      <w:r>
        <w:rPr>
          <w:rFonts w:ascii="Arial" w:cs="Arial" w:eastAsia="Arial" w:hAnsi="Arial"/>
          <w:sz w:val="16"/>
          <w:szCs w:val="16"/>
          <w:b w:val="1"/>
          <w:bCs w:val="1"/>
          <w:color w:val="262626"/>
        </w:rPr>
        <w:t>2IÀFH</w:t>
      </w:r>
    </w:p>
    <w:p>
      <w:pPr>
        <w:spacing w:after="0" w:line="14" w:lineRule="exact"/>
        <w:rPr>
          <w:sz w:val="20"/>
          <w:szCs w:val="20"/>
          <w:color w:val="auto"/>
        </w:rPr>
      </w:pPr>
    </w:p>
    <w:p>
      <w:pPr>
        <w:ind w:right="680"/>
        <w:spacing w:after="0" w:line="351" w:lineRule="auto"/>
        <w:rPr>
          <w:sz w:val="20"/>
          <w:szCs w:val="20"/>
          <w:color w:val="auto"/>
        </w:rPr>
      </w:pPr>
      <w:r>
        <w:rPr>
          <w:rFonts w:ascii="Arial" w:cs="Arial" w:eastAsia="Arial" w:hAnsi="Arial"/>
          <w:sz w:val="16"/>
          <w:szCs w:val="16"/>
          <w:color w:val="262626"/>
        </w:rPr>
        <w:t>14651 N. Dallas Parkway, Suite 500 Dallas, Texas 75254</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Registered Public Accounting Firm</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62626"/>
        </w:rPr>
        <w:t>BDO USA, LLP</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62626"/>
        </w:rPr>
        <w:t>Cincinnati, Ohio</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Corporate Counsel</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62626"/>
        </w:rPr>
        <w:t>Foley &amp; Lardner LLP</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62626"/>
        </w:rPr>
        <w:t>Milwaukee, WI</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62626"/>
        </w:rPr>
        <w:t>Transfer Agent and Registrar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262626"/>
        </w:rPr>
        <w:t>Broadridge Corporate Issuer</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62626"/>
        </w:rPr>
        <w:t>Solutions, Inc.</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262626"/>
        </w:rPr>
        <w:t>Brentwood, New York</w:t>
      </w:r>
    </w:p>
    <w:p>
      <w:pPr>
        <w:spacing w:after="0" w:line="200" w:lineRule="exact"/>
        <w:rPr>
          <w:sz w:val="20"/>
          <w:szCs w:val="20"/>
          <w:color w:val="auto"/>
        </w:rPr>
      </w:pPr>
    </w:p>
    <w:p>
      <w:pPr>
        <w:sectPr>
          <w:pgSz w:w="12240" w:h="15840" w:orient="portrait"/>
          <w:cols w:equalWidth="0" w:num="3">
            <w:col w:w="2920" w:space="680"/>
            <w:col w:w="2760" w:space="720"/>
            <w:col w:w="3160"/>
          </w:cols>
          <w:pgMar w:left="1100" w:top="838" w:right="900" w:bottom="76"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262626"/>
        </w:rPr>
        <w:t xml:space="preserve">From Left to Right: </w:t>
      </w:r>
      <w:r>
        <w:rPr>
          <w:rFonts w:ascii="Arial" w:cs="Arial" w:eastAsia="Arial" w:hAnsi="Arial"/>
          <w:sz w:val="14"/>
          <w:szCs w:val="14"/>
          <w:color w:val="262626"/>
        </w:rPr>
        <w:t>Claudio A. Mannarino, Robert E. Knowling Jr., Todd Gleason,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262626"/>
        </w:rPr>
        <w:t>Richard F. Wallman, Valerie Gentile Sachs, Jason DeZwirek, David B. Liner, Munish Nanda.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109855</wp:posOffset>
            </wp:positionV>
            <wp:extent cx="7543800" cy="40024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1">
                      <a:extLst>
                        <a:ext uri="{28A0092B-C50C-407E-A947-70E740481C1C}"/>
                      </a:extLst>
                    </a:blip>
                    <a:srcRect/>
                    <a:stretch>
                      <a:fillRect/>
                    </a:stretch>
                  </pic:blipFill>
                  <pic:spPr bwMode="auto">
                    <a:xfrm>
                      <a:off x="0" y="0"/>
                      <a:ext cx="7543800" cy="4002405"/>
                    </a:xfrm>
                    <a:prstGeom prst="rect">
                      <a:avLst/>
                    </a:prstGeom>
                    <a:noFill/>
                  </pic:spPr>
                </pic:pic>
              </a:graphicData>
            </a:graphic>
          </wp:anchor>
        </w:drawing>
      </w:r>
    </w:p>
    <w:p>
      <w:pPr>
        <w:sectPr>
          <w:pgSz w:w="12240" w:h="15840" w:orient="portrait"/>
          <w:cols w:equalWidth="0" w:num="1">
            <w:col w:w="10240"/>
          </w:cols>
          <w:pgMar w:left="1100" w:top="838" w:right="900" w:bottom="7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380"/>
        <w:spacing w:after="0"/>
        <w:tabs>
          <w:tab w:leader="none" w:pos="10120" w:val="left"/>
        </w:tabs>
        <w:rPr>
          <w:sz w:val="20"/>
          <w:szCs w:val="20"/>
          <w:color w:val="auto"/>
        </w:rPr>
      </w:pPr>
      <w:r>
        <w:rPr>
          <w:rFonts w:ascii="Arial" w:cs="Arial" w:eastAsia="Arial" w:hAnsi="Arial"/>
          <w:sz w:val="17"/>
          <w:szCs w:val="17"/>
          <w:b w:val="1"/>
          <w:bCs w:val="1"/>
          <w:color w:val="262626"/>
        </w:rPr>
        <w:t>2022 Annual Report</w:t>
      </w:r>
      <w:r>
        <w:rPr>
          <w:sz w:val="20"/>
          <w:szCs w:val="20"/>
          <w:color w:val="auto"/>
        </w:rPr>
        <w:tab/>
      </w:r>
      <w:r>
        <w:rPr>
          <w:rFonts w:ascii="Arial" w:cs="Arial" w:eastAsia="Arial" w:hAnsi="Arial"/>
          <w:sz w:val="17"/>
          <w:szCs w:val="17"/>
          <w:b w:val="1"/>
          <w:bCs w:val="1"/>
          <w:color w:val="262626"/>
        </w:rPr>
        <w:t>6</w:t>
      </w:r>
    </w:p>
    <w:p>
      <w:pPr>
        <w:sectPr>
          <w:pgSz w:w="12240" w:h="15840" w:orient="portrait"/>
          <w:cols w:equalWidth="0" w:num="1">
            <w:col w:w="10240"/>
          </w:cols>
          <w:pgMar w:left="1100" w:top="838" w:right="900" w:bottom="76"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273D86"/>
        </w:rPr>
        <w:t>14651 N. Dallas Parkway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73D86"/>
        </w:rPr>
        <w:t>Suite 500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273D86"/>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-36195</wp:posOffset>
            </wp:positionV>
            <wp:extent cx="1216660" cy="3289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2">
                      <a:extLst>
                        <a:ext uri="{28A0092B-C50C-407E-A947-70E740481C1C}"/>
                      </a:extLst>
                    </a:blip>
                    <a:srcRect/>
                    <a:stretch>
                      <a:fillRect/>
                    </a:stretch>
                  </pic:blipFill>
                  <pic:spPr bwMode="auto">
                    <a:xfrm>
                      <a:off x="0" y="0"/>
                      <a:ext cx="1216660" cy="32893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273D86"/>
        </w:rPr>
        <w:t>USA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273D86"/>
        </w:rPr>
        <w:t>cecoenviro.com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-43815</wp:posOffset>
            </wp:positionV>
            <wp:extent cx="1177290" cy="107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3">
                      <a:extLst>
                        <a:ext uri="{28A0092B-C50C-407E-A947-70E740481C1C}"/>
                      </a:extLst>
                    </a:blip>
                    <a:srcRect/>
                    <a:stretch>
                      <a:fillRect/>
                    </a:stretch>
                  </pic:blipFill>
                  <pic:spPr bwMode="auto">
                    <a:xfrm>
                      <a:off x="0" y="0"/>
                      <a:ext cx="1177290" cy="107950"/>
                    </a:xfrm>
                    <a:prstGeom prst="rect">
                      <a:avLst/>
                    </a:prstGeom>
                    <a:noFill/>
                  </pic:spPr>
                </pic:pic>
              </a:graphicData>
            </a:graphic>
          </wp:anchor>
        </w:drawing>
      </w:r>
    </w:p>
    <w:sectPr>
      <w:pgSz w:w="12240" w:h="15840" w:orient="portrait"/>
      <w:cols w:equalWidth="0" w:num="1">
        <w:col w:w="9860"/>
      </w:cols>
      <w:pgMar w:left="940" w:top="1440" w:right="1440" w:bottom="4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2"/>
    </w:lvl>
  </w:abstractNum>
  <w:abstractNum w:abstractNumId="1">
    <w:nsid w:val="436C6125"/>
    <w:multiLevelType w:val="hybridMultilevel"/>
    <w:lvl w:ilvl="0">
      <w:lvlJc w:val="left"/>
      <w:lvlText w:val="%1"/>
      <w:numFmt w:val="decimal"/>
      <w:start w:val="4"/>
    </w:lvl>
  </w:abstractNum>
  <w:abstractNum w:abstractNumId="2">
    <w:nsid w:val="628C895D"/>
    <w:multiLevelType w:val="hybridMultilevel"/>
    <w:lvl w:ilvl="0">
      <w:lvlJc w:val="left"/>
      <w:lvlText w:val="%1"/>
      <w:numFmt w:val="decimal"/>
      <w:start w:val="6"/>
    </w:lvl>
  </w:abstractNum>
  <w:abstractNum w:abstractNumId="3">
    <w:nsid w:val="333AB105"/>
    <w:multiLevelType w:val="hybridMultilevel"/>
    <w:lvl w:ilvl="0">
      <w:lvlJc w:val="left"/>
      <w:lvlText w:val="%1"/>
      <w:numFmt w:val="decimal"/>
      <w:start w:val="6"/>
    </w:lvl>
  </w:abstractNum>
  <w:abstractNum w:abstractNumId="4">
    <w:nsid w:val="721DA317"/>
    <w:multiLevelType w:val="hybridMultilevel"/>
    <w:lvl w:ilvl="0">
      <w:lvlJc w:val="left"/>
      <w:lvlText w:val="%1"/>
      <w:numFmt w:val="decimal"/>
      <w:start w:val="10"/>
    </w:lvl>
  </w:abstractNum>
  <w:abstractNum w:abstractNumId="5">
    <w:nsid w:val="2443A858"/>
    <w:multiLevelType w:val="hybridMultilevel"/>
    <w:lvl w:ilvl="0">
      <w:lvlJc w:val="left"/>
      <w:lvlText w:val="%4"/>
      <w:numFmt w:val="bullet"/>
      <w:start w:val="1"/>
    </w:lvl>
  </w:abstractNum>
  <w:abstractNum w:abstractNumId="6">
    <w:nsid w:val="2D1D5AE9"/>
    <w:multiLevelType w:val="hybridMultilevel"/>
    <w:lvl w:ilvl="0">
      <w:lvlJc w:val="left"/>
      <w:lvlText w:val="%5"/>
      <w:numFmt w:val="bullet"/>
      <w:start w:val="1"/>
    </w:lvl>
  </w:abstractNum>
  <w:abstractNum w:abstractNumId="7">
    <w:nsid w:val="6763845E"/>
    <w:multiLevelType w:val="hybridMultilevel"/>
    <w:lvl w:ilvl="0">
      <w:lvlJc w:val="left"/>
      <w:lvlText w:val="%4"/>
      <w:numFmt w:val="bullet"/>
      <w:start w:val="1"/>
    </w:lvl>
  </w:abstractNum>
  <w:abstractNum w:abstractNumId="8">
    <w:nsid w:val="75A2A8D4"/>
    <w:multiLevelType w:val="hybridMultilevel"/>
    <w:lvl w:ilvl="0">
      <w:lvlJc w:val="left"/>
      <w:lvlText w:val="%4"/>
      <w:numFmt w:val="bullet"/>
      <w:start w:val="1"/>
    </w:lvl>
  </w:abstractNum>
  <w:abstractNum w:abstractNumId="9">
    <w:nsid w:val="8EDBDAB"/>
    <w:multiLevelType w:val="hybridMultilevel"/>
    <w:lvl w:ilvl="0">
      <w:lvlJc w:val="left"/>
      <w:lvlText w:val="%4"/>
      <w:numFmt w:val="bullet"/>
      <w:start w:val="1"/>
    </w:lvl>
  </w:abstractNum>
  <w:abstractNum w:abstractNumId="10">
    <w:nsid w:val="79838CB2"/>
    <w:multiLevelType w:val="hybridMultilevel"/>
    <w:lvl w:ilvl="0">
      <w:lvlJc w:val="left"/>
      <w:lvlText w:val="%4"/>
      <w:numFmt w:val="bullet"/>
      <w:start w:val="1"/>
    </w:lvl>
  </w:abstractNum>
  <w:abstractNum w:abstractNumId="11">
    <w:nsid w:val="4353D0CD"/>
    <w:multiLevelType w:val="hybridMultilevel"/>
    <w:lvl w:ilvl="0">
      <w:lvlJc w:val="left"/>
      <w:lvlText w:val="%4"/>
      <w:numFmt w:val="bullet"/>
      <w:start w:val="1"/>
    </w:lvl>
  </w:abstractNum>
  <w:abstractNum w:abstractNumId="12">
    <w:nsid w:val="B03E0C6"/>
    <w:multiLevelType w:val="hybridMultilevel"/>
    <w:lvl w:ilvl="0">
      <w:lvlJc w:val="left"/>
      <w:lvlText w:val="%4"/>
      <w:numFmt w:val="bullet"/>
      <w:start w:val="1"/>
    </w:lvl>
  </w:abstractNum>
  <w:abstractNum w:abstractNumId="13">
    <w:nsid w:val="189A769B"/>
    <w:multiLevelType w:val="hybridMultilevel"/>
    <w:lvl w:ilvl="0">
      <w:lvlJc w:val="left"/>
      <w:lvlText w:val="%4"/>
      <w:numFmt w:val="bullet"/>
      <w:start w:val="1"/>
    </w:lvl>
  </w:abstractNum>
  <w:abstractNum w:abstractNumId="14">
    <w:nsid w:val="54E49EB4"/>
    <w:multiLevelType w:val="hybridMultilevel"/>
    <w:lvl w:ilvl="0">
      <w:lvlJc w:val="left"/>
      <w:lvlText w:val="%4"/>
      <w:numFmt w:val="bullet"/>
      <w:start w:val="1"/>
    </w:lvl>
  </w:abstractNum>
  <w:abstractNum w:abstractNumId="15">
    <w:nsid w:val="71F32454"/>
    <w:multiLevelType w:val="hybridMultilevel"/>
    <w:lvl w:ilvl="0">
      <w:lvlJc w:val="left"/>
      <w:lvlText w:val="%4"/>
      <w:numFmt w:val="bullet"/>
      <w:start w:val="1"/>
    </w:lvl>
  </w:abstractNum>
  <w:abstractNum w:abstractNumId="16">
    <w:nsid w:val="2CA88611"/>
    <w:multiLevelType w:val="hybridMultilevel"/>
    <w:lvl w:ilvl="0">
      <w:lvlJc w:val="left"/>
      <w:lvlText w:val="%4"/>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4"/>
      <w:numFmt w:val="bullet"/>
      <w:start w:val="1"/>
    </w:lvl>
  </w:abstractNum>
  <w:abstractNum w:abstractNumId="19">
    <w:nsid w:val="3A95F874"/>
    <w:multiLevelType w:val="hybridMultilevel"/>
    <w:lvl w:ilvl="0">
      <w:lvlJc w:val="left"/>
      <w:lvlText w:val="%4"/>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4"/>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2"/>
    </w:lvl>
  </w:abstractNum>
  <w:abstractNum w:abstractNumId="28">
    <w:nsid w:val="614FD4A1"/>
    <w:multiLevelType w:val="hybridMultilevel"/>
    <w:lvl w:ilvl="0">
      <w:lvlJc w:val="left"/>
      <w:lvlText w:val="%1."/>
      <w:numFmt w:val="decimal"/>
      <w:start w:val="9"/>
    </w:lvl>
  </w:abstractNum>
  <w:abstractNum w:abstractNumId="29">
    <w:nsid w:val="419AC241"/>
    <w:multiLevelType w:val="hybridMultilevel"/>
    <w:lvl w:ilvl="0">
      <w:lvlJc w:val="left"/>
      <w:lvlText w:val="%1."/>
      <w:numFmt w:val="decimal"/>
      <w:start w:val="10"/>
    </w:lvl>
  </w:abstractNum>
  <w:abstractNum w:abstractNumId="30">
    <w:nsid w:val="5577F8E1"/>
    <w:multiLevelType w:val="hybridMultilevel"/>
    <w:lvl w:ilvl="0">
      <w:lvlJc w:val="left"/>
      <w:lvlText w:val="%4"/>
      <w:numFmt w:val="bullet"/>
      <w:start w:val="1"/>
    </w:lvl>
  </w:abstractNum>
  <w:abstractNum w:abstractNumId="31">
    <w:nsid w:val="440BADFC"/>
    <w:multiLevelType w:val="hybridMultilevel"/>
    <w:lvl w:ilvl="0">
      <w:lvlJc w:val="left"/>
      <w:lvlText w:val="%1."/>
      <w:numFmt w:val="decimal"/>
      <w:start w:val="11"/>
    </w:lvl>
  </w:abstractNum>
  <w:abstractNum w:abstractNumId="32">
    <w:nsid w:val="5072367"/>
    <w:multiLevelType w:val="hybridMultilevel"/>
    <w:lvl w:ilvl="0">
      <w:lvlJc w:val="left"/>
      <w:lvlText w:val="%1."/>
      <w:numFmt w:val="decimal"/>
      <w:start w:val="12"/>
    </w:lvl>
  </w:abstractNum>
  <w:abstractNum w:abstractNumId="33">
    <w:nsid w:val="3804823E"/>
    <w:multiLevelType w:val="hybridMultilevel"/>
    <w:lvl w:ilvl="0">
      <w:lvlJc w:val="left"/>
      <w:lvlText w:val="%1."/>
      <w:numFmt w:val="decimal"/>
      <w:start w:val="13"/>
    </w:lvl>
  </w:abstractNum>
  <w:abstractNum w:abstractNumId="34">
    <w:nsid w:val="77465F01"/>
    <w:multiLevelType w:val="hybridMultilevel"/>
    <w:lvl w:ilvl="0">
      <w:lvlJc w:val="left"/>
      <w:lvlText w:val="%1."/>
      <w:numFmt w:val="decimal"/>
      <w:start w:val="14"/>
    </w:lvl>
  </w:abstractNum>
  <w:abstractNum w:abstractNumId="35">
    <w:nsid w:val="7724C67E"/>
    <w:multiLevelType w:val="hybridMultilevel"/>
    <w:lvl w:ilvl="0">
      <w:lvlJc w:val="left"/>
      <w:lvlText w:val="%1."/>
      <w:numFmt w:val="decimal"/>
      <w:start w:val="15"/>
    </w:lvl>
  </w:abstractNum>
  <w:abstractNum w:abstractNumId="36">
    <w:nsid w:val="5C482A97"/>
    <w:multiLevelType w:val="hybridMultilevel"/>
    <w:lvl w:ilvl="0">
      <w:lvlJc w:val="left"/>
      <w:lvlText w:val="%4"/>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2023-04-24T11:18:35Z</dcterms:created>
  <dcterms:modified xsi:type="dcterms:W3CDTF">2023-04-24T11:18:35Z</dcterms:modified>
</cp:coreProperties>
</file>