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000000"/>
        </w:pBdr>
        <w:rPr/>
      </w:pPr>
      <w:r>
        <w:rPr/>
      </w:r>
      <w:bookmarkStart w:id="0" w:name="rrd103170.htm"/>
      <w:bookmarkStart w:id="1" w:name="ksrrd103170"/>
      <w:bookmarkStart w:id="2" w:name="rrd103170.htm"/>
      <w:bookmarkStart w:id="3" w:name="ksrrd103170"/>
      <w:bookmarkEnd w:id="2"/>
      <w:bookmarkEnd w:id="3"/>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UNITED STATES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SECURITIES AND EXCHANGE COMMISSION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Washington, D.C. 20549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Form 8-K </w:t>
      </w:r>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Current Report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Pursuant to Section 13 or 15(d) of the Securities Exchange Act of 1934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Date of Report (Date of earliest event reported):  01/06/2006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CECO ENVIRONMENTAL CORP </w:t>
      </w:r>
    </w:p>
    <w:p>
      <w:pPr>
        <w:pStyle w:val="TextBody"/>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Commission File Number:  0-7099</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20"/>
        <w:gridCol w:w="306"/>
        <w:gridCol w:w="3879"/>
      </w:tblGrid>
      <w:tr>
        <w:trPr/>
        <w:tc>
          <w:tcPr>
            <w:tcW w:w="6020" w:type="dxa"/>
            <w:tcBorders/>
            <w:shd w:fill="auto" w:val="clear"/>
            <w:vAlign w:val="bottom"/>
          </w:tcPr>
          <w:p>
            <w:pPr>
              <w:pStyle w:val="TableContents"/>
              <w:spacing w:before="0" w:after="0"/>
              <w:jc w:val="center"/>
              <w:rPr/>
            </w:pPr>
            <w:r>
              <w:rPr>
                <w:rFonts w:ascii="times New Roman" w:hAnsi="times New Roman"/>
                <w:b/>
                <w:color w:val="000000"/>
                <w:sz w:val="24"/>
              </w:rPr>
              <w:t>DE</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4"/>
              </w:rPr>
              <w:t>13-2566064</w:t>
            </w:r>
            <w:r>
              <w:rPr/>
              <w:t xml:space="preserve"> </w:t>
            </w:r>
          </w:p>
        </w:tc>
      </w:tr>
      <w:tr>
        <w:trPr/>
        <w:tc>
          <w:tcPr>
            <w:tcW w:w="6020" w:type="dxa"/>
            <w:tcBorders/>
            <w:shd w:fill="auto" w:val="clear"/>
          </w:tcPr>
          <w:p>
            <w:pPr>
              <w:pStyle w:val="TableContents"/>
              <w:spacing w:before="0" w:after="0"/>
              <w:jc w:val="center"/>
              <w:rPr/>
            </w:pPr>
            <w:r>
              <w:rPr>
                <w:rFonts w:ascii="times New Roman" w:hAnsi="times New Roman"/>
                <w:b/>
                <w:color w:val="000000"/>
                <w:sz w:val="20"/>
              </w:rPr>
              <w:t>(State or other jurisdiction of</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(IRS Employer</w:t>
            </w:r>
            <w:r>
              <w:rPr/>
              <w:t xml:space="preserve"> </w:t>
            </w:r>
          </w:p>
        </w:tc>
      </w:tr>
      <w:tr>
        <w:trPr/>
        <w:tc>
          <w:tcPr>
            <w:tcW w:w="6020" w:type="dxa"/>
            <w:tcBorders/>
            <w:shd w:fill="auto" w:val="clear"/>
          </w:tcPr>
          <w:p>
            <w:pPr>
              <w:pStyle w:val="TableContents"/>
              <w:spacing w:before="0" w:after="0"/>
              <w:jc w:val="center"/>
              <w:rPr/>
            </w:pPr>
            <w:r>
              <w:rPr>
                <w:rFonts w:ascii="times New Roman" w:hAnsi="times New Roman"/>
                <w:b/>
                <w:color w:val="000000"/>
                <w:sz w:val="20"/>
              </w:rPr>
              <w:t>incorporation)</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Identification No.)</w:t>
            </w:r>
            <w:r>
              <w:rPr/>
              <w:t xml:space="preserve"> </w:t>
            </w:r>
          </w:p>
        </w:tc>
      </w:tr>
    </w:tbl>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3120 Forrer Street, Cincinnati, OH 45209</w:t>
      </w:r>
    </w:p>
    <w:p>
      <w:pPr>
        <w:pStyle w:val="TextBody"/>
        <w:spacing w:before="0" w:after="0"/>
        <w:jc w:val="center"/>
        <w:rPr/>
      </w:pPr>
      <w:r>
        <w:rPr>
          <w:rFonts w:ascii="times New Roman" w:hAnsi="times New Roman"/>
          <w:b/>
          <w:color w:val="000000"/>
          <w:sz w:val="20"/>
        </w:rPr>
        <w:t>(Address of principal executive offices, including zip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(416) 593-6543 </w:t>
      </w:r>
    </w:p>
    <w:p>
      <w:pPr>
        <w:pStyle w:val="TextBody"/>
        <w:spacing w:before="0" w:after="0"/>
        <w:jc w:val="center"/>
        <w:rPr/>
      </w:pPr>
      <w:r>
        <w:rPr>
          <w:rFonts w:ascii="times New Roman" w:hAnsi="times New Roman"/>
          <w:b/>
          <w:color w:val="000000"/>
          <w:sz w:val="20"/>
        </w:rPr>
        <w:t>(Registrants telephone number, including area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(Former name or former address, if changed since last report) </w:t>
      </w:r>
    </w:p>
    <w:p>
      <w:pPr>
        <w:pStyle w:val="TextBody"/>
        <w:spacing w:before="0" w:after="0"/>
        <w:rPr/>
      </w:pPr>
      <w:r>
        <w:rPr/>
        <w:t xml:space="preserve">  </w:t>
      </w:r>
    </w:p>
    <w:p>
      <w:pPr>
        <w:pStyle w:val="TextBody"/>
        <w:jc w:val="left"/>
        <w:rPr>
          <w:rFonts w:ascii="times New Roman" w:hAnsi="times New Roman"/>
          <w:b/>
          <w:color w:val="000000"/>
          <w:sz w:val="20"/>
        </w:rPr>
      </w:pPr>
      <w:r>
        <w:rPr>
          <w:rFonts w:ascii="times New Roman" w:hAnsi="times New Roman"/>
          <w:b/>
          <w:color w:val="000000"/>
          <w:sz w:val="20"/>
        </w:rPr>
        <w:t>Check the appropriate box below if the Form 8-K filing is intended to simultaneously satisfy the filing obligation of the registrant under any of the following provisions:</w:t>
      </w:r>
    </w:p>
    <w:p>
      <w:pPr>
        <w:pStyle w:val="TextBody"/>
        <w:spacing w:before="0" w:after="0"/>
        <w:jc w:val="left"/>
        <w:rPr>
          <w:rFonts w:ascii="times New Roman" w:hAnsi="times New Roman"/>
          <w:b/>
          <w:color w:val="000000"/>
          <w:sz w:val="20"/>
        </w:rPr>
      </w:pPr>
      <w:r>
        <w:rPr>
          <w:rFonts w:ascii="times New Roman" w:hAnsi="times New Roman"/>
          <w:b/>
          <w:color w:val="000000"/>
          <w:sz w:val="20"/>
        </w:rPr>
        <w:t>[  ]   Written communications pursuant to Rule 425 under the Securities Act (17 CFR 230.425)</w:t>
        <w:br/>
        <w:br/>
        <w:t>[  ]   Soliciting material pursuant to Rule 14a-12 under the Exchange Act (17 CFR 240.14a-12)</w:t>
        <w:br/>
        <w:br/>
        <w:t>[  ]   Pre-commencement communications pursuant to Rule 14d-2(b) under the Exchange Act (17 CFR 240.14d-2(b))</w:t>
        <w:br/>
        <w:br/>
        <w:t xml:space="preserve">[  ]   Pre-commencement communications pursuant to Rule 13e-4(c) under the Exchange Act (17 CFR 240.13e-4(c)) </w:t>
      </w:r>
    </w:p>
    <w:p>
      <w:pPr>
        <w:pStyle w:val="TextBody"/>
        <w:spacing w:before="0" w:after="0"/>
        <w:rPr/>
      </w:pPr>
      <w:r>
        <w:rPr/>
        <w:t xml:space="preserve">  </w:t>
      </w:r>
    </w:p>
    <w:p>
      <w:pPr>
        <w:pStyle w:val="HorizontalLine"/>
        <w:pBdr>
          <w:bottom w:val="single" w:sz="24" w:space="0" w:color="000000"/>
        </w:pBdr>
        <w:rPr/>
      </w:pPr>
      <w:r>
        <w:rPr/>
      </w:r>
      <w:r>
        <w:br w:type="page"/>
      </w:r>
    </w:p>
    <w:p>
      <w:pPr>
        <w:pStyle w:val="TextBody"/>
        <w:spacing w:before="0" w:after="0"/>
        <w:jc w:val="center"/>
        <w:rPr>
          <w:sz w:val="20"/>
        </w:rPr>
      </w:pPr>
      <w:r>
        <w:rPr>
          <w:sz w:val="20"/>
        </w:rPr>
        <w:t xml:space="preserve">Information to be included in the report </w:t>
      </w:r>
    </w:p>
    <w:p>
      <w:pPr>
        <w:pStyle w:val="TextBody"/>
        <w:spacing w:before="0" w:after="0"/>
        <w:rPr/>
      </w:pPr>
      <w:r>
        <w:rPr/>
        <w:t> </w:t>
      </w:r>
    </w:p>
    <w:p>
      <w:pPr>
        <w:pStyle w:val="TextBody"/>
        <w:spacing w:before="0" w:after="0"/>
        <w:jc w:val="left"/>
        <w:rPr/>
      </w:pPr>
      <w:r>
        <w:rPr>
          <w:rFonts w:ascii="times New Roman" w:hAnsi="times New Roman"/>
          <w:b/>
          <w:color w:val="000000"/>
          <w:sz w:val="20"/>
        </w:rPr>
        <w:t>Item 1.01.    Entry into a Material Definitive Agreement</w:t>
      </w:r>
      <w:r>
        <w:rPr/>
        <w:t xml:space="preserve"> </w:t>
      </w:r>
    </w:p>
    <w:p>
      <w:pPr>
        <w:pStyle w:val="TextBody"/>
        <w:spacing w:before="0" w:after="0"/>
        <w:rPr/>
      </w:pPr>
      <w:r>
        <w:rPr/>
        <w:t xml:space="preserve">  </w:t>
      </w:r>
    </w:p>
    <w:p>
      <w:pPr>
        <w:pStyle w:val="TextBody"/>
        <w:jc w:val="left"/>
        <w:rPr>
          <w:color w:val="000000"/>
        </w:rPr>
      </w:pPr>
      <w:r>
        <w:rPr>
          <w:color w:val="000000"/>
        </w:rPr>
        <w:t>On January 6, 2006, Phillip DeZwirek and Jason DeZwirek exercised an aggregate of 1,025,000 warrants and options (collectively, the "Warrants") of CECO Environmental Corp. ("CECO") for an aggregate amount of $1,769,000.</w:t>
      </w:r>
    </w:p>
    <w:p>
      <w:pPr>
        <w:pStyle w:val="TextBody"/>
        <w:jc w:val="left"/>
        <w:rPr>
          <w:color w:val="000000"/>
        </w:rPr>
      </w:pPr>
      <w:r>
        <w:rPr>
          <w:color w:val="000000"/>
        </w:rPr>
        <w:t>CECO entered into a letter agreement with Fifth Third Bank, CECO's lender, as of January 6, 2006, permitting CECO to use all of the proceeds from the exercise of the Warrants to pay amounts due Green Diamond Oil Company under that certain Fourth Amended and Restated Replacement Promissory Note in the principal amount of $5,441,315 (the "First Note") and that certain Second Amended and Restated Replacement Promissory Note in the principal amount of $1,290,477 (the "Second Note" and together with the First Note, the "Notes").</w:t>
      </w:r>
    </w:p>
    <w:p>
      <w:pPr>
        <w:pStyle w:val="TextBody"/>
        <w:jc w:val="left"/>
        <w:rPr>
          <w:color w:val="000000"/>
        </w:rPr>
      </w:pPr>
      <w:r>
        <w:rPr>
          <w:color w:val="000000"/>
        </w:rPr>
        <w:t>CECO used such proceeds to pay accrued interest under the Notes, $1,531,792 of which interest was capitalized.</w:t>
      </w:r>
    </w:p>
    <w:p>
      <w:pPr>
        <w:pStyle w:val="TextBody"/>
        <w:spacing w:before="0" w:after="0"/>
        <w:jc w:val="left"/>
        <w:rPr/>
      </w:pPr>
      <w:r>
        <w:rPr>
          <w:rFonts w:ascii="times New Roman" w:hAnsi="times New Roman"/>
          <w:color w:val="000000"/>
          <w:sz w:val="20"/>
        </w:rPr>
        <w:t>Green Diamond Oil Company is an affiliate of Phillip DeZwirek, the CEO and Chairman of the Board of CECO, and Jason DeZwirek, the Secretary and a director o f CECO. The Audit Committee of CECO approved the payment.</w:t>
      </w:r>
      <w:r>
        <w:rPr/>
        <w:t xml:space="preserve"> </w:t>
      </w:r>
    </w:p>
    <w:p>
      <w:pPr>
        <w:pStyle w:val="TextBody"/>
        <w:spacing w:before="0" w:after="0"/>
        <w:rPr/>
      </w:pPr>
      <w:r>
        <w:rPr/>
        <w:t> </w:t>
      </w:r>
    </w:p>
    <w:p>
      <w:pPr>
        <w:pStyle w:val="HorizontalLine"/>
        <w:pBdr>
          <w:bottom w:val="double" w:sz="6" w:space="0" w:color="CCEEFF"/>
        </w:pBdr>
        <w:rPr/>
      </w:pP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Signature(s) </w:t>
      </w:r>
    </w:p>
    <w:p>
      <w:pPr>
        <w:pStyle w:val="TextBody"/>
        <w:spacing w:before="0" w:after="0"/>
        <w:rPr/>
      </w:pPr>
      <w:r>
        <w:rPr/>
        <w:t> </w:t>
      </w:r>
    </w:p>
    <w:p>
      <w:pPr>
        <w:pStyle w:val="TextBody"/>
        <w:spacing w:before="0" w:after="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57"/>
        <w:gridCol w:w="313"/>
        <w:gridCol w:w="1458"/>
        <w:gridCol w:w="312"/>
        <w:gridCol w:w="208"/>
        <w:gridCol w:w="313"/>
        <w:gridCol w:w="312"/>
        <w:gridCol w:w="312"/>
        <w:gridCol w:w="5520"/>
      </w:tblGrid>
      <w:tr>
        <w:trPr/>
        <w:tc>
          <w:tcPr>
            <w:tcW w:w="3228" w:type="dxa"/>
            <w:gridSpan w:val="3"/>
            <w:tcBorders/>
            <w:shd w:fill="auto" w:val="clea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xml:space="preserve">  </w:t>
            </w:r>
          </w:p>
        </w:tc>
        <w:tc>
          <w:tcPr>
            <w:tcW w:w="208" w:type="dxa"/>
            <w:tcBorders/>
            <w:shd w:fill="auto" w:val="clear"/>
            <w:vAlign w:val="center"/>
          </w:tcPr>
          <w:p>
            <w:pPr>
              <w:pStyle w:val="TableContents"/>
              <w:spacing w:before="0" w:after="283"/>
              <w:rPr/>
            </w:pPr>
            <w:r>
              <w:rPr/>
              <w:t xml:space="preserve">  </w:t>
            </w:r>
          </w:p>
        </w:tc>
        <w:tc>
          <w:tcPr>
            <w:tcW w:w="313" w:type="dxa"/>
            <w:tcBorders/>
            <w:shd w:fill="auto" w:val="clear"/>
            <w:vAlign w:val="bottom"/>
          </w:tcPr>
          <w:p>
            <w:pPr>
              <w:pStyle w:val="TableContents"/>
              <w:spacing w:before="0" w:after="283"/>
              <w:rPr/>
            </w:pPr>
            <w:r>
              <w:rPr/>
              <w:t xml:space="preserve">  </w:t>
            </w:r>
          </w:p>
        </w:tc>
        <w:tc>
          <w:tcPr>
            <w:tcW w:w="312" w:type="dxa"/>
            <w:tcBorders/>
            <w:shd w:fill="auto" w:val="clea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5520" w:type="dxa"/>
            <w:tcBorders/>
            <w:shd w:fill="auto" w:val="clear"/>
          </w:tcPr>
          <w:p>
            <w:pPr>
              <w:pStyle w:val="TableContents"/>
              <w:spacing w:before="0" w:after="0"/>
              <w:rPr/>
            </w:pPr>
            <w:r>
              <w:rPr>
                <w:rFonts w:ascii="times New Roman" w:hAnsi="times New Roman"/>
                <w:color w:val="000000"/>
                <w:sz w:val="20"/>
              </w:rPr>
              <w:t>CECO ENVIRONMENTAL CORP</w:t>
            </w:r>
            <w:r>
              <w:rPr/>
              <w:t xml:space="preserve"> </w:t>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3228" w:type="dxa"/>
            <w:gridSpan w:val="3"/>
            <w:tcBorders/>
            <w:shd w:fill="auto" w:val="clear"/>
          </w:tcPr>
          <w:p>
            <w:pPr>
              <w:pStyle w:val="TableContents"/>
              <w:spacing w:before="0" w:after="0"/>
              <w:rPr/>
            </w:pPr>
            <w:r>
              <w:rPr>
                <w:rFonts w:ascii="times New Roman" w:hAnsi="times New Roman"/>
                <w:color w:val="000000"/>
                <w:sz w:val="20"/>
              </w:rPr>
              <w:t>Date: January 11, 2006</w:t>
            </w:r>
            <w:r>
              <w:rPr/>
              <w:t xml:space="preserve"> </w:t>
            </w:r>
          </w:p>
        </w:tc>
        <w:tc>
          <w:tcPr>
            <w:tcW w:w="312" w:type="dxa"/>
            <w:tcBorders/>
            <w:shd w:fill="auto" w:val="clear"/>
            <w:vAlign w:val="bottom"/>
          </w:tcPr>
          <w:p>
            <w:pPr>
              <w:pStyle w:val="TableContents"/>
              <w:spacing w:before="0" w:after="283"/>
              <w:rPr/>
            </w:pPr>
            <w:r>
              <w:rPr/>
              <w:t xml:space="preserve">  </w:t>
            </w:r>
          </w:p>
        </w:tc>
        <w:tc>
          <w:tcPr>
            <w:tcW w:w="208" w:type="dxa"/>
            <w:tcBorders/>
            <w:shd w:fill="auto" w:val="clear"/>
            <w:vAlign w:val="center"/>
          </w:tcPr>
          <w:p>
            <w:pPr>
              <w:pStyle w:val="TableContents"/>
              <w:spacing w:before="0" w:after="283"/>
              <w:rPr/>
            </w:pPr>
            <w:r>
              <w:rPr/>
              <w:t xml:space="preserve">  </w:t>
            </w:r>
          </w:p>
        </w:tc>
        <w:tc>
          <w:tcPr>
            <w:tcW w:w="313" w:type="dxa"/>
            <w:tcBorders/>
            <w:shd w:fill="auto" w:val="clear"/>
            <w:vAlign w:val="bottom"/>
          </w:tcPr>
          <w:p>
            <w:pPr>
              <w:pStyle w:val="TableContents"/>
              <w:spacing w:before="0" w:after="283"/>
              <w:rPr/>
            </w:pPr>
            <w:r>
              <w:rPr/>
              <w:t xml:space="preserve">  </w:t>
            </w:r>
          </w:p>
        </w:tc>
        <w:tc>
          <w:tcPr>
            <w:tcW w:w="312" w:type="dxa"/>
            <w:tcBorders/>
            <w:shd w:fill="auto" w:val="clear"/>
          </w:tcPr>
          <w:p>
            <w:pPr>
              <w:pStyle w:val="TableContents"/>
              <w:spacing w:before="0" w:after="0"/>
              <w:jc w:val="center"/>
              <w:rPr/>
            </w:pPr>
            <w:r>
              <w:rPr>
                <w:rFonts w:ascii="times New Roman" w:hAnsi="times New Roman"/>
                <w:color w:val="000000"/>
                <w:sz w:val="20"/>
              </w:rPr>
              <w:t>By:</w:t>
            </w:r>
            <w:r>
              <w:rPr/>
              <w:t xml:space="preserve"> </w:t>
            </w:r>
          </w:p>
        </w:tc>
        <w:tc>
          <w:tcPr>
            <w:tcW w:w="312" w:type="dxa"/>
            <w:tcBorders/>
            <w:shd w:fill="auto" w:val="clear"/>
            <w:vAlign w:val="bottom"/>
          </w:tcPr>
          <w:p>
            <w:pPr>
              <w:pStyle w:val="TableContents"/>
              <w:spacing w:before="0" w:after="283"/>
              <w:rPr/>
            </w:pPr>
            <w:r>
              <w:rPr/>
              <w:t> </w:t>
            </w:r>
          </w:p>
        </w:tc>
        <w:tc>
          <w:tcPr>
            <w:tcW w:w="5520" w:type="dxa"/>
            <w:tcBorders/>
            <w:shd w:fill="auto" w:val="clear"/>
          </w:tcPr>
          <w:p>
            <w:pPr>
              <w:pStyle w:val="TableContents"/>
              <w:spacing w:before="0" w:after="0"/>
              <w:rPr/>
            </w:pPr>
            <w:r>
              <w:rPr>
                <w:rFonts w:ascii="times New Roman" w:hAnsi="times New Roman"/>
                <w:color w:val="000000"/>
                <w:sz w:val="20"/>
              </w:rPr>
              <w:t>/s/    Dennis W. Blazer</w:t>
            </w:r>
            <w:r>
              <w:rPr/>
              <w:t xml:space="preserve"> </w:t>
            </w:r>
          </w:p>
          <w:p>
            <w:pPr>
              <w:pStyle w:val="HorizontalLine"/>
              <w:pBdr>
                <w:bottom w:val="single" w:sz="20" w:space="0" w:color="000000"/>
              </w:pBdr>
              <w:spacing w:before="0" w:after="283"/>
              <w:rPr/>
            </w:pPr>
            <w:r>
              <w:rPr/>
            </w:r>
          </w:p>
        </w:tc>
      </w:tr>
      <w:tr>
        <w:trPr/>
        <w:tc>
          <w:tcPr>
            <w:tcW w:w="1457"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58"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5520" w:type="dxa"/>
            <w:tcBorders/>
            <w:shd w:fill="auto" w:val="clear"/>
            <w:vAlign w:val="bottom"/>
          </w:tcPr>
          <w:p>
            <w:pPr>
              <w:pStyle w:val="TableContents"/>
              <w:spacing w:before="0" w:after="0"/>
              <w:rPr/>
            </w:pPr>
            <w:r>
              <w:rPr>
                <w:rFonts w:ascii="times New Roman" w:hAnsi="times New Roman"/>
                <w:color w:val="000000"/>
                <w:sz w:val="20"/>
              </w:rPr>
              <w:t>Dennis W. Blazer</w:t>
            </w:r>
            <w:r>
              <w:rPr/>
              <w:t xml:space="preserve"> </w:t>
            </w:r>
          </w:p>
        </w:tc>
      </w:tr>
      <w:tr>
        <w:trPr/>
        <w:tc>
          <w:tcPr>
            <w:tcW w:w="1457"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458"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208" w:type="dxa"/>
            <w:tcBorders/>
            <w:shd w:fill="auto" w:val="clear"/>
            <w:vAlign w:val="center"/>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312" w:type="dxa"/>
            <w:tcBorders/>
            <w:shd w:fill="auto" w:val="clear"/>
            <w:vAlign w:val="center"/>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5520" w:type="dxa"/>
            <w:tcBorders/>
            <w:shd w:fill="auto" w:val="clear"/>
            <w:vAlign w:val="bottom"/>
          </w:tcPr>
          <w:p>
            <w:pPr>
              <w:pStyle w:val="TableContents"/>
              <w:spacing w:before="0" w:after="0"/>
              <w:rPr/>
            </w:pPr>
            <w:r>
              <w:rPr>
                <w:rFonts w:ascii="times New Roman" w:hAnsi="times New Roman"/>
                <w:color w:val="000000"/>
                <w:sz w:val="20"/>
              </w:rPr>
              <w:t>Chief Financial Officer and Vice President-Finance &amp; Administration</w:t>
            </w:r>
            <w:r>
              <w:rPr/>
              <w:t xml:space="preserve"> </w:t>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r>
        <w:trPr/>
        <w:tc>
          <w:tcPr>
            <w:tcW w:w="1457" w:type="dxa"/>
            <w:tcBorders/>
            <w:shd w:fill="auto" w:val="clear"/>
            <w:vAlign w:val="center"/>
          </w:tcPr>
          <w:p>
            <w:pPr>
              <w:pStyle w:val="TableContents"/>
              <w:spacing w:before="0" w:after="283"/>
              <w:rPr/>
            </w:pPr>
            <w:r>
              <w:rPr/>
              <w:t> </w:t>
            </w:r>
          </w:p>
        </w:tc>
        <w:tc>
          <w:tcPr>
            <w:tcW w:w="8748" w:type="dxa"/>
            <w:gridSpan w:val="8"/>
            <w:tcBorders/>
            <w:shd w:fill="auto" w:val="clear"/>
          </w:tcPr>
          <w:p>
            <w:pPr>
              <w:pStyle w:val="TableContents"/>
              <w:spacing w:before="0" w:after="283"/>
              <w:rPr>
                <w:sz w:val="4"/>
                <w:szCs w:val="4"/>
              </w:rPr>
            </w:pPr>
            <w:r>
              <w:rPr>
                <w:sz w:val="4"/>
                <w:szCs w:val="4"/>
              </w:rPr>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424</Words>
  <CharactersWithSpaces>2838</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