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Information Statement Pursuant to Rules 13d-1</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(Amendment No. 3)*</w:t>
      </w:r>
    </w:p>
    <w:p>
      <w:pPr>
        <w:spacing w:after="0" w:line="184"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 $0.01 par value</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125141101</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August 21, 2019</w:t>
      </w:r>
    </w:p>
    <w:p>
      <w:pPr>
        <w:spacing w:after="0" w:line="40"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the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63" w:lineRule="exact"/>
        <w:rPr>
          <w:sz w:val="24"/>
          <w:szCs w:val="24"/>
          <w:color w:val="auto"/>
        </w:rPr>
      </w:pPr>
    </w:p>
    <w:p>
      <w:pPr>
        <w:ind w:left="1140" w:hanging="637"/>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117"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79"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154305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20"/>
          </w:cols>
          <w:pgMar w:left="240" w:top="436" w:right="339" w:bottom="1440" w:gutter="0" w:footer="0" w:header="0"/>
        </w:sectPr>
      </w:pPr>
    </w:p>
    <w:bookmarkStart w:id="1" w:name="page2"/>
    <w:bookmarkEnd w:id="1"/>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Trigran Investments, Inc.</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Illinois company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200" w:right="7820" w:hanging="591"/>
        <w:spacing w:after="0" w:line="277" w:lineRule="auto"/>
        <w:tabs>
          <w:tab w:leader="none" w:pos="2200" w:val="left"/>
        </w:tabs>
        <w:numPr>
          <w:ilvl w:val="2"/>
          <w:numId w:val="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14605</wp:posOffset>
            </wp:positionV>
            <wp:extent cx="5857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6.</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5,240,550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200" w:hanging="591"/>
        <w:spacing w:after="0"/>
        <w:tabs>
          <w:tab w:leader="none" w:pos="2200" w:val="left"/>
        </w:tabs>
        <w:numPr>
          <w:ilvl w:val="1"/>
          <w:numId w:val="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5,240,550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5,240,550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380"/>
        <w:spacing w:after="0" w:line="261" w:lineRule="auto"/>
        <w:rPr>
          <w:rFonts w:ascii="Arial" w:cs="Arial" w:eastAsia="Arial" w:hAnsi="Arial"/>
          <w:sz w:val="18"/>
          <w:szCs w:val="18"/>
          <w:color w:val="auto"/>
        </w:rPr>
      </w:pPr>
      <w:r>
        <w:rPr>
          <w:rFonts w:ascii="Arial" w:cs="Arial" w:eastAsia="Arial" w:hAnsi="Arial"/>
          <w:sz w:val="18"/>
          <w:szCs w:val="18"/>
          <w:color w:val="auto"/>
        </w:rPr>
        <w:t>Approximately 14.9% (based on 35,204,911 shares of common stock issued and outstanding as of July 31, 2019 per CECO Environmental Corp. Form 10-Q filed August 6, 2019).</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IA/CO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-2180590</wp:posOffset>
            </wp:positionV>
            <wp:extent cx="58572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2" w:name="page3"/>
    <w:bookmarkEnd w:id="2"/>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Douglas Granat</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200" w:right="7820" w:hanging="591"/>
        <w:spacing w:after="0" w:line="277" w:lineRule="auto"/>
        <w:tabs>
          <w:tab w:leader="none" w:pos="2200" w:val="left"/>
        </w:tabs>
        <w:numPr>
          <w:ilvl w:val="2"/>
          <w:numId w:val="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14605</wp:posOffset>
            </wp:positionV>
            <wp:extent cx="5857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6.</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5,240,550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200" w:hanging="591"/>
        <w:spacing w:after="0"/>
        <w:tabs>
          <w:tab w:leader="none" w:pos="22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5,240,550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5,240,550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380"/>
        <w:spacing w:after="0" w:line="261" w:lineRule="auto"/>
        <w:rPr>
          <w:rFonts w:ascii="Arial" w:cs="Arial" w:eastAsia="Arial" w:hAnsi="Arial"/>
          <w:sz w:val="18"/>
          <w:szCs w:val="18"/>
          <w:color w:val="auto"/>
        </w:rPr>
      </w:pPr>
      <w:r>
        <w:rPr>
          <w:rFonts w:ascii="Arial" w:cs="Arial" w:eastAsia="Arial" w:hAnsi="Arial"/>
          <w:sz w:val="18"/>
          <w:szCs w:val="18"/>
          <w:color w:val="auto"/>
        </w:rPr>
        <w:t>Approximately 14.9% (based on 35,204,911 shares of common stock issued and outstanding as of July 31, 2019 per CECO Environmental Corp. Form 10-Q filed August 6, 2019).</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-2180590</wp:posOffset>
            </wp:positionV>
            <wp:extent cx="58572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3" w:name="page4"/>
    <w:bookmarkEnd w:id="3"/>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Lawrence A. Oberman</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200" w:right="7820" w:hanging="591"/>
        <w:spacing w:after="0" w:line="277" w:lineRule="auto"/>
        <w:tabs>
          <w:tab w:leader="none" w:pos="2200"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14605</wp:posOffset>
            </wp:positionV>
            <wp:extent cx="58572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6.</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5,240,550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200" w:hanging="591"/>
        <w:spacing w:after="0"/>
        <w:tabs>
          <w:tab w:leader="none" w:pos="2200" w:val="left"/>
        </w:tabs>
        <w:numPr>
          <w:ilvl w:val="1"/>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5,240,550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5,240,550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380"/>
        <w:spacing w:after="0" w:line="261" w:lineRule="auto"/>
        <w:rPr>
          <w:rFonts w:ascii="Arial" w:cs="Arial" w:eastAsia="Arial" w:hAnsi="Arial"/>
          <w:sz w:val="18"/>
          <w:szCs w:val="18"/>
          <w:color w:val="auto"/>
        </w:rPr>
      </w:pPr>
      <w:r>
        <w:rPr>
          <w:rFonts w:ascii="Arial" w:cs="Arial" w:eastAsia="Arial" w:hAnsi="Arial"/>
          <w:sz w:val="18"/>
          <w:szCs w:val="18"/>
          <w:color w:val="auto"/>
        </w:rPr>
        <w:t>Approximately 14.9% (based on 35,204,911 shares of common stock issued and outstanding as of July 31, 2019 per CECO Environmental Corp. Form 10-Q filed August 6, 2019).</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-2180590</wp:posOffset>
            </wp:positionV>
            <wp:extent cx="58572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4" w:name="page5"/>
    <w:bookmarkEnd w:id="4"/>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Steven G. Simon</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200" w:right="7820" w:hanging="591"/>
        <w:spacing w:after="0" w:line="277" w:lineRule="auto"/>
        <w:tabs>
          <w:tab w:leader="none" w:pos="2200" w:val="left"/>
        </w:tabs>
        <w:numPr>
          <w:ilvl w:val="2"/>
          <w:numId w:val="1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14605</wp:posOffset>
            </wp:positionV>
            <wp:extent cx="58572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6.</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5,240,550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200" w:hanging="591"/>
        <w:spacing w:after="0"/>
        <w:tabs>
          <w:tab w:leader="none" w:pos="22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5,240,550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5,240,550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380"/>
        <w:spacing w:after="0" w:line="261" w:lineRule="auto"/>
        <w:rPr>
          <w:rFonts w:ascii="Arial" w:cs="Arial" w:eastAsia="Arial" w:hAnsi="Arial"/>
          <w:sz w:val="18"/>
          <w:szCs w:val="18"/>
          <w:color w:val="auto"/>
        </w:rPr>
      </w:pPr>
      <w:r>
        <w:rPr>
          <w:rFonts w:ascii="Arial" w:cs="Arial" w:eastAsia="Arial" w:hAnsi="Arial"/>
          <w:sz w:val="18"/>
          <w:szCs w:val="18"/>
          <w:color w:val="auto"/>
        </w:rPr>
        <w:t>Approximately 14.9% (based on 35,204,911 shares of common stock issued and outstanding as of July 31, 2019 per CECO Environmental Corp. Form 10-Q filed August 6, 2019).</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-2180590</wp:posOffset>
            </wp:positionV>
            <wp:extent cx="58572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5" w:name="page6"/>
    <w:bookmarkEnd w:id="5"/>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Bradley F. Simon</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200" w:right="7820" w:hanging="591"/>
        <w:spacing w:after="0" w:line="277" w:lineRule="auto"/>
        <w:tabs>
          <w:tab w:leader="none" w:pos="220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14605</wp:posOffset>
            </wp:positionV>
            <wp:extent cx="58572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6.</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5,240,550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200" w:hanging="591"/>
        <w:spacing w:after="0"/>
        <w:tabs>
          <w:tab w:leader="none" w:pos="22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5,240,550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5,240,550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380"/>
        <w:spacing w:after="0" w:line="261" w:lineRule="auto"/>
        <w:rPr>
          <w:rFonts w:ascii="Arial" w:cs="Arial" w:eastAsia="Arial" w:hAnsi="Arial"/>
          <w:sz w:val="18"/>
          <w:szCs w:val="18"/>
          <w:color w:val="auto"/>
        </w:rPr>
      </w:pPr>
      <w:r>
        <w:rPr>
          <w:rFonts w:ascii="Arial" w:cs="Arial" w:eastAsia="Arial" w:hAnsi="Arial"/>
          <w:sz w:val="18"/>
          <w:szCs w:val="18"/>
          <w:color w:val="auto"/>
        </w:rPr>
        <w:t>Approximately 14.9% (based on 35,204,911 shares of common stock issued and outstanding as of July 31, 2019 per CECO Environmental Corp. Form 10-Q filed August 6, 2019).</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-2180590</wp:posOffset>
            </wp:positionV>
            <wp:extent cx="585724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6" w:name="page7"/>
    <w:bookmarkEnd w:id="6"/>
    <w:p>
      <w:pPr>
        <w:spacing w:after="0"/>
        <w:tabs>
          <w:tab w:leader="none" w:pos="516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000" w:hanging="620"/>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3" w:lineRule="exact"/>
        <w:rPr>
          <w:rFonts w:ascii="Arial" w:cs="Arial" w:eastAsia="Arial" w:hAnsi="Arial"/>
          <w:sz w:val="18"/>
          <w:szCs w:val="18"/>
          <w:color w:val="auto"/>
        </w:rPr>
      </w:pPr>
    </w:p>
    <w:p>
      <w:pPr>
        <w:ind w:left="1000" w:right="6840"/>
        <w:spacing w:after="0" w:line="261" w:lineRule="auto"/>
        <w:rPr>
          <w:rFonts w:ascii="Arial" w:cs="Arial" w:eastAsia="Arial" w:hAnsi="Arial"/>
          <w:sz w:val="18"/>
          <w:szCs w:val="18"/>
          <w:color w:val="auto"/>
        </w:rPr>
      </w:pPr>
      <w:r>
        <w:rPr>
          <w:rFonts w:ascii="Arial" w:cs="Arial" w:eastAsia="Arial" w:hAnsi="Arial"/>
          <w:sz w:val="18"/>
          <w:szCs w:val="18"/>
          <w:color w:val="auto"/>
        </w:rPr>
        <w:t>S.S. or I.R.S. Identification No. of Above Person Steven R. Monieson</w:t>
      </w:r>
    </w:p>
    <w:p>
      <w:pPr>
        <w:spacing w:after="0" w:line="399" w:lineRule="exact"/>
        <w:rPr>
          <w:rFonts w:ascii="Arial" w:cs="Arial" w:eastAsia="Arial" w:hAnsi="Arial"/>
          <w:sz w:val="18"/>
          <w:szCs w:val="18"/>
          <w:color w:val="auto"/>
        </w:rPr>
      </w:pPr>
    </w:p>
    <w:p>
      <w:pPr>
        <w:ind w:left="1000" w:hanging="620"/>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-361950</wp:posOffset>
            </wp:positionV>
            <wp:extent cx="661225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12255" cy="8890"/>
                    </a:xfrm>
                    <a:prstGeom prst="rect">
                      <a:avLst/>
                    </a:prstGeom>
                    <a:noFill/>
                  </pic:spPr>
                </pic:pic>
              </a:graphicData>
            </a:graphic>
          </wp:anchor>
        </w:drawing>
      </w:r>
    </w:p>
    <w:p>
      <w:pPr>
        <w:spacing w:after="0" w:line="97" w:lineRule="exact"/>
        <w:rPr>
          <w:sz w:val="20"/>
          <w:szCs w:val="20"/>
          <w:color w:val="auto"/>
        </w:rPr>
      </w:pPr>
    </w:p>
    <w:p>
      <w:pPr>
        <w:ind w:left="1640" w:hanging="639"/>
        <w:spacing w:after="0"/>
        <w:tabs>
          <w:tab w:leader="none" w:pos="1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o</w:t>
      </w:r>
    </w:p>
    <w:p>
      <w:pPr>
        <w:spacing w:after="0" w:line="130" w:lineRule="exact"/>
        <w:rPr>
          <w:rFonts w:ascii="Arial" w:cs="Arial" w:eastAsia="Arial" w:hAnsi="Arial"/>
          <w:sz w:val="18"/>
          <w:szCs w:val="18"/>
          <w:color w:val="auto"/>
        </w:rPr>
      </w:pPr>
    </w:p>
    <w:p>
      <w:pPr>
        <w:ind w:left="1640" w:hanging="639"/>
        <w:spacing w:after="0"/>
        <w:tabs>
          <w:tab w:leader="none" w:pos="16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x</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right="7740" w:hanging="620"/>
        <w:spacing w:after="0" w:line="277" w:lineRule="auto"/>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 U.S. Citizen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2200" w:right="7820" w:hanging="591"/>
        <w:spacing w:after="0" w:line="277" w:lineRule="auto"/>
        <w:tabs>
          <w:tab w:leader="none" w:pos="2200" w:val="left"/>
        </w:tabs>
        <w:numPr>
          <w:ilvl w:val="2"/>
          <w:numId w:val="29"/>
        </w:numPr>
        <w:rPr>
          <w:rFonts w:ascii="Arial" w:cs="Arial" w:eastAsia="Arial" w:hAnsi="Arial"/>
          <w:sz w:val="18"/>
          <w:szCs w:val="18"/>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14605</wp:posOffset>
            </wp:positionV>
            <wp:extent cx="585724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57240"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-542290</wp:posOffset>
            </wp:positionV>
            <wp:extent cx="6612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-1090930</wp:posOffset>
            </wp:positionV>
            <wp:extent cx="6612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-1503045</wp:posOffset>
            </wp:positionV>
            <wp:extent cx="620903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0903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-1717040</wp:posOffset>
            </wp:positionV>
            <wp:extent cx="620903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09030" cy="8890"/>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Number of</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6.</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Shares</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5,240,550 shares of common stock</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Beneficially</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1240" w:type="dxa"/>
            <w:vAlign w:val="bottom"/>
          </w:tcPr>
          <w:p>
            <w:pPr>
              <w:spacing w:after="0"/>
              <w:rPr>
                <w:sz w:val="20"/>
                <w:szCs w:val="20"/>
                <w:color w:val="auto"/>
              </w:rPr>
            </w:pPr>
            <w:r>
              <w:rPr>
                <w:rFonts w:ascii="Arial" w:cs="Arial" w:eastAsia="Arial" w:hAnsi="Arial"/>
                <w:sz w:val="18"/>
                <w:szCs w:val="18"/>
                <w:color w:val="auto"/>
              </w:rPr>
              <w:t>Owned by</w:t>
            </w:r>
          </w:p>
        </w:tc>
        <w:tc>
          <w:tcPr>
            <w:tcW w:w="900" w:type="dxa"/>
            <w:vAlign w:val="bottom"/>
          </w:tcPr>
          <w:p>
            <w:pPr>
              <w:spacing w:after="0"/>
              <w:rPr>
                <w:sz w:val="20"/>
                <w:szCs w:val="20"/>
                <w:color w:val="auto"/>
              </w:rPr>
            </w:pPr>
          </w:p>
        </w:tc>
        <w:tc>
          <w:tcPr>
            <w:tcW w:w="9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Each</w:t>
            </w: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color w:val="auto"/>
              </w:rPr>
              <w:t>7.</w:t>
            </w: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8"/>
        </w:trPr>
        <w:tc>
          <w:tcPr>
            <w:tcW w:w="1240" w:type="dxa"/>
            <w:vAlign w:val="bottom"/>
            <w:vMerge w:val="restart"/>
          </w:tcPr>
          <w:p>
            <w:pPr>
              <w:spacing w:after="0"/>
              <w:rPr>
                <w:sz w:val="20"/>
                <w:szCs w:val="20"/>
                <w:color w:val="auto"/>
              </w:rPr>
            </w:pPr>
            <w:r>
              <w:rPr>
                <w:rFonts w:ascii="Arial" w:cs="Arial" w:eastAsia="Arial" w:hAnsi="Arial"/>
                <w:sz w:val="18"/>
                <w:szCs w:val="18"/>
                <w:color w:val="auto"/>
              </w:rPr>
              <w:t>Reporting</w:t>
            </w:r>
          </w:p>
        </w:tc>
        <w:tc>
          <w:tcPr>
            <w:tcW w:w="900" w:type="dxa"/>
            <w:vAlign w:val="bottom"/>
            <w:vMerge w:val="continue"/>
          </w:tcPr>
          <w:p>
            <w:pPr>
              <w:spacing w:after="0"/>
              <w:rPr>
                <w:sz w:val="9"/>
                <w:szCs w:val="9"/>
                <w:color w:val="auto"/>
              </w:rPr>
            </w:pPr>
          </w:p>
        </w:tc>
        <w:tc>
          <w:tcPr>
            <w:tcW w:w="9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4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9220" w:type="dxa"/>
            <w:vAlign w:val="bottom"/>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240" w:type="dxa"/>
            <w:vAlign w:val="bottom"/>
            <w:vMerge w:val="restart"/>
          </w:tcPr>
          <w:p>
            <w:pPr>
              <w:spacing w:after="0" w:line="157" w:lineRule="exact"/>
              <w:rPr>
                <w:sz w:val="20"/>
                <w:szCs w:val="20"/>
                <w:color w:val="auto"/>
              </w:rPr>
            </w:pPr>
            <w:r>
              <w:rPr>
                <w:rFonts w:ascii="Arial" w:cs="Arial" w:eastAsia="Arial" w:hAnsi="Arial"/>
                <w:sz w:val="18"/>
                <w:szCs w:val="18"/>
                <w:color w:val="auto"/>
              </w:rPr>
              <w:t>Person With</w:t>
            </w:r>
          </w:p>
        </w:tc>
        <w:tc>
          <w:tcPr>
            <w:tcW w:w="900" w:type="dxa"/>
            <w:vAlign w:val="bottom"/>
          </w:tcPr>
          <w:p>
            <w:pPr>
              <w:spacing w:after="0"/>
              <w:rPr>
                <w:sz w:val="10"/>
                <w:szCs w:val="10"/>
                <w:color w:val="auto"/>
              </w:rPr>
            </w:pPr>
          </w:p>
        </w:tc>
        <w:tc>
          <w:tcPr>
            <w:tcW w:w="9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24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92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2200" w:hanging="591"/>
        <w:spacing w:after="0"/>
        <w:tabs>
          <w:tab w:leader="none" w:pos="220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2200"/>
        <w:spacing w:after="0"/>
        <w:rPr>
          <w:rFonts w:ascii="Arial" w:cs="Arial" w:eastAsia="Arial" w:hAnsi="Arial"/>
          <w:sz w:val="18"/>
          <w:szCs w:val="18"/>
          <w:color w:val="auto"/>
        </w:rPr>
      </w:pPr>
      <w:r>
        <w:rPr>
          <w:rFonts w:ascii="Arial" w:cs="Arial" w:eastAsia="Arial" w:hAnsi="Arial"/>
          <w:sz w:val="18"/>
          <w:szCs w:val="18"/>
          <w:color w:val="auto"/>
        </w:rPr>
        <w:t>5,240,550 shares of common stock</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1000" w:right="5560" w:hanging="620"/>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5,240,550 shares of common stock</w:t>
      </w:r>
    </w:p>
    <w:p>
      <w:pPr>
        <w:spacing w:after="0" w:line="386" w:lineRule="exact"/>
        <w:rPr>
          <w:rFonts w:ascii="Arial" w:cs="Arial" w:eastAsia="Arial" w:hAnsi="Arial"/>
          <w:sz w:val="18"/>
          <w:szCs w:val="18"/>
          <w:color w:val="auto"/>
        </w:rPr>
      </w:pPr>
    </w:p>
    <w:p>
      <w:pPr>
        <w:ind w:left="1000" w:hanging="620"/>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o</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000" w:hanging="620"/>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1000" w:right="380"/>
        <w:spacing w:after="0" w:line="261" w:lineRule="auto"/>
        <w:rPr>
          <w:rFonts w:ascii="Arial" w:cs="Arial" w:eastAsia="Arial" w:hAnsi="Arial"/>
          <w:sz w:val="18"/>
          <w:szCs w:val="18"/>
          <w:color w:val="auto"/>
        </w:rPr>
      </w:pPr>
      <w:r>
        <w:rPr>
          <w:rFonts w:ascii="Arial" w:cs="Arial" w:eastAsia="Arial" w:hAnsi="Arial"/>
          <w:sz w:val="18"/>
          <w:szCs w:val="18"/>
          <w:color w:val="auto"/>
        </w:rPr>
        <w:t>Approximately 14.9% (based on 35,204,911 shares of common stock issued and outstanding as of July 31, 2019 per CECO Environmental Corp. Form 10-Q filed August 6, 2019).</w:t>
      </w:r>
    </w:p>
    <w:p>
      <w:pPr>
        <w:spacing w:after="0" w:line="399" w:lineRule="exact"/>
        <w:rPr>
          <w:rFonts w:ascii="Arial" w:cs="Arial" w:eastAsia="Arial" w:hAnsi="Arial"/>
          <w:sz w:val="18"/>
          <w:szCs w:val="18"/>
          <w:color w:val="auto"/>
        </w:rPr>
      </w:pPr>
    </w:p>
    <w:p>
      <w:pPr>
        <w:ind w:left="1000" w:right="8500" w:hanging="620"/>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Type of Reporting Person IN/HC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wp:posOffset>
            </wp:positionH>
            <wp:positionV relativeFrom="paragraph">
              <wp:posOffset>14605</wp:posOffset>
            </wp:positionV>
            <wp:extent cx="6612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-534035</wp:posOffset>
            </wp:positionV>
            <wp:extent cx="6612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-1219835</wp:posOffset>
            </wp:positionV>
            <wp:extent cx="6612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601345</wp:posOffset>
            </wp:positionH>
            <wp:positionV relativeFrom="paragraph">
              <wp:posOffset>-1631315</wp:posOffset>
            </wp:positionV>
            <wp:extent cx="661225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1356360</wp:posOffset>
            </wp:positionH>
            <wp:positionV relativeFrom="paragraph">
              <wp:posOffset>-2180590</wp:posOffset>
            </wp:positionV>
            <wp:extent cx="58572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300" w:top="395" w:right="239" w:bottom="1440" w:gutter="0" w:footer="0" w:header="0"/>
        </w:sectPr>
      </w:pPr>
    </w:p>
    <w:bookmarkStart w:id="7" w:name="page8"/>
    <w:bookmarkEnd w:id="7"/>
    <w:p>
      <w:pPr>
        <w:spacing w:after="0"/>
        <w:tabs>
          <w:tab w:leader="none" w:pos="5140" w:val="left"/>
        </w:tabs>
        <w:rPr>
          <w:sz w:val="20"/>
          <w:szCs w:val="20"/>
          <w:color w:val="auto"/>
        </w:rPr>
      </w:pPr>
      <w:r>
        <w:rPr>
          <w:rFonts w:ascii="Arial" w:cs="Arial" w:eastAsia="Arial" w:hAnsi="Arial"/>
          <w:sz w:val="18"/>
          <w:szCs w:val="18"/>
          <w:color w:val="auto"/>
        </w:rPr>
        <w:t>CUSIP No. 125141101</w:t>
      </w:r>
      <w:r>
        <w:rPr>
          <w:sz w:val="20"/>
          <w:szCs w:val="20"/>
          <w:color w:val="auto"/>
        </w:rPr>
        <w:tab/>
      </w:r>
      <w:r>
        <w:rPr>
          <w:rFonts w:ascii="Arial" w:cs="Arial" w:eastAsia="Arial" w:hAnsi="Arial"/>
          <w:sz w:val="15"/>
          <w:szCs w:val="15"/>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48895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300" w:top="328" w:right="399" w:bottom="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2(a)</w:t>
      </w: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2(b)</w:t>
      </w: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2(d)</w:t>
      </w:r>
    </w:p>
    <w:p>
      <w:pPr>
        <w:spacing w:after="0" w:line="347" w:lineRule="exact"/>
        <w:rPr>
          <w:sz w:val="20"/>
          <w:szCs w:val="20"/>
          <w:color w:val="auto"/>
        </w:rPr>
      </w:pPr>
    </w:p>
    <w:p>
      <w:pPr>
        <w:ind w:left="400"/>
        <w:spacing w:after="0"/>
        <w:rPr>
          <w:sz w:val="20"/>
          <w:szCs w:val="20"/>
          <w:color w:val="auto"/>
        </w:rPr>
      </w:pPr>
      <w:r>
        <w:rPr>
          <w:rFonts w:ascii="Arial" w:cs="Arial" w:eastAsia="Arial" w:hAnsi="Arial"/>
          <w:sz w:val="17"/>
          <w:szCs w:val="17"/>
          <w:b w:val="1"/>
          <w:bCs w:val="1"/>
          <w:color w:val="auto"/>
        </w:rPr>
        <w:t>2(e)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of Issuer: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CECO Environmental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40005</wp:posOffset>
            </wp:positionV>
            <wp:extent cx="632904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Address of Issuer’s Principal Executive Offices: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14651 North Dallas Parkway</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Dallas, Texas 75254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40005</wp:posOffset>
            </wp:positionV>
            <wp:extent cx="632904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Name of Person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186690</wp:posOffset>
            </wp:positionV>
            <wp:extent cx="632904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Address of Principal Business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186690</wp:posOffset>
            </wp:positionV>
            <wp:extent cx="63290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3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Citizenship</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Trigran Investments, Inc.</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Illinois company</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Douglas Granat</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 Citizen</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Lawrence A. Oberman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 Citizen</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Steven G. Simon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Northbrook, IL 60062</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 Citizen</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Bradley F. Simon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Northbrook, Illinois 60062</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 Citizen</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Steven R. Monieson</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630 Dundee Road, Suite 230</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Northbrook, Illinois 60062</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U.S. Citizen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40005</wp:posOffset>
            </wp:positionV>
            <wp:extent cx="632904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Title of Class of Securities:</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Common Stock, $0.01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40005</wp:posOffset>
            </wp:positionV>
            <wp:extent cx="63290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CUSIP Number:</w:t>
      </w:r>
    </w:p>
    <w:p>
      <w:pPr>
        <w:spacing w:after="0" w:line="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125141101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40005</wp:posOffset>
            </wp:positionV>
            <wp:extent cx="632904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2904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p>
      <w:pPr>
        <w:spacing w:after="0" w:line="175" w:lineRule="exact"/>
        <w:rPr>
          <w:sz w:val="20"/>
          <w:szCs w:val="20"/>
          <w:color w:val="auto"/>
        </w:rPr>
      </w:pPr>
    </w:p>
    <w:p>
      <w:pPr>
        <w:ind w:left="500" w:hanging="49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1020" w:hanging="1013"/>
        <w:spacing w:after="0" w:line="277" w:lineRule="auto"/>
        <w:tabs>
          <w:tab w:leader="none" w:pos="507" w:val="left"/>
        </w:tabs>
        <w:numPr>
          <w:ilvl w:val="0"/>
          <w:numId w:val="32"/>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w:t>
      </w:r>
    </w:p>
    <w:p>
      <w:pPr>
        <w:spacing w:after="0" w:line="170" w:lineRule="exact"/>
        <w:rPr>
          <w:rFonts w:ascii="Arial" w:cs="Arial" w:eastAsia="Arial" w:hAnsi="Arial"/>
          <w:sz w:val="18"/>
          <w:szCs w:val="18"/>
          <w:color w:val="auto"/>
        </w:rPr>
      </w:pPr>
    </w:p>
    <w:p>
      <w:pPr>
        <w:ind w:left="500" w:hanging="49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Rule 13d–1(b)(1)(ii)(J);</w:t>
      </w:r>
    </w:p>
    <w:p>
      <w:pPr>
        <w:spacing w:after="0" w:line="225" w:lineRule="exact"/>
        <w:rPr>
          <w:rFonts w:ascii="Arial" w:cs="Arial" w:eastAsia="Arial" w:hAnsi="Arial"/>
          <w:sz w:val="18"/>
          <w:szCs w:val="18"/>
          <w:color w:val="auto"/>
        </w:rPr>
      </w:pPr>
    </w:p>
    <w:p>
      <w:pPr>
        <w:ind w:left="500" w:hanging="493"/>
        <w:spacing w:after="0"/>
        <w:tabs>
          <w:tab w:leader="none" w:pos="5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13d–1(b)(1)(ii)(K). If filing as a non-U.S. institution in accordance with</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Rule 13d–1(b)(1)(ii)(J), please specify the type of institution:____________________________</w:t>
      </w:r>
    </w:p>
    <w:p>
      <w:pPr>
        <w:sectPr>
          <w:pgSz w:w="11900" w:h="16838" w:orient="portrait"/>
          <w:cols w:equalWidth="0" w:num="2">
            <w:col w:w="720" w:space="220"/>
            <w:col w:w="10260"/>
          </w:cols>
          <w:pgMar w:left="300" w:top="328" w:right="399" w:bottom="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color w:val="auto"/>
        </w:rPr>
        <w:t>If this statement is filed pursuant to Rule 13d-1(c), check this box. o</w:t>
      </w:r>
    </w:p>
    <w:p>
      <w:pPr>
        <w:sectPr>
          <w:pgSz w:w="11900" w:h="16838" w:orient="portrait"/>
          <w:cols w:equalWidth="0" w:num="1">
            <w:col w:w="9219"/>
          </w:cols>
          <w:pgMar w:left="1240" w:top="287" w:right="1440" w:bottom="1440" w:gutter="0" w:footer="0" w:header="0"/>
        </w:sectPr>
      </w:pPr>
    </w:p>
    <w:p>
      <w:pPr>
        <w:spacing w:after="0" w:line="289" w:lineRule="exact"/>
        <w:rPr>
          <w:sz w:val="20"/>
          <w:szCs w:val="20"/>
          <w:color w:val="auto"/>
        </w:rPr>
      </w:pPr>
    </w:p>
    <w:p>
      <w:pPr>
        <w:jc w:val="center"/>
        <w:ind w:right="-2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88900</wp:posOffset>
            </wp:positionV>
            <wp:extent cx="726757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9219"/>
          </w:cols>
          <w:pgMar w:left="1240" w:top="287"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3780" w:type="dxa"/>
            <w:vAlign w:val="bottom"/>
            <w:gridSpan w:val="2"/>
          </w:tcPr>
          <w:p>
            <w:pPr>
              <w:ind w:left="60"/>
              <w:spacing w:after="0"/>
              <w:rPr>
                <w:sz w:val="20"/>
                <w:szCs w:val="20"/>
                <w:color w:val="auto"/>
              </w:rPr>
            </w:pPr>
            <w:r>
              <w:rPr>
                <w:rFonts w:ascii="Arial" w:cs="Arial" w:eastAsia="Arial" w:hAnsi="Arial"/>
                <w:sz w:val="18"/>
                <w:szCs w:val="18"/>
                <w:color w:val="auto"/>
              </w:rPr>
              <w:t>CUSIP No. 125141101</w:t>
            </w:r>
          </w:p>
        </w:tc>
        <w:tc>
          <w:tcPr>
            <w:tcW w:w="7640" w:type="dxa"/>
            <w:vAlign w:val="bottom"/>
          </w:tcPr>
          <w:p>
            <w:pPr>
              <w:ind w:left="1440"/>
              <w:spacing w:after="0"/>
              <w:rPr>
                <w:sz w:val="20"/>
                <w:szCs w:val="20"/>
                <w:color w:val="auto"/>
              </w:rPr>
            </w:pPr>
            <w:r>
              <w:rPr>
                <w:rFonts w:ascii="Arial" w:cs="Arial" w:eastAsia="Arial" w:hAnsi="Arial"/>
                <w:sz w:val="18"/>
                <w:szCs w:val="18"/>
                <w:color w:val="auto"/>
              </w:rPr>
              <w:t>Schedule 13G</w:t>
            </w:r>
          </w:p>
        </w:tc>
      </w:tr>
      <w:tr>
        <w:trPr>
          <w:trHeight w:val="54"/>
        </w:trPr>
        <w:tc>
          <w:tcPr>
            <w:tcW w:w="860" w:type="dxa"/>
            <w:vAlign w:val="bottom"/>
            <w:tcBorders>
              <w:bottom w:val="single" w:sz="8" w:color="auto"/>
            </w:tcBorders>
          </w:tcPr>
          <w:p>
            <w:pPr>
              <w:spacing w:after="0"/>
              <w:rPr>
                <w:sz w:val="4"/>
                <w:szCs w:val="4"/>
                <w:color w:val="auto"/>
              </w:rPr>
            </w:pPr>
          </w:p>
        </w:tc>
        <w:tc>
          <w:tcPr>
            <w:tcW w:w="2920" w:type="dxa"/>
            <w:vAlign w:val="bottom"/>
            <w:tcBorders>
              <w:bottom w:val="single" w:sz="8" w:color="auto"/>
            </w:tcBorders>
          </w:tcPr>
          <w:p>
            <w:pPr>
              <w:spacing w:after="0"/>
              <w:rPr>
                <w:sz w:val="4"/>
                <w:szCs w:val="4"/>
                <w:color w:val="auto"/>
              </w:rPr>
            </w:pPr>
          </w:p>
        </w:tc>
        <w:tc>
          <w:tcPr>
            <w:tcW w:w="7640" w:type="dxa"/>
            <w:vAlign w:val="bottom"/>
            <w:tcBorders>
              <w:bottom w:val="single" w:sz="8" w:color="auto"/>
            </w:tcBorders>
          </w:tcPr>
          <w:p>
            <w:pPr>
              <w:spacing w:after="0"/>
              <w:rPr>
                <w:sz w:val="4"/>
                <w:szCs w:val="4"/>
                <w:color w:val="auto"/>
              </w:rPr>
            </w:pPr>
          </w:p>
        </w:tc>
      </w:tr>
      <w:tr>
        <w:trPr>
          <w:trHeight w:val="466"/>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4</w:t>
            </w:r>
          </w:p>
        </w:tc>
        <w:tc>
          <w:tcPr>
            <w:tcW w:w="2920" w:type="dxa"/>
            <w:vAlign w:val="bottom"/>
          </w:tcPr>
          <w:p>
            <w:pPr>
              <w:ind w:left="320"/>
              <w:spacing w:after="0"/>
              <w:rPr>
                <w:sz w:val="20"/>
                <w:szCs w:val="20"/>
                <w:color w:val="auto"/>
              </w:rPr>
            </w:pPr>
            <w:r>
              <w:rPr>
                <w:rFonts w:ascii="Arial" w:cs="Arial" w:eastAsia="Arial" w:hAnsi="Arial"/>
                <w:sz w:val="18"/>
                <w:szCs w:val="18"/>
                <w:b w:val="1"/>
                <w:bCs w:val="1"/>
                <w:color w:val="auto"/>
              </w:rPr>
              <w:t>Ownership: (1)</w:t>
            </w:r>
          </w:p>
        </w:tc>
        <w:tc>
          <w:tcPr>
            <w:tcW w:w="7640" w:type="dxa"/>
            <w:vAlign w:val="bottom"/>
          </w:tcPr>
          <w:p>
            <w:pPr>
              <w:spacing w:after="0"/>
              <w:rPr>
                <w:sz w:val="24"/>
                <w:szCs w:val="24"/>
                <w:color w:val="auto"/>
              </w:rPr>
            </w:pPr>
          </w:p>
        </w:tc>
      </w:tr>
    </w:tbl>
    <w:p>
      <w:pPr>
        <w:spacing w:after="0" w:line="148" w:lineRule="exact"/>
        <w:rPr>
          <w:sz w:val="20"/>
          <w:szCs w:val="20"/>
          <w:color w:val="auto"/>
        </w:rPr>
      </w:pPr>
    </w:p>
    <w:p>
      <w:pPr>
        <w:ind w:left="1660" w:hanging="394"/>
        <w:spacing w:after="0"/>
        <w:tabs>
          <w:tab w:leader="none" w:pos="1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Incorporated by reference to Item 9 of the cover page pertaining to each reporting person.</w:t>
      </w:r>
    </w:p>
    <w:p>
      <w:pPr>
        <w:spacing w:after="0" w:line="238" w:lineRule="exact"/>
        <w:rPr>
          <w:rFonts w:ascii="Arial" w:cs="Arial" w:eastAsia="Arial" w:hAnsi="Arial"/>
          <w:sz w:val="18"/>
          <w:szCs w:val="18"/>
          <w:color w:val="auto"/>
        </w:rPr>
      </w:pPr>
    </w:p>
    <w:p>
      <w:pPr>
        <w:ind w:left="1660" w:hanging="400"/>
        <w:spacing w:after="0"/>
        <w:tabs>
          <w:tab w:leader="none" w:pos="1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63"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Arial" w:cs="Arial" w:eastAsia="Arial" w:hAnsi="Arial"/>
          <w:sz w:val="18"/>
          <w:szCs w:val="18"/>
          <w:color w:val="auto"/>
        </w:rPr>
        <w:t>Incorporated by reference to Item 11 of the cover page pertaining to each reporting person.</w:t>
      </w:r>
    </w:p>
    <w:p>
      <w:pPr>
        <w:spacing w:after="0" w:line="238" w:lineRule="exact"/>
        <w:rPr>
          <w:rFonts w:ascii="Arial" w:cs="Arial" w:eastAsia="Arial" w:hAnsi="Arial"/>
          <w:sz w:val="18"/>
          <w:szCs w:val="18"/>
          <w:color w:val="auto"/>
        </w:rPr>
      </w:pPr>
    </w:p>
    <w:p>
      <w:pPr>
        <w:ind w:left="1660" w:hanging="394"/>
        <w:spacing w:after="0"/>
        <w:tabs>
          <w:tab w:leader="none" w:pos="1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255270</wp:posOffset>
            </wp:positionV>
            <wp:extent cx="62344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-198755</wp:posOffset>
            </wp:positionV>
            <wp:extent cx="623443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34430" cy="8890"/>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-653415</wp:posOffset>
            </wp:positionV>
            <wp:extent cx="62344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280" w:hanging="453"/>
        <w:spacing w:after="0"/>
        <w:tabs>
          <w:tab w:leader="none" w:pos="22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5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80" w:hanging="478"/>
        <w:spacing w:after="0"/>
        <w:tabs>
          <w:tab w:leader="none" w:pos="22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6 of the cover page pertaining to each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83185</wp:posOffset>
            </wp:positionV>
            <wp:extent cx="58400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0095" cy="8890"/>
                    </a:xfrm>
                    <a:prstGeom prst="rect">
                      <a:avLst/>
                    </a:prstGeom>
                    <a:noFill/>
                  </pic:spPr>
                </pic:pic>
              </a:graphicData>
            </a:graphic>
          </wp:anchor>
        </w:drawing>
      </w:r>
    </w:p>
    <w:p>
      <w:pPr>
        <w:spacing w:after="0" w:line="219" w:lineRule="exact"/>
        <w:rPr>
          <w:sz w:val="20"/>
          <w:szCs w:val="20"/>
          <w:color w:val="auto"/>
        </w:rPr>
      </w:pPr>
    </w:p>
    <w:p>
      <w:pPr>
        <w:ind w:left="2280" w:hanging="503"/>
        <w:spacing w:after="0"/>
        <w:tabs>
          <w:tab w:leader="none" w:pos="22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7 of the cover page pertaining to each reporting person.</w:t>
      </w:r>
    </w:p>
    <w:p>
      <w:pPr>
        <w:spacing w:after="0" w:line="238" w:lineRule="exact"/>
        <w:rPr>
          <w:rFonts w:ascii="Arial" w:cs="Arial" w:eastAsia="Arial" w:hAnsi="Arial"/>
          <w:sz w:val="18"/>
          <w:szCs w:val="18"/>
          <w:color w:val="auto"/>
        </w:rPr>
      </w:pPr>
    </w:p>
    <w:p>
      <w:pPr>
        <w:ind w:left="2280" w:hanging="498"/>
        <w:spacing w:after="0"/>
        <w:tabs>
          <w:tab w:leader="none" w:pos="228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63" w:lineRule="exact"/>
        <w:rPr>
          <w:rFonts w:ascii="Arial" w:cs="Arial" w:eastAsia="Arial" w:hAnsi="Arial"/>
          <w:sz w:val="18"/>
          <w:szCs w:val="18"/>
          <w:color w:val="auto"/>
        </w:rPr>
      </w:pPr>
    </w:p>
    <w:p>
      <w:pPr>
        <w:ind w:left="2280"/>
        <w:spacing w:after="0"/>
        <w:rPr>
          <w:rFonts w:ascii="Arial" w:cs="Arial" w:eastAsia="Arial" w:hAnsi="Arial"/>
          <w:sz w:val="18"/>
          <w:szCs w:val="18"/>
          <w:color w:val="auto"/>
        </w:rPr>
      </w:pPr>
      <w:r>
        <w:rPr>
          <w:rFonts w:ascii="Arial" w:cs="Arial" w:eastAsia="Arial" w:hAnsi="Arial"/>
          <w:sz w:val="18"/>
          <w:szCs w:val="18"/>
          <w:color w:val="auto"/>
        </w:rPr>
        <w:t>Incorporated by reference to Item 8 of the cover page pertaining to each reporting person.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right="680" w:firstLine="8"/>
        <w:spacing w:after="0" w:line="342" w:lineRule="auto"/>
        <w:tabs>
          <w:tab w:leader="none" w:pos="255" w:val="left"/>
        </w:tabs>
        <w:numPr>
          <w:ilvl w:val="0"/>
          <w:numId w:val="37"/>
        </w:numPr>
        <w:rPr>
          <w:rFonts w:ascii="Arial" w:cs="Arial" w:eastAsia="Arial" w:hAnsi="Arial"/>
          <w:sz w:val="16"/>
          <w:szCs w:val="16"/>
          <w:color w:val="auto"/>
        </w:rPr>
      </w:pPr>
      <w:r>
        <w:rPr>
          <w:rFonts w:ascii="Arial" w:cs="Arial" w:eastAsia="Arial" w:hAnsi="Arial"/>
          <w:sz w:val="16"/>
          <w:szCs w:val="16"/>
          <w:color w:val="auto"/>
        </w:rPr>
        <w:t>Douglas Granat, Lawrence A. Oberman, Steven G. Simon, Bradley F. Simon and Steven R. Monieson are the controlling shareholders and/or sole directors of Trigran Investments, Inc. and thus may be considered the beneficial owners of shares beneficially owned by Trigran Investments,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-631825</wp:posOffset>
            </wp:positionV>
            <wp:extent cx="584009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-1086485</wp:posOffset>
            </wp:positionV>
            <wp:extent cx="58400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00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-400685</wp:posOffset>
            </wp:positionV>
            <wp:extent cx="182689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sectPr>
      </w:pP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5</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Five Percent or Less of a Class:</w:t>
      </w:r>
    </w:p>
    <w:p>
      <w:pPr>
        <w:spacing w:after="0" w:line="144" w:lineRule="exact"/>
        <w:rPr>
          <w:sz w:val="20"/>
          <w:szCs w:val="20"/>
          <w:color w:val="auto"/>
        </w:rPr>
      </w:pPr>
    </w:p>
    <w:p>
      <w:pPr>
        <w:sectPr>
          <w:pgSz w:w="11900" w:h="16838" w:orient="portrait"/>
          <w:cols w:equalWidth="0" w:num="2">
            <w:col w:w="560" w:space="620"/>
            <w:col w:w="10280"/>
          </w:cols>
          <w:pgMar w:left="240" w:top="382" w:right="199" w:bottom="1440" w:gutter="0" w:footer="0" w:header="0"/>
          <w:type w:val="continuous"/>
        </w:sectPr>
      </w:pPr>
    </w:p>
    <w:p>
      <w:pPr>
        <w:ind w:left="1180"/>
        <w:spacing w:after="0"/>
        <w:rPr>
          <w:sz w:val="20"/>
          <w:szCs w:val="20"/>
          <w:color w:val="auto"/>
        </w:rPr>
      </w:pPr>
      <w:r>
        <w:rPr>
          <w:rFonts w:ascii="Arial" w:cs="Arial" w:eastAsia="Arial" w:hAnsi="Arial"/>
          <w:sz w:val="17"/>
          <w:szCs w:val="17"/>
          <w:color w:val="auto"/>
        </w:rPr>
        <w:t>Not Applicable.</w:t>
      </w:r>
    </w:p>
    <w:p>
      <w:pPr>
        <w:sectPr>
          <w:pgSz w:w="11900" w:h="16838" w:orient="portrait"/>
          <w:cols w:equalWidth="0" w:num="1">
            <w:col w:w="11460"/>
          </w:cols>
          <w:pgMar w:left="240" w:top="382" w:right="19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560" w:space="620"/>
            <w:col w:w="10280"/>
          </w:cols>
          <w:pgMar w:left="240" w:top="382" w:right="199" w:bottom="1440" w:gutter="0" w:footer="0" w:header="0"/>
          <w:type w:val="continuous"/>
        </w:sectPr>
      </w:pPr>
    </w:p>
    <w:p>
      <w:pPr>
        <w:ind w:left="60" w:right="240"/>
        <w:spacing w:after="0" w:line="264" w:lineRule="auto"/>
        <w:rPr>
          <w:sz w:val="20"/>
          <w:szCs w:val="20"/>
          <w:color w:val="auto"/>
        </w:rPr>
      </w:pPr>
      <w:r>
        <w:rPr>
          <w:rFonts w:ascii="Arial" w:cs="Arial" w:eastAsia="Arial" w:hAnsi="Arial"/>
          <w:sz w:val="18"/>
          <w:szCs w:val="18"/>
          <w:color w:val="auto"/>
        </w:rPr>
        <w:t>Owners of accounts managed by Trigran Investments, Inc. have or may have the right to receive or the power to direct the receipt of dividends from, or the proceeds from the sale of, securities held in their accounts. Except as described below, no such account has such power with respect to more than five percent of the class of securities to which this Schedule 13G relates.</w:t>
      </w:r>
    </w:p>
    <w:p>
      <w:pPr>
        <w:spacing w:after="0" w:line="181" w:lineRule="exact"/>
        <w:rPr>
          <w:sz w:val="20"/>
          <w:szCs w:val="20"/>
          <w:color w:val="auto"/>
        </w:rPr>
      </w:pPr>
    </w:p>
    <w:p>
      <w:pPr>
        <w:ind w:left="60" w:right="460"/>
        <w:spacing w:after="0" w:line="264" w:lineRule="auto"/>
        <w:rPr>
          <w:sz w:val="20"/>
          <w:szCs w:val="20"/>
          <w:color w:val="auto"/>
        </w:rPr>
      </w:pPr>
      <w:r>
        <w:rPr>
          <w:rFonts w:ascii="Arial" w:cs="Arial" w:eastAsia="Arial" w:hAnsi="Arial"/>
          <w:sz w:val="18"/>
          <w:szCs w:val="18"/>
          <w:color w:val="auto"/>
        </w:rPr>
        <w:t>Trigran Investments, Inc. provides investment advisory services to Trigran Investments, L.P. , a private investment partnership for which Trigran Investments, Inc. has sole investment discretion and voting authority. Trigran Investments, L.P. beneficially owns more than five percent of the class of securities to which this Schedule 13G relates and has separately filed a Schedule 13G to disclose its holdings.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7</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w w:val="99"/>
              </w:rPr>
              <w:t>Identification and Classification of the Subsidiary Which Acquired the Security Being Reported on By the Parent Holding</w:t>
            </w:r>
          </w:p>
        </w:tc>
      </w:tr>
      <w:tr>
        <w:trPr>
          <w:trHeight w:val="234"/>
        </w:trPr>
        <w:tc>
          <w:tcPr>
            <w:tcW w:w="860" w:type="dxa"/>
            <w:vAlign w:val="bottom"/>
          </w:tcPr>
          <w:p>
            <w:pPr>
              <w:spacing w:after="0"/>
              <w:rPr>
                <w:sz w:val="20"/>
                <w:szCs w:val="20"/>
                <w:color w:val="auto"/>
              </w:rPr>
            </w:pP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Company:</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8</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648"/>
        </w:trPr>
        <w:tc>
          <w:tcPr>
            <w:tcW w:w="860" w:type="dxa"/>
            <w:vAlign w:val="bottom"/>
          </w:tcPr>
          <w:p>
            <w:pPr>
              <w:ind w:left="60"/>
              <w:spacing w:after="0"/>
              <w:rPr>
                <w:sz w:val="20"/>
                <w:szCs w:val="20"/>
                <w:color w:val="auto"/>
              </w:rPr>
            </w:pPr>
            <w:r>
              <w:rPr>
                <w:rFonts w:ascii="Arial" w:cs="Arial" w:eastAsia="Arial" w:hAnsi="Arial"/>
                <w:sz w:val="18"/>
                <w:szCs w:val="18"/>
                <w:b w:val="1"/>
                <w:bCs w:val="1"/>
                <w:color w:val="auto"/>
              </w:rPr>
              <w:t>Item 9</w:t>
            </w:r>
          </w:p>
        </w:tc>
        <w:tc>
          <w:tcPr>
            <w:tcW w:w="10600" w:type="dxa"/>
            <w:vAlign w:val="bottom"/>
          </w:tcPr>
          <w:p>
            <w:pPr>
              <w:ind w:left="320"/>
              <w:spacing w:after="0"/>
              <w:rPr>
                <w:sz w:val="20"/>
                <w:szCs w:val="20"/>
                <w:color w:val="auto"/>
              </w:rPr>
            </w:pPr>
            <w:r>
              <w:rPr>
                <w:rFonts w:ascii="Arial" w:cs="Arial" w:eastAsia="Arial" w:hAnsi="Arial"/>
                <w:sz w:val="18"/>
                <w:szCs w:val="18"/>
                <w:b w:val="1"/>
                <w:bCs w:val="1"/>
                <w:color w:val="auto"/>
              </w:rPr>
              <w:t>Notice of Dissolution of Group:</w:t>
            </w:r>
          </w:p>
        </w:tc>
      </w:tr>
      <w:tr>
        <w:trPr>
          <w:trHeight w:val="324"/>
        </w:trPr>
        <w:tc>
          <w:tcPr>
            <w:tcW w:w="860" w:type="dxa"/>
            <w:vAlign w:val="bottom"/>
          </w:tcPr>
          <w:p>
            <w:pPr>
              <w:spacing w:after="0"/>
              <w:rPr>
                <w:sz w:val="24"/>
                <w:szCs w:val="24"/>
                <w:color w:val="auto"/>
              </w:rPr>
            </w:pPr>
          </w:p>
        </w:tc>
        <w:tc>
          <w:tcPr>
            <w:tcW w:w="10600" w:type="dxa"/>
            <w:vAlign w:val="bottom"/>
          </w:tcPr>
          <w:p>
            <w:pPr>
              <w:ind w:left="320"/>
              <w:spacing w:after="0"/>
              <w:rPr>
                <w:sz w:val="20"/>
                <w:szCs w:val="20"/>
                <w:color w:val="auto"/>
              </w:rPr>
            </w:pPr>
            <w:r>
              <w:rPr>
                <w:rFonts w:ascii="Arial" w:cs="Arial" w:eastAsia="Arial" w:hAnsi="Arial"/>
                <w:sz w:val="18"/>
                <w:szCs w:val="18"/>
                <w:color w:val="auto"/>
              </w:rPr>
              <w:t>Not Applicable.</w:t>
            </w:r>
          </w:p>
        </w:tc>
      </w:tr>
      <w:tr>
        <w:trPr>
          <w:trHeight w:val="486"/>
        </w:trPr>
        <w:tc>
          <w:tcPr>
            <w:tcW w:w="860" w:type="dxa"/>
            <w:vAlign w:val="bottom"/>
          </w:tcPr>
          <w:p>
            <w:pPr>
              <w:spacing w:after="0"/>
              <w:rPr>
                <w:sz w:val="24"/>
                <w:szCs w:val="24"/>
                <w:color w:val="auto"/>
              </w:rPr>
            </w:pPr>
          </w:p>
        </w:tc>
        <w:tc>
          <w:tcPr>
            <w:tcW w:w="10600" w:type="dxa"/>
            <w:vAlign w:val="bottom"/>
          </w:tcPr>
          <w:p>
            <w:pPr>
              <w:ind w:left="4800"/>
              <w:spacing w:after="0"/>
              <w:rPr>
                <w:sz w:val="20"/>
                <w:szCs w:val="20"/>
                <w:color w:val="auto"/>
              </w:rPr>
            </w:pPr>
            <w:r>
              <w:rPr>
                <w:rFonts w:ascii="Arial" w:cs="Arial" w:eastAsia="Arial" w:hAnsi="Arial"/>
                <w:sz w:val="18"/>
                <w:szCs w:val="18"/>
                <w:color w:val="auto"/>
              </w:rPr>
              <w:t>9</w:t>
            </w:r>
          </w:p>
        </w:tc>
      </w:tr>
      <w:tr>
        <w:trPr>
          <w:trHeight w:val="132"/>
        </w:trPr>
        <w:tc>
          <w:tcPr>
            <w:tcW w:w="860" w:type="dxa"/>
            <w:vAlign w:val="bottom"/>
            <w:tcBorders>
              <w:bottom w:val="single" w:sz="8" w:color="808080"/>
            </w:tcBorders>
          </w:tcPr>
          <w:p>
            <w:pPr>
              <w:spacing w:after="0"/>
              <w:rPr>
                <w:sz w:val="11"/>
                <w:szCs w:val="11"/>
                <w:color w:val="auto"/>
              </w:rPr>
            </w:pPr>
          </w:p>
        </w:tc>
        <w:tc>
          <w:tcPr>
            <w:tcW w:w="1060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82" w:right="199"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3720" w:type="dxa"/>
            <w:vAlign w:val="bottom"/>
            <w:gridSpan w:val="2"/>
          </w:tcPr>
          <w:p>
            <w:pPr>
              <w:ind w:left="60"/>
              <w:spacing w:after="0"/>
              <w:rPr>
                <w:sz w:val="20"/>
                <w:szCs w:val="20"/>
                <w:color w:val="auto"/>
              </w:rPr>
            </w:pPr>
            <w:r>
              <w:rPr>
                <w:rFonts w:ascii="Arial" w:cs="Arial" w:eastAsia="Arial" w:hAnsi="Arial"/>
                <w:sz w:val="18"/>
                <w:szCs w:val="18"/>
                <w:color w:val="auto"/>
              </w:rPr>
              <w:t>CUSIP No. 125141101</w:t>
            </w:r>
          </w:p>
        </w:tc>
        <w:tc>
          <w:tcPr>
            <w:tcW w:w="7700" w:type="dxa"/>
            <w:vAlign w:val="bottom"/>
          </w:tcPr>
          <w:p>
            <w:pPr>
              <w:ind w:left="1500"/>
              <w:spacing w:after="0"/>
              <w:rPr>
                <w:sz w:val="20"/>
                <w:szCs w:val="20"/>
                <w:color w:val="auto"/>
              </w:rPr>
            </w:pPr>
            <w:r>
              <w:rPr>
                <w:rFonts w:ascii="Arial" w:cs="Arial" w:eastAsia="Arial" w:hAnsi="Arial"/>
                <w:sz w:val="18"/>
                <w:szCs w:val="18"/>
                <w:color w:val="auto"/>
              </w:rPr>
              <w:t>Schedule 13G</w:t>
            </w:r>
          </w:p>
        </w:tc>
      </w:tr>
      <w:tr>
        <w:trPr>
          <w:trHeight w:val="54"/>
        </w:trPr>
        <w:tc>
          <w:tcPr>
            <w:tcW w:w="920" w:type="dxa"/>
            <w:vAlign w:val="bottom"/>
            <w:tcBorders>
              <w:bottom w:val="single" w:sz="8" w:color="auto"/>
            </w:tcBorders>
          </w:tcPr>
          <w:p>
            <w:pPr>
              <w:spacing w:after="0"/>
              <w:rPr>
                <w:sz w:val="4"/>
                <w:szCs w:val="4"/>
                <w:color w:val="auto"/>
              </w:rPr>
            </w:pPr>
          </w:p>
        </w:tc>
        <w:tc>
          <w:tcPr>
            <w:tcW w:w="2800" w:type="dxa"/>
            <w:vAlign w:val="bottom"/>
            <w:tcBorders>
              <w:bottom w:val="single" w:sz="8" w:color="auto"/>
            </w:tcBorders>
          </w:tcPr>
          <w:p>
            <w:pPr>
              <w:spacing w:after="0"/>
              <w:rPr>
                <w:sz w:val="4"/>
                <w:szCs w:val="4"/>
                <w:color w:val="auto"/>
              </w:rPr>
            </w:pPr>
          </w:p>
        </w:tc>
        <w:tc>
          <w:tcPr>
            <w:tcW w:w="7700" w:type="dxa"/>
            <w:vAlign w:val="bottom"/>
            <w:tcBorders>
              <w:bottom w:val="single" w:sz="8" w:color="auto"/>
            </w:tcBorders>
          </w:tcPr>
          <w:p>
            <w:pPr>
              <w:spacing w:after="0"/>
              <w:rPr>
                <w:sz w:val="4"/>
                <w:szCs w:val="4"/>
                <w:color w:val="auto"/>
              </w:rPr>
            </w:pPr>
          </w:p>
        </w:tc>
      </w:tr>
      <w:tr>
        <w:trPr>
          <w:trHeight w:val="480"/>
        </w:trPr>
        <w:tc>
          <w:tcPr>
            <w:tcW w:w="920" w:type="dxa"/>
            <w:vAlign w:val="bottom"/>
          </w:tcPr>
          <w:p>
            <w:pPr>
              <w:ind w:left="60"/>
              <w:spacing w:after="0"/>
              <w:rPr>
                <w:sz w:val="20"/>
                <w:szCs w:val="20"/>
                <w:color w:val="auto"/>
              </w:rPr>
            </w:pPr>
            <w:r>
              <w:rPr>
                <w:rFonts w:ascii="Arial" w:cs="Arial" w:eastAsia="Arial" w:hAnsi="Arial"/>
                <w:sz w:val="18"/>
                <w:szCs w:val="18"/>
                <w:b w:val="1"/>
                <w:bCs w:val="1"/>
                <w:color w:val="auto"/>
              </w:rPr>
              <w:t>Item 10</w:t>
            </w:r>
          </w:p>
        </w:tc>
        <w:tc>
          <w:tcPr>
            <w:tcW w:w="2800" w:type="dxa"/>
            <w:vAlign w:val="bottom"/>
          </w:tcPr>
          <w:p>
            <w:pPr>
              <w:ind w:left="260"/>
              <w:spacing w:after="0"/>
              <w:rPr>
                <w:sz w:val="20"/>
                <w:szCs w:val="20"/>
                <w:color w:val="auto"/>
              </w:rPr>
            </w:pPr>
            <w:r>
              <w:rPr>
                <w:rFonts w:ascii="Arial" w:cs="Arial" w:eastAsia="Arial" w:hAnsi="Arial"/>
                <w:sz w:val="18"/>
                <w:szCs w:val="18"/>
                <w:b w:val="1"/>
                <w:bCs w:val="1"/>
                <w:color w:val="auto"/>
              </w:rPr>
              <w:t>Certification:</w:t>
            </w:r>
          </w:p>
        </w:tc>
        <w:tc>
          <w:tcPr>
            <w:tcW w:w="7700" w:type="dxa"/>
            <w:vAlign w:val="bottom"/>
          </w:tcPr>
          <w:p>
            <w:pPr>
              <w:spacing w:after="0"/>
              <w:rPr>
                <w:sz w:val="24"/>
                <w:szCs w:val="24"/>
                <w:color w:val="auto"/>
              </w:rPr>
            </w:pPr>
          </w:p>
        </w:tc>
      </w:tr>
    </w:tbl>
    <w:p>
      <w:pPr>
        <w:spacing w:after="0" w:line="94" w:lineRule="exact"/>
        <w:rPr>
          <w:sz w:val="20"/>
          <w:szCs w:val="20"/>
          <w:color w:val="auto"/>
        </w:rPr>
      </w:pPr>
    </w:p>
    <w:p>
      <w:pPr>
        <w:jc w:val="both"/>
        <w:ind w:left="60" w:right="200" w:firstLine="648"/>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4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this 27th day of August,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A. Oberman</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spacing w:after="0"/>
              <w:rPr>
                <w:sz w:val="20"/>
                <w:szCs w:val="20"/>
                <w:color w:val="auto"/>
              </w:rPr>
            </w:pPr>
            <w:r>
              <w:rPr>
                <w:rFonts w:ascii="Arial" w:cs="Arial" w:eastAsia="Arial" w:hAnsi="Arial"/>
                <w:sz w:val="18"/>
                <w:szCs w:val="18"/>
                <w:color w:val="auto"/>
              </w:rPr>
              <w:t>Executive Vice President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Douglas Granat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Lawrence A. Oberman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Steven G.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Bradley F.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Steven R. Monieson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4400" w:type="dxa"/>
            <w:vAlign w:val="bottom"/>
          </w:tcPr>
          <w:p>
            <w:pPr>
              <w:ind w:left="60"/>
              <w:spacing w:after="0"/>
              <w:rPr>
                <w:sz w:val="20"/>
                <w:szCs w:val="20"/>
                <w:color w:val="auto"/>
              </w:rPr>
            </w:pPr>
            <w:r>
              <w:rPr>
                <w:rFonts w:ascii="Arial" w:cs="Arial" w:eastAsia="Arial" w:hAnsi="Arial"/>
                <w:sz w:val="18"/>
                <w:szCs w:val="18"/>
                <w:color w:val="auto"/>
              </w:rPr>
              <w:t>CUSIP No. 125141101</w:t>
            </w:r>
          </w:p>
        </w:tc>
        <w:tc>
          <w:tcPr>
            <w:tcW w:w="7060" w:type="dxa"/>
            <w:vAlign w:val="bottom"/>
            <w:gridSpan w:val="4"/>
          </w:tcPr>
          <w:p>
            <w:pPr>
              <w:jc w:val="center"/>
              <w:ind w:right="4420"/>
              <w:spacing w:after="0"/>
              <w:rPr>
                <w:sz w:val="20"/>
                <w:szCs w:val="20"/>
                <w:color w:val="auto"/>
              </w:rPr>
            </w:pPr>
            <w:r>
              <w:rPr>
                <w:rFonts w:ascii="Arial" w:cs="Arial" w:eastAsia="Arial" w:hAnsi="Arial"/>
                <w:sz w:val="18"/>
                <w:szCs w:val="18"/>
                <w:color w:val="auto"/>
                <w:w w:val="87"/>
              </w:rPr>
              <w:t>Schedule 13G</w:t>
            </w:r>
          </w:p>
        </w:tc>
      </w:tr>
      <w:tr>
        <w:trPr>
          <w:trHeight w:val="54"/>
        </w:trPr>
        <w:tc>
          <w:tcPr>
            <w:tcW w:w="4400" w:type="dxa"/>
            <w:vAlign w:val="bottom"/>
            <w:tcBorders>
              <w:bottom w:val="single" w:sz="8" w:color="auto"/>
            </w:tcBorders>
          </w:tcPr>
          <w:p>
            <w:pPr>
              <w:spacing w:after="0"/>
              <w:rPr>
                <w:sz w:val="4"/>
                <w:szCs w:val="4"/>
                <w:color w:val="auto"/>
              </w:rPr>
            </w:pPr>
          </w:p>
        </w:tc>
        <w:tc>
          <w:tcPr>
            <w:tcW w:w="57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358"/>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INDEX TO EXHIBITS</w:t>
            </w:r>
          </w:p>
        </w:tc>
        <w:tc>
          <w:tcPr>
            <w:tcW w:w="570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453"/>
        </w:trPr>
        <w:tc>
          <w:tcPr>
            <w:tcW w:w="4400" w:type="dxa"/>
            <w:vAlign w:val="bottom"/>
          </w:tcPr>
          <w:p>
            <w:pPr>
              <w:spacing w:after="0"/>
              <w:rPr>
                <w:sz w:val="20"/>
                <w:szCs w:val="20"/>
                <w:color w:val="auto"/>
              </w:rPr>
            </w:pPr>
            <w:r>
              <w:rPr>
                <w:rFonts w:ascii="Arial" w:cs="Arial" w:eastAsia="Arial" w:hAnsi="Arial"/>
                <w:sz w:val="18"/>
                <w:szCs w:val="18"/>
                <w:b w:val="1"/>
                <w:bCs w:val="1"/>
                <w:color w:val="auto"/>
              </w:rPr>
              <w:t>EXHIBIT 1: Agreement to Make a Joint Filing</w:t>
            </w:r>
          </w:p>
        </w:tc>
        <w:tc>
          <w:tcPr>
            <w:tcW w:w="7060" w:type="dxa"/>
            <w:vAlign w:val="bottom"/>
            <w:gridSpan w:val="4"/>
          </w:tcPr>
          <w:p>
            <w:pPr>
              <w:jc w:val="right"/>
              <w:ind w:right="40"/>
              <w:spacing w:after="0"/>
              <w:rPr>
                <w:sz w:val="20"/>
                <w:szCs w:val="20"/>
                <w:color w:val="auto"/>
              </w:rPr>
            </w:pPr>
            <w:r>
              <w:rPr>
                <w:rFonts w:ascii="Arial" w:cs="Arial" w:eastAsia="Arial" w:hAnsi="Arial"/>
                <w:sz w:val="18"/>
                <w:szCs w:val="18"/>
                <w:color w:val="auto"/>
              </w:rPr>
              <w:t>1</w:t>
            </w:r>
          </w:p>
        </w:tc>
      </w:tr>
      <w:tr>
        <w:trPr>
          <w:trHeight w:val="432"/>
        </w:trPr>
        <w:tc>
          <w:tcPr>
            <w:tcW w:w="4400" w:type="dxa"/>
            <w:vAlign w:val="bottom"/>
          </w:tcPr>
          <w:p>
            <w:pPr>
              <w:spacing w:after="0"/>
              <w:rPr>
                <w:sz w:val="24"/>
                <w:szCs w:val="24"/>
                <w:color w:val="auto"/>
              </w:rPr>
            </w:pPr>
          </w:p>
        </w:tc>
        <w:tc>
          <w:tcPr>
            <w:tcW w:w="5700" w:type="dxa"/>
            <w:vAlign w:val="bottom"/>
          </w:tcPr>
          <w:p>
            <w:pPr>
              <w:jc w:val="right"/>
              <w:ind w:right="4210"/>
              <w:spacing w:after="0"/>
              <w:rPr>
                <w:sz w:val="20"/>
                <w:szCs w:val="20"/>
                <w:color w:val="auto"/>
              </w:rPr>
            </w:pPr>
            <w:r>
              <w:rPr>
                <w:rFonts w:ascii="Arial" w:cs="Arial" w:eastAsia="Arial" w:hAnsi="Arial"/>
                <w:sz w:val="18"/>
                <w:szCs w:val="18"/>
                <w:color w:val="auto"/>
              </w:rPr>
              <w:t>11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40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95" w:right="19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1 TO SCHEDULE 13G</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AUGUST 27, 2019</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accordance with Rule 13d-1(k)(1) under the Securities Exchange Act of 1934, as amended, TRIGRAN INVESTMENTS, INC., DOUGLAS GRANAT, LAWRENCE A. OBERMAN, STEVEN G. SIMON, BRADLEY F. SIMON and STEVEN R. MONIESON each hereby agree to the joint filing of this statement on Schedule 13G (including any and all amendments hereto). In addition, each party to this Agreement expressly authorizes each other party to this Agreement to file on its behalf any and all amendments to such Statement on Schedule 13G. A copy of this Agreement shall be attached as an exhibit to the Statement on Schedule 13G filed on behalf of each of the parties hereto, to which this Agreement relates.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This Agreement may be executed in multiple counterparts, each of which shall constitute an original, one and the same instrument.</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TRIGRAN INVESTMENTS,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Lawrence A. Oberman</w:t>
            </w:r>
          </w:p>
        </w:tc>
      </w:tr>
      <w:tr>
        <w:trPr>
          <w:trHeight w:val="195"/>
        </w:trPr>
        <w:tc>
          <w:tcPr>
            <w:tcW w:w="7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Lawrence A. Oberman</w:t>
            </w:r>
          </w:p>
        </w:tc>
      </w:t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and Director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Douglas Granat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Granat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Lawrence A. Oberman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A. Oberman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Steven G.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G.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Bradley F. Simon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Bradley F. Simon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7"/>
          <w:szCs w:val="17"/>
          <w:color w:val="auto"/>
        </w:rPr>
        <w:t>Steven R. Monieson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Steven R. Monieson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1."/>
      <w:numFmt w:val="decimal"/>
      <w:start w:val="1"/>
    </w:lvl>
  </w:abstractNum>
  <w:abstractNum w:abstractNumId="2">
    <w:nsid w:val="62BBD95A"/>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
    <w:nsid w:val="436C6125"/>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4">
    <w:nsid w:val="628C895D"/>
    <w:multiLevelType w:val="hybridMultilevel"/>
    <w:lvl w:ilvl="0">
      <w:lvlJc w:val="left"/>
      <w:lvlText w:val="%1"/>
      <w:numFmt w:val="decimal"/>
      <w:start w:val="1"/>
    </w:lvl>
    <w:lvl w:ilvl="1">
      <w:lvlJc w:val="left"/>
      <w:lvlText w:val="%2."/>
      <w:numFmt w:val="decimal"/>
      <w:start w:val="8"/>
    </w:lvl>
  </w:abstractNum>
  <w:abstractNum w:abstractNumId="5">
    <w:nsid w:val="333AB105"/>
    <w:multiLevelType w:val="hybridMultilevel"/>
    <w:lvl w:ilvl="0">
      <w:lvlJc w:val="left"/>
      <w:lvlText w:val="%1."/>
      <w:numFmt w:val="decimal"/>
      <w:start w:val="9"/>
    </w:lvl>
    <w:lvl w:ilvl="1">
      <w:lvlJc w:val="left"/>
      <w:lvlText w:val="%2"/>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8">
    <w:nsid w:val="2D1D5AE9"/>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9">
    <w:nsid w:val="6763845E"/>
    <w:multiLevelType w:val="hybridMultilevel"/>
    <w:lvl w:ilvl="0">
      <w:lvlJc w:val="left"/>
      <w:lvlText w:val="%1"/>
      <w:numFmt w:val="decimal"/>
      <w:start w:val="1"/>
    </w:lvl>
    <w:lvl w:ilvl="1">
      <w:lvlJc w:val="left"/>
      <w:lvlText w:val="%2."/>
      <w:numFmt w:val="decimal"/>
      <w:start w:val="8"/>
    </w:lvl>
  </w:abstractNum>
  <w:abstractNum w:abstractNumId="10">
    <w:nsid w:val="75A2A8D4"/>
    <w:multiLevelType w:val="hybridMultilevel"/>
    <w:lvl w:ilvl="0">
      <w:lvlJc w:val="left"/>
      <w:lvlText w:val="%1."/>
      <w:numFmt w:val="decimal"/>
      <w:start w:val="9"/>
    </w:lvl>
    <w:lvl w:ilvl="1">
      <w:lvlJc w:val="left"/>
      <w:lvlText w:val="%2"/>
      <w:numFmt w:val="decimal"/>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3">
    <w:nsid w:val="4353D0CD"/>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14">
    <w:nsid w:val="B03E0C6"/>
    <w:multiLevelType w:val="hybridMultilevel"/>
    <w:lvl w:ilvl="0">
      <w:lvlJc w:val="left"/>
      <w:lvlText w:val="%1"/>
      <w:numFmt w:val="decimal"/>
      <w:start w:val="1"/>
    </w:lvl>
    <w:lvl w:ilvl="1">
      <w:lvlJc w:val="left"/>
      <w:lvlText w:val="%2."/>
      <w:numFmt w:val="decimal"/>
      <w:start w:val="8"/>
    </w:lvl>
  </w:abstractNum>
  <w:abstractNum w:abstractNumId="15">
    <w:nsid w:val="189A769B"/>
    <w:multiLevelType w:val="hybridMultilevel"/>
    <w:lvl w:ilvl="0">
      <w:lvlJc w:val="left"/>
      <w:lvlText w:val="%1."/>
      <w:numFmt w:val="decimal"/>
      <w:start w:val="9"/>
    </w:lvl>
    <w:lvl w:ilvl="1">
      <w:lvlJc w:val="left"/>
      <w:lvlText w:val="%2"/>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18">
    <w:nsid w:val="2CA88611"/>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19">
    <w:nsid w:val="836C40E"/>
    <w:multiLevelType w:val="hybridMultilevel"/>
    <w:lvl w:ilvl="0">
      <w:lvlJc w:val="left"/>
      <w:lvlText w:val="%1"/>
      <w:numFmt w:val="decimal"/>
      <w:start w:val="1"/>
    </w:lvl>
    <w:lvl w:ilvl="1">
      <w:lvlJc w:val="left"/>
      <w:lvlText w:val="%2."/>
      <w:numFmt w:val="decimal"/>
      <w:start w:val="8"/>
    </w:lvl>
  </w:abstractNum>
  <w:abstractNum w:abstractNumId="20">
    <w:nsid w:val="2901D82"/>
    <w:multiLevelType w:val="hybridMultilevel"/>
    <w:lvl w:ilvl="0">
      <w:lvlJc w:val="left"/>
      <w:lvlText w:val="%1."/>
      <w:numFmt w:val="decimal"/>
      <w:start w:val="9"/>
    </w:lvl>
    <w:lvl w:ilvl="1">
      <w:lvlJc w:val="left"/>
      <w:lvlText w:val="%2"/>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3">
    <w:nsid w:val="1E7FF521"/>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24">
    <w:nsid w:val="7C3DBD3D"/>
    <w:multiLevelType w:val="hybridMultilevel"/>
    <w:lvl w:ilvl="0">
      <w:lvlJc w:val="left"/>
      <w:lvlText w:val="%1"/>
      <w:numFmt w:val="decimal"/>
      <w:start w:val="1"/>
    </w:lvl>
    <w:lvl w:ilvl="1">
      <w:lvlJc w:val="left"/>
      <w:lvlText w:val="%2."/>
      <w:numFmt w:val="decimal"/>
      <w:start w:val="8"/>
    </w:lvl>
  </w:abstractNum>
  <w:abstractNum w:abstractNumId="25">
    <w:nsid w:val="737B8DDC"/>
    <w:multiLevelType w:val="hybridMultilevel"/>
    <w:lvl w:ilvl="0">
      <w:lvlJc w:val="left"/>
      <w:lvlText w:val="%1."/>
      <w:numFmt w:val="decimal"/>
      <w:start w:val="9"/>
    </w:lvl>
    <w:lvl w:ilvl="1">
      <w:lvlJc w:val="left"/>
      <w:lvlText w:val="%2"/>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8">
    <w:nsid w:val="4516DDE9"/>
    <w:multiLevelType w:val="hybridMultilevel"/>
    <w:lvl w:ilvl="0">
      <w:lvlJc w:val="left"/>
      <w:lvlText w:val="%1."/>
      <w:numFmt w:val="decimal"/>
      <w:start w:val="3"/>
    </w:lvl>
    <w:lvl w:ilvl="1">
      <w:lvlJc w:val="left"/>
      <w:lvlText w:val="%2"/>
      <w:numFmt w:val="lowerLetter"/>
      <w:start w:val="1"/>
    </w:lvl>
    <w:lvl w:ilvl="2">
      <w:lvlJc w:val="left"/>
      <w:lvlText w:val="%3."/>
      <w:numFmt w:val="decimal"/>
      <w:start w:val="5"/>
    </w:lvl>
  </w:abstractNum>
  <w:abstractNum w:abstractNumId="29">
    <w:nsid w:val="3006C83E"/>
    <w:multiLevelType w:val="hybridMultilevel"/>
    <w:lvl w:ilvl="0">
      <w:lvlJc w:val="left"/>
      <w:lvlText w:val="%1"/>
      <w:numFmt w:val="decimal"/>
      <w:start w:val="1"/>
    </w:lvl>
    <w:lvl w:ilvl="1">
      <w:lvlJc w:val="left"/>
      <w:lvlText w:val="%2."/>
      <w:numFmt w:val="decimal"/>
      <w:start w:val="8"/>
    </w:lvl>
  </w:abstractNum>
  <w:abstractNum w:abstractNumId="30">
    <w:nsid w:val="614FD4A1"/>
    <w:multiLevelType w:val="hybridMultilevel"/>
    <w:lvl w:ilvl="0">
      <w:lvlJc w:val="left"/>
      <w:lvlText w:val="%1."/>
      <w:numFmt w:val="decimal"/>
      <w:start w:val="9"/>
    </w:lvl>
    <w:lvl w:ilvl="1">
      <w:lvlJc w:val="left"/>
      <w:lvlText w:val="%2"/>
      <w:numFmt w:val="decimal"/>
      <w:start w:val="1"/>
    </w:lvl>
  </w:abstractNum>
  <w:abstractNum w:abstractNumId="31">
    <w:nsid w:val="419AC241"/>
    <w:multiLevelType w:val="hybridMultilevel"/>
    <w:lvl w:ilvl="0">
      <w:lvlJc w:val="left"/>
      <w:lvlText w:val="(%1)"/>
      <w:numFmt w:val="lowerLetter"/>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lowerRoman"/>
      <w:start w:val="1"/>
    </w:lvl>
  </w:abstractNum>
  <w:abstractNum w:abstractNumId="34">
    <w:nsid w:val="5072367"/>
    <w:multiLevelType w:val="hybridMultilevel"/>
    <w:lvl w:ilvl="0">
      <w:lvlJc w:val="left"/>
      <w:lvlText w:val="(%1)"/>
      <w:numFmt w:val="lowerRoman"/>
      <w:start w:val="2"/>
    </w:lvl>
  </w:abstractNum>
  <w:abstractNum w:abstractNumId="35">
    <w:nsid w:val="3804823E"/>
    <w:multiLevelType w:val="hybridMultilevel"/>
    <w:lvl w:ilvl="0">
      <w:lvlJc w:val="left"/>
      <w:lvlText w:val="%1"/>
      <w:numFmt w:val="decimal"/>
      <w:start w:val="1"/>
    </w:lvl>
    <w:lvl w:ilvl="1">
      <w:lvlJc w:val="left"/>
      <w:lvlText w:val="(%2)"/>
      <w:numFmt w:val="lowerRoman"/>
      <w:start w:val="3"/>
    </w:lvl>
  </w:abstractNum>
  <w:abstractNum w:abstractNumId="36">
    <w:nsid w:val="77465F01"/>
    <w:multiLevelType w:val="hybridMultilevel"/>
    <w:lvl w:ilvl="0">
      <w:lvlJc w:val="left"/>
      <w:lvlText w:val="(%1)"/>
      <w:numFmt w:val="decimal"/>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2019-11-29T19:15:46Z</dcterms:created>
  <dcterms:modified xsi:type="dcterms:W3CDTF">2019-11-29T19:15:46Z</dcterms:modified>
</cp:coreProperties>
</file>