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06"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740" w:space="720"/>
            <w:col w:w="2980" w:space="720"/>
            <w:col w:w="2200"/>
          </w:cols>
          <w:pgMar w:left="240" w:top="206" w:right="299" w:bottom="1440" w:gutter="0" w:footer="0" w:header="0"/>
          <w:type w:val="continuous"/>
        </w:sectPr>
      </w:pPr>
    </w:p>
    <w:p>
      <w:pPr>
        <w:spacing w:after="0" w:line="12"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(State or other jurisdiction of</w:t>
      </w:r>
    </w:p>
    <w:p>
      <w:pPr>
        <w:ind w:left="1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320"/>
          </w:cols>
          <w:pgMar w:left="240" w:top="206" w:right="299" w:bottom="1440" w:gutter="0" w:footer="0" w:header="0"/>
          <w:type w:val="continuous"/>
        </w:sectPr>
      </w:pPr>
    </w:p>
    <w:p>
      <w:pPr>
        <w:spacing w:after="0" w:line="1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14651 North Dallas Parkway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Dallas, Texas</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360"/>
          </w:cols>
          <w:pgMar w:left="240" w:top="206" w:right="299" w:bottom="1440" w:gutter="0" w:footer="0" w:header="0"/>
          <w:type w:val="continuous"/>
        </w:sectPr>
      </w:pP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Matthew Eckl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 and Secretary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(513) 458-2600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1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Section 1. Conflict Minerals Disclosure</w:t>
      </w:r>
    </w:p>
    <w:p>
      <w:pPr>
        <w:spacing w:after="0" w:line="252"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06" w:right="299" w:bottom="1440" w:gutter="0" w:footer="0" w:header="0"/>
          <w:type w:val="continuous"/>
        </w:sectPr>
      </w:pPr>
    </w:p>
    <w:bookmarkStart w:id="1" w:name="page2"/>
    <w:bookmarkEnd w:id="1"/>
    <w:p>
      <w:pPr>
        <w:ind w:right="600" w:firstLine="598"/>
        <w:spacing w:after="0" w:line="308" w:lineRule="auto"/>
        <w:rPr>
          <w:sz w:val="20"/>
          <w:szCs w:val="20"/>
          <w:color w:val="auto"/>
        </w:rPr>
      </w:pPr>
      <w:r>
        <w:rPr>
          <w:rFonts w:ascii="Arial" w:cs="Arial" w:eastAsia="Arial" w:hAnsi="Arial"/>
          <w:sz w:val="17"/>
          <w:szCs w:val="17"/>
          <w:color w:val="auto"/>
        </w:rPr>
        <w:t>CECO Environmental Corp.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filing this Form SD pursuant to Rule 13p-1 under the Securities Exchange Act of 1934 for the reporting period from January 1, 2017 to December 31, 2017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47"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(i)(a) columbite-tantalite (or coltan, the metal ore from which tantalum is extracted), (b) cassiterite (the metal ore from which tin is extracted), (c) gold and</w:t>
      </w:r>
    </w:p>
    <w:p>
      <w:pPr>
        <w:ind w:right="4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190" w:lineRule="exact"/>
        <w:rPr>
          <w:sz w:val="20"/>
          <w:szCs w:val="20"/>
          <w:color w:val="auto"/>
        </w:rPr>
      </w:pPr>
    </w:p>
    <w:p>
      <w:pPr>
        <w:ind w:right="180" w:firstLine="598"/>
        <w:spacing w:after="0" w:line="270"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http://www.cecoenviro.com/sec-filings. The content on, or accessible through, any website referred to in this Form SD is not incorporated by reference into this Form SD unless expressly noted.</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specified in Section 2 of Form SD, the Company is hereby filing its Conflict Minerals Report as Exhibit 1.01 to this Form SD.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exhibit is filed as part of this Form SD.</w:t>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ind w:left="80"/>
        <w:spacing w:after="0"/>
        <w:tabs>
          <w:tab w:leader="none" w:pos="10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
        <w:r>
          <w:rPr>
            <w:rFonts w:ascii="Arial" w:cs="Arial" w:eastAsia="Arial" w:hAnsi="Arial"/>
            <w:sz w:val="16"/>
            <w:szCs w:val="16"/>
            <w:u w:val="single" w:color="auto"/>
            <w:color w:val="0000EE"/>
          </w:rPr>
          <w:t>Conflict Minerals Report of CECO Environmental Corp.</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By:  /s/ Matthew Eckl</w:t>
            </w:r>
          </w:p>
        </w:tc>
        <w:tc>
          <w:tcPr>
            <w:tcW w:w="190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May 24, 2018</w:t>
            </w:r>
          </w:p>
        </w:tc>
      </w:tr>
      <w:tr>
        <w:trPr>
          <w:trHeight w:val="209"/>
        </w:trPr>
        <w:tc>
          <w:tcPr>
            <w:tcW w:w="380" w:type="dxa"/>
            <w:vAlign w:val="bottom"/>
          </w:tcPr>
          <w:p>
            <w:pPr>
              <w:spacing w:after="0"/>
              <w:rPr>
                <w:sz w:val="18"/>
                <w:szCs w:val="18"/>
                <w:color w:val="auto"/>
              </w:rPr>
            </w:pPr>
          </w:p>
        </w:tc>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Eckl</w:t>
            </w:r>
          </w:p>
        </w:tc>
        <w:tc>
          <w:tcPr>
            <w:tcW w:w="1900" w:type="dxa"/>
            <w:vAlign w:val="bottom"/>
          </w:tcPr>
          <w:p>
            <w:pPr>
              <w:spacing w:after="0"/>
              <w:rPr>
                <w:sz w:val="18"/>
                <w:szCs w:val="18"/>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30"/>
        </w:trPr>
        <w:tc>
          <w:tcPr>
            <w:tcW w:w="3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 and Secretary</w:t>
            </w:r>
          </w:p>
        </w:tc>
        <w:tc>
          <w:tcPr>
            <w:tcW w:w="1900" w:type="dxa"/>
            <w:vAlign w:val="bottom"/>
          </w:tcPr>
          <w:p>
            <w:pPr>
              <w:spacing w:after="0"/>
              <w:rPr>
                <w:sz w:val="20"/>
                <w:szCs w:val="20"/>
                <w:color w:val="auto"/>
              </w:rPr>
            </w:pPr>
          </w:p>
        </w:tc>
        <w:tc>
          <w:tcPr>
            <w:tcW w:w="4560" w:type="dxa"/>
            <w:vAlign w:val="bottom"/>
          </w:tcPr>
          <w:p>
            <w:pPr>
              <w:spacing w:after="0"/>
              <w:rPr>
                <w:sz w:val="20"/>
                <w:szCs w:val="20"/>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reporting period from January 1, 2017 to December 31, 2017</w:t>
      </w:r>
    </w:p>
    <w:p>
      <w:pPr>
        <w:spacing w:after="0" w:line="211" w:lineRule="exact"/>
        <w:rPr>
          <w:sz w:val="20"/>
          <w:szCs w:val="20"/>
          <w:color w:val="auto"/>
        </w:rPr>
      </w:pPr>
    </w:p>
    <w:p>
      <w:pPr>
        <w:jc w:val="both"/>
        <w:ind w:right="420" w:firstLine="598"/>
        <w:spacing w:after="0" w:line="264"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CECO Environmental Corp.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been prepared pursuant to Rule 13p-1 and Form SD promulgated under the Securities Exchange Act of 1934 for the reporting period from January 1, 2017 to December 31, 2017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1" w:lineRule="exact"/>
        <w:rPr>
          <w:sz w:val="20"/>
          <w:szCs w:val="20"/>
          <w:color w:val="auto"/>
        </w:rPr>
      </w:pPr>
    </w:p>
    <w:p>
      <w:pPr>
        <w:ind w:right="60" w:firstLine="598"/>
        <w:spacing w:after="0" w:line="288"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(i)(a) columbite-tantalite (or coltan, the metal ore from which tantalum is extracted), (b) cassiterite (the metal ore from which tin is extracted), (c) gold and</w:t>
      </w:r>
    </w:p>
    <w:p>
      <w:pPr>
        <w:ind w:right="4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190"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 For a more complete discussion of these and other risk factors, see the Company’s other filings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i w:val="1"/>
          <w:iCs w:val="1"/>
          <w:color w:val="auto"/>
        </w:rPr>
        <w:t>”), including its Annual Report on Form 10-K for the year ended December 31, 2017 and subsequent Quarterly Reports on Form 10-Q. The Company makes these statements as of the date of this disclosure, and undertakes no obligation to update them unless otherwise required by law.</w:t>
      </w:r>
    </w:p>
    <w:p>
      <w:pPr>
        <w:spacing w:after="0" w:line="178" w:lineRule="exact"/>
        <w:rPr>
          <w:sz w:val="20"/>
          <w:szCs w:val="20"/>
          <w:color w:val="auto"/>
        </w:rPr>
      </w:pPr>
    </w:p>
    <w:p>
      <w:pPr>
        <w:ind w:right="120" w:firstLine="598"/>
        <w:spacing w:after="0" w:line="271"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the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www.cecoenviro.com/sec-filings. The content on, or accessible through, any website referred to in this Report is not incorporated by reference into this Report unless expressly noted.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RCOI and Due Diligence Process.</w:t>
      </w:r>
    </w:p>
    <w:p>
      <w:pPr>
        <w:spacing w:after="0" w:line="229"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Second Edition, including the related supplements on gold, tin, tantalum and tungsten (the “</w:t>
      </w:r>
      <w:r>
        <w:rPr>
          <w:rFonts w:ascii="Arial" w:cs="Arial" w:eastAsia="Arial" w:hAnsi="Arial"/>
          <w:sz w:val="17"/>
          <w:szCs w:val="17"/>
          <w:b w:val="1"/>
          <w:bCs w:val="1"/>
          <w:i w:val="1"/>
          <w:iCs w:val="1"/>
          <w:color w:val="auto"/>
        </w:rPr>
        <w:t>OECD Guidelines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RCOI</w:t>
      </w:r>
    </w:p>
    <w:p>
      <w:pPr>
        <w:spacing w:after="0" w:line="229"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78"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The Company worked to identify direct suppliers that it believed potentially provided materials or components containing Subject Minerals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during the Reporting Period. The Company then included additional questions regarding conflict minerals in its Supplier Questionnaire on Conflict Minerals, which the Company refers to as “</w:t>
      </w:r>
      <w:r>
        <w:rPr>
          <w:rFonts w:ascii="Arial" w:cs="Arial" w:eastAsia="Arial" w:hAnsi="Arial"/>
          <w:sz w:val="17"/>
          <w:szCs w:val="17"/>
          <w:b w:val="1"/>
          <w:bCs w:val="1"/>
          <w:i w:val="1"/>
          <w:iCs w:val="1"/>
          <w:color w:val="auto"/>
        </w:rPr>
        <w:t>Supplier Questionnaire</w:t>
      </w:r>
      <w:r>
        <w:rPr>
          <w:rFonts w:ascii="Arial" w:cs="Arial" w:eastAsia="Arial" w:hAnsi="Arial"/>
          <w:sz w:val="17"/>
          <w:szCs w:val="17"/>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78"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The Company, through its three business segments, operates as a leading global provider of engineered technologies focused on critical solutions in the energy, industrial, and fluid handling segments. The Company, with respect to the Reporting Period, reasonably determined that the fluid handling solutions and energy solutions segments’ product groups contain Subject Minerals.</w:t>
      </w:r>
    </w:p>
    <w:p>
      <w:pPr>
        <w:spacing w:after="0" w:line="181"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Arial" w:cs="Arial" w:eastAsia="Arial" w:hAnsi="Arial"/>
          <w:sz w:val="17"/>
          <w:szCs w:val="17"/>
          <w:i w:val="1"/>
          <w:iCs w:val="1"/>
          <w:color w:val="auto"/>
        </w:rPr>
        <w:t>e.g.</w:t>
      </w:r>
      <w:r>
        <w:rPr>
          <w:rFonts w:ascii="Arial" w:cs="Arial" w:eastAsia="Arial" w:hAnsi="Arial"/>
          <w:sz w:val="17"/>
          <w:szCs w:val="17"/>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79" w:lineRule="exact"/>
        <w:rPr>
          <w:sz w:val="20"/>
          <w:szCs w:val="20"/>
          <w:color w:val="auto"/>
        </w:rPr>
      </w:pPr>
    </w:p>
    <w:p>
      <w:pPr>
        <w:ind w:right="300" w:firstLine="598"/>
        <w:spacing w:after="0" w:line="264" w:lineRule="auto"/>
        <w:rPr>
          <w:sz w:val="20"/>
          <w:szCs w:val="20"/>
          <w:color w:val="auto"/>
        </w:rPr>
      </w:pPr>
      <w:r>
        <w:rPr>
          <w:rFonts w:ascii="Arial" w:cs="Arial" w:eastAsia="Arial" w:hAnsi="Arial"/>
          <w:sz w:val="18"/>
          <w:szCs w:val="18"/>
          <w:color w:val="auto"/>
        </w:rPr>
        <w:t>In general, the Company obtained completed Supplier Questionnaires or similar representations from Covered Suppliers. Such representations included, from certain Covered Suppliers, the Electronic Industry Citizenship Coalition (“EICC”) and Global e-Sustainability Initiative (“GeSI”) Conflict Minerals Due Diligence Template, indicating the facility at which the Subject Minerals were processed.</w:t>
      </w:r>
    </w:p>
    <w:p>
      <w:pPr>
        <w:spacing w:after="0" w:line="181"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 Supplier Questionnaires or similar representations from Covered Suppliers that listed smelter or refiner names 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RCOI procedures are an evolving process. See “</w:t>
      </w:r>
      <w:r>
        <w:rPr>
          <w:rFonts w:ascii="Arial" w:cs="Arial" w:eastAsia="Arial" w:hAnsi="Arial"/>
          <w:sz w:val="18"/>
          <w:szCs w:val="18"/>
          <w:i w:val="1"/>
          <w:iCs w:val="1"/>
          <w:color w:val="auto"/>
        </w:rPr>
        <w:t>Additional Due Diligence and Risk Mitigation</w:t>
      </w:r>
      <w:r>
        <w:rPr>
          <w:rFonts w:ascii="Arial" w:cs="Arial" w:eastAsia="Arial" w:hAnsi="Arial"/>
          <w:sz w:val="18"/>
          <w:szCs w:val="18"/>
          <w:color w:val="auto"/>
        </w:rPr>
        <w:t>” below for additional detail.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229"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The Company’s due diligence process is based on the OECD Guidelines. Due diligence measures undertaken by the Company during the Reporting Period included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Internal Team to Support Supply Chain Due Diligence.</w:t>
      </w:r>
    </w:p>
    <w:p>
      <w:pPr>
        <w:spacing w:after="0" w:line="225"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The Company has established an internal team to manage conflict minerals engagement with its suppliers. During the Reporting Period, the Company held meetings with legal advisors, the Company’s Chief Financial Officer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Internal Measures Taken to Strengthen Engagement with Suppliers.</w:t>
      </w:r>
    </w:p>
    <w:p>
      <w:pPr>
        <w:spacing w:after="0" w:line="225"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Adoption of Conflict Minerals Policy.</w:t>
      </w:r>
    </w:p>
    <w:p>
      <w:pPr>
        <w:spacing w:after="0" w:line="225" w:lineRule="exact"/>
        <w:rPr>
          <w:sz w:val="20"/>
          <w:szCs w:val="20"/>
          <w:color w:val="auto"/>
        </w:rPr>
      </w:pPr>
    </w:p>
    <w:p>
      <w:pPr>
        <w:ind w:right="320" w:firstLine="598"/>
        <w:spacing w:after="0" w:line="312" w:lineRule="auto"/>
        <w:rPr>
          <w:sz w:val="20"/>
          <w:szCs w:val="20"/>
          <w:color w:val="auto"/>
        </w:rPr>
      </w:pPr>
      <w:r>
        <w:rPr>
          <w:rFonts w:ascii="Arial" w:cs="Arial" w:eastAsia="Arial" w:hAnsi="Arial"/>
          <w:sz w:val="16"/>
          <w:szCs w:val="16"/>
          <w:color w:val="auto"/>
        </w:rPr>
        <w:t xml:space="preserve">Within the Company’s supplier relationships, the Company seeks to manage its sourcing processes ethically, and to hold the Company and its suppliers to high standards of behavior. This means that the Company is committed to working with its suppliers to encourage responsible practices throughout the supply network. The Company’s conflict minerals policy is publicly available at </w:t>
      </w:r>
      <w:r>
        <w:rPr>
          <w:rFonts w:ascii="Arial" w:cs="Arial" w:eastAsia="Arial" w:hAnsi="Arial"/>
          <w:sz w:val="16"/>
          <w:szCs w:val="16"/>
          <w:u w:val="single" w:color="auto"/>
          <w:color w:val="auto"/>
        </w:rPr>
        <w:t>https://investors.cecoenviro.com/conflict-minerals-policy</w:t>
      </w:r>
      <w:r>
        <w:rPr>
          <w:rFonts w:ascii="Arial" w:cs="Arial" w:eastAsia="Arial" w:hAnsi="Arial"/>
          <w:sz w:val="16"/>
          <w:szCs w:val="16"/>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225"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As discussed above, the Company continues to assess its supply chain risks and work with its suppliers in developing greater supply chain transparency.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225"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225"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Where possible, the Company has relied on third-party assurances and certifications. For example, the Company accepts as reliable any smelter that is a member of the EICC-GeSI Conflict Free Smelter program. To the extent that other audited supplier certifications are provided to the Company, the Company may consider reliance on a case-by-case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225"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 xml:space="preserve">The Form SD and this Report are publicly available at </w:t>
      </w:r>
      <w:r>
        <w:rPr>
          <w:rFonts w:ascii="Arial" w:cs="Arial" w:eastAsia="Arial" w:hAnsi="Arial"/>
          <w:sz w:val="18"/>
          <w:szCs w:val="18"/>
          <w:u w:val="single" w:color="auto"/>
          <w:color w:val="auto"/>
        </w:rPr>
        <w:t>www.cecoenviro.com/sec-filings</w:t>
      </w:r>
      <w:r>
        <w:rPr>
          <w:rFonts w:ascii="Arial" w:cs="Arial" w:eastAsia="Arial" w:hAnsi="Arial"/>
          <w:sz w:val="18"/>
          <w:szCs w:val="18"/>
          <w:color w:val="auto"/>
        </w:rPr>
        <w:t xml:space="preserve"> and meet the OECD recommendation to report annually on supply chain due diligence.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Diligence Results.</w:t>
      </w:r>
    </w:p>
    <w:p>
      <w:pPr>
        <w:spacing w:after="0" w:line="229" w:lineRule="exact"/>
        <w:rPr>
          <w:sz w:val="20"/>
          <w:szCs w:val="20"/>
          <w:color w:val="auto"/>
        </w:rPr>
      </w:pPr>
    </w:p>
    <w:p>
      <w:pPr>
        <w:jc w:val="both"/>
        <w:ind w:firstLine="598"/>
        <w:spacing w:after="0" w:line="302" w:lineRule="auto"/>
        <w:rPr>
          <w:sz w:val="20"/>
          <w:szCs w:val="20"/>
          <w:color w:val="auto"/>
        </w:rPr>
      </w:pPr>
      <w:r>
        <w:rPr>
          <w:rFonts w:ascii="Arial" w:cs="Arial" w:eastAsia="Arial" w:hAnsi="Arial"/>
          <w:sz w:val="16"/>
          <w:szCs w:val="16"/>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Additional Due Diligence and Risk Mitigation.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225" w:lineRule="exact"/>
        <w:rPr>
          <w:sz w:val="20"/>
          <w:szCs w:val="20"/>
          <w:color w:val="auto"/>
        </w:rPr>
      </w:pPr>
    </w:p>
    <w:p>
      <w:pPr>
        <w:ind w:right="100" w:firstLine="598"/>
        <w:spacing w:after="0" w:line="273" w:lineRule="auto"/>
        <w:rPr>
          <w:sz w:val="20"/>
          <w:szCs w:val="20"/>
          <w:color w:val="auto"/>
        </w:rPr>
      </w:pPr>
      <w:r>
        <w:rPr>
          <w:rFonts w:ascii="Arial" w:cs="Arial" w:eastAsia="Arial" w:hAnsi="Arial"/>
          <w:sz w:val="17"/>
          <w:szCs w:val="17"/>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may establish a supplier code of conduct to prohibit suppliers from supplying the Company with certain conflict minerals originating in the Covered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expects to continue to improve its supply chain due diligence efforts. Such measures may include, but are not limited to:</w:t>
      </w:r>
    </w:p>
    <w:p>
      <w:pPr>
        <w:spacing w:after="0" w:line="225"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23"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9"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response rate for RCOI process;</w:t>
      </w:r>
    </w:p>
    <w:p>
      <w:pPr>
        <w:spacing w:after="0" w:line="9" w:lineRule="exact"/>
        <w:rPr>
          <w:rFonts w:ascii="Arial" w:cs="Arial" w:eastAsia="Arial" w:hAnsi="Arial"/>
          <w:sz w:val="18"/>
          <w:szCs w:val="18"/>
          <w:color w:val="auto"/>
        </w:rPr>
      </w:pPr>
    </w:p>
    <w:p>
      <w:pPr>
        <w:ind w:left="880" w:right="200" w:hanging="440"/>
        <w:spacing w:after="0" w:line="261"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to compare RCOI results to information collected via independent conflict free smelter validation programs such as the EICC-GeSI Conflict Free Smelter program; and</w:t>
      </w:r>
    </w:p>
    <w:p>
      <w:pPr>
        <w:spacing w:after="0" w:line="183"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contacting smelters identified as a result of the RCOI process and request their participation in obtaining a “conflict free” designation from an industry program such as the EICC-GeSI Conflict Free Smelter program.</w:t>
      </w:r>
    </w:p>
    <w:sectPr>
      <w:pgSz w:w="11900" w:h="16838" w:orient="portrait"/>
      <w:cols w:equalWidth="0" w:num="1">
        <w:col w:w="11340"/>
      </w:cols>
      <w:pgMar w:left="24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2020-01-15T13:12:40Z</dcterms:created>
  <dcterms:modified xsi:type="dcterms:W3CDTF">2020-01-15T13:12:40Z</dcterms:modified>
</cp:coreProperties>
</file>