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U</w:t>
      </w:r>
      <w:r>
        <w:rPr>
          <w:rFonts w:ascii="Times New Roman" w:cs="Times New Roman" w:eastAsia="Times New Roman" w:hAnsi="Times New Roman"/>
          <w:sz w:val="14"/>
          <w:szCs w:val="14"/>
          <w:b w:val="1"/>
          <w:bCs w:val="1"/>
          <w:color w:val="auto"/>
        </w:rPr>
        <w:t>nited</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tates</w:t>
      </w:r>
    </w:p>
    <w:p>
      <w:pPr>
        <w:spacing w:after="0" w:line="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ecurities and</w:t>
      </w:r>
      <w:r>
        <w:rPr>
          <w:rFonts w:ascii="Times New Roman" w:cs="Times New Roman" w:eastAsia="Times New Roman" w:hAnsi="Times New Roman"/>
          <w:sz w:val="22"/>
          <w:szCs w:val="22"/>
          <w:b w:val="1"/>
          <w:bCs w:val="1"/>
          <w:color w:val="auto"/>
        </w:rPr>
        <w:t xml:space="preserve"> E</w:t>
      </w:r>
      <w:r>
        <w:rPr>
          <w:rFonts w:ascii="Times New Roman" w:cs="Times New Roman" w:eastAsia="Times New Roman" w:hAnsi="Times New Roman"/>
          <w:sz w:val="14"/>
          <w:szCs w:val="14"/>
          <w:b w:val="1"/>
          <w:bCs w:val="1"/>
          <w:color w:val="auto"/>
        </w:rPr>
        <w:t>xchange</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ommission</w:t>
      </w: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W</w:t>
      </w:r>
      <w:r>
        <w:rPr>
          <w:rFonts w:ascii="Times New Roman" w:cs="Times New Roman" w:eastAsia="Times New Roman" w:hAnsi="Times New Roman"/>
          <w:sz w:val="14"/>
          <w:szCs w:val="14"/>
          <w:b w:val="1"/>
          <w:bCs w:val="1"/>
          <w:color w:val="auto"/>
        </w:rPr>
        <w:t>ashington</w:t>
      </w:r>
      <w:r>
        <w:rPr>
          <w:rFonts w:ascii="Times New Roman" w:cs="Times New Roman" w:eastAsia="Times New Roman" w:hAnsi="Times New Roman"/>
          <w:sz w:val="22"/>
          <w:szCs w:val="22"/>
          <w:b w:val="1"/>
          <w:bCs w:val="1"/>
          <w:color w:val="auto"/>
        </w:rPr>
        <w:t>, D.C. 20549</w:t>
      </w:r>
    </w:p>
    <w:p>
      <w:pPr>
        <w:spacing w:after="0" w:line="39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SCHEDULE 13G</w:t>
      </w:r>
    </w:p>
    <w:p>
      <w:pPr>
        <w:spacing w:after="0" w:line="21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2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(Amendment No. 2)*</w:t>
      </w: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CECO ENVIRONMENTAL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4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200" w:lineRule="exact"/>
        <w:rPr>
          <w:sz w:val="24"/>
          <w:szCs w:val="24"/>
          <w:color w:val="auto"/>
        </w:rPr>
      </w:pPr>
    </w:p>
    <w:p>
      <w:pPr>
        <w:spacing w:after="0" w:line="24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125141101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(CUSIP Number)</w:t>
      </w:r>
    </w:p>
    <w:p>
      <w:pPr>
        <w:spacing w:after="0" w:line="200" w:lineRule="exact"/>
        <w:rPr>
          <w:sz w:val="24"/>
          <w:szCs w:val="24"/>
          <w:color w:val="auto"/>
        </w:rPr>
      </w:pPr>
    </w:p>
    <w:p>
      <w:pPr>
        <w:spacing w:after="0" w:line="24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 ]</w:t>
            </w:r>
          </w:p>
        </w:tc>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8"/>
              </w:rPr>
              <w:t>Rule 13d-1(b)</w:t>
            </w:r>
          </w:p>
        </w:tc>
      </w:tr>
      <w:tr>
        <w:trPr>
          <w:trHeight w:val="216"/>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Rule 13d-1(c)</w:t>
            </w:r>
          </w:p>
        </w:tc>
      </w:tr>
      <w:tr>
        <w:trPr>
          <w:trHeight w:val="234"/>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8"/>
              </w:rPr>
              <w:t>Rule 13d-1(d)</w:t>
            </w:r>
          </w:p>
        </w:tc>
      </w:tr>
    </w:tbl>
    <w:p>
      <w:pPr>
        <w:spacing w:after="0" w:line="200" w:lineRule="exact"/>
        <w:rPr>
          <w:sz w:val="24"/>
          <w:szCs w:val="24"/>
          <w:color w:val="auto"/>
        </w:rPr>
      </w:pPr>
    </w:p>
    <w:p>
      <w:pPr>
        <w:spacing w:after="0" w:line="214"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7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Page 1 of 8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459" w:right="3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CUSIP No. 125141101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720" w:hanging="429"/>
        <w:spacing w:after="0"/>
        <w:tabs>
          <w:tab w:leader="none" w:pos="72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Names of Reporting Persons</w:t>
      </w:r>
    </w:p>
    <w:p>
      <w:pPr>
        <w:spacing w:after="0" w:line="229" w:lineRule="exact"/>
        <w:rPr>
          <w:rFonts w:ascii="Times New Roman" w:cs="Times New Roman" w:eastAsia="Times New Roman" w:hAnsi="Times New Roman"/>
          <w:sz w:val="18"/>
          <w:szCs w:val="18"/>
          <w:b w:val="1"/>
          <w:bCs w:val="1"/>
          <w:color w:val="auto"/>
        </w:rPr>
      </w:pPr>
    </w:p>
    <w:p>
      <w:pPr>
        <w:ind w:left="7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American Century Investment Management, Inc.</w:t>
      </w:r>
    </w:p>
    <w:p>
      <w:pPr>
        <w:spacing w:after="0" w:line="200" w:lineRule="exact"/>
        <w:rPr>
          <w:rFonts w:ascii="Times New Roman" w:cs="Times New Roman" w:eastAsia="Times New Roman" w:hAnsi="Times New Roman"/>
          <w:sz w:val="18"/>
          <w:szCs w:val="18"/>
          <w:b w:val="1"/>
          <w:bCs w:val="1"/>
          <w:color w:val="auto"/>
        </w:rPr>
      </w:pPr>
    </w:p>
    <w:p>
      <w:pPr>
        <w:spacing w:after="0" w:line="264" w:lineRule="exact"/>
        <w:rPr>
          <w:rFonts w:ascii="Times New Roman" w:cs="Times New Roman" w:eastAsia="Times New Roman" w:hAnsi="Times New Roman"/>
          <w:sz w:val="18"/>
          <w:szCs w:val="18"/>
          <w:b w:val="1"/>
          <w:bCs w:val="1"/>
          <w:color w:val="auto"/>
        </w:rPr>
      </w:pPr>
    </w:p>
    <w:p>
      <w:pPr>
        <w:ind w:left="720" w:hanging="429"/>
        <w:spacing w:after="0"/>
        <w:tabs>
          <w:tab w:leader="none" w:pos="72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229" w:lineRule="exact"/>
        <w:rPr>
          <w:rFonts w:ascii="Times New Roman" w:cs="Times New Roman" w:eastAsia="Times New Roman" w:hAnsi="Times New Roman"/>
          <w:sz w:val="18"/>
          <w:szCs w:val="18"/>
          <w:b w:val="1"/>
          <w:bCs w:val="1"/>
          <w:color w:val="auto"/>
        </w:rPr>
      </w:pPr>
    </w:p>
    <w:p>
      <w:pPr>
        <w:ind w:left="1280" w:hanging="386"/>
        <w:spacing w:after="0"/>
        <w:tabs>
          <w:tab w:leader="none" w:pos="128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25" w:lineRule="exact"/>
        <w:rPr>
          <w:rFonts w:ascii="Times New Roman" w:cs="Times New Roman" w:eastAsia="Times New Roman" w:hAnsi="Times New Roman"/>
          <w:sz w:val="18"/>
          <w:szCs w:val="18"/>
          <w:color w:val="auto"/>
        </w:rPr>
      </w:pPr>
    </w:p>
    <w:p>
      <w:pPr>
        <w:ind w:left="1280" w:hanging="391"/>
        <w:spacing w:after="0"/>
        <w:tabs>
          <w:tab w:leader="none" w:pos="128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0" w:lineRule="exact"/>
        <w:rPr>
          <w:rFonts w:ascii="Times New Roman" w:cs="Times New Roman" w:eastAsia="Times New Roman" w:hAnsi="Times New Roman"/>
          <w:sz w:val="18"/>
          <w:szCs w:val="18"/>
          <w:color w:val="auto"/>
        </w:rPr>
      </w:pPr>
    </w:p>
    <w:p>
      <w:pPr>
        <w:spacing w:after="0" w:line="264" w:lineRule="exact"/>
        <w:rPr>
          <w:rFonts w:ascii="Times New Roman" w:cs="Times New Roman" w:eastAsia="Times New Roman" w:hAnsi="Times New Roman"/>
          <w:sz w:val="18"/>
          <w:szCs w:val="18"/>
          <w:color w:val="auto"/>
        </w:rPr>
      </w:pPr>
    </w:p>
    <w:p>
      <w:pPr>
        <w:ind w:left="720" w:hanging="429"/>
        <w:spacing w:after="0"/>
        <w:tabs>
          <w:tab w:leader="none" w:pos="72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Use Only</w:t>
      </w: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84" w:lineRule="exact"/>
        <w:rPr>
          <w:rFonts w:ascii="Times New Roman" w:cs="Times New Roman" w:eastAsia="Times New Roman" w:hAnsi="Times New Roman"/>
          <w:sz w:val="18"/>
          <w:szCs w:val="18"/>
          <w:b w:val="1"/>
          <w:bCs w:val="1"/>
          <w:color w:val="auto"/>
        </w:rPr>
      </w:pPr>
    </w:p>
    <w:p>
      <w:pPr>
        <w:ind w:left="720" w:right="7740" w:hanging="429"/>
        <w:spacing w:after="0" w:line="537" w:lineRule="auto"/>
        <w:tabs>
          <w:tab w:leader="none" w:pos="72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Citizenship or Place of Organization </w:t>
      </w:r>
      <w:r>
        <w:rPr>
          <w:rFonts w:ascii="Times New Roman" w:cs="Times New Roman" w:eastAsia="Times New Roman" w:hAnsi="Times New Roman"/>
          <w:sz w:val="18"/>
          <w:szCs w:val="18"/>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-2270760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-1293495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-727710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80" w:type="dxa"/>
            <w:vAlign w:val="bottom"/>
          </w:tcPr>
          <w:p>
            <w:pPr>
              <w:spacing w:after="0"/>
              <w:rPr>
                <w:sz w:val="20"/>
                <w:szCs w:val="20"/>
                <w:color w:val="auto"/>
              </w:rPr>
            </w:pPr>
          </w:p>
        </w:tc>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5.</w:t>
            </w:r>
          </w:p>
        </w:tc>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1,281,136</w:t>
            </w:r>
          </w:p>
        </w:tc>
        <w:tc>
          <w:tcPr>
            <w:tcW w:w="0" w:type="dxa"/>
            <w:vAlign w:val="bottom"/>
          </w:tcPr>
          <w:p>
            <w:pPr>
              <w:spacing w:after="0"/>
              <w:rPr>
                <w:sz w:val="1"/>
                <w:szCs w:val="1"/>
                <w:color w:val="auto"/>
              </w:rPr>
            </w:pPr>
          </w:p>
        </w:tc>
      </w:tr>
      <w:tr>
        <w:trPr>
          <w:trHeight w:val="223"/>
        </w:trPr>
        <w:tc>
          <w:tcPr>
            <w:tcW w:w="1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 Shares</w:t>
            </w:r>
          </w:p>
        </w:tc>
        <w:tc>
          <w:tcPr>
            <w:tcW w:w="660" w:type="dxa"/>
            <w:vAlign w:val="bottom"/>
            <w:tcBorders>
              <w:bottom w:val="single" w:sz="8" w:color="auto"/>
            </w:tcBorders>
          </w:tcPr>
          <w:p>
            <w:pPr>
              <w:spacing w:after="0"/>
              <w:rPr>
                <w:sz w:val="19"/>
                <w:szCs w:val="19"/>
                <w:color w:val="auto"/>
              </w:rPr>
            </w:pPr>
          </w:p>
        </w:tc>
        <w:tc>
          <w:tcPr>
            <w:tcW w:w="5500" w:type="dxa"/>
            <w:vAlign w:val="bottom"/>
            <w:tcBorders>
              <w:bottom w:val="single" w:sz="8" w:color="auto"/>
            </w:tcBorders>
          </w:tcPr>
          <w:p>
            <w:pPr>
              <w:spacing w:after="0"/>
              <w:rPr>
                <w:sz w:val="19"/>
                <w:szCs w:val="19"/>
                <w:color w:val="auto"/>
              </w:rPr>
            </w:pPr>
          </w:p>
        </w:tc>
        <w:tc>
          <w:tcPr>
            <w:tcW w:w="3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980" w:type="dxa"/>
            <w:vAlign w:val="bottom"/>
            <w:vMerge w:val="continue"/>
          </w:tcPr>
          <w:p>
            <w:pPr>
              <w:spacing w:after="0"/>
              <w:rPr>
                <w:sz w:val="17"/>
                <w:szCs w:val="17"/>
                <w:color w:val="auto"/>
              </w:rPr>
            </w:pPr>
          </w:p>
        </w:tc>
        <w:tc>
          <w:tcPr>
            <w:tcW w:w="66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6.</w:t>
            </w:r>
          </w:p>
        </w:tc>
        <w:tc>
          <w:tcPr>
            <w:tcW w:w="55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3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660" w:type="dxa"/>
            <w:vAlign w:val="bottom"/>
            <w:vMerge w:val="continue"/>
          </w:tcPr>
          <w:p>
            <w:pPr>
              <w:spacing w:after="0"/>
              <w:rPr>
                <w:sz w:val="18"/>
                <w:szCs w:val="18"/>
                <w:color w:val="auto"/>
              </w:rPr>
            </w:pPr>
          </w:p>
        </w:tc>
        <w:tc>
          <w:tcPr>
            <w:tcW w:w="5500" w:type="dxa"/>
            <w:vAlign w:val="bottom"/>
            <w:vMerge w:val="continue"/>
          </w:tcPr>
          <w:p>
            <w:pPr>
              <w:spacing w:after="0"/>
              <w:rPr>
                <w:sz w:val="18"/>
                <w:szCs w:val="18"/>
                <w:color w:val="auto"/>
              </w:rPr>
            </w:pP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41"/>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660" w:type="dxa"/>
            <w:vAlign w:val="bottom"/>
            <w:tcBorders>
              <w:bottom w:val="single" w:sz="8" w:color="auto"/>
            </w:tcBorders>
          </w:tcPr>
          <w:p>
            <w:pPr>
              <w:spacing w:after="0"/>
              <w:rPr>
                <w:sz w:val="20"/>
                <w:szCs w:val="20"/>
                <w:color w:val="auto"/>
              </w:rPr>
            </w:pPr>
          </w:p>
        </w:tc>
        <w:tc>
          <w:tcPr>
            <w:tcW w:w="550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Each</w:t>
            </w:r>
          </w:p>
        </w:tc>
        <w:tc>
          <w:tcPr>
            <w:tcW w:w="66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7.</w:t>
            </w:r>
          </w:p>
        </w:tc>
        <w:tc>
          <w:tcPr>
            <w:tcW w:w="55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3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660" w:type="dxa"/>
            <w:vAlign w:val="bottom"/>
            <w:vMerge w:val="continue"/>
          </w:tcPr>
          <w:p>
            <w:pPr>
              <w:spacing w:after="0"/>
              <w:rPr>
                <w:sz w:val="18"/>
                <w:szCs w:val="18"/>
                <w:color w:val="auto"/>
              </w:rPr>
            </w:pPr>
          </w:p>
        </w:tc>
        <w:tc>
          <w:tcPr>
            <w:tcW w:w="5500" w:type="dxa"/>
            <w:vAlign w:val="bottom"/>
            <w:vMerge w:val="continue"/>
          </w:tcPr>
          <w:p>
            <w:pPr>
              <w:spacing w:after="0"/>
              <w:rPr>
                <w:sz w:val="18"/>
                <w:szCs w:val="18"/>
                <w:color w:val="auto"/>
              </w:rPr>
            </w:pP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1,306,908</w:t>
            </w:r>
          </w:p>
        </w:tc>
        <w:tc>
          <w:tcPr>
            <w:tcW w:w="0" w:type="dxa"/>
            <w:vAlign w:val="bottom"/>
          </w:tcPr>
          <w:p>
            <w:pPr>
              <w:spacing w:after="0"/>
              <w:rPr>
                <w:sz w:val="1"/>
                <w:szCs w:val="1"/>
                <w:color w:val="auto"/>
              </w:rPr>
            </w:pPr>
          </w:p>
        </w:tc>
      </w:tr>
      <w:tr>
        <w:trPr>
          <w:trHeight w:val="241"/>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Person With:</w:t>
            </w:r>
          </w:p>
        </w:tc>
        <w:tc>
          <w:tcPr>
            <w:tcW w:w="660" w:type="dxa"/>
            <w:vAlign w:val="bottom"/>
            <w:tcBorders>
              <w:bottom w:val="single" w:sz="8" w:color="auto"/>
            </w:tcBorders>
          </w:tcPr>
          <w:p>
            <w:pPr>
              <w:spacing w:after="0"/>
              <w:rPr>
                <w:sz w:val="20"/>
                <w:szCs w:val="20"/>
                <w:color w:val="auto"/>
              </w:rPr>
            </w:pPr>
          </w:p>
        </w:tc>
        <w:tc>
          <w:tcPr>
            <w:tcW w:w="550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980" w:type="dxa"/>
            <w:vAlign w:val="bottom"/>
          </w:tcPr>
          <w:p>
            <w:pPr>
              <w:spacing w:after="0"/>
              <w:rPr>
                <w:sz w:val="24"/>
                <w:szCs w:val="24"/>
                <w:color w:val="auto"/>
              </w:rPr>
            </w:pPr>
          </w:p>
        </w:tc>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8.</w:t>
            </w:r>
          </w:p>
        </w:tc>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8140" w:type="dxa"/>
            <w:vAlign w:val="bottom"/>
            <w:tcBorders>
              <w:bottom w:val="single" w:sz="8" w:color="auto"/>
            </w:tcBorders>
            <w:gridSpan w:val="3"/>
          </w:tcPr>
          <w:p>
            <w:pPr>
              <w:spacing w:after="0"/>
              <w:rPr>
                <w:sz w:val="19"/>
                <w:szCs w:val="19"/>
                <w:color w:val="auto"/>
              </w:rPr>
            </w:pPr>
          </w:p>
        </w:tc>
        <w:tc>
          <w:tcPr>
            <w:tcW w:w="3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814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9.   Aggregate Amount Beneficially Owned by Each Reporting Person</w:t>
            </w: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1,306,908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720" w:hanging="473"/>
        <w:spacing w:after="0"/>
        <w:tabs>
          <w:tab w:leader="none" w:pos="7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if the Aggregate Amount in Row (9) Excludes Certain Shares</w:t>
      </w:r>
    </w:p>
    <w:p>
      <w:pPr>
        <w:spacing w:after="0" w:line="31" w:lineRule="exact"/>
        <w:rPr>
          <w:sz w:val="20"/>
          <w:szCs w:val="20"/>
          <w:color w:val="auto"/>
        </w:rPr>
      </w:pPr>
    </w:p>
    <w:p>
      <w:pPr>
        <w:ind w:left="720"/>
        <w:spacing w:after="0"/>
        <w:tabs>
          <w:tab w:leader="none" w:pos="2380" w:val="left"/>
        </w:tabs>
        <w:rPr>
          <w:sz w:val="20"/>
          <w:szCs w:val="20"/>
          <w:color w:val="auto"/>
        </w:rPr>
      </w:pPr>
      <w:r>
        <w:rPr>
          <w:rFonts w:ascii="Times New Roman" w:cs="Times New Roman" w:eastAsia="Times New Roman" w:hAnsi="Times New Roman"/>
          <w:sz w:val="18"/>
          <w:szCs w:val="18"/>
          <w:b w:val="1"/>
          <w:bCs w:val="1"/>
          <w:color w:val="auto"/>
        </w:rPr>
        <w:t>(See Instructions) [</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w:t>
            </w:r>
          </w:p>
        </w:tc>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r>
      <w:tr>
        <w:trPr>
          <w:trHeight w:val="223"/>
        </w:trPr>
        <w:tc>
          <w:tcPr>
            <w:tcW w:w="600" w:type="dxa"/>
            <w:vAlign w:val="bottom"/>
            <w:tcBorders>
              <w:bottom w:val="single" w:sz="8" w:color="auto"/>
            </w:tcBorders>
          </w:tcPr>
          <w:p>
            <w:pPr>
              <w:spacing w:after="0"/>
              <w:rPr>
                <w:sz w:val="19"/>
                <w:szCs w:val="19"/>
                <w:color w:val="auto"/>
              </w:rPr>
            </w:pPr>
          </w:p>
        </w:tc>
        <w:tc>
          <w:tcPr>
            <w:tcW w:w="772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tcPr>
          <w:p>
            <w:pPr>
              <w:spacing w:after="0"/>
              <w:rPr>
                <w:sz w:val="19"/>
                <w:szCs w:val="19"/>
                <w:color w:val="auto"/>
              </w:rPr>
            </w:pPr>
          </w:p>
        </w:tc>
      </w:tr>
      <w:tr>
        <w:trPr>
          <w:trHeight w:val="432"/>
        </w:trPr>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w:t>
            </w:r>
          </w:p>
        </w:tc>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IA</w:t>
            </w:r>
          </w:p>
        </w:tc>
      </w:tr>
      <w:tr>
        <w:trPr>
          <w:trHeight w:val="223"/>
        </w:trPr>
        <w:tc>
          <w:tcPr>
            <w:tcW w:w="600" w:type="dxa"/>
            <w:vAlign w:val="bottom"/>
            <w:tcBorders>
              <w:bottom w:val="single" w:sz="8" w:color="auto"/>
            </w:tcBorders>
          </w:tcPr>
          <w:p>
            <w:pPr>
              <w:spacing w:after="0"/>
              <w:rPr>
                <w:sz w:val="19"/>
                <w:szCs w:val="19"/>
                <w:color w:val="auto"/>
              </w:rPr>
            </w:pPr>
          </w:p>
        </w:tc>
        <w:tc>
          <w:tcPr>
            <w:tcW w:w="772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tcPr>
          <w:p>
            <w:pPr>
              <w:spacing w:after="0"/>
              <w:rPr>
                <w:sz w:val="19"/>
                <w:szCs w:val="19"/>
                <w:color w:val="auto"/>
              </w:rPr>
            </w:pPr>
          </w:p>
        </w:tc>
      </w:tr>
      <w:tr>
        <w:trPr>
          <w:trHeight w:val="432"/>
        </w:trPr>
        <w:tc>
          <w:tcPr>
            <w:tcW w:w="600" w:type="dxa"/>
            <w:vAlign w:val="bottom"/>
          </w:tcPr>
          <w:p>
            <w:pPr>
              <w:spacing w:after="0"/>
              <w:rPr>
                <w:sz w:val="24"/>
                <w:szCs w:val="24"/>
                <w:color w:val="auto"/>
              </w:rPr>
            </w:pPr>
          </w:p>
        </w:tc>
        <w:tc>
          <w:tcPr>
            <w:tcW w:w="7720" w:type="dxa"/>
            <w:vAlign w:val="bottom"/>
          </w:tcPr>
          <w:p>
            <w:pPr>
              <w:ind w:left="3940"/>
              <w:spacing w:after="0"/>
              <w:rPr>
                <w:sz w:val="20"/>
                <w:szCs w:val="20"/>
                <w:color w:val="auto"/>
              </w:rPr>
            </w:pPr>
            <w:r>
              <w:rPr>
                <w:rFonts w:ascii="Times New Roman" w:cs="Times New Roman" w:eastAsia="Times New Roman" w:hAnsi="Times New Roman"/>
                <w:sz w:val="18"/>
                <w:szCs w:val="18"/>
                <w:b w:val="1"/>
                <w:bCs w:val="1"/>
                <w:color w:val="auto"/>
              </w:rPr>
              <w:t>Page 2 of 8 pages</w:t>
            </w:r>
          </w:p>
        </w:tc>
        <w:tc>
          <w:tcPr>
            <w:tcW w:w="2920" w:type="dxa"/>
            <w:vAlign w:val="bottom"/>
          </w:tcPr>
          <w:p>
            <w:pPr>
              <w:spacing w:after="0"/>
              <w:rPr>
                <w:sz w:val="24"/>
                <w:szCs w:val="24"/>
                <w:color w:val="auto"/>
              </w:rPr>
            </w:pPr>
          </w:p>
        </w:tc>
      </w:tr>
      <w:tr>
        <w:trPr>
          <w:trHeight w:val="183"/>
        </w:trPr>
        <w:tc>
          <w:tcPr>
            <w:tcW w:w="600" w:type="dxa"/>
            <w:vAlign w:val="bottom"/>
            <w:tcBorders>
              <w:bottom w:val="single" w:sz="8" w:color="auto"/>
            </w:tcBorders>
          </w:tcPr>
          <w:p>
            <w:pPr>
              <w:spacing w:after="0"/>
              <w:rPr>
                <w:sz w:val="15"/>
                <w:szCs w:val="15"/>
                <w:color w:val="auto"/>
              </w:rPr>
            </w:pPr>
          </w:p>
        </w:tc>
        <w:tc>
          <w:tcPr>
            <w:tcW w:w="772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tcPr>
          <w:p>
            <w:pPr>
              <w:spacing w:after="0"/>
              <w:rPr>
                <w:sz w:val="15"/>
                <w:szCs w:val="15"/>
                <w:color w:val="auto"/>
              </w:rPr>
            </w:pPr>
          </w:p>
        </w:tc>
      </w:tr>
    </w:tbl>
    <w:p>
      <w:pPr>
        <w:sectPr>
          <w:pgSz w:w="11900" w:h="16838" w:orient="portrait"/>
          <w:cols w:equalWidth="0" w:num="1">
            <w:col w:w="11240"/>
          </w:cols>
          <w:pgMar w:left="320" w:top="60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CUSIP No. 125141101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720" w:right="7980" w:hanging="429"/>
        <w:spacing w:after="0" w:line="582" w:lineRule="auto"/>
        <w:tabs>
          <w:tab w:leader="none" w:pos="720"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Names of Reporting Persons </w:t>
      </w:r>
      <w:r>
        <w:rPr>
          <w:rFonts w:ascii="Times New Roman" w:cs="Times New Roman" w:eastAsia="Times New Roman" w:hAnsi="Times New Roman"/>
          <w:sz w:val="17"/>
          <w:szCs w:val="17"/>
          <w:color w:val="auto"/>
        </w:rPr>
        <w:t>American Century Companies, Inc.</w:t>
      </w:r>
    </w:p>
    <w:p>
      <w:pPr>
        <w:spacing w:after="0" w:line="158" w:lineRule="exact"/>
        <w:rPr>
          <w:rFonts w:ascii="Times New Roman" w:cs="Times New Roman" w:eastAsia="Times New Roman" w:hAnsi="Times New Roman"/>
          <w:sz w:val="17"/>
          <w:szCs w:val="17"/>
          <w:b w:val="1"/>
          <w:bCs w:val="1"/>
          <w:color w:val="auto"/>
        </w:rPr>
      </w:pPr>
    </w:p>
    <w:p>
      <w:pPr>
        <w:ind w:left="720" w:hanging="429"/>
        <w:spacing w:after="0"/>
        <w:tabs>
          <w:tab w:leader="none" w:pos="72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229" w:lineRule="exact"/>
        <w:rPr>
          <w:rFonts w:ascii="Times New Roman" w:cs="Times New Roman" w:eastAsia="Times New Roman" w:hAnsi="Times New Roman"/>
          <w:sz w:val="18"/>
          <w:szCs w:val="18"/>
          <w:b w:val="1"/>
          <w:bCs w:val="1"/>
          <w:color w:val="auto"/>
        </w:rPr>
      </w:pPr>
    </w:p>
    <w:p>
      <w:pPr>
        <w:ind w:left="1280" w:hanging="386"/>
        <w:spacing w:after="0"/>
        <w:tabs>
          <w:tab w:leader="none" w:pos="12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25" w:lineRule="exact"/>
        <w:rPr>
          <w:rFonts w:ascii="Times New Roman" w:cs="Times New Roman" w:eastAsia="Times New Roman" w:hAnsi="Times New Roman"/>
          <w:sz w:val="18"/>
          <w:szCs w:val="18"/>
          <w:color w:val="auto"/>
        </w:rPr>
      </w:pPr>
    </w:p>
    <w:p>
      <w:pPr>
        <w:ind w:left="1280" w:hanging="391"/>
        <w:spacing w:after="0"/>
        <w:tabs>
          <w:tab w:leader="none" w:pos="12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0" w:lineRule="exact"/>
        <w:rPr>
          <w:rFonts w:ascii="Times New Roman" w:cs="Times New Roman" w:eastAsia="Times New Roman" w:hAnsi="Times New Roman"/>
          <w:sz w:val="18"/>
          <w:szCs w:val="18"/>
          <w:color w:val="auto"/>
        </w:rPr>
      </w:pPr>
    </w:p>
    <w:p>
      <w:pPr>
        <w:spacing w:after="0" w:line="264" w:lineRule="exact"/>
        <w:rPr>
          <w:rFonts w:ascii="Times New Roman" w:cs="Times New Roman" w:eastAsia="Times New Roman" w:hAnsi="Times New Roman"/>
          <w:sz w:val="18"/>
          <w:szCs w:val="18"/>
          <w:color w:val="auto"/>
        </w:rPr>
      </w:pPr>
    </w:p>
    <w:p>
      <w:pPr>
        <w:ind w:left="720" w:hanging="429"/>
        <w:spacing w:after="0"/>
        <w:tabs>
          <w:tab w:leader="none" w:pos="72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Use Only</w:t>
      </w: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84" w:lineRule="exact"/>
        <w:rPr>
          <w:rFonts w:ascii="Times New Roman" w:cs="Times New Roman" w:eastAsia="Times New Roman" w:hAnsi="Times New Roman"/>
          <w:sz w:val="18"/>
          <w:szCs w:val="18"/>
          <w:b w:val="1"/>
          <w:bCs w:val="1"/>
          <w:color w:val="auto"/>
        </w:rPr>
      </w:pPr>
    </w:p>
    <w:p>
      <w:pPr>
        <w:ind w:left="720" w:right="7740" w:hanging="429"/>
        <w:spacing w:after="0" w:line="537" w:lineRule="auto"/>
        <w:tabs>
          <w:tab w:leader="none" w:pos="72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Citizenship or Place of Organization </w:t>
      </w:r>
      <w:r>
        <w:rPr>
          <w:rFonts w:ascii="Times New Roman" w:cs="Times New Roman" w:eastAsia="Times New Roman" w:hAnsi="Times New Roman"/>
          <w:sz w:val="18"/>
          <w:szCs w:val="18"/>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-2270760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-1293495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-727710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80" w:type="dxa"/>
            <w:vAlign w:val="bottom"/>
          </w:tcPr>
          <w:p>
            <w:pPr>
              <w:spacing w:after="0"/>
              <w:rPr>
                <w:sz w:val="20"/>
                <w:szCs w:val="20"/>
                <w:color w:val="auto"/>
              </w:rPr>
            </w:pPr>
          </w:p>
        </w:tc>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5.</w:t>
            </w:r>
          </w:p>
        </w:tc>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1,281,136</w:t>
            </w:r>
          </w:p>
        </w:tc>
        <w:tc>
          <w:tcPr>
            <w:tcW w:w="0" w:type="dxa"/>
            <w:vAlign w:val="bottom"/>
          </w:tcPr>
          <w:p>
            <w:pPr>
              <w:spacing w:after="0"/>
              <w:rPr>
                <w:sz w:val="1"/>
                <w:szCs w:val="1"/>
                <w:color w:val="auto"/>
              </w:rPr>
            </w:pPr>
          </w:p>
        </w:tc>
      </w:tr>
      <w:tr>
        <w:trPr>
          <w:trHeight w:val="223"/>
        </w:trPr>
        <w:tc>
          <w:tcPr>
            <w:tcW w:w="1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 Shares</w:t>
            </w:r>
          </w:p>
        </w:tc>
        <w:tc>
          <w:tcPr>
            <w:tcW w:w="660" w:type="dxa"/>
            <w:vAlign w:val="bottom"/>
            <w:tcBorders>
              <w:bottom w:val="single" w:sz="8" w:color="auto"/>
            </w:tcBorders>
          </w:tcPr>
          <w:p>
            <w:pPr>
              <w:spacing w:after="0"/>
              <w:rPr>
                <w:sz w:val="19"/>
                <w:szCs w:val="19"/>
                <w:color w:val="auto"/>
              </w:rPr>
            </w:pPr>
          </w:p>
        </w:tc>
        <w:tc>
          <w:tcPr>
            <w:tcW w:w="5500" w:type="dxa"/>
            <w:vAlign w:val="bottom"/>
            <w:tcBorders>
              <w:bottom w:val="single" w:sz="8" w:color="auto"/>
            </w:tcBorders>
          </w:tcPr>
          <w:p>
            <w:pPr>
              <w:spacing w:after="0"/>
              <w:rPr>
                <w:sz w:val="19"/>
                <w:szCs w:val="19"/>
                <w:color w:val="auto"/>
              </w:rPr>
            </w:pPr>
          </w:p>
        </w:tc>
        <w:tc>
          <w:tcPr>
            <w:tcW w:w="3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980" w:type="dxa"/>
            <w:vAlign w:val="bottom"/>
            <w:vMerge w:val="continue"/>
          </w:tcPr>
          <w:p>
            <w:pPr>
              <w:spacing w:after="0"/>
              <w:rPr>
                <w:sz w:val="17"/>
                <w:szCs w:val="17"/>
                <w:color w:val="auto"/>
              </w:rPr>
            </w:pPr>
          </w:p>
        </w:tc>
        <w:tc>
          <w:tcPr>
            <w:tcW w:w="66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6.</w:t>
            </w:r>
          </w:p>
        </w:tc>
        <w:tc>
          <w:tcPr>
            <w:tcW w:w="55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3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660" w:type="dxa"/>
            <w:vAlign w:val="bottom"/>
            <w:vMerge w:val="continue"/>
          </w:tcPr>
          <w:p>
            <w:pPr>
              <w:spacing w:after="0"/>
              <w:rPr>
                <w:sz w:val="18"/>
                <w:szCs w:val="18"/>
                <w:color w:val="auto"/>
              </w:rPr>
            </w:pPr>
          </w:p>
        </w:tc>
        <w:tc>
          <w:tcPr>
            <w:tcW w:w="5500" w:type="dxa"/>
            <w:vAlign w:val="bottom"/>
            <w:vMerge w:val="continue"/>
          </w:tcPr>
          <w:p>
            <w:pPr>
              <w:spacing w:after="0"/>
              <w:rPr>
                <w:sz w:val="18"/>
                <w:szCs w:val="18"/>
                <w:color w:val="auto"/>
              </w:rPr>
            </w:pP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41"/>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660" w:type="dxa"/>
            <w:vAlign w:val="bottom"/>
            <w:tcBorders>
              <w:bottom w:val="single" w:sz="8" w:color="auto"/>
            </w:tcBorders>
          </w:tcPr>
          <w:p>
            <w:pPr>
              <w:spacing w:after="0"/>
              <w:rPr>
                <w:sz w:val="20"/>
                <w:szCs w:val="20"/>
                <w:color w:val="auto"/>
              </w:rPr>
            </w:pPr>
          </w:p>
        </w:tc>
        <w:tc>
          <w:tcPr>
            <w:tcW w:w="550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Each</w:t>
            </w:r>
          </w:p>
        </w:tc>
        <w:tc>
          <w:tcPr>
            <w:tcW w:w="66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7.</w:t>
            </w:r>
          </w:p>
        </w:tc>
        <w:tc>
          <w:tcPr>
            <w:tcW w:w="55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3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660" w:type="dxa"/>
            <w:vAlign w:val="bottom"/>
            <w:vMerge w:val="continue"/>
          </w:tcPr>
          <w:p>
            <w:pPr>
              <w:spacing w:after="0"/>
              <w:rPr>
                <w:sz w:val="18"/>
                <w:szCs w:val="18"/>
                <w:color w:val="auto"/>
              </w:rPr>
            </w:pPr>
          </w:p>
        </w:tc>
        <w:tc>
          <w:tcPr>
            <w:tcW w:w="5500" w:type="dxa"/>
            <w:vAlign w:val="bottom"/>
            <w:vMerge w:val="continue"/>
          </w:tcPr>
          <w:p>
            <w:pPr>
              <w:spacing w:after="0"/>
              <w:rPr>
                <w:sz w:val="18"/>
                <w:szCs w:val="18"/>
                <w:color w:val="auto"/>
              </w:rPr>
            </w:pP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1,306,908</w:t>
            </w:r>
          </w:p>
        </w:tc>
        <w:tc>
          <w:tcPr>
            <w:tcW w:w="0" w:type="dxa"/>
            <w:vAlign w:val="bottom"/>
          </w:tcPr>
          <w:p>
            <w:pPr>
              <w:spacing w:after="0"/>
              <w:rPr>
                <w:sz w:val="1"/>
                <w:szCs w:val="1"/>
                <w:color w:val="auto"/>
              </w:rPr>
            </w:pPr>
          </w:p>
        </w:tc>
      </w:tr>
      <w:tr>
        <w:trPr>
          <w:trHeight w:val="241"/>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Person With:</w:t>
            </w:r>
          </w:p>
        </w:tc>
        <w:tc>
          <w:tcPr>
            <w:tcW w:w="660" w:type="dxa"/>
            <w:vAlign w:val="bottom"/>
            <w:tcBorders>
              <w:bottom w:val="single" w:sz="8" w:color="auto"/>
            </w:tcBorders>
          </w:tcPr>
          <w:p>
            <w:pPr>
              <w:spacing w:after="0"/>
              <w:rPr>
                <w:sz w:val="20"/>
                <w:szCs w:val="20"/>
                <w:color w:val="auto"/>
              </w:rPr>
            </w:pPr>
          </w:p>
        </w:tc>
        <w:tc>
          <w:tcPr>
            <w:tcW w:w="550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980" w:type="dxa"/>
            <w:vAlign w:val="bottom"/>
          </w:tcPr>
          <w:p>
            <w:pPr>
              <w:spacing w:after="0"/>
              <w:rPr>
                <w:sz w:val="24"/>
                <w:szCs w:val="24"/>
                <w:color w:val="auto"/>
              </w:rPr>
            </w:pPr>
          </w:p>
        </w:tc>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8.</w:t>
            </w:r>
          </w:p>
        </w:tc>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8140" w:type="dxa"/>
            <w:vAlign w:val="bottom"/>
            <w:tcBorders>
              <w:bottom w:val="single" w:sz="8" w:color="auto"/>
            </w:tcBorders>
            <w:gridSpan w:val="3"/>
          </w:tcPr>
          <w:p>
            <w:pPr>
              <w:spacing w:after="0"/>
              <w:rPr>
                <w:sz w:val="19"/>
                <w:szCs w:val="19"/>
                <w:color w:val="auto"/>
              </w:rPr>
            </w:pPr>
          </w:p>
        </w:tc>
        <w:tc>
          <w:tcPr>
            <w:tcW w:w="3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814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9.   Aggregate Amount Beneficially Owned by Each Reporting Person</w:t>
            </w: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1,306,908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720" w:hanging="473"/>
        <w:spacing w:after="0"/>
        <w:tabs>
          <w:tab w:leader="none" w:pos="72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if the Aggregate Amount in Row (9) Excludes Certain Shares</w:t>
      </w:r>
    </w:p>
    <w:p>
      <w:pPr>
        <w:spacing w:after="0" w:line="31" w:lineRule="exact"/>
        <w:rPr>
          <w:sz w:val="20"/>
          <w:szCs w:val="20"/>
          <w:color w:val="auto"/>
        </w:rPr>
      </w:pPr>
    </w:p>
    <w:p>
      <w:pPr>
        <w:ind w:left="760"/>
        <w:spacing w:after="0"/>
        <w:tabs>
          <w:tab w:leader="none" w:pos="2420" w:val="left"/>
        </w:tabs>
        <w:rPr>
          <w:sz w:val="20"/>
          <w:szCs w:val="20"/>
          <w:color w:val="auto"/>
        </w:rPr>
      </w:pPr>
      <w:r>
        <w:rPr>
          <w:rFonts w:ascii="Times New Roman" w:cs="Times New Roman" w:eastAsia="Times New Roman" w:hAnsi="Times New Roman"/>
          <w:sz w:val="18"/>
          <w:szCs w:val="18"/>
          <w:b w:val="1"/>
          <w:bCs w:val="1"/>
          <w:color w:val="auto"/>
        </w:rPr>
        <w:t>(See Instructions) [</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w:t>
            </w:r>
          </w:p>
        </w:tc>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r>
      <w:tr>
        <w:trPr>
          <w:trHeight w:val="223"/>
        </w:trPr>
        <w:tc>
          <w:tcPr>
            <w:tcW w:w="600" w:type="dxa"/>
            <w:vAlign w:val="bottom"/>
            <w:tcBorders>
              <w:bottom w:val="single" w:sz="8" w:color="auto"/>
            </w:tcBorders>
          </w:tcPr>
          <w:p>
            <w:pPr>
              <w:spacing w:after="0"/>
              <w:rPr>
                <w:sz w:val="19"/>
                <w:szCs w:val="19"/>
                <w:color w:val="auto"/>
              </w:rPr>
            </w:pPr>
          </w:p>
        </w:tc>
        <w:tc>
          <w:tcPr>
            <w:tcW w:w="772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tcPr>
          <w:p>
            <w:pPr>
              <w:spacing w:after="0"/>
              <w:rPr>
                <w:sz w:val="19"/>
                <w:szCs w:val="19"/>
                <w:color w:val="auto"/>
              </w:rPr>
            </w:pPr>
          </w:p>
        </w:tc>
      </w:tr>
      <w:tr>
        <w:trPr>
          <w:trHeight w:val="432"/>
        </w:trPr>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w:t>
            </w:r>
          </w:p>
        </w:tc>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HC</w:t>
            </w:r>
          </w:p>
        </w:tc>
      </w:tr>
      <w:tr>
        <w:trPr>
          <w:trHeight w:val="223"/>
        </w:trPr>
        <w:tc>
          <w:tcPr>
            <w:tcW w:w="600" w:type="dxa"/>
            <w:vAlign w:val="bottom"/>
            <w:tcBorders>
              <w:bottom w:val="single" w:sz="8" w:color="auto"/>
            </w:tcBorders>
          </w:tcPr>
          <w:p>
            <w:pPr>
              <w:spacing w:after="0"/>
              <w:rPr>
                <w:sz w:val="19"/>
                <w:szCs w:val="19"/>
                <w:color w:val="auto"/>
              </w:rPr>
            </w:pPr>
          </w:p>
        </w:tc>
        <w:tc>
          <w:tcPr>
            <w:tcW w:w="772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tcPr>
          <w:p>
            <w:pPr>
              <w:spacing w:after="0"/>
              <w:rPr>
                <w:sz w:val="19"/>
                <w:szCs w:val="19"/>
                <w:color w:val="auto"/>
              </w:rPr>
            </w:pPr>
          </w:p>
        </w:tc>
      </w:tr>
      <w:tr>
        <w:trPr>
          <w:trHeight w:val="432"/>
        </w:trPr>
        <w:tc>
          <w:tcPr>
            <w:tcW w:w="600" w:type="dxa"/>
            <w:vAlign w:val="bottom"/>
          </w:tcPr>
          <w:p>
            <w:pPr>
              <w:spacing w:after="0"/>
              <w:rPr>
                <w:sz w:val="24"/>
                <w:szCs w:val="24"/>
                <w:color w:val="auto"/>
              </w:rPr>
            </w:pPr>
          </w:p>
        </w:tc>
        <w:tc>
          <w:tcPr>
            <w:tcW w:w="7720" w:type="dxa"/>
            <w:vAlign w:val="bottom"/>
          </w:tcPr>
          <w:p>
            <w:pPr>
              <w:ind w:left="3940"/>
              <w:spacing w:after="0"/>
              <w:rPr>
                <w:sz w:val="20"/>
                <w:szCs w:val="20"/>
                <w:color w:val="auto"/>
              </w:rPr>
            </w:pPr>
            <w:r>
              <w:rPr>
                <w:rFonts w:ascii="Times New Roman" w:cs="Times New Roman" w:eastAsia="Times New Roman" w:hAnsi="Times New Roman"/>
                <w:sz w:val="18"/>
                <w:szCs w:val="18"/>
                <w:b w:val="1"/>
                <w:bCs w:val="1"/>
                <w:color w:val="auto"/>
              </w:rPr>
              <w:t>Page 3 of 8 pages</w:t>
            </w:r>
          </w:p>
        </w:tc>
        <w:tc>
          <w:tcPr>
            <w:tcW w:w="2920" w:type="dxa"/>
            <w:vAlign w:val="bottom"/>
          </w:tcPr>
          <w:p>
            <w:pPr>
              <w:spacing w:after="0"/>
              <w:rPr>
                <w:sz w:val="24"/>
                <w:szCs w:val="24"/>
                <w:color w:val="auto"/>
              </w:rPr>
            </w:pPr>
          </w:p>
        </w:tc>
      </w:tr>
      <w:tr>
        <w:trPr>
          <w:trHeight w:val="183"/>
        </w:trPr>
        <w:tc>
          <w:tcPr>
            <w:tcW w:w="600" w:type="dxa"/>
            <w:vAlign w:val="bottom"/>
            <w:tcBorders>
              <w:bottom w:val="single" w:sz="8" w:color="auto"/>
            </w:tcBorders>
          </w:tcPr>
          <w:p>
            <w:pPr>
              <w:spacing w:after="0"/>
              <w:rPr>
                <w:sz w:val="15"/>
                <w:szCs w:val="15"/>
                <w:color w:val="auto"/>
              </w:rPr>
            </w:pPr>
          </w:p>
        </w:tc>
        <w:tc>
          <w:tcPr>
            <w:tcW w:w="772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tcPr>
          <w:p>
            <w:pPr>
              <w:spacing w:after="0"/>
              <w:rPr>
                <w:sz w:val="15"/>
                <w:szCs w:val="15"/>
                <w:color w:val="auto"/>
              </w:rPr>
            </w:pPr>
          </w:p>
        </w:tc>
      </w:tr>
    </w:tbl>
    <w:p>
      <w:pPr>
        <w:sectPr>
          <w:pgSz w:w="11900" w:h="16838" w:orient="portrait"/>
          <w:cols w:equalWidth="0" w:num="1">
            <w:col w:w="11240"/>
          </w:cols>
          <w:pgMar w:left="320" w:top="60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CUSIP No. 125141101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720" w:right="7720" w:hanging="429"/>
        <w:spacing w:after="0" w:line="582" w:lineRule="auto"/>
        <w:tabs>
          <w:tab w:leader="none" w:pos="720"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Names of Reporting Persons </w:t>
      </w:r>
      <w:r>
        <w:rPr>
          <w:rFonts w:ascii="Times New Roman" w:cs="Times New Roman" w:eastAsia="Times New Roman" w:hAnsi="Times New Roman"/>
          <w:sz w:val="17"/>
          <w:szCs w:val="17"/>
          <w:color w:val="auto"/>
        </w:rPr>
        <w:t>Stowers Institute for Medical Research</w:t>
      </w:r>
    </w:p>
    <w:p>
      <w:pPr>
        <w:spacing w:after="0" w:line="158" w:lineRule="exact"/>
        <w:rPr>
          <w:rFonts w:ascii="Times New Roman" w:cs="Times New Roman" w:eastAsia="Times New Roman" w:hAnsi="Times New Roman"/>
          <w:sz w:val="17"/>
          <w:szCs w:val="17"/>
          <w:b w:val="1"/>
          <w:bCs w:val="1"/>
          <w:color w:val="auto"/>
        </w:rPr>
      </w:pPr>
    </w:p>
    <w:p>
      <w:pPr>
        <w:ind w:left="720" w:hanging="429"/>
        <w:spacing w:after="0"/>
        <w:tabs>
          <w:tab w:leader="none" w:pos="7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229" w:lineRule="exact"/>
        <w:rPr>
          <w:rFonts w:ascii="Times New Roman" w:cs="Times New Roman" w:eastAsia="Times New Roman" w:hAnsi="Times New Roman"/>
          <w:sz w:val="18"/>
          <w:szCs w:val="18"/>
          <w:b w:val="1"/>
          <w:bCs w:val="1"/>
          <w:color w:val="auto"/>
        </w:rPr>
      </w:pPr>
    </w:p>
    <w:p>
      <w:pPr>
        <w:ind w:left="1280" w:hanging="386"/>
        <w:spacing w:after="0"/>
        <w:tabs>
          <w:tab w:leader="none" w:pos="12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25" w:lineRule="exact"/>
        <w:rPr>
          <w:rFonts w:ascii="Times New Roman" w:cs="Times New Roman" w:eastAsia="Times New Roman" w:hAnsi="Times New Roman"/>
          <w:sz w:val="18"/>
          <w:szCs w:val="18"/>
          <w:color w:val="auto"/>
        </w:rPr>
      </w:pPr>
    </w:p>
    <w:p>
      <w:pPr>
        <w:ind w:left="1280" w:hanging="391"/>
        <w:spacing w:after="0"/>
        <w:tabs>
          <w:tab w:leader="none" w:pos="12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0" w:lineRule="exact"/>
        <w:rPr>
          <w:rFonts w:ascii="Times New Roman" w:cs="Times New Roman" w:eastAsia="Times New Roman" w:hAnsi="Times New Roman"/>
          <w:sz w:val="18"/>
          <w:szCs w:val="18"/>
          <w:color w:val="auto"/>
        </w:rPr>
      </w:pPr>
    </w:p>
    <w:p>
      <w:pPr>
        <w:spacing w:after="0" w:line="264" w:lineRule="exact"/>
        <w:rPr>
          <w:rFonts w:ascii="Times New Roman" w:cs="Times New Roman" w:eastAsia="Times New Roman" w:hAnsi="Times New Roman"/>
          <w:sz w:val="18"/>
          <w:szCs w:val="18"/>
          <w:color w:val="auto"/>
        </w:rPr>
      </w:pPr>
    </w:p>
    <w:p>
      <w:pPr>
        <w:ind w:left="720" w:hanging="429"/>
        <w:spacing w:after="0"/>
        <w:tabs>
          <w:tab w:leader="none" w:pos="7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Use Only</w:t>
      </w: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84" w:lineRule="exact"/>
        <w:rPr>
          <w:rFonts w:ascii="Times New Roman" w:cs="Times New Roman" w:eastAsia="Times New Roman" w:hAnsi="Times New Roman"/>
          <w:sz w:val="18"/>
          <w:szCs w:val="18"/>
          <w:b w:val="1"/>
          <w:bCs w:val="1"/>
          <w:color w:val="auto"/>
        </w:rPr>
      </w:pPr>
    </w:p>
    <w:p>
      <w:pPr>
        <w:ind w:left="720" w:right="7740" w:hanging="429"/>
        <w:spacing w:after="0" w:line="537" w:lineRule="auto"/>
        <w:tabs>
          <w:tab w:leader="none" w:pos="7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Citizenship or Place of Organization </w:t>
      </w:r>
      <w:r>
        <w:rPr>
          <w:rFonts w:ascii="Times New Roman" w:cs="Times New Roman" w:eastAsia="Times New Roman" w:hAnsi="Times New Roman"/>
          <w:sz w:val="18"/>
          <w:szCs w:val="18"/>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-2270760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-1293495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-727710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80" w:type="dxa"/>
            <w:vAlign w:val="bottom"/>
          </w:tcPr>
          <w:p>
            <w:pPr>
              <w:spacing w:after="0"/>
              <w:rPr>
                <w:sz w:val="20"/>
                <w:szCs w:val="20"/>
                <w:color w:val="auto"/>
              </w:rPr>
            </w:pPr>
          </w:p>
        </w:tc>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5.</w:t>
            </w:r>
          </w:p>
        </w:tc>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1,281,136</w:t>
            </w:r>
          </w:p>
        </w:tc>
        <w:tc>
          <w:tcPr>
            <w:tcW w:w="0" w:type="dxa"/>
            <w:vAlign w:val="bottom"/>
          </w:tcPr>
          <w:p>
            <w:pPr>
              <w:spacing w:after="0"/>
              <w:rPr>
                <w:sz w:val="1"/>
                <w:szCs w:val="1"/>
                <w:color w:val="auto"/>
              </w:rPr>
            </w:pPr>
          </w:p>
        </w:tc>
      </w:tr>
      <w:tr>
        <w:trPr>
          <w:trHeight w:val="223"/>
        </w:trPr>
        <w:tc>
          <w:tcPr>
            <w:tcW w:w="1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 Shares</w:t>
            </w:r>
          </w:p>
        </w:tc>
        <w:tc>
          <w:tcPr>
            <w:tcW w:w="660" w:type="dxa"/>
            <w:vAlign w:val="bottom"/>
            <w:tcBorders>
              <w:bottom w:val="single" w:sz="8" w:color="auto"/>
            </w:tcBorders>
          </w:tcPr>
          <w:p>
            <w:pPr>
              <w:spacing w:after="0"/>
              <w:rPr>
                <w:sz w:val="19"/>
                <w:szCs w:val="19"/>
                <w:color w:val="auto"/>
              </w:rPr>
            </w:pPr>
          </w:p>
        </w:tc>
        <w:tc>
          <w:tcPr>
            <w:tcW w:w="5500" w:type="dxa"/>
            <w:vAlign w:val="bottom"/>
            <w:tcBorders>
              <w:bottom w:val="single" w:sz="8" w:color="auto"/>
            </w:tcBorders>
          </w:tcPr>
          <w:p>
            <w:pPr>
              <w:spacing w:after="0"/>
              <w:rPr>
                <w:sz w:val="19"/>
                <w:szCs w:val="19"/>
                <w:color w:val="auto"/>
              </w:rPr>
            </w:pPr>
          </w:p>
        </w:tc>
        <w:tc>
          <w:tcPr>
            <w:tcW w:w="3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980" w:type="dxa"/>
            <w:vAlign w:val="bottom"/>
            <w:vMerge w:val="continue"/>
          </w:tcPr>
          <w:p>
            <w:pPr>
              <w:spacing w:after="0"/>
              <w:rPr>
                <w:sz w:val="17"/>
                <w:szCs w:val="17"/>
                <w:color w:val="auto"/>
              </w:rPr>
            </w:pPr>
          </w:p>
        </w:tc>
        <w:tc>
          <w:tcPr>
            <w:tcW w:w="66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6.</w:t>
            </w:r>
          </w:p>
        </w:tc>
        <w:tc>
          <w:tcPr>
            <w:tcW w:w="55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3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660" w:type="dxa"/>
            <w:vAlign w:val="bottom"/>
            <w:vMerge w:val="continue"/>
          </w:tcPr>
          <w:p>
            <w:pPr>
              <w:spacing w:after="0"/>
              <w:rPr>
                <w:sz w:val="18"/>
                <w:szCs w:val="18"/>
                <w:color w:val="auto"/>
              </w:rPr>
            </w:pPr>
          </w:p>
        </w:tc>
        <w:tc>
          <w:tcPr>
            <w:tcW w:w="5500" w:type="dxa"/>
            <w:vAlign w:val="bottom"/>
            <w:vMerge w:val="continue"/>
          </w:tcPr>
          <w:p>
            <w:pPr>
              <w:spacing w:after="0"/>
              <w:rPr>
                <w:sz w:val="18"/>
                <w:szCs w:val="18"/>
                <w:color w:val="auto"/>
              </w:rPr>
            </w:pP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41"/>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660" w:type="dxa"/>
            <w:vAlign w:val="bottom"/>
            <w:tcBorders>
              <w:bottom w:val="single" w:sz="8" w:color="auto"/>
            </w:tcBorders>
          </w:tcPr>
          <w:p>
            <w:pPr>
              <w:spacing w:after="0"/>
              <w:rPr>
                <w:sz w:val="20"/>
                <w:szCs w:val="20"/>
                <w:color w:val="auto"/>
              </w:rPr>
            </w:pPr>
          </w:p>
        </w:tc>
        <w:tc>
          <w:tcPr>
            <w:tcW w:w="550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Each</w:t>
            </w:r>
          </w:p>
        </w:tc>
        <w:tc>
          <w:tcPr>
            <w:tcW w:w="66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7.</w:t>
            </w:r>
          </w:p>
        </w:tc>
        <w:tc>
          <w:tcPr>
            <w:tcW w:w="55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3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660" w:type="dxa"/>
            <w:vAlign w:val="bottom"/>
            <w:vMerge w:val="continue"/>
          </w:tcPr>
          <w:p>
            <w:pPr>
              <w:spacing w:after="0"/>
              <w:rPr>
                <w:sz w:val="18"/>
                <w:szCs w:val="18"/>
                <w:color w:val="auto"/>
              </w:rPr>
            </w:pPr>
          </w:p>
        </w:tc>
        <w:tc>
          <w:tcPr>
            <w:tcW w:w="5500" w:type="dxa"/>
            <w:vAlign w:val="bottom"/>
            <w:vMerge w:val="continue"/>
          </w:tcPr>
          <w:p>
            <w:pPr>
              <w:spacing w:after="0"/>
              <w:rPr>
                <w:sz w:val="18"/>
                <w:szCs w:val="18"/>
                <w:color w:val="auto"/>
              </w:rPr>
            </w:pP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1,306,908</w:t>
            </w:r>
          </w:p>
        </w:tc>
        <w:tc>
          <w:tcPr>
            <w:tcW w:w="0" w:type="dxa"/>
            <w:vAlign w:val="bottom"/>
          </w:tcPr>
          <w:p>
            <w:pPr>
              <w:spacing w:after="0"/>
              <w:rPr>
                <w:sz w:val="1"/>
                <w:szCs w:val="1"/>
                <w:color w:val="auto"/>
              </w:rPr>
            </w:pPr>
          </w:p>
        </w:tc>
      </w:tr>
      <w:tr>
        <w:trPr>
          <w:trHeight w:val="241"/>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Person With:</w:t>
            </w:r>
          </w:p>
        </w:tc>
        <w:tc>
          <w:tcPr>
            <w:tcW w:w="660" w:type="dxa"/>
            <w:vAlign w:val="bottom"/>
            <w:tcBorders>
              <w:bottom w:val="single" w:sz="8" w:color="auto"/>
            </w:tcBorders>
          </w:tcPr>
          <w:p>
            <w:pPr>
              <w:spacing w:after="0"/>
              <w:rPr>
                <w:sz w:val="20"/>
                <w:szCs w:val="20"/>
                <w:color w:val="auto"/>
              </w:rPr>
            </w:pPr>
          </w:p>
        </w:tc>
        <w:tc>
          <w:tcPr>
            <w:tcW w:w="550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980" w:type="dxa"/>
            <w:vAlign w:val="bottom"/>
          </w:tcPr>
          <w:p>
            <w:pPr>
              <w:spacing w:after="0"/>
              <w:rPr>
                <w:sz w:val="24"/>
                <w:szCs w:val="24"/>
                <w:color w:val="auto"/>
              </w:rPr>
            </w:pPr>
          </w:p>
        </w:tc>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8.</w:t>
            </w:r>
          </w:p>
        </w:tc>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8140" w:type="dxa"/>
            <w:vAlign w:val="bottom"/>
            <w:tcBorders>
              <w:bottom w:val="single" w:sz="8" w:color="auto"/>
            </w:tcBorders>
            <w:gridSpan w:val="3"/>
          </w:tcPr>
          <w:p>
            <w:pPr>
              <w:spacing w:after="0"/>
              <w:rPr>
                <w:sz w:val="19"/>
                <w:szCs w:val="19"/>
                <w:color w:val="auto"/>
              </w:rPr>
            </w:pPr>
          </w:p>
        </w:tc>
        <w:tc>
          <w:tcPr>
            <w:tcW w:w="3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814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9.   Aggregate Amount Beneficially Owned by Each Reporting Person</w:t>
            </w: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1,306,908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720" w:hanging="473"/>
        <w:spacing w:after="0"/>
        <w:tabs>
          <w:tab w:leader="none" w:pos="7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if the Aggregate Amount in Row (9) Excludes Certain Shares</w:t>
      </w:r>
    </w:p>
    <w:p>
      <w:pPr>
        <w:spacing w:after="0" w:line="31" w:lineRule="exact"/>
        <w:rPr>
          <w:sz w:val="20"/>
          <w:szCs w:val="20"/>
          <w:color w:val="auto"/>
        </w:rPr>
      </w:pPr>
    </w:p>
    <w:p>
      <w:pPr>
        <w:ind w:left="720"/>
        <w:spacing w:after="0"/>
        <w:tabs>
          <w:tab w:leader="none" w:pos="2380" w:val="left"/>
        </w:tabs>
        <w:rPr>
          <w:sz w:val="20"/>
          <w:szCs w:val="20"/>
          <w:color w:val="auto"/>
        </w:rPr>
      </w:pPr>
      <w:r>
        <w:rPr>
          <w:rFonts w:ascii="Times New Roman" w:cs="Times New Roman" w:eastAsia="Times New Roman" w:hAnsi="Times New Roman"/>
          <w:sz w:val="18"/>
          <w:szCs w:val="18"/>
          <w:b w:val="1"/>
          <w:bCs w:val="1"/>
          <w:color w:val="auto"/>
        </w:rPr>
        <w:t>(See Instructions) [</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w:t>
            </w:r>
          </w:p>
        </w:tc>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r>
      <w:tr>
        <w:trPr>
          <w:trHeight w:val="223"/>
        </w:trPr>
        <w:tc>
          <w:tcPr>
            <w:tcW w:w="600" w:type="dxa"/>
            <w:vAlign w:val="bottom"/>
            <w:tcBorders>
              <w:bottom w:val="single" w:sz="8" w:color="auto"/>
            </w:tcBorders>
          </w:tcPr>
          <w:p>
            <w:pPr>
              <w:spacing w:after="0"/>
              <w:rPr>
                <w:sz w:val="19"/>
                <w:szCs w:val="19"/>
                <w:color w:val="auto"/>
              </w:rPr>
            </w:pPr>
          </w:p>
        </w:tc>
        <w:tc>
          <w:tcPr>
            <w:tcW w:w="772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tcPr>
          <w:p>
            <w:pPr>
              <w:spacing w:after="0"/>
              <w:rPr>
                <w:sz w:val="19"/>
                <w:szCs w:val="19"/>
                <w:color w:val="auto"/>
              </w:rPr>
            </w:pPr>
          </w:p>
        </w:tc>
      </w:tr>
      <w:tr>
        <w:trPr>
          <w:trHeight w:val="432"/>
        </w:trPr>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w:t>
            </w:r>
          </w:p>
        </w:tc>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HC</w:t>
            </w:r>
          </w:p>
        </w:tc>
      </w:tr>
      <w:tr>
        <w:trPr>
          <w:trHeight w:val="223"/>
        </w:trPr>
        <w:tc>
          <w:tcPr>
            <w:tcW w:w="600" w:type="dxa"/>
            <w:vAlign w:val="bottom"/>
            <w:tcBorders>
              <w:bottom w:val="single" w:sz="8" w:color="auto"/>
            </w:tcBorders>
          </w:tcPr>
          <w:p>
            <w:pPr>
              <w:spacing w:after="0"/>
              <w:rPr>
                <w:sz w:val="19"/>
                <w:szCs w:val="19"/>
                <w:color w:val="auto"/>
              </w:rPr>
            </w:pPr>
          </w:p>
        </w:tc>
        <w:tc>
          <w:tcPr>
            <w:tcW w:w="772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tcPr>
          <w:p>
            <w:pPr>
              <w:spacing w:after="0"/>
              <w:rPr>
                <w:sz w:val="19"/>
                <w:szCs w:val="19"/>
                <w:color w:val="auto"/>
              </w:rPr>
            </w:pPr>
          </w:p>
        </w:tc>
      </w:tr>
      <w:tr>
        <w:trPr>
          <w:trHeight w:val="432"/>
        </w:trPr>
        <w:tc>
          <w:tcPr>
            <w:tcW w:w="600" w:type="dxa"/>
            <w:vAlign w:val="bottom"/>
          </w:tcPr>
          <w:p>
            <w:pPr>
              <w:spacing w:after="0"/>
              <w:rPr>
                <w:sz w:val="24"/>
                <w:szCs w:val="24"/>
                <w:color w:val="auto"/>
              </w:rPr>
            </w:pPr>
          </w:p>
        </w:tc>
        <w:tc>
          <w:tcPr>
            <w:tcW w:w="7720" w:type="dxa"/>
            <w:vAlign w:val="bottom"/>
          </w:tcPr>
          <w:p>
            <w:pPr>
              <w:ind w:left="3940"/>
              <w:spacing w:after="0"/>
              <w:rPr>
                <w:sz w:val="20"/>
                <w:szCs w:val="20"/>
                <w:color w:val="auto"/>
              </w:rPr>
            </w:pPr>
            <w:r>
              <w:rPr>
                <w:rFonts w:ascii="Times New Roman" w:cs="Times New Roman" w:eastAsia="Times New Roman" w:hAnsi="Times New Roman"/>
                <w:sz w:val="18"/>
                <w:szCs w:val="18"/>
                <w:b w:val="1"/>
                <w:bCs w:val="1"/>
                <w:color w:val="auto"/>
              </w:rPr>
              <w:t>Page 4 of 8 pages</w:t>
            </w:r>
          </w:p>
        </w:tc>
        <w:tc>
          <w:tcPr>
            <w:tcW w:w="2920" w:type="dxa"/>
            <w:vAlign w:val="bottom"/>
          </w:tcPr>
          <w:p>
            <w:pPr>
              <w:spacing w:after="0"/>
              <w:rPr>
                <w:sz w:val="24"/>
                <w:szCs w:val="24"/>
                <w:color w:val="auto"/>
              </w:rPr>
            </w:pPr>
          </w:p>
        </w:tc>
      </w:tr>
      <w:tr>
        <w:trPr>
          <w:trHeight w:val="183"/>
        </w:trPr>
        <w:tc>
          <w:tcPr>
            <w:tcW w:w="600" w:type="dxa"/>
            <w:vAlign w:val="bottom"/>
            <w:tcBorders>
              <w:bottom w:val="single" w:sz="8" w:color="auto"/>
            </w:tcBorders>
          </w:tcPr>
          <w:p>
            <w:pPr>
              <w:spacing w:after="0"/>
              <w:rPr>
                <w:sz w:val="15"/>
                <w:szCs w:val="15"/>
                <w:color w:val="auto"/>
              </w:rPr>
            </w:pPr>
          </w:p>
        </w:tc>
        <w:tc>
          <w:tcPr>
            <w:tcW w:w="772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tcPr>
          <w:p>
            <w:pPr>
              <w:spacing w:after="0"/>
              <w:rPr>
                <w:sz w:val="15"/>
                <w:szCs w:val="15"/>
                <w:color w:val="auto"/>
              </w:rPr>
            </w:pPr>
          </w:p>
        </w:tc>
      </w:tr>
    </w:tbl>
    <w:p>
      <w:pPr>
        <w:sectPr>
          <w:pgSz w:w="11900" w:h="16838" w:orient="portrait"/>
          <w:cols w:equalWidth="0" w:num="1">
            <w:col w:w="11240"/>
          </w:cols>
          <w:pgMar w:left="320" w:top="60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225" w:lineRule="exact"/>
        <w:rPr>
          <w:sz w:val="20"/>
          <w:szCs w:val="20"/>
          <w:color w:val="auto"/>
        </w:rPr>
      </w:pPr>
    </w:p>
    <w:p>
      <w:pPr>
        <w:ind w:left="1100" w:hanging="650"/>
        <w:spacing w:after="0"/>
        <w:tabs>
          <w:tab w:leader="none" w:pos="11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Name of Issuer.</w:t>
      </w:r>
    </w:p>
    <w:p>
      <w:pPr>
        <w:spacing w:after="0" w:line="229" w:lineRule="exact"/>
        <w:rPr>
          <w:rFonts w:ascii="Times New Roman" w:cs="Times New Roman" w:eastAsia="Times New Roman" w:hAnsi="Times New Roman"/>
          <w:sz w:val="18"/>
          <w:szCs w:val="18"/>
          <w:b w:val="1"/>
          <w:bCs w:val="1"/>
          <w:color w:val="auto"/>
        </w:rPr>
      </w:pPr>
    </w:p>
    <w:p>
      <w:pPr>
        <w:ind w:left="11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CECO Environmental Corp.</w:t>
      </w:r>
    </w:p>
    <w:p>
      <w:pPr>
        <w:spacing w:after="0" w:line="200" w:lineRule="exact"/>
        <w:rPr>
          <w:rFonts w:ascii="Times New Roman" w:cs="Times New Roman" w:eastAsia="Times New Roman" w:hAnsi="Times New Roman"/>
          <w:sz w:val="18"/>
          <w:szCs w:val="18"/>
          <w:b w:val="1"/>
          <w:bCs w:val="1"/>
          <w:color w:val="auto"/>
        </w:rPr>
      </w:pPr>
    </w:p>
    <w:p>
      <w:pPr>
        <w:spacing w:after="0" w:line="237" w:lineRule="exact"/>
        <w:rPr>
          <w:rFonts w:ascii="Times New Roman" w:cs="Times New Roman" w:eastAsia="Times New Roman" w:hAnsi="Times New Roman"/>
          <w:sz w:val="18"/>
          <w:szCs w:val="18"/>
          <w:b w:val="1"/>
          <w:bCs w:val="1"/>
          <w:color w:val="auto"/>
        </w:rPr>
      </w:pPr>
    </w:p>
    <w:p>
      <w:pPr>
        <w:ind w:left="1100" w:hanging="655"/>
        <w:spacing w:after="0"/>
        <w:tabs>
          <w:tab w:leader="none" w:pos="11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Address of Issuer’s Principal Executive Offices</w:t>
      </w:r>
    </w:p>
    <w:p>
      <w:pPr>
        <w:spacing w:after="0" w:line="22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14651 North Dallas Parkway, Suite 500</w:t>
      </w:r>
    </w:p>
    <w:p>
      <w:pPr>
        <w:spacing w:after="0" w:line="2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Dallas, Texas 75254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225" w:lineRule="exact"/>
        <w:rPr>
          <w:sz w:val="20"/>
          <w:szCs w:val="20"/>
          <w:color w:val="auto"/>
        </w:rPr>
      </w:pPr>
    </w:p>
    <w:p>
      <w:pPr>
        <w:ind w:left="1100" w:hanging="650"/>
        <w:spacing w:after="0"/>
        <w:tabs>
          <w:tab w:leader="none" w:pos="110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Name of Person Filing.</w:t>
      </w:r>
    </w:p>
    <w:p>
      <w:pPr>
        <w:spacing w:after="0" w:line="229" w:lineRule="exact"/>
        <w:rPr>
          <w:rFonts w:ascii="Times New Roman" w:cs="Times New Roman" w:eastAsia="Times New Roman" w:hAnsi="Times New Roman"/>
          <w:sz w:val="18"/>
          <w:szCs w:val="18"/>
          <w:b w:val="1"/>
          <w:bCs w:val="1"/>
          <w:color w:val="auto"/>
        </w:rPr>
      </w:pPr>
    </w:p>
    <w:p>
      <w:pPr>
        <w:ind w:left="1940" w:hanging="839"/>
        <w:spacing w:after="0"/>
        <w:tabs>
          <w:tab w:leader="none" w:pos="19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American Century Investment Management, Inc.</w:t>
      </w:r>
    </w:p>
    <w:p>
      <w:pPr>
        <w:spacing w:after="0" w:line="225" w:lineRule="exact"/>
        <w:rPr>
          <w:rFonts w:ascii="Times New Roman" w:cs="Times New Roman" w:eastAsia="Times New Roman" w:hAnsi="Times New Roman"/>
          <w:sz w:val="18"/>
          <w:szCs w:val="18"/>
          <w:color w:val="auto"/>
        </w:rPr>
      </w:pPr>
    </w:p>
    <w:p>
      <w:pPr>
        <w:ind w:left="1940" w:hanging="839"/>
        <w:spacing w:after="0"/>
        <w:tabs>
          <w:tab w:leader="none" w:pos="19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American Century Companies, Inc.</w:t>
      </w:r>
    </w:p>
    <w:p>
      <w:pPr>
        <w:spacing w:after="0" w:line="225" w:lineRule="exact"/>
        <w:rPr>
          <w:rFonts w:ascii="Times New Roman" w:cs="Times New Roman" w:eastAsia="Times New Roman" w:hAnsi="Times New Roman"/>
          <w:sz w:val="18"/>
          <w:szCs w:val="18"/>
          <w:color w:val="auto"/>
        </w:rPr>
      </w:pPr>
    </w:p>
    <w:p>
      <w:pPr>
        <w:ind w:left="1940" w:hanging="839"/>
        <w:spacing w:after="0"/>
        <w:tabs>
          <w:tab w:leader="none" w:pos="19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Stowers Institute for Medical Research</w:t>
      </w:r>
    </w:p>
    <w:p>
      <w:pPr>
        <w:spacing w:after="0" w:line="200" w:lineRule="exact"/>
        <w:rPr>
          <w:rFonts w:ascii="Times New Roman" w:cs="Times New Roman" w:eastAsia="Times New Roman" w:hAnsi="Times New Roman"/>
          <w:sz w:val="18"/>
          <w:szCs w:val="18"/>
          <w:color w:val="auto"/>
        </w:rPr>
      </w:pPr>
    </w:p>
    <w:p>
      <w:pPr>
        <w:spacing w:after="0" w:line="237" w:lineRule="exact"/>
        <w:rPr>
          <w:rFonts w:ascii="Times New Roman" w:cs="Times New Roman" w:eastAsia="Times New Roman" w:hAnsi="Times New Roman"/>
          <w:sz w:val="18"/>
          <w:szCs w:val="18"/>
          <w:color w:val="auto"/>
        </w:rPr>
      </w:pPr>
    </w:p>
    <w:p>
      <w:pPr>
        <w:ind w:left="1100" w:hanging="655"/>
        <w:spacing w:after="0"/>
        <w:tabs>
          <w:tab w:leader="none" w:pos="110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Address of Principal Business Office or, if none, Residence.</w:t>
      </w:r>
    </w:p>
    <w:p>
      <w:pPr>
        <w:spacing w:after="0" w:line="229" w:lineRule="exact"/>
        <w:rPr>
          <w:rFonts w:ascii="Times New Roman" w:cs="Times New Roman" w:eastAsia="Times New Roman" w:hAnsi="Times New Roman"/>
          <w:sz w:val="18"/>
          <w:szCs w:val="18"/>
          <w:b w:val="1"/>
          <w:bCs w:val="1"/>
          <w:color w:val="auto"/>
        </w:rPr>
      </w:pPr>
    </w:p>
    <w:p>
      <w:pPr>
        <w:ind w:left="11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4500 Main Street</w:t>
      </w:r>
    </w:p>
    <w:p>
      <w:pPr>
        <w:spacing w:after="0" w:line="23" w:lineRule="exact"/>
        <w:rPr>
          <w:rFonts w:ascii="Times New Roman" w:cs="Times New Roman" w:eastAsia="Times New Roman" w:hAnsi="Times New Roman"/>
          <w:sz w:val="18"/>
          <w:szCs w:val="18"/>
          <w:b w:val="1"/>
          <w:bCs w:val="1"/>
          <w:color w:val="auto"/>
        </w:rPr>
      </w:pPr>
    </w:p>
    <w:p>
      <w:pPr>
        <w:ind w:left="1100"/>
        <w:spacing w:after="0" w:line="18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9</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Floor</w:t>
      </w:r>
    </w:p>
    <w:p>
      <w:pPr>
        <w:ind w:left="11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Kansas City, Missouri 64111</w:t>
      </w:r>
    </w:p>
    <w:p>
      <w:pPr>
        <w:spacing w:after="0" w:line="200" w:lineRule="exact"/>
        <w:rPr>
          <w:rFonts w:ascii="Times New Roman" w:cs="Times New Roman" w:eastAsia="Times New Roman" w:hAnsi="Times New Roman"/>
          <w:sz w:val="18"/>
          <w:szCs w:val="18"/>
          <w:b w:val="1"/>
          <w:bCs w:val="1"/>
          <w:color w:val="auto"/>
        </w:rPr>
      </w:pPr>
    </w:p>
    <w:p>
      <w:pPr>
        <w:spacing w:after="0" w:line="217" w:lineRule="exact"/>
        <w:rPr>
          <w:rFonts w:ascii="Times New Roman" w:cs="Times New Roman" w:eastAsia="Times New Roman" w:hAnsi="Times New Roman"/>
          <w:sz w:val="18"/>
          <w:szCs w:val="18"/>
          <w:b w:val="1"/>
          <w:bCs w:val="1"/>
          <w:color w:val="auto"/>
        </w:rPr>
      </w:pPr>
    </w:p>
    <w:p>
      <w:pPr>
        <w:ind w:left="1100" w:hanging="645"/>
        <w:spacing w:after="0"/>
        <w:tabs>
          <w:tab w:leader="none" w:pos="110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Citizenship.</w:t>
      </w:r>
    </w:p>
    <w:p>
      <w:pPr>
        <w:spacing w:after="0" w:line="229" w:lineRule="exact"/>
        <w:rPr>
          <w:rFonts w:ascii="Times New Roman" w:cs="Times New Roman" w:eastAsia="Times New Roman" w:hAnsi="Times New Roman"/>
          <w:sz w:val="18"/>
          <w:szCs w:val="18"/>
          <w:b w:val="1"/>
          <w:bCs w:val="1"/>
          <w:color w:val="auto"/>
        </w:rPr>
      </w:pPr>
    </w:p>
    <w:p>
      <w:pPr>
        <w:ind w:left="1940" w:hanging="839"/>
        <w:spacing w:after="0"/>
        <w:tabs>
          <w:tab w:leader="none" w:pos="19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225" w:lineRule="exact"/>
        <w:rPr>
          <w:rFonts w:ascii="Times New Roman" w:cs="Times New Roman" w:eastAsia="Times New Roman" w:hAnsi="Times New Roman"/>
          <w:sz w:val="18"/>
          <w:szCs w:val="18"/>
          <w:color w:val="auto"/>
        </w:rPr>
      </w:pPr>
    </w:p>
    <w:p>
      <w:pPr>
        <w:ind w:left="1940" w:hanging="839"/>
        <w:spacing w:after="0"/>
        <w:tabs>
          <w:tab w:leader="none" w:pos="19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225" w:lineRule="exact"/>
        <w:rPr>
          <w:rFonts w:ascii="Times New Roman" w:cs="Times New Roman" w:eastAsia="Times New Roman" w:hAnsi="Times New Roman"/>
          <w:sz w:val="18"/>
          <w:szCs w:val="18"/>
          <w:color w:val="auto"/>
        </w:rPr>
      </w:pPr>
    </w:p>
    <w:p>
      <w:pPr>
        <w:ind w:left="1940" w:hanging="839"/>
        <w:spacing w:after="0"/>
        <w:tabs>
          <w:tab w:leader="none" w:pos="19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200" w:lineRule="exact"/>
        <w:rPr>
          <w:rFonts w:ascii="Times New Roman" w:cs="Times New Roman" w:eastAsia="Times New Roman" w:hAnsi="Times New Roman"/>
          <w:sz w:val="18"/>
          <w:szCs w:val="18"/>
          <w:color w:val="auto"/>
        </w:rPr>
      </w:pPr>
    </w:p>
    <w:p>
      <w:pPr>
        <w:spacing w:after="0" w:line="237" w:lineRule="exact"/>
        <w:rPr>
          <w:rFonts w:ascii="Times New Roman" w:cs="Times New Roman" w:eastAsia="Times New Roman" w:hAnsi="Times New Roman"/>
          <w:sz w:val="18"/>
          <w:szCs w:val="18"/>
          <w:color w:val="auto"/>
        </w:rPr>
      </w:pPr>
    </w:p>
    <w:p>
      <w:pPr>
        <w:ind w:left="1100" w:hanging="655"/>
        <w:spacing w:after="0"/>
        <w:tabs>
          <w:tab w:leader="none" w:pos="110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Title of Class of Securities.</w:t>
      </w:r>
    </w:p>
    <w:p>
      <w:pPr>
        <w:spacing w:after="0" w:line="229" w:lineRule="exact"/>
        <w:rPr>
          <w:rFonts w:ascii="Times New Roman" w:cs="Times New Roman" w:eastAsia="Times New Roman" w:hAnsi="Times New Roman"/>
          <w:sz w:val="18"/>
          <w:szCs w:val="18"/>
          <w:b w:val="1"/>
          <w:bCs w:val="1"/>
          <w:color w:val="auto"/>
        </w:rPr>
      </w:pPr>
    </w:p>
    <w:p>
      <w:pPr>
        <w:ind w:left="11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Reference is made to the cover page of this filing.</w:t>
      </w:r>
    </w:p>
    <w:p>
      <w:pPr>
        <w:spacing w:after="0" w:line="200" w:lineRule="exact"/>
        <w:rPr>
          <w:rFonts w:ascii="Times New Roman" w:cs="Times New Roman" w:eastAsia="Times New Roman" w:hAnsi="Times New Roman"/>
          <w:sz w:val="18"/>
          <w:szCs w:val="18"/>
          <w:b w:val="1"/>
          <w:bCs w:val="1"/>
          <w:color w:val="auto"/>
        </w:rPr>
      </w:pPr>
    </w:p>
    <w:p>
      <w:pPr>
        <w:spacing w:after="0" w:line="237" w:lineRule="exact"/>
        <w:rPr>
          <w:rFonts w:ascii="Times New Roman" w:cs="Times New Roman" w:eastAsia="Times New Roman" w:hAnsi="Times New Roman"/>
          <w:sz w:val="18"/>
          <w:szCs w:val="18"/>
          <w:b w:val="1"/>
          <w:bCs w:val="1"/>
          <w:color w:val="auto"/>
        </w:rPr>
      </w:pPr>
    </w:p>
    <w:p>
      <w:pPr>
        <w:ind w:left="1100" w:hanging="645"/>
        <w:spacing w:after="0"/>
        <w:tabs>
          <w:tab w:leader="none" w:pos="110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CUSIP Number.</w:t>
      </w:r>
    </w:p>
    <w:p>
      <w:pPr>
        <w:spacing w:after="0" w:line="229" w:lineRule="exact"/>
        <w:rPr>
          <w:rFonts w:ascii="Times New Roman" w:cs="Times New Roman" w:eastAsia="Times New Roman" w:hAnsi="Times New Roman"/>
          <w:sz w:val="18"/>
          <w:szCs w:val="18"/>
          <w:b w:val="1"/>
          <w:bCs w:val="1"/>
          <w:color w:val="auto"/>
        </w:rPr>
      </w:pPr>
    </w:p>
    <w:p>
      <w:pPr>
        <w:ind w:left="11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Reference is made to the cover page of this filing.</w:t>
      </w:r>
    </w:p>
    <w:p>
      <w:pPr>
        <w:spacing w:after="0" w:line="221" w:lineRule="exact"/>
        <w:rPr>
          <w:sz w:val="20"/>
          <w:szCs w:val="20"/>
          <w:color w:val="auto"/>
        </w:rPr>
      </w:pPr>
    </w:p>
    <w:p>
      <w:pPr>
        <w:jc w:val="right"/>
        <w:ind w:right="3859"/>
        <w:spacing w:after="0"/>
        <w:rPr>
          <w:sz w:val="20"/>
          <w:szCs w:val="20"/>
          <w:color w:val="auto"/>
        </w:rPr>
      </w:pPr>
      <w:r>
        <w:rPr>
          <w:rFonts w:ascii="Times New Roman" w:cs="Times New Roman" w:eastAsia="Times New Roman" w:hAnsi="Times New Roman"/>
          <w:sz w:val="18"/>
          <w:szCs w:val="18"/>
          <w:b w:val="1"/>
          <w:bCs w:val="1"/>
          <w:color w:val="auto"/>
        </w:rPr>
        <w:t>Page 5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03" w:right="1440" w:bottom="1440" w:gutter="0" w:footer="0" w:header="0"/>
        </w:sectPr>
      </w:pPr>
    </w:p>
    <w:bookmarkStart w:id="5" w:name="page6"/>
    <w:bookmarkEnd w:id="5"/>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If this statement is filed pursuant to §§240.13d-1(b) or 240.13d-2(b) or (c), check whether the person filing is a:</w:t>
      </w:r>
    </w:p>
    <w:p>
      <w:pPr>
        <w:spacing w:after="0" w:line="229" w:lineRule="exact"/>
        <w:rPr>
          <w:sz w:val="20"/>
          <w:szCs w:val="20"/>
          <w:color w:val="auto"/>
        </w:rPr>
      </w:pPr>
    </w:p>
    <w:p>
      <w:pPr>
        <w:ind w:left="1720" w:hanging="578"/>
        <w:spacing w:after="0"/>
        <w:tabs>
          <w:tab w:leader="none" w:pos="1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American Century Investment Management, Inc. is an investment adviser in accordance with §240.13d-1(b)(1)(ii)(E).</w:t>
      </w:r>
    </w:p>
    <w:p>
      <w:pPr>
        <w:spacing w:after="0" w:line="221" w:lineRule="exact"/>
        <w:rPr>
          <w:rFonts w:ascii="Times New Roman" w:cs="Times New Roman" w:eastAsia="Times New Roman" w:hAnsi="Times New Roman"/>
          <w:sz w:val="18"/>
          <w:szCs w:val="18"/>
          <w:color w:val="auto"/>
        </w:rPr>
      </w:pPr>
    </w:p>
    <w:p>
      <w:pPr>
        <w:ind w:left="1720" w:hanging="578"/>
        <w:spacing w:after="0"/>
        <w:tabs>
          <w:tab w:leader="none" w:pos="1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American Century Companies, Inc. is a parent holding company or control person in accordance with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240.13d-1(b)(1)(ii)(G).</w:t>
      </w:r>
    </w:p>
    <w:p>
      <w:pPr>
        <w:spacing w:after="0" w:line="225" w:lineRule="exact"/>
        <w:rPr>
          <w:rFonts w:ascii="Times New Roman" w:cs="Times New Roman" w:eastAsia="Times New Roman" w:hAnsi="Times New Roman"/>
          <w:sz w:val="18"/>
          <w:szCs w:val="18"/>
          <w:color w:val="auto"/>
        </w:rPr>
      </w:pPr>
    </w:p>
    <w:p>
      <w:pPr>
        <w:ind w:left="1720" w:hanging="578"/>
        <w:spacing w:after="0"/>
        <w:tabs>
          <w:tab w:leader="none" w:pos="1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Stowers Institute for Medical Research, is a parent holding company or control person in accordance with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240.13d-1(b)(1)(ii)(G).</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104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Ownership.</w:t>
            </w:r>
          </w:p>
        </w:tc>
      </w:tr>
      <w:tr>
        <w:trPr>
          <w:trHeight w:val="432"/>
        </w:trPr>
        <w:tc>
          <w:tcPr>
            <w:tcW w:w="840" w:type="dxa"/>
            <w:vAlign w:val="bottom"/>
          </w:tcPr>
          <w:p>
            <w:pPr>
              <w:spacing w:after="0"/>
              <w:rPr>
                <w:sz w:val="24"/>
                <w:szCs w:val="24"/>
                <w:color w:val="auto"/>
              </w:rPr>
            </w:pPr>
          </w:p>
        </w:tc>
        <w:tc>
          <w:tcPr>
            <w:tcW w:w="104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Reference is made to Items 5-9 and 11 on the cover page of this filing.</w:t>
            </w:r>
          </w:p>
        </w:tc>
      </w:tr>
      <w:tr>
        <w:trPr>
          <w:trHeight w:val="648"/>
        </w:trPr>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104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Ownership of Five Percent or Less of a Class.</w:t>
            </w:r>
          </w:p>
        </w:tc>
      </w:tr>
      <w:tr>
        <w:trPr>
          <w:trHeight w:val="414"/>
        </w:trPr>
        <w:tc>
          <w:tcPr>
            <w:tcW w:w="840" w:type="dxa"/>
            <w:vAlign w:val="bottom"/>
          </w:tcPr>
          <w:p>
            <w:pPr>
              <w:spacing w:after="0"/>
              <w:rPr>
                <w:sz w:val="24"/>
                <w:szCs w:val="24"/>
                <w:color w:val="auto"/>
              </w:rPr>
            </w:pPr>
          </w:p>
        </w:tc>
        <w:tc>
          <w:tcPr>
            <w:tcW w:w="104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w:t>
            </w:r>
          </w:p>
        </w:tc>
      </w:tr>
      <w:tr>
        <w:trPr>
          <w:trHeight w:val="234"/>
        </w:trPr>
        <w:tc>
          <w:tcPr>
            <w:tcW w:w="840" w:type="dxa"/>
            <w:vAlign w:val="bottom"/>
          </w:tcPr>
          <w:p>
            <w:pPr>
              <w:spacing w:after="0"/>
              <w:rPr>
                <w:sz w:val="20"/>
                <w:szCs w:val="20"/>
                <w:color w:val="auto"/>
              </w:rPr>
            </w:pPr>
          </w:p>
        </w:tc>
        <w:tc>
          <w:tcPr>
            <w:tcW w:w="104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than five percent of the class of securities, check the following [  X  ].</w:t>
            </w:r>
          </w:p>
        </w:tc>
      </w:tr>
      <w:tr>
        <w:trPr>
          <w:trHeight w:val="648"/>
        </w:trPr>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4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Ownership of More than Five Percent on Behalf of Another Person.</w:t>
            </w:r>
          </w:p>
        </w:tc>
      </w:tr>
      <w:tr>
        <w:trPr>
          <w:trHeight w:val="414"/>
        </w:trPr>
        <w:tc>
          <w:tcPr>
            <w:tcW w:w="840" w:type="dxa"/>
            <w:vAlign w:val="bottom"/>
          </w:tcPr>
          <w:p>
            <w:pPr>
              <w:spacing w:after="0"/>
              <w:rPr>
                <w:sz w:val="24"/>
                <w:szCs w:val="24"/>
                <w:color w:val="auto"/>
              </w:rPr>
            </w:pPr>
          </w:p>
        </w:tc>
        <w:tc>
          <w:tcPr>
            <w:tcW w:w="104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Various persons, including the investment companies and separate institutional investor accounts that American Century Investment</w:t>
            </w:r>
          </w:p>
        </w:tc>
      </w:tr>
      <w:tr>
        <w:trPr>
          <w:trHeight w:val="216"/>
        </w:trPr>
        <w:tc>
          <w:tcPr>
            <w:tcW w:w="840" w:type="dxa"/>
            <w:vAlign w:val="bottom"/>
          </w:tcPr>
          <w:p>
            <w:pPr>
              <w:spacing w:after="0"/>
              <w:rPr>
                <w:sz w:val="18"/>
                <w:szCs w:val="18"/>
                <w:color w:val="auto"/>
              </w:rPr>
            </w:pPr>
          </w:p>
        </w:tc>
        <w:tc>
          <w:tcPr>
            <w:tcW w:w="104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Management, Inc. (“ACIM”) serves as investment adviser, have the right to receive or the power to direct the receipt of dividends from, or</w:t>
            </w:r>
          </w:p>
        </w:tc>
      </w:tr>
      <w:tr>
        <w:trPr>
          <w:trHeight w:val="216"/>
        </w:trPr>
        <w:tc>
          <w:tcPr>
            <w:tcW w:w="840" w:type="dxa"/>
            <w:vAlign w:val="bottom"/>
          </w:tcPr>
          <w:p>
            <w:pPr>
              <w:spacing w:after="0"/>
              <w:rPr>
                <w:sz w:val="18"/>
                <w:szCs w:val="18"/>
                <w:color w:val="auto"/>
              </w:rPr>
            </w:pPr>
          </w:p>
        </w:tc>
        <w:tc>
          <w:tcPr>
            <w:tcW w:w="104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the proceeds from the sale of, the securities that are the subject of this schedule. Except as may be otherwise indicated if this is a joint</w:t>
            </w:r>
          </w:p>
        </w:tc>
      </w:tr>
      <w:tr>
        <w:trPr>
          <w:trHeight w:val="234"/>
        </w:trPr>
        <w:tc>
          <w:tcPr>
            <w:tcW w:w="840" w:type="dxa"/>
            <w:vAlign w:val="bottom"/>
          </w:tcPr>
          <w:p>
            <w:pPr>
              <w:spacing w:after="0"/>
              <w:rPr>
                <w:sz w:val="20"/>
                <w:szCs w:val="20"/>
                <w:color w:val="auto"/>
              </w:rPr>
            </w:pPr>
          </w:p>
        </w:tc>
        <w:tc>
          <w:tcPr>
            <w:tcW w:w="104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filing, not more than 5% of the class of securities that is the subject of this schedule is owned by any one client advised by ACIM.</w:t>
            </w:r>
          </w:p>
        </w:tc>
      </w:tr>
      <w:tr>
        <w:trPr>
          <w:trHeight w:val="626"/>
        </w:trPr>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7.</w:t>
            </w:r>
          </w:p>
        </w:tc>
        <w:tc>
          <w:tcPr>
            <w:tcW w:w="104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w:t>
            </w:r>
          </w:p>
        </w:tc>
      </w:tr>
      <w:tr>
        <w:trPr>
          <w:trHeight w:val="238"/>
        </w:trPr>
        <w:tc>
          <w:tcPr>
            <w:tcW w:w="840" w:type="dxa"/>
            <w:vAlign w:val="bottom"/>
          </w:tcPr>
          <w:p>
            <w:pPr>
              <w:spacing w:after="0"/>
              <w:rPr>
                <w:sz w:val="20"/>
                <w:szCs w:val="20"/>
                <w:color w:val="auto"/>
              </w:rPr>
            </w:pPr>
          </w:p>
        </w:tc>
        <w:tc>
          <w:tcPr>
            <w:tcW w:w="104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Company or Control Person.</w:t>
            </w:r>
          </w:p>
        </w:tc>
      </w:tr>
      <w:tr>
        <w:trPr>
          <w:trHeight w:val="432"/>
        </w:trPr>
        <w:tc>
          <w:tcPr>
            <w:tcW w:w="840" w:type="dxa"/>
            <w:vAlign w:val="bottom"/>
          </w:tcPr>
          <w:p>
            <w:pPr>
              <w:spacing w:after="0"/>
              <w:rPr>
                <w:sz w:val="24"/>
                <w:szCs w:val="24"/>
                <w:color w:val="auto"/>
              </w:rPr>
            </w:pPr>
          </w:p>
        </w:tc>
        <w:tc>
          <w:tcPr>
            <w:tcW w:w="104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See attached Exhibit A.</w:t>
            </w:r>
          </w:p>
        </w:tc>
      </w:tr>
      <w:tr>
        <w:trPr>
          <w:trHeight w:val="648"/>
        </w:trPr>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104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Identification and Classification of Members of the Group.</w:t>
            </w:r>
          </w:p>
        </w:tc>
      </w:tr>
      <w:tr>
        <w:trPr>
          <w:trHeight w:val="432"/>
        </w:trPr>
        <w:tc>
          <w:tcPr>
            <w:tcW w:w="840" w:type="dxa"/>
            <w:vAlign w:val="bottom"/>
          </w:tcPr>
          <w:p>
            <w:pPr>
              <w:spacing w:after="0"/>
              <w:rPr>
                <w:sz w:val="24"/>
                <w:szCs w:val="24"/>
                <w:color w:val="auto"/>
              </w:rPr>
            </w:pPr>
          </w:p>
        </w:tc>
        <w:tc>
          <w:tcPr>
            <w:tcW w:w="104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648"/>
        </w:trPr>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w:t>
            </w:r>
          </w:p>
        </w:tc>
        <w:tc>
          <w:tcPr>
            <w:tcW w:w="104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Notice of Dissolution of Group.</w:t>
            </w:r>
          </w:p>
        </w:tc>
      </w:tr>
      <w:tr>
        <w:trPr>
          <w:trHeight w:val="432"/>
        </w:trPr>
        <w:tc>
          <w:tcPr>
            <w:tcW w:w="840" w:type="dxa"/>
            <w:vAlign w:val="bottom"/>
          </w:tcPr>
          <w:p>
            <w:pPr>
              <w:spacing w:after="0"/>
              <w:rPr>
                <w:sz w:val="24"/>
                <w:szCs w:val="24"/>
                <w:color w:val="auto"/>
              </w:rPr>
            </w:pPr>
          </w:p>
        </w:tc>
        <w:tc>
          <w:tcPr>
            <w:tcW w:w="104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432"/>
        </w:trPr>
        <w:tc>
          <w:tcPr>
            <w:tcW w:w="840" w:type="dxa"/>
            <w:vAlign w:val="bottom"/>
          </w:tcPr>
          <w:p>
            <w:pPr>
              <w:spacing w:after="0"/>
              <w:rPr>
                <w:sz w:val="24"/>
                <w:szCs w:val="24"/>
                <w:color w:val="auto"/>
              </w:rPr>
            </w:pPr>
          </w:p>
        </w:tc>
        <w:tc>
          <w:tcPr>
            <w:tcW w:w="10400" w:type="dxa"/>
            <w:vAlign w:val="bottom"/>
          </w:tcPr>
          <w:p>
            <w:pPr>
              <w:ind w:left="4120"/>
              <w:spacing w:after="0"/>
              <w:rPr>
                <w:sz w:val="20"/>
                <w:szCs w:val="20"/>
                <w:color w:val="auto"/>
              </w:rPr>
            </w:pPr>
            <w:r>
              <w:rPr>
                <w:rFonts w:ascii="Times New Roman" w:cs="Times New Roman" w:eastAsia="Times New Roman" w:hAnsi="Times New Roman"/>
                <w:sz w:val="18"/>
                <w:szCs w:val="18"/>
                <w:b w:val="1"/>
                <w:bCs w:val="1"/>
                <w:color w:val="auto"/>
              </w:rPr>
              <w:t>Page 6 of 8 pages</w:t>
            </w:r>
          </w:p>
        </w:tc>
      </w:tr>
      <w:tr>
        <w:trPr>
          <w:trHeight w:val="183"/>
        </w:trPr>
        <w:tc>
          <w:tcPr>
            <w:tcW w:w="840" w:type="dxa"/>
            <w:vAlign w:val="bottom"/>
            <w:tcBorders>
              <w:bottom w:val="single" w:sz="8" w:color="auto"/>
            </w:tcBorders>
          </w:tcPr>
          <w:p>
            <w:pPr>
              <w:spacing w:after="0"/>
              <w:rPr>
                <w:sz w:val="15"/>
                <w:szCs w:val="15"/>
                <w:color w:val="auto"/>
              </w:rPr>
            </w:pPr>
          </w:p>
        </w:tc>
        <w:tc>
          <w:tcPr>
            <w:tcW w:w="10400" w:type="dxa"/>
            <w:vAlign w:val="bottom"/>
            <w:tcBorders>
              <w:bottom w:val="single" w:sz="8" w:color="auto"/>
            </w:tcBorders>
          </w:tcPr>
          <w:p>
            <w:pPr>
              <w:spacing w:after="0"/>
              <w:rPr>
                <w:sz w:val="15"/>
                <w:szCs w:val="15"/>
                <w:color w:val="auto"/>
              </w:rPr>
            </w:pPr>
          </w:p>
        </w:tc>
      </w:tr>
    </w:tbl>
    <w:p>
      <w:pPr>
        <w:sectPr>
          <w:pgSz w:w="11900" w:h="16838" w:orient="portrait"/>
          <w:cols w:equalWidth="0" w:num="1">
            <w:col w:w="11240"/>
          </w:cols>
          <w:pgMar w:left="320" w:top="603" w:right="339" w:bottom="1440" w:gutter="0" w:footer="0" w:header="0"/>
        </w:sectPr>
      </w:pPr>
    </w:p>
    <w:bookmarkStart w:id="6" w:name="page7"/>
    <w:bookmarkEnd w:id="6"/>
    <w:p>
      <w:pPr>
        <w:spacing w:after="0"/>
        <w:tabs>
          <w:tab w:leader="none" w:pos="138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Certification</w:t>
      </w:r>
    </w:p>
    <w:p>
      <w:pPr>
        <w:spacing w:after="0" w:line="200" w:lineRule="exact"/>
        <w:rPr>
          <w:sz w:val="20"/>
          <w:szCs w:val="20"/>
          <w:color w:val="auto"/>
        </w:rPr>
      </w:pPr>
    </w:p>
    <w:p>
      <w:pPr>
        <w:spacing w:after="0" w:line="290" w:lineRule="exact"/>
        <w:rPr>
          <w:sz w:val="20"/>
          <w:szCs w:val="20"/>
          <w:color w:val="auto"/>
        </w:rPr>
      </w:pPr>
    </w:p>
    <w:p>
      <w:pPr>
        <w:ind w:right="60" w:firstLine="648"/>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37" w:lineRule="exact"/>
        <w:rPr>
          <w:sz w:val="20"/>
          <w:szCs w:val="20"/>
          <w:color w:val="auto"/>
        </w:rPr>
      </w:pPr>
    </w:p>
    <w:p>
      <w:pPr>
        <w:ind w:right="760" w:firstLine="648"/>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this 8th day of February, 2023.</w:t>
      </w:r>
    </w:p>
    <w:p>
      <w:pPr>
        <w:spacing w:after="0" w:line="242"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AMERICAN CENTURY INVESTMENT MANAGEMENT, INC. (“ACIM”)</w:t>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AMERICAN CENTURY COMPANIES, INC. (“ACC”)</w:t>
      </w:r>
    </w:p>
    <w:p>
      <w:pPr>
        <w:spacing w:after="0" w:line="200" w:lineRule="exact"/>
        <w:rPr>
          <w:sz w:val="20"/>
          <w:szCs w:val="20"/>
          <w:color w:val="auto"/>
        </w:rPr>
      </w:pPr>
    </w:p>
    <w:p>
      <w:pPr>
        <w:spacing w:after="0" w:line="241" w:lineRule="exact"/>
        <w:rPr>
          <w:sz w:val="20"/>
          <w:szCs w:val="20"/>
          <w:color w:val="auto"/>
        </w:rPr>
      </w:pPr>
    </w:p>
    <w:p>
      <w:pPr>
        <w:ind w:left="3580"/>
        <w:spacing w:after="0"/>
        <w:tabs>
          <w:tab w:leader="none" w:pos="41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John Pak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2628265</wp:posOffset>
            </wp:positionH>
            <wp:positionV relativeFrom="paragraph">
              <wp:posOffset>17145</wp:posOffset>
            </wp:positionV>
            <wp:extent cx="450913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509135" cy="17145"/>
                    </a:xfrm>
                    <a:prstGeom prst="rect">
                      <a:avLst/>
                    </a:prstGeom>
                    <a:noFill/>
                  </pic:spPr>
                </pic:pic>
              </a:graphicData>
            </a:graphic>
          </wp:anchor>
        </w:drawing>
      </w:r>
    </w:p>
    <w:p>
      <w:pPr>
        <w:spacing w:after="0" w:line="16"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John Pak</w:t>
      </w:r>
    </w:p>
    <w:p>
      <w:pPr>
        <w:spacing w:after="0" w:line="2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Senior Vice President, ACIM and ACC</w:t>
      </w:r>
    </w:p>
    <w:p>
      <w:pPr>
        <w:spacing w:after="0" w:line="207"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STOWERS INSTITUTE FOR MEDICAL RESEARCH, solely in its capacity as control entity of ACC</w:t>
      </w:r>
    </w:p>
    <w:p>
      <w:pPr>
        <w:spacing w:after="0" w:line="200" w:lineRule="exact"/>
        <w:rPr>
          <w:sz w:val="20"/>
          <w:szCs w:val="20"/>
          <w:color w:val="auto"/>
        </w:rPr>
      </w:pPr>
    </w:p>
    <w:p>
      <w:pPr>
        <w:spacing w:after="0" w:line="241" w:lineRule="exact"/>
        <w:rPr>
          <w:sz w:val="20"/>
          <w:szCs w:val="20"/>
          <w:color w:val="auto"/>
        </w:rPr>
      </w:pPr>
    </w:p>
    <w:tbl>
      <w:tblPr>
        <w:tblLayout w:type="fixed"/>
        <w:tblInd w:w="3580" w:type="dxa"/>
        <w:tblCellMar>
          <w:top w:w="0" w:type="dxa"/>
          <w:left w:w="0" w:type="dxa"/>
          <w:bottom w:w="0" w:type="dxa"/>
          <w:right w:w="0" w:type="dxa"/>
        </w:tblCellMar>
      </w:tblP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7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W. Brown</w:t>
            </w:r>
          </w:p>
        </w:tc>
      </w:tr>
      <w:tr>
        <w:trPr>
          <w:trHeight w:val="198"/>
        </w:trPr>
        <w:tc>
          <w:tcPr>
            <w:tcW w:w="560" w:type="dxa"/>
            <w:vAlign w:val="bottom"/>
          </w:tcPr>
          <w:p>
            <w:pPr>
              <w:spacing w:after="0"/>
              <w:rPr>
                <w:sz w:val="17"/>
                <w:szCs w:val="17"/>
                <w:color w:val="auto"/>
              </w:rPr>
            </w:pPr>
          </w:p>
        </w:tc>
        <w:tc>
          <w:tcPr>
            <w:tcW w:w="7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Richard W. Brown</w:t>
            </w:r>
          </w:p>
        </w:tc>
      </w:tr>
      <w:tr>
        <w:trPr>
          <w:trHeight w:val="234"/>
        </w:trPr>
        <w:tc>
          <w:tcPr>
            <w:tcW w:w="560" w:type="dxa"/>
            <w:vAlign w:val="bottom"/>
          </w:tcPr>
          <w:p>
            <w:pPr>
              <w:spacing w:after="0"/>
              <w:rPr>
                <w:sz w:val="20"/>
                <w:szCs w:val="20"/>
                <w:color w:val="auto"/>
              </w:rPr>
            </w:pPr>
          </w:p>
        </w:tc>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Chairman</w:t>
            </w:r>
          </w:p>
        </w:tc>
      </w:tr>
    </w:tbl>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SCHEDULE 13G – To be included in statements filed pursuant to Rule 13d-1(b) or 13d-2(b).</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37" w:lineRule="exact"/>
        <w:rPr>
          <w:sz w:val="20"/>
          <w:szCs w:val="20"/>
          <w:color w:val="auto"/>
        </w:rPr>
      </w:pPr>
    </w:p>
    <w:p>
      <w:pPr>
        <w:ind w:right="60" w:firstLine="648"/>
        <w:spacing w:after="0" w:line="239" w:lineRule="auto"/>
        <w:rPr>
          <w:sz w:val="20"/>
          <w:szCs w:val="20"/>
          <w:color w:val="auto"/>
        </w:rPr>
      </w:pPr>
      <w:r>
        <w:rPr>
          <w:rFonts w:ascii="Times New Roman" w:cs="Times New Roman" w:eastAsia="Times New Roman" w:hAnsi="Times New Roman"/>
          <w:sz w:val="22"/>
          <w:szCs w:val="22"/>
          <w:color w:val="auto"/>
        </w:rPr>
        <w:t>This Exhibit has been prepared to identify each subsidiary of American Century Companies, Inc. (“ACC”), which is controlled by the Stowers Institute for Medical Research, that is a beneficial owner of securities that are the subject of this schedule (the “Subject Securities”). American Century Investment Management, Inc. (“ACIM”) is a wholly-owned subsidiary of ACC and an investment adviser registered under §203 of the Investment Advisers Act of 1940.</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Page 7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7" w:name="page8"/>
    <w:bookmarkEnd w:id="7"/>
    <w:p>
      <w:pPr>
        <w:jc w:val="center"/>
        <w:ind w:right="-179"/>
        <w:spacing w:after="0"/>
        <w:rPr>
          <w:sz w:val="20"/>
          <w:szCs w:val="20"/>
          <w:color w:val="auto"/>
        </w:rPr>
      </w:pPr>
      <w:r>
        <w:rPr>
          <w:rFonts w:ascii="Times New Roman" w:cs="Times New Roman" w:eastAsia="Times New Roman" w:hAnsi="Times New Roman"/>
          <w:sz w:val="21"/>
          <w:szCs w:val="21"/>
          <w:color w:val="auto"/>
        </w:rPr>
        <w:t>SCHEDULE 13G – To be included in statements filed pursuant to Rule 13d-1(b) or 13d-2(b) and Rule 13d-1(f) (1) Agreement.</w:t>
      </w: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237" w:lineRule="exact"/>
        <w:rPr>
          <w:sz w:val="20"/>
          <w:szCs w:val="20"/>
          <w:color w:val="auto"/>
        </w:rPr>
      </w:pPr>
    </w:p>
    <w:p>
      <w:pPr>
        <w:ind w:right="40" w:firstLine="648"/>
        <w:spacing w:after="0" w:line="244" w:lineRule="auto"/>
        <w:rPr>
          <w:sz w:val="20"/>
          <w:szCs w:val="20"/>
          <w:color w:val="auto"/>
        </w:rPr>
      </w:pPr>
      <w:r>
        <w:rPr>
          <w:rFonts w:ascii="Times New Roman" w:cs="Times New Roman" w:eastAsia="Times New Roman" w:hAnsi="Times New Roman"/>
          <w:sz w:val="22"/>
          <w:szCs w:val="22"/>
          <w:color w:val="auto"/>
        </w:rPr>
        <w:t>Each of the undersigned hereby agrees and consents to the execution and joint filing on its behalf by American Century Investment Management, Inc. of this Schedule 13G respecting the beneficial ownership of the securities which are the subject of this schedule.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this 8th day of February, 2023.</w:t>
      </w:r>
    </w:p>
    <w:p>
      <w:pPr>
        <w:spacing w:after="0" w:line="242"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AMERICAN CENTURY INVESTMENT MANAGEMENT, INC. (“ACIM”)</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AMERICAN CENTURY COMPANIES, INC. (“ACC”)</w:t>
      </w:r>
    </w:p>
    <w:p>
      <w:pPr>
        <w:spacing w:after="0" w:line="200" w:lineRule="exact"/>
        <w:rPr>
          <w:sz w:val="20"/>
          <w:szCs w:val="20"/>
          <w:color w:val="auto"/>
        </w:rPr>
      </w:pPr>
    </w:p>
    <w:p>
      <w:pPr>
        <w:spacing w:after="0" w:line="241" w:lineRule="exact"/>
        <w:rPr>
          <w:sz w:val="20"/>
          <w:szCs w:val="20"/>
          <w:color w:val="auto"/>
        </w:rPr>
      </w:pPr>
    </w:p>
    <w:p>
      <w:pPr>
        <w:ind w:left="3580"/>
        <w:spacing w:after="0"/>
        <w:tabs>
          <w:tab w:leader="none" w:pos="41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John Pak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2628265</wp:posOffset>
            </wp:positionH>
            <wp:positionV relativeFrom="paragraph">
              <wp:posOffset>17145</wp:posOffset>
            </wp:positionV>
            <wp:extent cx="450913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509135" cy="17145"/>
                    </a:xfrm>
                    <a:prstGeom prst="rect">
                      <a:avLst/>
                    </a:prstGeom>
                    <a:noFill/>
                  </pic:spPr>
                </pic:pic>
              </a:graphicData>
            </a:graphic>
          </wp:anchor>
        </w:drawing>
      </w:r>
    </w:p>
    <w:p>
      <w:pPr>
        <w:spacing w:after="0" w:line="16"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John Pak</w:t>
      </w:r>
    </w:p>
    <w:p>
      <w:pPr>
        <w:spacing w:after="0" w:line="2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Senior Vice President, ACIM and ACC</w:t>
      </w:r>
    </w:p>
    <w:p>
      <w:pPr>
        <w:spacing w:after="0" w:line="207"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STOWERS INSTITUTE FOR MEDICAL RESEARCH, solely in its capacity as control entity of ACC</w:t>
      </w:r>
    </w:p>
    <w:p>
      <w:pPr>
        <w:spacing w:after="0" w:line="200" w:lineRule="exact"/>
        <w:rPr>
          <w:sz w:val="20"/>
          <w:szCs w:val="20"/>
          <w:color w:val="auto"/>
        </w:rPr>
      </w:pPr>
    </w:p>
    <w:p>
      <w:pPr>
        <w:spacing w:after="0" w:line="241" w:lineRule="exact"/>
        <w:rPr>
          <w:sz w:val="20"/>
          <w:szCs w:val="20"/>
          <w:color w:val="auto"/>
        </w:rPr>
      </w:pPr>
    </w:p>
    <w:p>
      <w:pPr>
        <w:ind w:left="3580"/>
        <w:spacing w:after="0"/>
        <w:tabs>
          <w:tab w:leader="none" w:pos="41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Richard W.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2628265</wp:posOffset>
            </wp:positionH>
            <wp:positionV relativeFrom="paragraph">
              <wp:posOffset>17145</wp:posOffset>
            </wp:positionV>
            <wp:extent cx="450913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509135" cy="17145"/>
                    </a:xfrm>
                    <a:prstGeom prst="rect">
                      <a:avLst/>
                    </a:prstGeom>
                    <a:noFill/>
                  </pic:spPr>
                </pic:pic>
              </a:graphicData>
            </a:graphic>
          </wp:anchor>
        </w:drawing>
      </w:r>
    </w:p>
    <w:p>
      <w:pPr>
        <w:spacing w:after="0" w:line="16"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Richard W. Brown</w:t>
      </w:r>
    </w:p>
    <w:p>
      <w:pPr>
        <w:spacing w:after="0" w:line="2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Chairman</w:t>
      </w:r>
    </w:p>
    <w:p>
      <w:pPr>
        <w:spacing w:after="0" w:line="2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Page 8 of 8 pages</w:t>
      </w:r>
    </w:p>
    <w:sectPr>
      <w:pgSz w:w="11900" w:h="16838" w:orient="portrait"/>
      <w:cols w:equalWidth="0" w:num="1">
        <w:col w:w="11160"/>
      </w:cols>
      <w:pgMar w:left="320" w:top="598"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lvl w:ilvl="1">
      <w:lvlJc w:val="left"/>
      <w:lvlText w:val="(%2)"/>
      <w:numFmt w:val="lowerLetter"/>
      <w:start w:val="1"/>
    </w:lvl>
  </w:abstractNum>
  <w:abstractNum w:abstractNumId="1">
    <w:nsid w:val="3D1B58BA"/>
    <w:multiLevelType w:val="hybridMultilevel"/>
    <w:lvl w:ilvl="0">
      <w:lvlJc w:val="left"/>
      <w:lvlText w:val="%1."/>
      <w:numFmt w:val="decimal"/>
      <w:start w:val="10"/>
    </w:lvl>
  </w:abstractNum>
  <w:abstractNum w:abstractNumId="2">
    <w:nsid w:val="507ED7AB"/>
    <w:multiLevelType w:val="hybridMultilevel"/>
    <w:lvl w:ilvl="0">
      <w:lvlJc w:val="left"/>
      <w:lvlText w:val="%1."/>
      <w:numFmt w:val="decimal"/>
      <w:start w:val="1"/>
    </w:lvl>
    <w:lvl w:ilvl="1">
      <w:lvlJc w:val="left"/>
      <w:lvlText w:val="(%2)"/>
      <w:numFmt w:val="lowerLetter"/>
      <w:start w:val="1"/>
    </w:lvl>
  </w:abstractNum>
  <w:abstractNum w:abstractNumId="3">
    <w:nsid w:val="2EB141F2"/>
    <w:multiLevelType w:val="hybridMultilevel"/>
    <w:lvl w:ilvl="0">
      <w:lvlJc w:val="left"/>
      <w:lvlText w:val="%1."/>
      <w:numFmt w:val="decimal"/>
      <w:start w:val="10"/>
    </w:lvl>
  </w:abstractNum>
  <w:abstractNum w:abstractNumId="4">
    <w:nsid w:val="41B71EFB"/>
    <w:multiLevelType w:val="hybridMultilevel"/>
    <w:lvl w:ilvl="0">
      <w:lvlJc w:val="left"/>
      <w:lvlText w:val="%1."/>
      <w:numFmt w:val="decimal"/>
      <w:start w:val="1"/>
    </w:lvl>
    <w:lvl w:ilvl="1">
      <w:lvlJc w:val="left"/>
      <w:lvlText w:val="(%2)"/>
      <w:numFmt w:val="lowerLetter"/>
      <w:start w:val="1"/>
    </w:lvl>
  </w:abstractNum>
  <w:abstractNum w:abstractNumId="5">
    <w:nsid w:val="79E2A9E3"/>
    <w:multiLevelType w:val="hybridMultilevel"/>
    <w:lvl w:ilvl="0">
      <w:lvlJc w:val="left"/>
      <w:lvlText w:val="%1."/>
      <w:numFmt w:val="decimal"/>
      <w:start w:val="10"/>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
    </w:lvl>
    <w:lvl w:ilvl="1">
      <w:lvlJc w:val="left"/>
      <w:lvlText w:val="(%2)"/>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2023-02-08T08:10:57Z</dcterms:created>
  <dcterms:modified xsi:type="dcterms:W3CDTF">2023-02-08T08:10:57Z</dcterms:modified>
</cp:coreProperties>
</file>