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05/09/2006</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0-7099</w:t>
      </w:r>
    </w:p>
    <w:p>
      <w:pPr>
        <w:sectPr>
          <w:pgSz w:w="11900" w:h="16838" w:orient="portrait"/>
          <w:cols w:equalWidth="0" w:num="1">
            <w:col w:w="11420"/>
          </w:cols>
          <w:pgMar w:left="240" w:top="530" w:right="239" w:bottom="1440" w:gutter="0" w:footer="0" w:header="0"/>
        </w:sectPr>
      </w:pPr>
    </w:p>
    <w:p>
      <w:pPr>
        <w:spacing w:after="0" w:line="139"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DE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13-2566064</w:t>
      </w:r>
    </w:p>
    <w:p>
      <w:pPr>
        <w:spacing w:after="0" w:line="58" w:lineRule="exact"/>
        <w:rPr>
          <w:sz w:val="24"/>
          <w:szCs w:val="24"/>
          <w:color w:val="auto"/>
        </w:rPr>
      </w:pPr>
    </w:p>
    <w:p>
      <w:pPr>
        <w:sectPr>
          <w:pgSz w:w="11900" w:h="16838" w:orient="portrait"/>
          <w:cols w:equalWidth="0" w:num="2">
            <w:col w:w="8020" w:space="720"/>
            <w:col w:w="2680"/>
          </w:cols>
          <w:pgMar w:left="240" w:top="530" w:right="239" w:bottom="1440" w:gutter="0" w:footer="0" w:header="0"/>
          <w:type w:val="continuous"/>
        </w:sectPr>
      </w:pPr>
    </w:p>
    <w:p>
      <w:pPr>
        <w:spacing w:after="0" w:line="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8"/>
          <w:szCs w:val="18"/>
          <w:b w:val="1"/>
          <w:bCs w:val="1"/>
          <w:color w:val="auto"/>
        </w:rPr>
        <w:t>(IRS Employer</w:t>
      </w:r>
    </w:p>
    <w:p>
      <w:pPr>
        <w:jc w:val="center"/>
        <w:ind w:right="1480"/>
        <w:spacing w:after="0"/>
        <w:rPr>
          <w:sz w:val="20"/>
          <w:szCs w:val="20"/>
          <w:color w:val="auto"/>
        </w:rPr>
      </w:pPr>
      <w:r>
        <w:rPr>
          <w:rFonts w:ascii="Arial" w:cs="Arial" w:eastAsia="Arial" w:hAnsi="Arial"/>
          <w:sz w:val="16"/>
          <w:szCs w:val="16"/>
          <w:b w:val="1"/>
          <w:bCs w:val="1"/>
          <w:color w:val="auto"/>
        </w:rPr>
        <w:t>Identification No.)</w:t>
      </w:r>
    </w:p>
    <w:p>
      <w:pPr>
        <w:spacing w:after="0" w:line="154" w:lineRule="exact"/>
        <w:rPr>
          <w:sz w:val="24"/>
          <w:szCs w:val="24"/>
          <w:color w:val="auto"/>
        </w:rPr>
      </w:pPr>
    </w:p>
    <w:p>
      <w:pPr>
        <w:sectPr>
          <w:pgSz w:w="11900" w:h="16838" w:orient="portrait"/>
          <w:cols w:equalWidth="0" w:num="2">
            <w:col w:w="7840" w:space="720"/>
            <w:col w:w="2860"/>
          </w:cols>
          <w:pgMar w:left="240" w:top="530"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3120 Forrer Street, Cincinnati, OH 45209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ectPr>
          <w:pgSz w:w="11900" w:h="16838" w:orient="portrait"/>
          <w:cols w:equalWidth="0" w:num="1">
            <w:col w:w="11420"/>
          </w:cols>
          <w:pgMar w:left="240" w:top="530"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(416) 593-6543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8" w:lineRule="exact"/>
        <w:rPr>
          <w:sz w:val="24"/>
          <w:szCs w:val="24"/>
          <w:color w:val="auto"/>
        </w:rPr>
      </w:pPr>
    </w:p>
    <w:p>
      <w:pPr>
        <w:ind w:right="500"/>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Written communications pursuant to Rule 425 under the Securities Act (17 CFR 230.425)</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Soliciting material pursuant to Rule 14a-12 under the Exchange Act (17 CFR 240.14a-12)</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13e-4(c) under the Exchange Act (17 CFR 240.13e-4(c))</w:t>
            </w:r>
          </w:p>
        </w:tc>
      </w:tr>
      <w:tr>
        <w:trPr>
          <w:trHeight w:val="255"/>
        </w:trPr>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140" w:type="dxa"/>
            <w:vAlign w:val="bottom"/>
          </w:tcPr>
          <w:p>
            <w:pPr>
              <w:spacing w:after="0"/>
              <w:rPr>
                <w:sz w:val="22"/>
                <w:szCs w:val="22"/>
                <w:color w:val="auto"/>
              </w:rPr>
            </w:pPr>
          </w:p>
        </w:tc>
      </w:tr>
      <w:tr>
        <w:trPr>
          <w:trHeight w:val="61"/>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Information to be included in the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4"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As disclosed on an 8-K filed June 22, 2005, on June 20, 2005, The Kirk and Blum Manufacturing Co., ("K&amp;B"), an indirectly wholly owned subsidiary of CECO Environmental Corp. ("CECO"), entered into a Restated and Amended Purchase Agreement with Trademark Property Company ("Trademark") for the sale of the Cincinnati manufacturing and corporate office facilities (the "Agreement"). Subsequently, pursuant to a Third Amendment and Assignment to the Agreement, dated as of October 20,2005 and disclosed on an 8-K filed October 26, 2005, Trademark assigned the Agreement to Millworks Town Center, LLC ("Purchaser"). Pursuant to a Fourth Amendment and Assignment to Restated and Amended Purchase Agreement, a Fifth Amendment to Restated and Amended Purchase Agreement, and a Sixth Amendment to Restated and Amended Purchase Agreement ("Sixth Amendment"), the closing of Parcel A was extended.</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Pursuant to a Seventh Amendment to Restated and Amended Purchase Agreement ("Seventh Amendment") between Purchaser and K&amp;B, dated May 9, 2006, the closing of Parcel A has been extended until May 29, 2006. K&amp;B waived the extension fee set forth in the Sixth Amendment.</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Purchaser may extend the closing of Parcel A until on or before June 12, 2006, by delivering to K&amp;B a nonrefundable, but fully applicable to the purchase price, payment of Two Hundred Thousand Dollars ($200,000.00) on or before May 26, 2006. Purchaser may further extend the closing of Parcel A until on or before June 30, 2006, by delivering to K&amp;B a nonrefundable, but fully applicable to the purchase price, payment of Two Hundred Fifty Thousand Dollars ($250,000.00) on or before June 12, 2006.</w:t>
      </w:r>
    </w:p>
    <w:p>
      <w:pPr>
        <w:spacing w:after="0" w:line="15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closing of the acquisition is still subject to various customary closing conditions. Additionally, closing is subject to certain special conditions such as the negotiation of a definitive agreement setting forth K&amp;B's post-closing possessory rights.</w:t>
      </w:r>
    </w:p>
    <w:p>
      <w:pPr>
        <w:spacing w:after="0" w:line="14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description set forth herein of the terms and conditions of the Seventh Amendment is qualified in its ent irety by reference to the full text of such agreement, which is filed with this report as Exhibit 10.1 and incorporated by reference into this Item 1.01.</w:t>
      </w:r>
    </w:p>
    <w:p>
      <w:pPr>
        <w:spacing w:after="0" w:line="14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report contains statements about the future, sometimes referred to as "forward--looking" statements. Forward-looking statements are typically identified by the use of the words "believe," "may," "should," "expect," "anticipate," "estimate," "project," "propose,""plan," "intend" and similar words and expressions. Forward--looking statements are not guarantees of completion of proposed transactions, availability of tax-free treatment, or similar matters. Forward--looking statements are subject to risks and uncertainties outside CECO's control. Actual events or results may differ materially from the forward-looking statements. For a discussion of additional contingencies and uncertainties to which information respecting future events is subject, see CECO's other SEC reports.</w:t>
      </w:r>
    </w:p>
    <w:p>
      <w:pPr>
        <w:spacing w:after="0" w:line="200" w:lineRule="exact"/>
        <w:rPr>
          <w:sz w:val="20"/>
          <w:szCs w:val="20"/>
          <w:color w:val="auto"/>
        </w:rPr>
      </w:pPr>
    </w:p>
    <w:p>
      <w:pPr>
        <w:spacing w:after="0" w:line="2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 Seventh Amendment to Restated and Amended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May 12,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Chief Financial Officer and Vice President--Finance and</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Administration</w:t>
      </w:r>
    </w:p>
    <w:p>
      <w:pPr>
        <w:sectPr>
          <w:pgSz w:w="11900" w:h="16838" w:orient="portrait"/>
          <w:cols w:equalWidth="0" w:num="1">
            <w:col w:w="11400"/>
          </w:cols>
          <w:pgMar w:left="240" w:top="131" w:right="25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81280</wp:posOffset>
            </wp:positionV>
            <wp:extent cx="133350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3500" cy="21590"/>
                    </a:xfrm>
                    <a:prstGeom prst="rect">
                      <a:avLst/>
                    </a:prstGeom>
                    <a:noFill/>
                  </pic:spPr>
                </pic:pic>
              </a:graphicData>
            </a:graphic>
          </wp:anchor>
        </w:drawing>
      </w:r>
    </w:p>
    <w:p>
      <w:pPr>
        <w:spacing w:after="0" w:line="236" w:lineRule="exact"/>
        <w:rPr>
          <w:sz w:val="20"/>
          <w:szCs w:val="20"/>
          <w:color w:val="auto"/>
        </w:rPr>
      </w:pPr>
    </w:p>
    <w:p>
      <w:pPr>
        <w:spacing w:after="0"/>
        <w:tabs>
          <w:tab w:leader="none" w:pos="1160" w:val="left"/>
        </w:tabs>
        <w:rPr>
          <w:sz w:val="20"/>
          <w:szCs w:val="20"/>
          <w:color w:val="auto"/>
        </w:rPr>
      </w:pPr>
      <w:r>
        <w:rPr>
          <w:rFonts w:ascii="Arial" w:cs="Arial" w:eastAsia="Arial" w:hAnsi="Arial"/>
          <w:sz w:val="27"/>
          <w:szCs w:val="27"/>
          <w:color w:val="auto"/>
          <w:vertAlign w:val="superscript"/>
        </w:rPr>
        <w:t>EX-10.1</w:t>
      </w:r>
      <w:r>
        <w:rPr>
          <w:sz w:val="20"/>
          <w:szCs w:val="20"/>
          <w:color w:val="auto"/>
        </w:rPr>
        <w:tab/>
      </w:r>
      <w:r>
        <w:rPr>
          <w:rFonts w:ascii="Arial" w:cs="Arial" w:eastAsia="Arial" w:hAnsi="Arial"/>
          <w:sz w:val="15"/>
          <w:szCs w:val="15"/>
          <w:color w:val="auto"/>
        </w:rPr>
        <w:t>Seventh Amendment to Purchase Agreement</w:t>
      </w:r>
    </w:p>
    <w:p>
      <w:pPr>
        <w:sectPr>
          <w:pgSz w:w="11900" w:h="16838" w:orient="portrait"/>
          <w:cols w:equalWidth="0" w:num="1">
            <w:col w:w="10219"/>
          </w:cols>
          <w:pgMar w:left="240" w:top="801" w:right="1440"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22"/>
          <w:szCs w:val="22"/>
          <w:b w:val="1"/>
          <w:bCs w:val="1"/>
          <w:color w:val="auto"/>
        </w:rPr>
        <w:t>SEVENTH 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AND AMENDED PURCHASE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This Seventh Amendment and Assignment to Restated and Amended Purchase Agreement (</w:t>
      </w:r>
      <w:r>
        <w:rPr>
          <w:rFonts w:ascii="Arial" w:cs="Arial" w:eastAsia="Arial" w:hAnsi="Arial"/>
          <w:sz w:val="19"/>
          <w:szCs w:val="19"/>
          <w:b w:val="1"/>
          <w:bCs w:val="1"/>
          <w:color w:val="auto"/>
        </w:rPr>
        <w:t>"Seventh Amendment"</w:t>
      </w:r>
      <w:r>
        <w:rPr>
          <w:rFonts w:ascii="Arial" w:cs="Arial" w:eastAsia="Arial" w:hAnsi="Arial"/>
          <w:sz w:val="19"/>
          <w:szCs w:val="19"/>
          <w:color w:val="auto"/>
        </w:rPr>
        <w:t>) is effective</w:t>
      </w:r>
    </w:p>
    <w:p>
      <w:pPr>
        <w:spacing w:after="0" w:line="54" w:lineRule="exact"/>
        <w:rPr>
          <w:sz w:val="20"/>
          <w:szCs w:val="20"/>
          <w:color w:val="auto"/>
        </w:rPr>
      </w:pPr>
    </w:p>
    <w:p>
      <w:pPr>
        <w:jc w:val="both"/>
        <w:spacing w:after="0" w:line="197" w:lineRule="auto"/>
        <w:rPr>
          <w:sz w:val="20"/>
          <w:szCs w:val="20"/>
          <w:color w:val="auto"/>
        </w:rPr>
      </w:pPr>
      <w:r>
        <w:rPr>
          <w:rFonts w:ascii="Arial" w:cs="Arial" w:eastAsia="Arial" w:hAnsi="Arial"/>
          <w:sz w:val="22"/>
          <w:szCs w:val="22"/>
          <w:color w:val="auto"/>
        </w:rPr>
        <w:t>as of the /9</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of May, 2006, between </w:t>
      </w:r>
      <w:r>
        <w:rPr>
          <w:rFonts w:ascii="Arial" w:cs="Arial" w:eastAsia="Arial" w:hAnsi="Arial"/>
          <w:sz w:val="22"/>
          <w:szCs w:val="22"/>
          <w:b w:val="1"/>
          <w:bCs w:val="1"/>
          <w:color w:val="auto"/>
        </w:rPr>
        <w:t>MILLWORKS TOWN CENTER, LLC</w:t>
      </w:r>
      <w:r>
        <w:rPr>
          <w:rFonts w:ascii="Arial" w:cs="Arial" w:eastAsia="Arial" w:hAnsi="Arial"/>
          <w:sz w:val="22"/>
          <w:szCs w:val="22"/>
          <w:color w:val="auto"/>
        </w:rPr>
        <w:t>, an Ohio limited liability company ("</w:t>
      </w:r>
      <w:r>
        <w:rPr>
          <w:rFonts w:ascii="Arial" w:cs="Arial" w:eastAsia="Arial" w:hAnsi="Arial"/>
          <w:sz w:val="22"/>
          <w:szCs w:val="22"/>
          <w:b w:val="1"/>
          <w:bCs w:val="1"/>
          <w:color w:val="auto"/>
        </w:rPr>
        <w:t>Purchaser</w:t>
      </w:r>
      <w:r>
        <w:rPr>
          <w:rFonts w:ascii="Arial" w:cs="Arial" w:eastAsia="Arial" w:hAnsi="Arial"/>
          <w:sz w:val="22"/>
          <w:szCs w:val="22"/>
          <w:color w:val="auto"/>
        </w:rPr>
        <w:t xml:space="preserve">"), and </w:t>
      </w:r>
      <w:r>
        <w:rPr>
          <w:rFonts w:ascii="Arial" w:cs="Arial" w:eastAsia="Arial" w:hAnsi="Arial"/>
          <w:sz w:val="22"/>
          <w:szCs w:val="22"/>
          <w:b w:val="1"/>
          <w:bCs w:val="1"/>
          <w:color w:val="auto"/>
        </w:rPr>
        <w:t>THE KIRK &amp; BLUM MANUFACTURING COMPANY</w:t>
      </w:r>
      <w:r>
        <w:rPr>
          <w:rFonts w:ascii="Arial" w:cs="Arial" w:eastAsia="Arial" w:hAnsi="Arial"/>
          <w:sz w:val="22"/>
          <w:szCs w:val="22"/>
          <w:color w:val="auto"/>
        </w:rPr>
        <w:t>, an Ohio corporation ("</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Seller and Trademark Property Company entered into that certain Restated and Amended Purchase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June 20, 2005, as amended by that certain First Amendment to Restated and Amended Purchase Agreement dated July 15, 2005 and the Second Amendment to Restated and Amended Purchase Agreement dated September 14, 2005; Seller, Trademark Property Company and Purchaser entered into the Third Amendment and Assignment to Restated and Amended Purchase Agreement dated October 20, 2005; Seller and Purchaser entered into the Fourth Amendment to Restated and Amended Purchase Agreement dated December 29, 2005; Seller and Purchaser entered into the Fifth Amendment to Restated and Amended Purchase Agreement dated March 1, 2006; and Seller and Purchaser entered into the Sixth Amendment to Restated and Amended Purchase Agreement dated April 21, 2006 (as amended, the "</w:t>
      </w:r>
      <w:r>
        <w:rPr>
          <w:rFonts w:ascii="Arial" w:cs="Arial" w:eastAsia="Arial" w:hAnsi="Arial"/>
          <w:sz w:val="19"/>
          <w:szCs w:val="19"/>
          <w:b w:val="1"/>
          <w:bCs w:val="1"/>
          <w:color w:val="auto"/>
        </w:rPr>
        <w:t>Agreement</w:t>
      </w:r>
      <w:r>
        <w:rPr>
          <w:rFonts w:ascii="Arial" w:cs="Arial" w:eastAsia="Arial" w:hAnsi="Arial"/>
          <w:sz w:val="19"/>
          <w:szCs w:val="19"/>
          <w:color w:val="auto"/>
        </w:rPr>
        <w:t>"), covering the sale of two (2) separate parcels of land, as more particularly described t herein (unless otherwise defined herein, all defined terms in this Seventh Amendment will have the same meaning as in the Agreement); and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Purchaser and Seller have previously agreed that the Closing of Parcel A was extended to occur on or before May 15,</w:t>
      </w:r>
      <w:r>
        <w:rPr>
          <w:rFonts w:ascii="Arial" w:cs="Arial" w:eastAsia="Arial" w:hAnsi="Arial"/>
          <w:sz w:val="22"/>
          <w:szCs w:val="22"/>
          <w:b w:val="1"/>
          <w:bCs w:val="1"/>
          <w:color w:val="auto"/>
        </w:rPr>
        <w:t xml:space="preserve"> </w:t>
      </w:r>
      <w:r>
        <w:rPr>
          <w:rFonts w:ascii="Arial" w:cs="Arial" w:eastAsia="Arial" w:hAnsi="Arial"/>
          <w:sz w:val="22"/>
          <w:szCs w:val="22"/>
          <w:color w:val="auto"/>
        </w:rPr>
        <w:t>2006;</w:t>
      </w:r>
    </w:p>
    <w:p>
      <w:pPr>
        <w:spacing w:after="0" w:line="163"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 which the parties acknowledge receiving -- Seller and Purchaser</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agree as follows:</w:t>
      </w:r>
    </w:p>
    <w:p>
      <w:pPr>
        <w:spacing w:after="0" w:line="169" w:lineRule="exact"/>
        <w:rPr>
          <w:sz w:val="20"/>
          <w:szCs w:val="20"/>
          <w:color w:val="auto"/>
        </w:rPr>
      </w:pPr>
    </w:p>
    <w:p>
      <w:pPr>
        <w:ind w:left="1280" w:hanging="408"/>
        <w:spacing w:after="0"/>
        <w:tabs>
          <w:tab w:leader="none" w:pos="1280" w:val="left"/>
        </w:tabs>
        <w:numPr>
          <w:ilvl w:val="0"/>
          <w:numId w:val="1"/>
        </w:numPr>
        <w:rPr>
          <w:rFonts w:ascii="Arial" w:cs="Arial" w:eastAsia="Arial" w:hAnsi="Arial"/>
          <w:sz w:val="19"/>
          <w:szCs w:val="19"/>
          <w:color w:val="auto"/>
        </w:rPr>
      </w:pPr>
      <w:r>
        <w:rPr>
          <w:rFonts w:ascii="Arial" w:cs="Arial" w:eastAsia="Arial" w:hAnsi="Arial"/>
          <w:sz w:val="19"/>
          <w:szCs w:val="19"/>
          <w:color w:val="auto"/>
        </w:rPr>
        <w:t>Closing of Parcel A is extended until on or before May 29, 2006, notwithstanding anything in the Agreement to the</w:t>
      </w:r>
    </w:p>
    <w:p>
      <w:pPr>
        <w:spacing w:after="0" w:line="42" w:lineRule="exact"/>
        <w:rPr>
          <w:rFonts w:ascii="Arial" w:cs="Arial" w:eastAsia="Arial" w:hAnsi="Arial"/>
          <w:sz w:val="19"/>
          <w:szCs w:val="19"/>
          <w:color w:val="auto"/>
        </w:rPr>
      </w:pPr>
    </w:p>
    <w:p>
      <w:pPr>
        <w:ind w:left="5880"/>
        <w:spacing w:after="0"/>
        <w:rPr>
          <w:rFonts w:ascii="Arial" w:cs="Arial" w:eastAsia="Arial" w:hAnsi="Arial"/>
          <w:sz w:val="19"/>
          <w:szCs w:val="19"/>
          <w:color w:val="auto"/>
        </w:rPr>
      </w:pPr>
      <w:r>
        <w:rPr>
          <w:rFonts w:ascii="Arial" w:cs="Arial" w:eastAsia="Arial" w:hAnsi="Arial"/>
          <w:sz w:val="22"/>
          <w:szCs w:val="22"/>
          <w:color w:val="auto"/>
        </w:rPr>
        <w:t>contrary.</w:t>
      </w:r>
    </w:p>
    <w:p>
      <w:pPr>
        <w:spacing w:after="0" w:line="188" w:lineRule="exact"/>
        <w:rPr>
          <w:rFonts w:ascii="Arial" w:cs="Arial" w:eastAsia="Arial" w:hAnsi="Arial"/>
          <w:sz w:val="19"/>
          <w:szCs w:val="19"/>
          <w:color w:val="auto"/>
        </w:rPr>
      </w:pPr>
    </w:p>
    <w:p>
      <w:pPr>
        <w:jc w:val="center"/>
        <w:ind w:left="1120" w:right="20" w:hanging="248"/>
        <w:spacing w:after="0" w:line="282" w:lineRule="auto"/>
        <w:tabs>
          <w:tab w:leader="none" w:pos="1109" w:val="left"/>
        </w:tabs>
        <w:numPr>
          <w:ilvl w:val="0"/>
          <w:numId w:val="1"/>
        </w:numPr>
        <w:rPr>
          <w:rFonts w:ascii="Arial" w:cs="Arial" w:eastAsia="Arial" w:hAnsi="Arial"/>
          <w:sz w:val="19"/>
          <w:szCs w:val="19"/>
          <w:color w:val="auto"/>
        </w:rPr>
      </w:pPr>
      <w:r>
        <w:rPr>
          <w:rFonts w:ascii="Arial" w:cs="Arial" w:eastAsia="Arial" w:hAnsi="Arial"/>
          <w:sz w:val="19"/>
          <w:szCs w:val="19"/>
          <w:color w:val="auto"/>
        </w:rPr>
        <w:t>Purchaser may extend Closing of Parcel A until on or before June 12, 2006 by delivering to Seller a nonrefundable, but fully applicable to the purchase price, payment of Two Hundred Thousand Dollars ($200,000.00) on or before May 26, 2006 (the "First Delayed Closing Fee"). Purchaser may further extend Closing of Parcel A until on or before June 30, 2006 by delivering to Seller an additional nonrefundable, but fully applicable to the purchase price, payment of Two Hundred Fifty Thousand Dollars ($250,000.00) on or before June 12, 2006 (the "Second Delayed Closing Fee").</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Except as specifically modified by the terms of this Seventh Amendment, all of the terms and provisions of the Agreement shall remain in full force and effect and unmodified and are hereby ratified by the parties.</w:t>
      </w:r>
    </w:p>
    <w:p>
      <w:pPr>
        <w:spacing w:after="0" w:line="17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This Agreement may be executed in any number of counterparts, each of which will be an original, and all of which -- when taken together -- will constitute one (1) document. Facsimile signatures will be treated as original signatures for all purposes hereunder.</w:t>
      </w:r>
    </w:p>
    <w:p>
      <w:pPr>
        <w:spacing w:after="0" w:line="200" w:lineRule="exact"/>
        <w:rPr>
          <w:sz w:val="20"/>
          <w:szCs w:val="20"/>
          <w:color w:val="auto"/>
        </w:rPr>
      </w:pPr>
    </w:p>
    <w:p>
      <w:pPr>
        <w:spacing w:after="0" w:line="36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blocks on following page</w:t>
      </w:r>
      <w:r>
        <w:rPr>
          <w:rFonts w:ascii="Arial" w:cs="Arial" w:eastAsia="Arial" w:hAnsi="Arial"/>
          <w:sz w:val="22"/>
          <w:szCs w:val="22"/>
          <w:color w:val="auto"/>
        </w:rPr>
        <w:t>)</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 xml:space="preserve">EFFECTIVE </w:t>
      </w:r>
      <w:r>
        <w:rPr>
          <w:rFonts w:ascii="Arial" w:cs="Arial" w:eastAsia="Arial" w:hAnsi="Arial"/>
          <w:sz w:val="22"/>
          <w:szCs w:val="22"/>
          <w:color w:val="auto"/>
        </w:rPr>
        <w:t>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PURCHASER: MILLWORKS TOWN CENTER, LLC</w:t>
      </w:r>
      <w:r>
        <w:rPr>
          <w:rFonts w:ascii="Arial" w:cs="Arial" w:eastAsia="Arial" w:hAnsi="Arial"/>
          <w:sz w:val="22"/>
          <w:szCs w:val="22"/>
          <w:color w:val="auto"/>
        </w:rPr>
        <w:t>,</w:t>
      </w:r>
    </w:p>
    <w:p>
      <w:pPr>
        <w:spacing w:after="0" w:line="212"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an Ohio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273050</wp:posOffset>
            </wp:positionV>
            <wp:extent cx="34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/s/</w:t>
      </w:r>
      <w:r>
        <w:rPr>
          <w:rFonts w:ascii="Arial" w:cs="Arial" w:eastAsia="Arial" w:hAnsi="Arial"/>
          <w:sz w:val="22"/>
          <w:szCs w:val="22"/>
          <w:u w:val="single" w:color="auto"/>
          <w:color w:val="auto"/>
        </w:rPr>
        <w:t>Kent Arnold</w:t>
      </w:r>
    </w:p>
    <w:p>
      <w:pPr>
        <w:spacing w:after="0" w:line="20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Name: /Kent Arnold/</w:t>
      </w:r>
    </w:p>
    <w:p>
      <w:pPr>
        <w:spacing w:after="0" w:line="20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/Managing Member/</w:t>
      </w:r>
    </w:p>
    <w:p>
      <w:pPr>
        <w:sectPr>
          <w:pgSz w:w="11900" w:h="16838" w:orient="portrait"/>
          <w:cols w:equalWidth="0" w:num="1">
            <w:col w:w="11420"/>
          </w:cols>
          <w:pgMar w:left="240" w:top="112" w:right="239" w:bottom="641" w:gutter="0" w:footer="0" w:header="0"/>
        </w:sectPr>
      </w:pPr>
    </w:p>
    <w:bookmarkStart w:id="4" w:name="page5"/>
    <w:bookmarkEnd w:id="4"/>
    <w:p>
      <w:pPr>
        <w:ind w:left="960"/>
        <w:spacing w:after="0"/>
        <w:rPr>
          <w:sz w:val="20"/>
          <w:szCs w:val="20"/>
          <w:color w:val="auto"/>
        </w:rPr>
      </w:pPr>
      <w:r>
        <w:rPr>
          <w:rFonts w:ascii="Arial" w:cs="Arial" w:eastAsia="Arial" w:hAnsi="Arial"/>
          <w:sz w:val="22"/>
          <w:szCs w:val="22"/>
          <w:b w:val="1"/>
          <w:bCs w:val="1"/>
          <w:color w:val="auto"/>
        </w:rPr>
        <w:t>SELLER: THE KIRK &amp; BLUM MANUFACTURING COMPANY</w:t>
      </w:r>
      <w:r>
        <w:rPr>
          <w:rFonts w:ascii="Arial" w:cs="Arial" w:eastAsia="Arial" w:hAnsi="Arial"/>
          <w:sz w:val="22"/>
          <w:szCs w:val="22"/>
          <w:color w:val="auto"/>
        </w:rPr>
        <w:t>,</w:t>
      </w:r>
    </w:p>
    <w:p>
      <w:pPr>
        <w:spacing w:after="0" w:line="212"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an Ohio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273050</wp:posOffset>
            </wp:positionV>
            <wp:extent cx="3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21"/>
          <w:szCs w:val="21"/>
          <w:color w:val="auto"/>
        </w:rPr>
        <w:t>By: /s/</w:t>
      </w:r>
      <w:r>
        <w:rPr>
          <w:rFonts w:ascii="Arial" w:cs="Arial" w:eastAsia="Arial" w:hAnsi="Arial"/>
          <w:sz w:val="21"/>
          <w:szCs w:val="21"/>
          <w:u w:val="single" w:color="auto"/>
          <w:color w:val="auto"/>
        </w:rPr>
        <w:t>Dennis W. Blazer</w:t>
      </w:r>
    </w:p>
    <w:p>
      <w:pPr>
        <w:spacing w:after="0" w:line="218"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Name: /</w:t>
      </w:r>
      <w:r>
        <w:rPr>
          <w:rFonts w:ascii="Arial" w:cs="Arial" w:eastAsia="Arial" w:hAnsi="Arial"/>
          <w:sz w:val="19"/>
          <w:szCs w:val="19"/>
          <w:u w:val="single" w:color="auto"/>
          <w:color w:val="auto"/>
        </w:rPr>
        <w:t>Dennis W. Blazer/</w:t>
      </w:r>
    </w:p>
    <w:p>
      <w:pPr>
        <w:spacing w:after="0" w:line="24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273050</wp:posOffset>
            </wp:positionV>
            <wp:extent cx="34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sectPr>
      <w:pgSz w:w="11900" w:h="16838" w:orient="portrait"/>
      <w:cols w:equalWidth="0" w:num="1">
        <w:col w:w="9019"/>
      </w:cols>
      <w:pgMar w:left="1440" w:top="5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2020-02-09T08:16:15Z</dcterms:created>
  <dcterms:modified xsi:type="dcterms:W3CDTF">2020-02-09T08:16:15Z</dcterms:modified>
</cp:coreProperties>
</file>