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256540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227330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218440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2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2" w:lineRule="exact"/>
        <w:rPr>
          <w:rFonts w:ascii="MS PGothic" w:cs="MS PGothic" w:eastAsia="MS PGothic" w:hAnsi="MS PGothic"/>
          <w:sz w:val="18"/>
          <w:szCs w:val="18"/>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3208655</wp:posOffset>
            </wp:positionH>
            <wp:positionV relativeFrom="paragraph">
              <wp:posOffset>245745</wp:posOffset>
            </wp:positionV>
            <wp:extent cx="84772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772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0"/>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0"/>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right="280" w:hanging="431"/>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100" w:hanging="431"/>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660" w:hanging="450"/>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2" w:lineRule="exact"/>
        <w:rPr>
          <w:rFonts w:ascii="MS PGothic" w:cs="MS PGothic" w:eastAsia="MS PGothic" w:hAnsi="MS PGothic"/>
          <w:sz w:val="18"/>
          <w:szCs w:val="18"/>
          <w:color w:val="auto"/>
        </w:rPr>
      </w:pPr>
    </w:p>
    <w:p>
      <w:pPr>
        <w:ind w:left="660" w:hanging="450"/>
        <w:spacing w:after="0" w:line="307"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-2792095</wp:posOffset>
            </wp:positionV>
            <wp:extent cx="642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-2346325</wp:posOffset>
            </wp:positionV>
            <wp:extent cx="642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-1764030</wp:posOffset>
            </wp:positionV>
            <wp:extent cx="642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-1318895</wp:posOffset>
            </wp:positionV>
            <wp:extent cx="642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-873125</wp:posOffset>
            </wp:positionV>
            <wp:extent cx="6424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4295" cy="8255"/>
                    </a:xfrm>
                    <a:prstGeom prst="rect">
                      <a:avLst/>
                    </a:prstGeom>
                    <a:noFill/>
                  </pic:spPr>
                </pic:pic>
              </a:graphicData>
            </a:graphic>
          </wp:anchor>
        </w:drawing>
      </w:r>
    </w:p>
    <w:p>
      <w:pPr>
        <w:sectPr>
          <w:pgSz w:w="11900" w:h="16838" w:orient="portrait"/>
          <w:cols w:equalWidth="0" w:num="1">
            <w:col w:w="11180"/>
          </w:cols>
          <w:pgMar w:left="240" w:top="230" w:right="479" w:bottom="513" w:gutter="0" w:footer="0" w:header="0"/>
        </w:sectPr>
      </w:pPr>
    </w:p>
    <w:bookmarkStart w:id="1" w:name="page2"/>
    <w:bookmarkEnd w:id="1"/>
    <w:p>
      <w:pPr>
        <w:ind w:left="431" w:hanging="431"/>
        <w:spacing w:after="0"/>
        <w:tabs>
          <w:tab w:leader="none" w:pos="43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431" w:hanging="431"/>
        <w:spacing w:after="0"/>
        <w:tabs>
          <w:tab w:leader="none" w:pos="43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7" w:lineRule="exact"/>
        <w:rPr>
          <w:rFonts w:ascii="Arial" w:cs="Arial" w:eastAsia="Arial" w:hAnsi="Arial"/>
          <w:sz w:val="16"/>
          <w:szCs w:val="16"/>
          <w:color w:val="auto"/>
        </w:rPr>
      </w:pPr>
    </w:p>
    <w:p>
      <w:pPr>
        <w:ind w:left="431" w:hanging="431"/>
        <w:spacing w:after="0"/>
        <w:tabs>
          <w:tab w:leader="none" w:pos="43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431" w:hanging="431"/>
        <w:spacing w:after="0"/>
        <w:tabs>
          <w:tab w:leader="none" w:pos="4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-1029970</wp:posOffset>
            </wp:positionV>
            <wp:extent cx="642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-584200</wp:posOffset>
            </wp:positionV>
            <wp:extent cx="642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-139065</wp:posOffset>
            </wp:positionV>
            <wp:extent cx="642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306070</wp:posOffset>
            </wp:positionV>
            <wp:extent cx="642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485775</wp:posOffset>
            </wp:positionV>
            <wp:extent cx="6989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528955</wp:posOffset>
            </wp:positionV>
            <wp:extent cx="6989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9550"/>
          </w:cols>
          <w:pgMar w:left="909" w:top="13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023735" cy="427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3735" cy="4279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742315</wp:posOffset>
            </wp:positionV>
            <wp:extent cx="1250315" cy="462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0315" cy="462280"/>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20"/>
          <w:szCs w:val="20"/>
          <w:color w:val="A5BD50"/>
        </w:rPr>
        <w:t>APRIL 24, 2019</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Dear Stockholder:</w:t>
      </w:r>
    </w:p>
    <w:p>
      <w:pPr>
        <w:spacing w:after="0" w:line="205" w:lineRule="exact"/>
        <w:rPr>
          <w:sz w:val="20"/>
          <w:szCs w:val="20"/>
          <w:color w:val="auto"/>
        </w:rPr>
      </w:pPr>
    </w:p>
    <w:p>
      <w:pPr>
        <w:jc w:val="both"/>
        <w:ind w:left="220" w:right="80"/>
        <w:spacing w:after="0" w:line="235" w:lineRule="auto"/>
        <w:rPr>
          <w:sz w:val="20"/>
          <w:szCs w:val="20"/>
          <w:color w:val="auto"/>
        </w:rPr>
      </w:pPr>
      <w:r>
        <w:rPr>
          <w:rFonts w:ascii="Arial" w:cs="Arial" w:eastAsia="Arial" w:hAnsi="Arial"/>
          <w:sz w:val="15"/>
          <w:szCs w:val="15"/>
          <w:color w:val="auto"/>
        </w:rPr>
        <w:t>We are pleased to invite you to attend CECO Environmental Corp.’s Annual Meeting of Stockholders at 8:00 a.m. Central Time on Wednesday June 5, 2019 at The Westin Stonebriar Hotel, 1549 Legacy Drive, Frisco, Texas, 75034. The following pages contain information regarding the Annual Meeting and the matters proposed for your consideration and vote.</w:t>
      </w:r>
    </w:p>
    <w:p>
      <w:pPr>
        <w:spacing w:after="0" w:line="195" w:lineRule="exact"/>
        <w:rPr>
          <w:sz w:val="20"/>
          <w:szCs w:val="20"/>
          <w:color w:val="auto"/>
        </w:rPr>
      </w:pPr>
    </w:p>
    <w:p>
      <w:pPr>
        <w:ind w:left="220"/>
        <w:spacing w:after="0" w:line="233" w:lineRule="auto"/>
        <w:rPr>
          <w:sz w:val="20"/>
          <w:szCs w:val="20"/>
          <w:color w:val="auto"/>
        </w:rPr>
      </w:pPr>
      <w:r>
        <w:rPr>
          <w:rFonts w:ascii="Arial" w:cs="Arial" w:eastAsia="Arial" w:hAnsi="Arial"/>
          <w:sz w:val="15"/>
          <w:szCs w:val="15"/>
          <w:color w:val="auto"/>
        </w:rPr>
        <w:t>Our Annual Meeting agenda again will include an advisory “Say-on-Pay” vote to approve the compensation paid to our named executive officers. At last year’s meeting, approximately 98% of the votes cast approved our Say-on-Pay proposal. During 2018, we continued our focus on aligning our executive compensation programs with the interests of our stockholders. We also continued to reach out to our largest stockholders for their feedback. This year you will also have an opportunity to vote on the frequency of the Say-on-Pay advisory vote.</w:t>
      </w:r>
    </w:p>
    <w:p>
      <w:pPr>
        <w:spacing w:after="0" w:line="194" w:lineRule="exact"/>
        <w:rPr>
          <w:sz w:val="20"/>
          <w:szCs w:val="20"/>
          <w:color w:val="auto"/>
        </w:rPr>
      </w:pPr>
    </w:p>
    <w:p>
      <w:pPr>
        <w:ind w:left="220" w:right="20"/>
        <w:spacing w:after="0" w:line="241" w:lineRule="auto"/>
        <w:rPr>
          <w:sz w:val="20"/>
          <w:szCs w:val="20"/>
          <w:color w:val="auto"/>
        </w:rPr>
      </w:pPr>
      <w:r>
        <w:rPr>
          <w:rFonts w:ascii="Arial" w:cs="Arial" w:eastAsia="Arial" w:hAnsi="Arial"/>
          <w:sz w:val="15"/>
          <w:szCs w:val="15"/>
          <w:color w:val="auto"/>
        </w:rPr>
        <w:t>We urge you to carefully consider the information in the Proxy Statement regarding the proposals. Your vote is important to us, regardless of whether or not you plan to attend the Annual Meeting in person. We have included voting instructions within this material and we urge you to vote as soon as possible.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312420</wp:posOffset>
            </wp:positionV>
            <wp:extent cx="1284605" cy="1516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312420</wp:posOffset>
            </wp:positionV>
            <wp:extent cx="1284605" cy="1516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980"/>
        <w:spacing w:after="0"/>
        <w:tabs>
          <w:tab w:leader="none" w:pos="8560" w:val="left"/>
        </w:tabs>
        <w:rPr>
          <w:sz w:val="20"/>
          <w:szCs w:val="20"/>
          <w:color w:val="auto"/>
        </w:rPr>
      </w:pPr>
      <w:r>
        <w:rPr>
          <w:rFonts w:ascii="Arial" w:cs="Arial" w:eastAsia="Arial" w:hAnsi="Arial"/>
          <w:sz w:val="15"/>
          <w:szCs w:val="15"/>
          <w:color w:val="auto"/>
        </w:rPr>
        <w:t>Jason DeZwirek</w:t>
      </w:r>
      <w:r>
        <w:rPr>
          <w:sz w:val="20"/>
          <w:szCs w:val="20"/>
          <w:color w:val="auto"/>
        </w:rPr>
        <w:tab/>
      </w:r>
      <w:r>
        <w:rPr>
          <w:rFonts w:ascii="Arial" w:cs="Arial" w:eastAsia="Arial" w:hAnsi="Arial"/>
          <w:sz w:val="15"/>
          <w:szCs w:val="15"/>
          <w:color w:val="auto"/>
        </w:rPr>
        <w:t>Dennis Sadlowski</w:t>
      </w:r>
    </w:p>
    <w:p>
      <w:pPr>
        <w:ind w:left="2980"/>
        <w:spacing w:after="0"/>
        <w:tabs>
          <w:tab w:leader="none" w:pos="8560" w:val="left"/>
        </w:tabs>
        <w:rPr>
          <w:sz w:val="20"/>
          <w:szCs w:val="20"/>
          <w:color w:val="auto"/>
        </w:rPr>
      </w:pPr>
      <w:r>
        <w:rPr>
          <w:rFonts w:ascii="Arial" w:cs="Arial" w:eastAsia="Arial" w:hAnsi="Arial"/>
          <w:sz w:val="15"/>
          <w:szCs w:val="15"/>
          <w:color w:val="auto"/>
        </w:rPr>
        <w:t>Chairman of the Board</w:t>
      </w:r>
      <w:r>
        <w:rPr>
          <w:sz w:val="20"/>
          <w:szCs w:val="20"/>
          <w:color w:val="auto"/>
        </w:rPr>
        <w:tab/>
      </w: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149860</wp:posOffset>
            </wp:positionV>
            <wp:extent cx="1421765" cy="462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1765" cy="46228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149860</wp:posOffset>
            </wp:positionV>
            <wp:extent cx="1413510" cy="625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35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right="120"/>
        <w:spacing w:after="0" w:line="245"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2018, INCLUDING THE RELATED FINANCIAL STATEMENTS, ARE FIRST MADE AVAILABLE TO STOCKHOLDERS ON OR ABOUT APRIL 24, 2019.</w:t>
      </w:r>
    </w:p>
    <w:p>
      <w:pPr>
        <w:sectPr>
          <w:pgSz w:w="11900" w:h="16838" w:orient="portrait"/>
          <w:cols w:equalWidth="0" w:num="1">
            <w:col w:w="11000"/>
          </w:cols>
          <w:pgMar w:left="240" w:top="459" w:right="6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22"/>
          <w:szCs w:val="22"/>
          <w:color w:val="A5BD50"/>
        </w:rPr>
        <w:t>CECO ENVIRONMENTAL CORP.</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NOTICE OF ANNUAL MEETING OF STOCKHOLDERS</w:t>
      </w: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174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Wednesday, June 5, 2019</w:t>
            </w:r>
          </w:p>
        </w:tc>
      </w:tr>
      <w:tr>
        <w:trPr>
          <w:trHeight w:val="297"/>
        </w:trPr>
        <w:tc>
          <w:tcPr>
            <w:tcW w:w="1740" w:type="dxa"/>
            <w:vAlign w:val="bottom"/>
          </w:tcPr>
          <w:p>
            <w:pPr>
              <w:spacing w:after="0"/>
              <w:rPr>
                <w:sz w:val="20"/>
                <w:szCs w:val="20"/>
                <w:color w:val="auto"/>
              </w:rPr>
            </w:pPr>
            <w:r>
              <w:rPr>
                <w:rFonts w:ascii="Arial" w:cs="Arial" w:eastAsia="Arial" w:hAnsi="Arial"/>
                <w:sz w:val="16"/>
                <w:szCs w:val="16"/>
                <w:b w:val="1"/>
                <w:bCs w:val="1"/>
                <w:color w:val="auto"/>
              </w:rPr>
              <w:t>Time:</w:t>
            </w: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8:00 a.m., Central Time</w:t>
            </w:r>
          </w:p>
        </w:tc>
      </w:tr>
      <w:tr>
        <w:trPr>
          <w:trHeight w:val="291"/>
        </w:trPr>
        <w:tc>
          <w:tcPr>
            <w:tcW w:w="1740" w:type="dxa"/>
            <w:vAlign w:val="bottom"/>
          </w:tcPr>
          <w:p>
            <w:pPr>
              <w:spacing w:after="0"/>
              <w:rPr>
                <w:sz w:val="20"/>
                <w:szCs w:val="20"/>
                <w:color w:val="auto"/>
              </w:rPr>
            </w:pPr>
            <w:r>
              <w:rPr>
                <w:rFonts w:ascii="Arial" w:cs="Arial" w:eastAsia="Arial" w:hAnsi="Arial"/>
                <w:sz w:val="16"/>
                <w:szCs w:val="16"/>
                <w:b w:val="1"/>
                <w:bCs w:val="1"/>
                <w:color w:val="auto"/>
              </w:rPr>
              <w:t>Place:</w:t>
            </w: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THE WESTIN STONEBRIAR HOTEL</w:t>
            </w:r>
          </w:p>
        </w:tc>
      </w:tr>
      <w:tr>
        <w:trPr>
          <w:trHeight w:val="189"/>
        </w:trPr>
        <w:tc>
          <w:tcPr>
            <w:tcW w:w="1740" w:type="dxa"/>
            <w:vAlign w:val="bottom"/>
          </w:tcPr>
          <w:p>
            <w:pPr>
              <w:spacing w:after="0"/>
              <w:rPr>
                <w:sz w:val="16"/>
                <w:szCs w:val="16"/>
                <w:color w:val="auto"/>
              </w:rPr>
            </w:pP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1549 LEGACY DRIVE</w:t>
            </w:r>
          </w:p>
        </w:tc>
      </w:tr>
      <w:tr>
        <w:trPr>
          <w:trHeight w:val="194"/>
        </w:trPr>
        <w:tc>
          <w:tcPr>
            <w:tcW w:w="1740" w:type="dxa"/>
            <w:vAlign w:val="bottom"/>
          </w:tcPr>
          <w:p>
            <w:pPr>
              <w:spacing w:after="0"/>
              <w:rPr>
                <w:sz w:val="16"/>
                <w:szCs w:val="16"/>
                <w:color w:val="auto"/>
              </w:rPr>
            </w:pP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FRISCO, TEXAS 75034</w:t>
            </w:r>
          </w:p>
        </w:tc>
      </w:tr>
      <w:tr>
        <w:trPr>
          <w:trHeight w:val="305"/>
        </w:trPr>
        <w:tc>
          <w:tcPr>
            <w:tcW w:w="1740" w:type="dxa"/>
            <w:vAlign w:val="bottom"/>
          </w:tcPr>
          <w:p>
            <w:pPr>
              <w:spacing w:after="0"/>
              <w:rPr>
                <w:sz w:val="20"/>
                <w:szCs w:val="20"/>
                <w:color w:val="auto"/>
              </w:rPr>
            </w:pPr>
            <w:r>
              <w:rPr>
                <w:rFonts w:ascii="Arial" w:cs="Arial" w:eastAsia="Arial" w:hAnsi="Arial"/>
                <w:sz w:val="16"/>
                <w:szCs w:val="16"/>
                <w:b w:val="1"/>
                <w:bCs w:val="1"/>
                <w:color w:val="auto"/>
              </w:rPr>
              <w:t>Record Date:</w:t>
            </w: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Stockholders of record at the close of business on April 8, 2019 are entitled to vote at the Annual Meeting or any adjournment</w:t>
            </w:r>
          </w:p>
        </w:tc>
      </w:tr>
      <w:tr>
        <w:trPr>
          <w:trHeight w:val="194"/>
        </w:trPr>
        <w:tc>
          <w:tcPr>
            <w:tcW w:w="1740" w:type="dxa"/>
            <w:vAlign w:val="bottom"/>
          </w:tcPr>
          <w:p>
            <w:pPr>
              <w:spacing w:after="0"/>
              <w:rPr>
                <w:sz w:val="16"/>
                <w:szCs w:val="16"/>
                <w:color w:val="auto"/>
              </w:rPr>
            </w:pP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or postponement of the meeting.</w:t>
            </w:r>
          </w:p>
        </w:tc>
      </w:tr>
      <w:tr>
        <w:trPr>
          <w:trHeight w:val="297"/>
        </w:trPr>
        <w:tc>
          <w:tcPr>
            <w:tcW w:w="1740" w:type="dxa"/>
            <w:vAlign w:val="bottom"/>
          </w:tcPr>
          <w:p>
            <w:pPr>
              <w:spacing w:after="0"/>
              <w:rPr>
                <w:sz w:val="20"/>
                <w:szCs w:val="20"/>
                <w:color w:val="auto"/>
              </w:rPr>
            </w:pPr>
            <w:r>
              <w:rPr>
                <w:rFonts w:ascii="Arial" w:cs="Arial" w:eastAsia="Arial" w:hAnsi="Arial"/>
                <w:sz w:val="16"/>
                <w:szCs w:val="16"/>
                <w:b w:val="1"/>
                <w:bCs w:val="1"/>
                <w:color w:val="auto"/>
              </w:rPr>
              <w:t>Agenda:</w:t>
            </w: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1:</w:t>
            </w:r>
          </w:p>
        </w:tc>
        <w:tc>
          <w:tcPr>
            <w:tcW w:w="7920" w:type="dxa"/>
            <w:vAlign w:val="bottom"/>
          </w:tcPr>
          <w:p>
            <w:pPr>
              <w:ind w:left="140"/>
              <w:spacing w:after="0"/>
              <w:rPr>
                <w:sz w:val="20"/>
                <w:szCs w:val="20"/>
                <w:color w:val="auto"/>
              </w:rPr>
            </w:pPr>
            <w:r>
              <w:rPr>
                <w:rFonts w:ascii="Arial" w:cs="Arial" w:eastAsia="Arial" w:hAnsi="Arial"/>
                <w:sz w:val="16"/>
                <w:szCs w:val="16"/>
                <w:color w:val="auto"/>
              </w:rPr>
              <w:t>To elect eight directors for a one-year term.</w:t>
            </w:r>
          </w:p>
        </w:tc>
      </w:tr>
      <w:tr>
        <w:trPr>
          <w:trHeight w:val="297"/>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2:</w:t>
            </w:r>
          </w:p>
        </w:tc>
        <w:tc>
          <w:tcPr>
            <w:tcW w:w="7920" w:type="dxa"/>
            <w:vAlign w:val="bottom"/>
          </w:tcPr>
          <w:p>
            <w:pPr>
              <w:ind w:left="140"/>
              <w:spacing w:after="0"/>
              <w:rPr>
                <w:sz w:val="20"/>
                <w:szCs w:val="20"/>
                <w:color w:val="auto"/>
              </w:rPr>
            </w:pPr>
            <w:r>
              <w:rPr>
                <w:rFonts w:ascii="Arial" w:cs="Arial" w:eastAsia="Arial" w:hAnsi="Arial"/>
                <w:sz w:val="16"/>
                <w:szCs w:val="16"/>
                <w:color w:val="auto"/>
              </w:rPr>
              <w:t>To approve, on an advisory basis, the compensation paid to our named executive officers.</w:t>
            </w:r>
          </w:p>
        </w:tc>
      </w:tr>
      <w:tr>
        <w:trPr>
          <w:trHeight w:val="291"/>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3:</w:t>
            </w:r>
          </w:p>
        </w:tc>
        <w:tc>
          <w:tcPr>
            <w:tcW w:w="7920" w:type="dxa"/>
            <w:vAlign w:val="bottom"/>
          </w:tcPr>
          <w:p>
            <w:pPr>
              <w:ind w:left="140"/>
              <w:spacing w:after="0"/>
              <w:rPr>
                <w:sz w:val="20"/>
                <w:szCs w:val="20"/>
                <w:color w:val="auto"/>
              </w:rPr>
            </w:pPr>
            <w:r>
              <w:rPr>
                <w:rFonts w:ascii="Arial" w:cs="Arial" w:eastAsia="Arial" w:hAnsi="Arial"/>
                <w:sz w:val="16"/>
                <w:szCs w:val="16"/>
                <w:color w:val="auto"/>
              </w:rPr>
              <w:t>To recommend, on an advisory basis, the frequency of future advisory votes to approve named executive</w:t>
            </w:r>
          </w:p>
        </w:tc>
      </w:tr>
      <w:tr>
        <w:trPr>
          <w:trHeight w:val="194"/>
        </w:trPr>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920" w:type="dxa"/>
            <w:vAlign w:val="bottom"/>
          </w:tcPr>
          <w:p>
            <w:pPr>
              <w:ind w:left="140"/>
              <w:spacing w:after="0"/>
              <w:rPr>
                <w:sz w:val="20"/>
                <w:szCs w:val="20"/>
                <w:color w:val="auto"/>
              </w:rPr>
            </w:pPr>
            <w:r>
              <w:rPr>
                <w:rFonts w:ascii="Arial" w:cs="Arial" w:eastAsia="Arial" w:hAnsi="Arial"/>
                <w:sz w:val="16"/>
                <w:szCs w:val="16"/>
                <w:color w:val="auto"/>
              </w:rPr>
              <w:t>officer compensation.</w:t>
            </w:r>
          </w:p>
        </w:tc>
      </w:tr>
      <w:tr>
        <w:trPr>
          <w:trHeight w:val="297"/>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4:</w:t>
            </w:r>
          </w:p>
        </w:tc>
        <w:tc>
          <w:tcPr>
            <w:tcW w:w="7920" w:type="dxa"/>
            <w:vAlign w:val="bottom"/>
          </w:tcPr>
          <w:p>
            <w:pPr>
              <w:ind w:left="140"/>
              <w:spacing w:after="0"/>
              <w:rPr>
                <w:sz w:val="20"/>
                <w:szCs w:val="20"/>
                <w:color w:val="auto"/>
              </w:rPr>
            </w:pPr>
            <w:r>
              <w:rPr>
                <w:rFonts w:ascii="Arial" w:cs="Arial" w:eastAsia="Arial" w:hAnsi="Arial"/>
                <w:sz w:val="16"/>
                <w:szCs w:val="16"/>
                <w:color w:val="auto"/>
              </w:rPr>
              <w:t>To ratify the appointment of BDO USA, LLP as our independent registered public accounting firm for 2019.</w:t>
            </w:r>
          </w:p>
        </w:tc>
      </w:tr>
      <w:tr>
        <w:trPr>
          <w:trHeight w:val="291"/>
        </w:trPr>
        <w:tc>
          <w:tcPr>
            <w:tcW w:w="1740" w:type="dxa"/>
            <w:vAlign w:val="bottom"/>
          </w:tcPr>
          <w:p>
            <w:pPr>
              <w:spacing w:after="0"/>
              <w:rPr>
                <w:sz w:val="24"/>
                <w:szCs w:val="24"/>
                <w:color w:val="auto"/>
              </w:rPr>
            </w:pP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We will also transact such other business as may properly come before the meeting or any adjournment or postponement of</w:t>
            </w:r>
          </w:p>
        </w:tc>
      </w:tr>
      <w:tr>
        <w:trPr>
          <w:trHeight w:val="194"/>
        </w:trPr>
        <w:tc>
          <w:tcPr>
            <w:tcW w:w="1740" w:type="dxa"/>
            <w:vAlign w:val="bottom"/>
          </w:tcPr>
          <w:p>
            <w:pPr>
              <w:spacing w:after="0"/>
              <w:rPr>
                <w:sz w:val="16"/>
                <w:szCs w:val="16"/>
                <w:color w:val="auto"/>
              </w:rPr>
            </w:pPr>
          </w:p>
        </w:tc>
        <w:tc>
          <w:tcPr>
            <w:tcW w:w="1300" w:type="dxa"/>
            <w:vAlign w:val="bottom"/>
          </w:tcPr>
          <w:p>
            <w:pPr>
              <w:ind w:left="240"/>
              <w:spacing w:after="0"/>
              <w:rPr>
                <w:sz w:val="20"/>
                <w:szCs w:val="20"/>
                <w:color w:val="auto"/>
              </w:rPr>
            </w:pPr>
            <w:r>
              <w:rPr>
                <w:rFonts w:ascii="Arial" w:cs="Arial" w:eastAsia="Arial" w:hAnsi="Arial"/>
                <w:sz w:val="16"/>
                <w:szCs w:val="16"/>
                <w:color w:val="auto"/>
              </w:rPr>
              <w:t>the meeting.</w:t>
            </w:r>
          </w:p>
        </w:tc>
        <w:tc>
          <w:tcPr>
            <w:tcW w:w="7920" w:type="dxa"/>
            <w:vAlign w:val="bottom"/>
          </w:tcPr>
          <w:p>
            <w:pPr>
              <w:spacing w:after="0"/>
              <w:rPr>
                <w:sz w:val="16"/>
                <w:szCs w:val="16"/>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6"/>
                <w:szCs w:val="16"/>
                <w:b w:val="1"/>
                <w:bCs w:val="1"/>
                <w:color w:val="auto"/>
              </w:rPr>
              <w:t>Voting</w:t>
            </w:r>
          </w:p>
        </w:tc>
        <w:tc>
          <w:tcPr>
            <w:tcW w:w="1300" w:type="dxa"/>
            <w:vAlign w:val="bottom"/>
          </w:tcPr>
          <w:p>
            <w:pPr>
              <w:spacing w:after="0"/>
              <w:rPr>
                <w:sz w:val="23"/>
                <w:szCs w:val="23"/>
                <w:color w:val="auto"/>
              </w:rPr>
            </w:pPr>
          </w:p>
        </w:tc>
        <w:tc>
          <w:tcPr>
            <w:tcW w:w="7920" w:type="dxa"/>
            <w:vAlign w:val="bottom"/>
          </w:tcPr>
          <w:p>
            <w:pPr>
              <w:spacing w:after="0"/>
              <w:rPr>
                <w:sz w:val="23"/>
                <w:szCs w:val="23"/>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6"/>
                <w:szCs w:val="16"/>
                <w:b w:val="1"/>
                <w:bCs w:val="1"/>
                <w:color w:val="auto"/>
              </w:rPr>
              <w:t>Recommendations:</w:t>
            </w:r>
          </w:p>
        </w:tc>
        <w:tc>
          <w:tcPr>
            <w:tcW w:w="9220" w:type="dxa"/>
            <w:vAlign w:val="bottom"/>
            <w:gridSpan w:val="2"/>
          </w:tcPr>
          <w:p>
            <w:pPr>
              <w:ind w:left="240"/>
              <w:spacing w:after="0"/>
              <w:rPr>
                <w:sz w:val="20"/>
                <w:szCs w:val="20"/>
                <w:color w:val="auto"/>
              </w:rPr>
            </w:pPr>
            <w:r>
              <w:rPr>
                <w:rFonts w:ascii="Arial" w:cs="Arial" w:eastAsia="Arial" w:hAnsi="Arial"/>
                <w:sz w:val="16"/>
                <w:szCs w:val="16"/>
                <w:color w:val="auto"/>
              </w:rPr>
              <w:t>The Company recommends that you vote as follows:</w:t>
            </w:r>
          </w:p>
        </w:tc>
      </w:tr>
      <w:tr>
        <w:trPr>
          <w:trHeight w:val="297"/>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1:</w:t>
            </w:r>
          </w:p>
        </w:tc>
        <w:tc>
          <w:tcPr>
            <w:tcW w:w="7920" w:type="dxa"/>
            <w:vAlign w:val="bottom"/>
          </w:tcPr>
          <w:p>
            <w:pPr>
              <w:ind w:left="1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 nominee.</w:t>
            </w:r>
          </w:p>
        </w:tc>
      </w:tr>
      <w:tr>
        <w:trPr>
          <w:trHeight w:val="297"/>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2:</w:t>
            </w:r>
          </w:p>
        </w:tc>
        <w:tc>
          <w:tcPr>
            <w:tcW w:w="7920" w:type="dxa"/>
            <w:vAlign w:val="bottom"/>
          </w:tcPr>
          <w:p>
            <w:pPr>
              <w:ind w:left="1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paid to our named executive officers.</w:t>
            </w:r>
          </w:p>
        </w:tc>
      </w:tr>
      <w:tr>
        <w:trPr>
          <w:trHeight w:val="291"/>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3:</w:t>
            </w:r>
          </w:p>
        </w:tc>
        <w:tc>
          <w:tcPr>
            <w:tcW w:w="7920" w:type="dxa"/>
            <w:vAlign w:val="bottom"/>
          </w:tcPr>
          <w:p>
            <w:pPr>
              <w:ind w:left="140"/>
              <w:spacing w:after="0"/>
              <w:rPr>
                <w:sz w:val="20"/>
                <w:szCs w:val="20"/>
                <w:color w:val="auto"/>
              </w:rPr>
            </w:pPr>
            <w:r>
              <w:rPr>
                <w:rFonts w:ascii="Arial" w:cs="Arial" w:eastAsia="Arial" w:hAnsi="Arial"/>
                <w:sz w:val="16"/>
                <w:szCs w:val="16"/>
                <w:color w:val="auto"/>
              </w:rPr>
              <w:t xml:space="preserve">For every </w:t>
            </w:r>
            <w:r>
              <w:rPr>
                <w:rFonts w:ascii="Arial" w:cs="Arial" w:eastAsia="Arial" w:hAnsi="Arial"/>
                <w:sz w:val="16"/>
                <w:szCs w:val="16"/>
                <w:b w:val="1"/>
                <w:bCs w:val="1"/>
                <w:color w:val="auto"/>
              </w:rPr>
              <w:t>ONE YEAR</w:t>
            </w:r>
            <w:r>
              <w:rPr>
                <w:rFonts w:ascii="Arial" w:cs="Arial" w:eastAsia="Arial" w:hAnsi="Arial"/>
                <w:sz w:val="16"/>
                <w:szCs w:val="16"/>
                <w:color w:val="auto"/>
              </w:rPr>
              <w:t xml:space="preserve"> as the frequency of future advisory votes to approve named executive officer</w:t>
            </w:r>
          </w:p>
        </w:tc>
      </w:tr>
      <w:tr>
        <w:trPr>
          <w:trHeight w:val="194"/>
        </w:trPr>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920" w:type="dxa"/>
            <w:vAlign w:val="bottom"/>
          </w:tcPr>
          <w:p>
            <w:pPr>
              <w:ind w:left="140"/>
              <w:spacing w:after="0"/>
              <w:rPr>
                <w:sz w:val="20"/>
                <w:szCs w:val="20"/>
                <w:color w:val="auto"/>
              </w:rPr>
            </w:pPr>
            <w:r>
              <w:rPr>
                <w:rFonts w:ascii="Arial" w:cs="Arial" w:eastAsia="Arial" w:hAnsi="Arial"/>
                <w:sz w:val="16"/>
                <w:szCs w:val="16"/>
                <w:color w:val="auto"/>
              </w:rPr>
              <w:t>compensation.</w:t>
            </w:r>
          </w:p>
        </w:tc>
      </w:tr>
      <w:tr>
        <w:trPr>
          <w:trHeight w:val="291"/>
        </w:trPr>
        <w:tc>
          <w:tcPr>
            <w:tcW w:w="1740" w:type="dxa"/>
            <w:vAlign w:val="bottom"/>
          </w:tcPr>
          <w:p>
            <w:pPr>
              <w:spacing w:after="0"/>
              <w:rPr>
                <w:sz w:val="24"/>
                <w:szCs w:val="24"/>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Proposal 4:</w:t>
            </w:r>
          </w:p>
        </w:tc>
        <w:tc>
          <w:tcPr>
            <w:tcW w:w="7920" w:type="dxa"/>
            <w:vAlign w:val="bottom"/>
          </w:tcPr>
          <w:p>
            <w:pPr>
              <w:ind w:left="1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 LLP as our independent registered public accounting</w:t>
            </w:r>
          </w:p>
        </w:tc>
      </w:tr>
      <w:tr>
        <w:trPr>
          <w:trHeight w:val="194"/>
        </w:trPr>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920" w:type="dxa"/>
            <w:vAlign w:val="bottom"/>
          </w:tcPr>
          <w:p>
            <w:pPr>
              <w:ind w:left="140"/>
              <w:spacing w:after="0"/>
              <w:rPr>
                <w:sz w:val="20"/>
                <w:szCs w:val="20"/>
                <w:color w:val="auto"/>
              </w:rPr>
            </w:pPr>
            <w:r>
              <w:rPr>
                <w:rFonts w:ascii="Arial" w:cs="Arial" w:eastAsia="Arial" w:hAnsi="Arial"/>
                <w:sz w:val="16"/>
                <w:szCs w:val="16"/>
                <w:color w:val="auto"/>
              </w:rPr>
              <w:t>firm for 2019.</w:t>
            </w:r>
          </w:p>
        </w:tc>
      </w:tr>
    </w:tbl>
    <w:p>
      <w:pPr>
        <w:spacing w:after="0" w:line="210"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We are taking advantage of the Securities and Exchange Commission rules allowing us to furnish proxy materials to stockholders on the internet. We believe that you will receive proxy materials more quickly and that this method reduces the environmental impact of our Annual Meeting. Accordingly, we are mailing to stockholders a Notice of Internet Availability of Proxy Materials containing instructions on how to access and review our proxy materials and Annual Report to Stockholders for the year ended December 31, 2018, and to vote online. If you would like to receive a paper copy of our proxy materials, please follow the instructions for requesting these materials in the Proxy Statement (the “Proxy Statement”).</w:t>
      </w:r>
    </w:p>
    <w:p>
      <w:pPr>
        <w:spacing w:after="0" w:line="314"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78740</wp:posOffset>
            </wp:positionV>
            <wp:extent cx="1421765" cy="462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1765"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Jason DeZwirek</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Chairman of the Board of Directors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April 24, 2019</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27"/>
          <w:szCs w:val="27"/>
          <w:b w:val="1"/>
          <w:bCs w:val="1"/>
          <w:color w:val="41659C"/>
        </w:rPr>
        <w:t>TABLE OF CONTENTS</w:t>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0"/>
        </w:trPr>
        <w:tc>
          <w:tcPr>
            <w:tcW w:w="9920" w:type="dxa"/>
            <w:vAlign w:val="bottom"/>
            <w:gridSpan w:val="23"/>
          </w:tcPr>
          <w:p>
            <w:pPr>
              <w:spacing w:after="0" w:line="180" w:lineRule="exact"/>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PROXY STATEMENT</w:t>
              </w:r>
            </w:hyperlink>
          </w:p>
        </w:tc>
        <w:tc>
          <w:tcPr>
            <w:tcW w:w="1020" w:type="dxa"/>
            <w:vAlign w:val="bottom"/>
          </w:tcPr>
          <w:p>
            <w:pPr>
              <w:jc w:val="right"/>
              <w:spacing w:after="0" w:line="180" w:lineRule="exact"/>
              <w:rPr>
                <w:sz w:val="20"/>
                <w:szCs w:val="20"/>
                <w:color w:val="auto"/>
              </w:rPr>
            </w:pPr>
            <w:r>
              <w:rPr>
                <w:rFonts w:ascii="Arial" w:cs="Arial" w:eastAsia="Arial" w:hAnsi="Arial"/>
                <w:sz w:val="16"/>
                <w:szCs w:val="16"/>
                <w:b w:val="1"/>
                <w:bCs w:val="1"/>
                <w:color w:val="41659C"/>
              </w:rPr>
              <w:t>1</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41659C"/>
              </w:rPr>
              <w:t>2</w:t>
            </w:r>
          </w:p>
        </w:tc>
        <w:tc>
          <w:tcPr>
            <w:tcW w:w="0" w:type="dxa"/>
            <w:vAlign w:val="bottom"/>
          </w:tcPr>
          <w:p>
            <w:pPr>
              <w:spacing w:after="0" w:line="20" w:lineRule="exact"/>
              <w:rPr>
                <w:sz w:val="1"/>
                <w:szCs w:val="1"/>
                <w:color w:val="auto"/>
              </w:rPr>
            </w:pPr>
          </w:p>
        </w:tc>
      </w:tr>
      <w:tr>
        <w:trPr>
          <w:trHeight w:val="169"/>
        </w:trPr>
        <w:tc>
          <w:tcPr>
            <w:tcW w:w="9920" w:type="dxa"/>
            <w:vAlign w:val="bottom"/>
            <w:gridSpan w:val="23"/>
          </w:tcPr>
          <w:p>
            <w:pPr>
              <w:spacing w:after="0" w:line="169"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PROPOSAL 1 ELECTION OF DIRECTORS</w:t>
              </w:r>
            </w:hyperlink>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7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8">
              <w:r>
                <w:rPr>
                  <w:rFonts w:ascii="Arial" w:cs="Arial" w:eastAsia="Arial" w:hAnsi="Arial"/>
                  <w:sz w:val="16"/>
                  <w:szCs w:val="16"/>
                  <w:color w:val="0000EE"/>
                </w:rPr>
                <w:t>Directors and Nominees</w:t>
              </w:r>
            </w:hyperlink>
          </w:p>
        </w:tc>
        <w:tc>
          <w:tcPr>
            <w:tcW w:w="1100" w:type="dxa"/>
            <w:vAlign w:val="bottom"/>
            <w:tcBorders>
              <w:top w:val="single" w:sz="8" w:color="0000EE"/>
            </w:tcBorders>
            <w:gridSpan w:val="8"/>
          </w:tcPr>
          <w:p>
            <w:pPr>
              <w:spacing w:after="0"/>
              <w:rPr>
                <w:sz w:val="14"/>
                <w:szCs w:val="14"/>
                <w:color w:val="auto"/>
              </w:rPr>
            </w:pPr>
          </w:p>
        </w:tc>
        <w:tc>
          <w:tcPr>
            <w:tcW w:w="6760" w:type="dxa"/>
            <w:vAlign w:val="bottom"/>
            <w:gridSpan w:val="9"/>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13">
              <w:r>
                <w:rPr>
                  <w:rFonts w:ascii="Arial" w:cs="Arial" w:eastAsia="Arial" w:hAnsi="Arial"/>
                  <w:sz w:val="16"/>
                  <w:szCs w:val="16"/>
                  <w:color w:val="0000EE"/>
                </w:rPr>
                <w:t>Our Board and Its Committees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2018 Director Compensation</w:t>
              </w:r>
            </w:hyperlink>
          </w:p>
        </w:tc>
        <w:tc>
          <w:tcPr>
            <w:tcW w:w="120" w:type="dxa"/>
            <w:vAlign w:val="bottom"/>
            <w:tcBorders>
              <w:top w:val="single" w:sz="8" w:color="0000EE"/>
            </w:tcBorders>
          </w:tcPr>
          <w:p>
            <w:pPr>
              <w:spacing w:after="0"/>
              <w:rPr>
                <w:sz w:val="14"/>
                <w:szCs w:val="14"/>
                <w:color w:val="auto"/>
              </w:rPr>
            </w:pPr>
          </w:p>
        </w:tc>
        <w:tc>
          <w:tcPr>
            <w:tcW w:w="7420" w:type="dxa"/>
            <w:vAlign w:val="bottom"/>
            <w:gridSpan w:val="14"/>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Certain Transactions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41659C"/>
              </w:rPr>
              <w:t>13</w:t>
            </w:r>
          </w:p>
        </w:tc>
        <w:tc>
          <w:tcPr>
            <w:tcW w:w="0" w:type="dxa"/>
            <w:vAlign w:val="bottom"/>
          </w:tcPr>
          <w:p>
            <w:pPr>
              <w:spacing w:after="0" w:line="20" w:lineRule="exact"/>
              <w:rPr>
                <w:sz w:val="1"/>
                <w:szCs w:val="1"/>
                <w:color w:val="auto"/>
              </w:rPr>
            </w:pPr>
          </w:p>
        </w:tc>
      </w:tr>
      <w:tr>
        <w:trPr>
          <w:trHeight w:val="169"/>
        </w:trPr>
        <w:tc>
          <w:tcPr>
            <w:tcW w:w="9920" w:type="dxa"/>
            <w:vAlign w:val="bottom"/>
            <w:gridSpan w:val="23"/>
          </w:tcPr>
          <w:p>
            <w:pPr>
              <w:spacing w:after="0" w:line="169" w:lineRule="exact"/>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EXECUTIVE COMPENSATION</w:t>
              </w:r>
            </w:hyperlink>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19">
              <w:r>
                <w:rPr>
                  <w:rFonts w:ascii="Arial" w:cs="Arial" w:eastAsia="Arial" w:hAnsi="Arial"/>
                  <w:sz w:val="16"/>
                  <w:szCs w:val="16"/>
                  <w:color w:val="0000EE"/>
                </w:rPr>
                <w:t>Compensation Discussion and Analysis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w:anchor="page28">
              <w:r>
                <w:rPr>
                  <w:rFonts w:ascii="Arial" w:cs="Arial" w:eastAsia="Arial" w:hAnsi="Arial"/>
                  <w:sz w:val="16"/>
                  <w:szCs w:val="16"/>
                  <w:color w:val="0000EE"/>
                </w:rPr>
                <w:t>Compensation Committee Report</w:t>
              </w:r>
            </w:hyperlink>
          </w:p>
        </w:tc>
        <w:tc>
          <w:tcPr>
            <w:tcW w:w="420" w:type="dxa"/>
            <w:vAlign w:val="bottom"/>
            <w:tcBorders>
              <w:top w:val="single" w:sz="8" w:color="0000EE"/>
            </w:tcBorders>
            <w:gridSpan w:val="2"/>
          </w:tcPr>
          <w:p>
            <w:pPr>
              <w:spacing w:after="0"/>
              <w:rPr>
                <w:sz w:val="14"/>
                <w:szCs w:val="14"/>
                <w:color w:val="auto"/>
              </w:rPr>
            </w:pPr>
          </w:p>
        </w:tc>
        <w:tc>
          <w:tcPr>
            <w:tcW w:w="6780" w:type="dxa"/>
            <w:vAlign w:val="bottom"/>
            <w:gridSpan w:val="10"/>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620" w:type="dxa"/>
            <w:vAlign w:val="bottom"/>
            <w:tcBorders>
              <w:bottom w:val="single" w:sz="8" w:color="0000EE"/>
            </w:tcBorders>
            <w:gridSpan w:val="11"/>
          </w:tcPr>
          <w:p>
            <w:pPr>
              <w:spacing w:after="0" w:line="169" w:lineRule="exact"/>
              <w:rPr>
                <w:rFonts w:ascii="Arial" w:cs="Arial" w:eastAsia="Arial" w:hAnsi="Arial"/>
                <w:sz w:val="16"/>
                <w:szCs w:val="16"/>
                <w:color w:val="0000EE"/>
                <w:w w:val="99"/>
              </w:rPr>
            </w:pPr>
            <w:hyperlink w:anchor="page29">
              <w:r>
                <w:rPr>
                  <w:rFonts w:ascii="Arial" w:cs="Arial" w:eastAsia="Arial" w:hAnsi="Arial"/>
                  <w:sz w:val="16"/>
                  <w:szCs w:val="16"/>
                  <w:color w:val="0000EE"/>
                  <w:w w:val="99"/>
                </w:rPr>
                <w:t>2018 Summary Compensation Table</w:t>
              </w:r>
            </w:hyperlink>
          </w:p>
        </w:tc>
        <w:tc>
          <w:tcPr>
            <w:tcW w:w="6980" w:type="dxa"/>
            <w:vAlign w:val="bottom"/>
            <w:gridSpan w:val="11"/>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Potential Payments Upon Termination or Change in Control</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24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Chief Executive Officer Pay Ratio</w:t>
              </w:r>
            </w:hyperlink>
          </w:p>
        </w:tc>
        <w:tc>
          <w:tcPr>
            <w:tcW w:w="5360" w:type="dxa"/>
            <w:vAlign w:val="bottom"/>
            <w:gridSpan w:val="4"/>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7220" w:type="dxa"/>
            <w:vAlign w:val="bottom"/>
            <w:gridSpan w:val="13"/>
            <w:vMerge w:val="restart"/>
          </w:tcPr>
          <w:p>
            <w:pPr>
              <w:ind w:left="20"/>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APPROVE THE COMPENSATION OF OUR NAMED EXECUTIVE OFFICERS</w:t>
              </w:r>
            </w:hyperlink>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41659C"/>
              </w:rPr>
              <w:t>30</w:t>
            </w:r>
          </w:p>
        </w:tc>
        <w:tc>
          <w:tcPr>
            <w:tcW w:w="0" w:type="dxa"/>
            <w:vAlign w:val="bottom"/>
          </w:tcPr>
          <w:p>
            <w:pPr>
              <w:spacing w:after="0" w:line="20" w:lineRule="exact"/>
              <w:rPr>
                <w:sz w:val="1"/>
                <w:szCs w:val="1"/>
                <w:color w:val="auto"/>
              </w:rPr>
            </w:pPr>
          </w:p>
        </w:tc>
      </w:tr>
      <w:tr>
        <w:trPr>
          <w:trHeight w:val="169"/>
        </w:trPr>
        <w:tc>
          <w:tcPr>
            <w:tcW w:w="2700" w:type="dxa"/>
            <w:vAlign w:val="bottom"/>
            <w:gridSpan w:val="10"/>
          </w:tcPr>
          <w:p>
            <w:pPr>
              <w:spacing w:after="0" w:line="169"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PROPOSAL 2 ADVISORY VOTE TO</w:t>
              </w:r>
            </w:hyperlink>
          </w:p>
        </w:tc>
        <w:tc>
          <w:tcPr>
            <w:tcW w:w="7220" w:type="dxa"/>
            <w:vAlign w:val="bottom"/>
            <w:gridSpan w:val="1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60" w:type="dxa"/>
            <w:vAlign w:val="bottom"/>
            <w:tcBorders>
              <w:top w:val="single" w:sz="8" w:color="0000EE"/>
            </w:tcBorders>
            <w:gridSpan w:val="20"/>
          </w:tcPr>
          <w:p>
            <w:pPr>
              <w:spacing w:after="0" w:line="169"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PROPOSAL 3 ADVISORY VOTE ON THE FREQUENCY OF FUTURE ADVISORY VOTES TO APPROVE NAMED</w:t>
              </w:r>
            </w:hyperlink>
          </w:p>
        </w:tc>
        <w:tc>
          <w:tcPr>
            <w:tcW w:w="1560" w:type="dxa"/>
            <w:vAlign w:val="bottom"/>
            <w:gridSpan w:val="3"/>
          </w:tcPr>
          <w:p>
            <w:pPr>
              <w:spacing w:after="0" w:line="169"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EXECUTIVE</w:t>
              </w:r>
            </w:hyperlink>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Borders>
              <w:top w:val="single" w:sz="8" w:color="0000EE"/>
              <w:bottom w:val="single" w:sz="8" w:color="0000EE"/>
            </w:tcBorders>
            <w:gridSpan w:val="6"/>
          </w:tcPr>
          <w:p>
            <w:pPr>
              <w:spacing w:after="0" w:line="155" w:lineRule="exact"/>
              <w:rPr>
                <w:rFonts w:ascii="Arial" w:cs="Arial" w:eastAsia="Arial" w:hAnsi="Arial"/>
                <w:sz w:val="16"/>
                <w:szCs w:val="16"/>
                <w:b w:val="1"/>
                <w:bCs w:val="1"/>
                <w:color w:val="0000EE"/>
                <w:w w:val="99"/>
              </w:rPr>
            </w:pPr>
            <w:hyperlink w:anchor="page37">
              <w:r>
                <w:rPr>
                  <w:rFonts w:ascii="Arial" w:cs="Arial" w:eastAsia="Arial" w:hAnsi="Arial"/>
                  <w:sz w:val="16"/>
                  <w:szCs w:val="16"/>
                  <w:b w:val="1"/>
                  <w:bCs w:val="1"/>
                  <w:color w:val="0000EE"/>
                  <w:w w:val="99"/>
                </w:rPr>
                <w:t>OFFICER COMPENSATION</w:t>
              </w:r>
            </w:hyperlink>
          </w:p>
        </w:tc>
        <w:tc>
          <w:tcPr>
            <w:tcW w:w="7220" w:type="dxa"/>
            <w:vAlign w:val="bottom"/>
            <w:tcBorders>
              <w:top w:val="single" w:sz="8" w:color="0000EE"/>
            </w:tcBorders>
            <w:gridSpan w:val="16"/>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b w:val="1"/>
                <w:bCs w:val="1"/>
                <w:color w:val="41659C"/>
              </w:rPr>
              <w:t>31</w:t>
            </w:r>
          </w:p>
        </w:tc>
        <w:tc>
          <w:tcPr>
            <w:tcW w:w="0" w:type="dxa"/>
            <w:vAlign w:val="bottom"/>
          </w:tcPr>
          <w:p>
            <w:pPr>
              <w:spacing w:after="0"/>
              <w:rPr>
                <w:sz w:val="1"/>
                <w:szCs w:val="1"/>
                <w:color w:val="auto"/>
              </w:rPr>
            </w:pPr>
          </w:p>
        </w:tc>
      </w:tr>
      <w:tr>
        <w:trPr>
          <w:trHeight w:val="182"/>
        </w:trPr>
        <w:tc>
          <w:tcPr>
            <w:tcW w:w="9920" w:type="dxa"/>
            <w:vAlign w:val="bottom"/>
            <w:gridSpan w:val="23"/>
          </w:tcPr>
          <w:p>
            <w:pPr>
              <w:spacing w:after="0" w:line="182" w:lineRule="exact"/>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AUDIT MATTERS</w:t>
              </w:r>
            </w:hyperlink>
          </w:p>
        </w:tc>
        <w:tc>
          <w:tcPr>
            <w:tcW w:w="1020" w:type="dxa"/>
            <w:vAlign w:val="bottom"/>
          </w:tcPr>
          <w:p>
            <w:pPr>
              <w:jc w:val="right"/>
              <w:spacing w:after="0" w:line="182" w:lineRule="exact"/>
              <w:rPr>
                <w:sz w:val="20"/>
                <w:szCs w:val="20"/>
                <w:color w:val="auto"/>
              </w:rPr>
            </w:pPr>
            <w:r>
              <w:rPr>
                <w:rFonts w:ascii="Arial" w:cs="Arial" w:eastAsia="Arial" w:hAnsi="Arial"/>
                <w:sz w:val="16"/>
                <w:szCs w:val="16"/>
                <w:b w:val="1"/>
                <w:bCs w:val="1"/>
                <w:color w:val="41659C"/>
              </w:rPr>
              <w:t>32</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Audit Committee Report</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Independent Registered Public Accounting Firm Fees</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640" w:type="dxa"/>
            <w:vAlign w:val="bottom"/>
            <w:gridSpan w:val="11"/>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780" w:type="dxa"/>
            <w:vAlign w:val="bottom"/>
            <w:gridSpan w:val="6"/>
            <w:vMerge w:val="restart"/>
          </w:tcPr>
          <w:p>
            <w:pPr>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OF INDEPENDENT REGISTERED PUBLIC ACCOUNTING FIRM</w:t>
              </w:r>
            </w:hyperlink>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41659C"/>
              </w:rPr>
              <w:t>34</w:t>
            </w:r>
          </w:p>
        </w:tc>
        <w:tc>
          <w:tcPr>
            <w:tcW w:w="0" w:type="dxa"/>
            <w:vAlign w:val="bottom"/>
          </w:tcPr>
          <w:p>
            <w:pPr>
              <w:spacing w:after="0" w:line="20" w:lineRule="exact"/>
              <w:rPr>
                <w:sz w:val="1"/>
                <w:szCs w:val="1"/>
                <w:color w:val="auto"/>
              </w:rPr>
            </w:pPr>
          </w:p>
        </w:tc>
      </w:tr>
      <w:tr>
        <w:trPr>
          <w:trHeight w:val="169"/>
        </w:trPr>
        <w:tc>
          <w:tcPr>
            <w:tcW w:w="4140" w:type="dxa"/>
            <w:vAlign w:val="bottom"/>
            <w:gridSpan w:val="17"/>
          </w:tcPr>
          <w:p>
            <w:pPr>
              <w:spacing w:after="0" w:line="169"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PROPOSAL 4 RATIFICATION OF THE APPOINTMENT</w:t>
              </w:r>
            </w:hyperlink>
          </w:p>
        </w:tc>
        <w:tc>
          <w:tcPr>
            <w:tcW w:w="5780" w:type="dxa"/>
            <w:vAlign w:val="bottom"/>
            <w:gridSpan w:val="6"/>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OTHER INFORMATION</w:t>
              </w:r>
            </w:hyperlink>
          </w:p>
        </w:tc>
        <w:tc>
          <w:tcPr>
            <w:tcW w:w="7060" w:type="dxa"/>
            <w:vAlign w:val="bottom"/>
            <w:tcBorders>
              <w:top w:val="single" w:sz="8" w:color="0000EE"/>
            </w:tcBorders>
            <w:gridSpan w:val="17"/>
          </w:tcPr>
          <w:p>
            <w:pPr>
              <w:spacing w:after="0"/>
              <w:rPr>
                <w:sz w:val="14"/>
                <w:szCs w:val="14"/>
                <w:color w:val="auto"/>
              </w:rPr>
            </w:pPr>
          </w:p>
        </w:tc>
        <w:tc>
          <w:tcPr>
            <w:tcW w:w="106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b w:val="1"/>
                <w:bCs w:val="1"/>
                <w:color w:val="41659C"/>
              </w:rPr>
              <w:t>35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0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w:anchor="page41">
              <w:r>
                <w:rPr>
                  <w:rFonts w:ascii="Arial" w:cs="Arial" w:eastAsia="Arial" w:hAnsi="Arial"/>
                  <w:sz w:val="16"/>
                  <w:szCs w:val="16"/>
                  <w:color w:val="0000EE"/>
                </w:rPr>
                <w:t>Security Ownership of Certain Beneficial Owners</w:t>
              </w:r>
            </w:hyperlink>
          </w:p>
        </w:tc>
        <w:tc>
          <w:tcPr>
            <w:tcW w:w="6100" w:type="dxa"/>
            <w:vAlign w:val="bottom"/>
            <w:gridSpan w:val="7"/>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0" w:type="dxa"/>
            <w:vAlign w:val="bottom"/>
            <w:gridSpan w:val="22"/>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Section 16(a) Beneficial Ownership Reporting Compliance</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20" w:type="dxa"/>
            <w:vAlign w:val="bottom"/>
            <w:gridSpan w:val="1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40" w:type="dxa"/>
            <w:vAlign w:val="bottom"/>
            <w:gridSpan w:val="5"/>
            <w:vMerge w:val="restart"/>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41659C"/>
              </w:rPr>
              <w:t>37</w:t>
            </w:r>
          </w:p>
        </w:tc>
        <w:tc>
          <w:tcPr>
            <w:tcW w:w="0" w:type="dxa"/>
            <w:vAlign w:val="bottom"/>
          </w:tcPr>
          <w:p>
            <w:pPr>
              <w:spacing w:after="0" w:line="20" w:lineRule="exact"/>
              <w:rPr>
                <w:sz w:val="1"/>
                <w:szCs w:val="1"/>
                <w:color w:val="auto"/>
              </w:rPr>
            </w:pPr>
          </w:p>
        </w:tc>
      </w:tr>
      <w:tr>
        <w:trPr>
          <w:trHeight w:val="169"/>
        </w:trPr>
        <w:tc>
          <w:tcPr>
            <w:tcW w:w="3440" w:type="dxa"/>
            <w:vAlign w:val="bottom"/>
            <w:tcBorders>
              <w:bottom w:val="single" w:sz="8" w:color="0000EE"/>
            </w:tcBorders>
            <w:gridSpan w:val="15"/>
          </w:tcPr>
          <w:p>
            <w:pPr>
              <w:spacing w:after="0" w:line="169"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INFORMATION FOR THIS ANNUAL MEETING</w:t>
              </w:r>
            </w:hyperlink>
          </w:p>
        </w:tc>
        <w:tc>
          <w:tcPr>
            <w:tcW w:w="1040" w:type="dxa"/>
            <w:vAlign w:val="bottom"/>
            <w:gridSpan w:val="3"/>
          </w:tcPr>
          <w:p>
            <w:pPr>
              <w:spacing w:after="0"/>
              <w:rPr>
                <w:sz w:val="14"/>
                <w:szCs w:val="14"/>
                <w:color w:val="auto"/>
              </w:rPr>
            </w:pPr>
          </w:p>
        </w:tc>
        <w:tc>
          <w:tcPr>
            <w:tcW w:w="5440" w:type="dxa"/>
            <w:vAlign w:val="bottom"/>
            <w:gridSpan w:val="5"/>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920" w:type="dxa"/>
            <w:vAlign w:val="bottom"/>
            <w:gridSpan w:val="23"/>
          </w:tcPr>
          <w:p>
            <w:pPr>
              <w:spacing w:after="0" w:line="169"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INFORMATION FOR OUR 2020 ANNUAL MEETING</w:t>
              </w:r>
            </w:hyperlink>
          </w:p>
        </w:tc>
        <w:tc>
          <w:tcPr>
            <w:tcW w:w="1020" w:type="dxa"/>
            <w:vAlign w:val="bottom"/>
          </w:tcPr>
          <w:p>
            <w:pPr>
              <w:jc w:val="right"/>
              <w:spacing w:after="0" w:line="169" w:lineRule="exact"/>
              <w:rPr>
                <w:sz w:val="20"/>
                <w:szCs w:val="20"/>
                <w:color w:val="auto"/>
              </w:rPr>
            </w:pPr>
            <w:r>
              <w:rPr>
                <w:rFonts w:ascii="Arial" w:cs="Arial" w:eastAsia="Arial" w:hAnsi="Arial"/>
                <w:sz w:val="16"/>
                <w:szCs w:val="16"/>
                <w:b w:val="1"/>
                <w:bCs w:val="1"/>
                <w:color w:val="41659C"/>
              </w:rPr>
              <w:t>39</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22"/>
          <w:szCs w:val="22"/>
          <w:color w:val="A5BD50"/>
        </w:rPr>
        <w:t>CECO ENVIRONMENTAL CORP.</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PROXY STATEMENT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22"/>
          <w:szCs w:val="22"/>
          <w:color w:val="A5BD50"/>
        </w:rPr>
        <w:t>FOR THE ANNUAL MEETING OF STOCKHOLDERS</w:t>
      </w:r>
    </w:p>
    <w:p>
      <w:pPr>
        <w:ind w:left="220"/>
        <w:spacing w:after="0"/>
        <w:rPr>
          <w:sz w:val="20"/>
          <w:szCs w:val="20"/>
          <w:color w:val="auto"/>
        </w:rPr>
      </w:pPr>
      <w:r>
        <w:rPr>
          <w:rFonts w:ascii="Arial" w:cs="Arial" w:eastAsia="Arial" w:hAnsi="Arial"/>
          <w:sz w:val="22"/>
          <w:szCs w:val="22"/>
          <w:color w:val="A5BD50"/>
        </w:rPr>
        <w:t>TO BE HELD ON JUNE 5, 2019</w:t>
      </w:r>
    </w:p>
    <w:p>
      <w:pPr>
        <w:spacing w:after="0" w:line="322"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This Proxy Statement is furnished in connection with the solicitation by the Board of Directors (the “Board”) of CECO Environmental Corp., a Delaware corporation (“we,” “us,” or the “Company”), of proxies to be voted at the annual meeting of stockholders of the Company to be held at 8:00 a.m., Central Time, at The Westin Stonebriar Hotel, 1549 Legacy Drive, Frisco, Texas 75034, on June 5, 2019, or any postponement or adjournment thereof (the “Annual Meeting”).</w:t>
      </w:r>
    </w:p>
    <w:p>
      <w:pPr>
        <w:spacing w:after="0" w:line="185" w:lineRule="exact"/>
        <w:rPr>
          <w:sz w:val="20"/>
          <w:szCs w:val="20"/>
          <w:color w:val="auto"/>
        </w:rPr>
      </w:pPr>
    </w:p>
    <w:p>
      <w:pPr>
        <w:ind w:left="220" w:right="80"/>
        <w:spacing w:after="0" w:line="259"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June 5, 2019. This Proxy Statement and the CECO Environmental Corp. 2018 Annual Report to Stockholders, which includes our Annual Report on Form 10-K, are available at www.cecoenviro.com/investors.aspx. The content on any website referred to in this Proxy Statement is not incorporated by reference into this Proxy Statement.</w:t>
      </w:r>
    </w:p>
    <w:p>
      <w:pPr>
        <w:spacing w:after="0" w:line="177"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b w:val="1"/>
          <w:bCs w:val="1"/>
          <w:color w:val="auto"/>
        </w:rPr>
        <w:t>We will provide a copy of our proxy materials for the Annual Meeting to any stockholder without charge upon written or oral request addressed to CECO Environmental Corp., to the attention of the Corporate Secretary, 14651 N. Dallas Parkway, Suite 500, Dallas, Texas 75254 or by phone at (214) 357-6181. Any stockholder may also receive a copy of our Annual Report on Form 10-K for the year ended December 31, 2018 as filed with the SEC, without exhibits, upon written request to the address above.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- 1 -</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PROPOSAL 1</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22"/>
          <w:szCs w:val="22"/>
          <w:color w:val="A5BD50"/>
        </w:rPr>
        <w:t>ELECTION OF DIRECTORS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Directors and Nominees</w:t>
      </w:r>
    </w:p>
    <w:p>
      <w:pPr>
        <w:spacing w:after="0" w:line="240"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Our Board consists of eight directors, each serving a one-year term. Upon the recommendation of our Nominations and Corporate Governance Committee of the Board, our Board has proposed the re-election of each of our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w:t>
      </w:r>
    </w:p>
    <w:p>
      <w:pPr>
        <w:spacing w:after="0" w:line="206"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All of our directors who served during 2018, other than Messrs. DeZwirek, Pollack and Sadlowski,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146685</wp:posOffset>
            </wp:positionV>
            <wp:extent cx="8255" cy="3126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312674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146685</wp:posOffset>
            </wp:positionV>
            <wp:extent cx="8255" cy="3126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312674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146685</wp:posOffset>
            </wp:positionV>
            <wp:extent cx="8255" cy="3126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312674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146685</wp:posOffset>
            </wp:positionV>
            <wp:extent cx="8255" cy="3126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312674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146685</wp:posOffset>
            </wp:positionV>
            <wp:extent cx="8255" cy="3126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3126740"/>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8"/>
        </w:trPr>
        <w:tc>
          <w:tcPr>
            <w:tcW w:w="4840" w:type="dxa"/>
            <w:vAlign w:val="bottom"/>
            <w:shd w:val="clear" w:color="auto" w:fill="41659C"/>
          </w:tcPr>
          <w:p>
            <w:pPr>
              <w:spacing w:after="0"/>
              <w:rPr>
                <w:sz w:val="18"/>
                <w:szCs w:val="18"/>
                <w:color w:val="auto"/>
              </w:rPr>
            </w:pPr>
          </w:p>
        </w:tc>
        <w:tc>
          <w:tcPr>
            <w:tcW w:w="880" w:type="dxa"/>
            <w:vAlign w:val="bottom"/>
            <w:shd w:val="clear" w:color="auto" w:fill="41659C"/>
          </w:tcPr>
          <w:p>
            <w:pPr>
              <w:spacing w:after="0"/>
              <w:rPr>
                <w:sz w:val="18"/>
                <w:szCs w:val="18"/>
                <w:color w:val="auto"/>
              </w:rPr>
            </w:pPr>
          </w:p>
        </w:tc>
        <w:tc>
          <w:tcPr>
            <w:tcW w:w="1260" w:type="dxa"/>
            <w:vAlign w:val="bottom"/>
            <w:shd w:val="clear" w:color="auto" w:fill="41659C"/>
          </w:tcPr>
          <w:p>
            <w:pPr>
              <w:spacing w:after="0"/>
              <w:rPr>
                <w:sz w:val="18"/>
                <w:szCs w:val="18"/>
                <w:color w:val="auto"/>
              </w:rPr>
            </w:pPr>
          </w:p>
        </w:tc>
        <w:tc>
          <w:tcPr>
            <w:tcW w:w="1120" w:type="dxa"/>
            <w:vAlign w:val="bottom"/>
            <w:shd w:val="clear" w:color="auto" w:fill="41659C"/>
          </w:tcPr>
          <w:p>
            <w:pPr>
              <w:spacing w:after="0"/>
              <w:rPr>
                <w:sz w:val="18"/>
                <w:szCs w:val="18"/>
                <w:color w:val="auto"/>
              </w:rPr>
            </w:pPr>
          </w:p>
        </w:tc>
        <w:tc>
          <w:tcPr>
            <w:tcW w:w="1440" w:type="dxa"/>
            <w:vAlign w:val="bottom"/>
            <w:shd w:val="clear" w:color="auto" w:fill="41659C"/>
          </w:tcPr>
          <w:p>
            <w:pPr>
              <w:spacing w:after="0"/>
              <w:rPr>
                <w:sz w:val="18"/>
                <w:szCs w:val="18"/>
                <w:color w:val="auto"/>
              </w:rPr>
            </w:pPr>
          </w:p>
        </w:tc>
        <w:tc>
          <w:tcPr>
            <w:tcW w:w="146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Nominations &amp;</w:t>
            </w:r>
          </w:p>
        </w:tc>
        <w:tc>
          <w:tcPr>
            <w:tcW w:w="0" w:type="dxa"/>
            <w:vAlign w:val="bottom"/>
          </w:tcPr>
          <w:p>
            <w:pPr>
              <w:spacing w:after="0"/>
              <w:rPr>
                <w:sz w:val="1"/>
                <w:szCs w:val="1"/>
                <w:color w:val="auto"/>
              </w:rPr>
            </w:pPr>
          </w:p>
        </w:tc>
      </w:tr>
      <w:tr>
        <w:trPr>
          <w:trHeight w:val="162"/>
        </w:trPr>
        <w:tc>
          <w:tcPr>
            <w:tcW w:w="484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1260" w:type="dxa"/>
            <w:vAlign w:val="bottom"/>
            <w:shd w:val="clear" w:color="auto" w:fill="41659C"/>
          </w:tcPr>
          <w:p>
            <w:pPr>
              <w:spacing w:after="0"/>
              <w:rPr>
                <w:sz w:val="14"/>
                <w:szCs w:val="14"/>
                <w:color w:val="auto"/>
              </w:rPr>
            </w:pPr>
          </w:p>
        </w:tc>
        <w:tc>
          <w:tcPr>
            <w:tcW w:w="1120" w:type="dxa"/>
            <w:vAlign w:val="bottom"/>
            <w:shd w:val="clear" w:color="auto" w:fill="41659C"/>
          </w:tcPr>
          <w:p>
            <w:pPr>
              <w:spacing w:after="0"/>
              <w:rPr>
                <w:sz w:val="14"/>
                <w:szCs w:val="14"/>
                <w:color w:val="auto"/>
              </w:rPr>
            </w:pPr>
          </w:p>
        </w:tc>
        <w:tc>
          <w:tcPr>
            <w:tcW w:w="1440" w:type="dxa"/>
            <w:vAlign w:val="bottom"/>
            <w:shd w:val="clear" w:color="auto" w:fill="41659C"/>
          </w:tcPr>
          <w:p>
            <w:pPr>
              <w:spacing w:after="0"/>
              <w:rPr>
                <w:sz w:val="14"/>
                <w:szCs w:val="14"/>
                <w:color w:val="auto"/>
              </w:rPr>
            </w:pPr>
          </w:p>
        </w:tc>
        <w:tc>
          <w:tcPr>
            <w:tcW w:w="14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Corporate</w:t>
            </w:r>
          </w:p>
        </w:tc>
        <w:tc>
          <w:tcPr>
            <w:tcW w:w="0" w:type="dxa"/>
            <w:vAlign w:val="bottom"/>
          </w:tcPr>
          <w:p>
            <w:pPr>
              <w:spacing w:after="0"/>
              <w:rPr>
                <w:sz w:val="1"/>
                <w:szCs w:val="1"/>
                <w:color w:val="auto"/>
              </w:rPr>
            </w:pPr>
          </w:p>
        </w:tc>
      </w:tr>
      <w:tr>
        <w:trPr>
          <w:trHeight w:val="162"/>
        </w:trPr>
        <w:tc>
          <w:tcPr>
            <w:tcW w:w="4840" w:type="dxa"/>
            <w:vAlign w:val="bottom"/>
            <w:shd w:val="clear" w:color="auto" w:fill="41659C"/>
          </w:tcPr>
          <w:p>
            <w:pPr>
              <w:spacing w:after="0"/>
              <w:rPr>
                <w:sz w:val="14"/>
                <w:szCs w:val="14"/>
                <w:color w:val="auto"/>
              </w:rPr>
            </w:pPr>
          </w:p>
        </w:tc>
        <w:tc>
          <w:tcPr>
            <w:tcW w:w="88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Director</w:t>
            </w:r>
          </w:p>
        </w:tc>
        <w:tc>
          <w:tcPr>
            <w:tcW w:w="1260" w:type="dxa"/>
            <w:vAlign w:val="bottom"/>
            <w:shd w:val="clear" w:color="auto" w:fill="41659C"/>
          </w:tcPr>
          <w:p>
            <w:pPr>
              <w:spacing w:after="0"/>
              <w:rPr>
                <w:sz w:val="14"/>
                <w:szCs w:val="14"/>
                <w:color w:val="auto"/>
              </w:rPr>
            </w:pPr>
          </w:p>
        </w:tc>
        <w:tc>
          <w:tcPr>
            <w:tcW w:w="11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w w:val="99"/>
              </w:rPr>
              <w:t>Audit</w:t>
            </w:r>
          </w:p>
        </w:tc>
        <w:tc>
          <w:tcPr>
            <w:tcW w:w="14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46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Governance</w:t>
            </w:r>
          </w:p>
        </w:tc>
        <w:tc>
          <w:tcPr>
            <w:tcW w:w="0" w:type="dxa"/>
            <w:vAlign w:val="bottom"/>
          </w:tcPr>
          <w:p>
            <w:pPr>
              <w:spacing w:after="0"/>
              <w:rPr>
                <w:sz w:val="1"/>
                <w:szCs w:val="1"/>
                <w:color w:val="auto"/>
              </w:rPr>
            </w:pPr>
          </w:p>
        </w:tc>
      </w:tr>
      <w:tr>
        <w:trPr>
          <w:trHeight w:val="217"/>
        </w:trPr>
        <w:tc>
          <w:tcPr>
            <w:tcW w:w="484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8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w w:val="99"/>
              </w:rPr>
              <w:t>Since</w:t>
            </w:r>
          </w:p>
        </w:tc>
        <w:tc>
          <w:tcPr>
            <w:tcW w:w="12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Independent</w:t>
            </w:r>
          </w:p>
        </w:tc>
        <w:tc>
          <w:tcPr>
            <w:tcW w:w="112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44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14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Committee</w:t>
            </w:r>
          </w:p>
        </w:tc>
        <w:tc>
          <w:tcPr>
            <w:tcW w:w="0" w:type="dxa"/>
            <w:vAlign w:val="bottom"/>
          </w:tcPr>
          <w:p>
            <w:pPr>
              <w:spacing w:after="0"/>
              <w:rPr>
                <w:sz w:val="1"/>
                <w:szCs w:val="1"/>
                <w:color w:val="auto"/>
              </w:rPr>
            </w:pPr>
          </w:p>
        </w:tc>
      </w:tr>
      <w:tr>
        <w:trPr>
          <w:trHeight w:val="226"/>
        </w:trPr>
        <w:tc>
          <w:tcPr>
            <w:tcW w:w="4840" w:type="dxa"/>
            <w:vAlign w:val="bottom"/>
            <w:shd w:val="clear" w:color="auto" w:fill="E8EED3"/>
          </w:tcPr>
          <w:p>
            <w:pPr>
              <w:ind w:left="60"/>
              <w:spacing w:after="0"/>
              <w:rPr>
                <w:sz w:val="20"/>
                <w:szCs w:val="20"/>
                <w:color w:val="auto"/>
              </w:rPr>
            </w:pPr>
            <w:r>
              <w:rPr>
                <w:rFonts w:ascii="Arial" w:cs="Arial" w:eastAsia="Arial" w:hAnsi="Arial"/>
                <w:sz w:val="15"/>
                <w:szCs w:val="15"/>
                <w:color w:val="auto"/>
              </w:rPr>
              <w:t>Jason DeZwirek</w:t>
            </w:r>
          </w:p>
        </w:tc>
        <w:tc>
          <w:tcPr>
            <w:tcW w:w="88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rPr>
              <w:t>1994</w:t>
            </w:r>
          </w:p>
        </w:tc>
        <w:tc>
          <w:tcPr>
            <w:tcW w:w="1260" w:type="dxa"/>
            <w:vAlign w:val="bottom"/>
            <w:shd w:val="clear" w:color="auto" w:fill="E8EED3"/>
          </w:tcPr>
          <w:p>
            <w:pPr>
              <w:spacing w:after="0"/>
              <w:rPr>
                <w:sz w:val="19"/>
                <w:szCs w:val="19"/>
                <w:color w:val="auto"/>
              </w:rPr>
            </w:pPr>
          </w:p>
        </w:tc>
        <w:tc>
          <w:tcPr>
            <w:tcW w:w="1120" w:type="dxa"/>
            <w:vAlign w:val="bottom"/>
            <w:shd w:val="clear" w:color="auto" w:fill="E8EED3"/>
          </w:tcPr>
          <w:p>
            <w:pPr>
              <w:spacing w:after="0"/>
              <w:rPr>
                <w:sz w:val="19"/>
                <w:szCs w:val="19"/>
                <w:color w:val="auto"/>
              </w:rPr>
            </w:pPr>
          </w:p>
        </w:tc>
        <w:tc>
          <w:tcPr>
            <w:tcW w:w="1440" w:type="dxa"/>
            <w:vAlign w:val="bottom"/>
            <w:shd w:val="clear" w:color="auto" w:fill="E8EED3"/>
          </w:tcPr>
          <w:p>
            <w:pPr>
              <w:spacing w:after="0"/>
              <w:rPr>
                <w:sz w:val="19"/>
                <w:szCs w:val="19"/>
                <w:color w:val="auto"/>
              </w:rPr>
            </w:pPr>
          </w:p>
        </w:tc>
        <w:tc>
          <w:tcPr>
            <w:tcW w:w="146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4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Chairman of the Board</w:t>
            </w:r>
          </w:p>
        </w:tc>
        <w:tc>
          <w:tcPr>
            <w:tcW w:w="880" w:type="dxa"/>
            <w:vAlign w:val="bottom"/>
            <w:vMerge w:val="continue"/>
            <w:shd w:val="clear" w:color="auto" w:fill="E8EED3"/>
          </w:tcPr>
          <w:p>
            <w:pPr>
              <w:spacing w:after="0"/>
              <w:rPr>
                <w:sz w:val="8"/>
                <w:szCs w:val="8"/>
                <w:color w:val="auto"/>
              </w:rPr>
            </w:pPr>
          </w:p>
        </w:tc>
        <w:tc>
          <w:tcPr>
            <w:tcW w:w="1260" w:type="dxa"/>
            <w:vAlign w:val="bottom"/>
            <w:shd w:val="clear" w:color="auto" w:fill="E8EED3"/>
          </w:tcPr>
          <w:p>
            <w:pPr>
              <w:spacing w:after="0"/>
              <w:rPr>
                <w:sz w:val="8"/>
                <w:szCs w:val="8"/>
                <w:color w:val="auto"/>
              </w:rPr>
            </w:pPr>
          </w:p>
        </w:tc>
        <w:tc>
          <w:tcPr>
            <w:tcW w:w="1120" w:type="dxa"/>
            <w:vAlign w:val="bottom"/>
            <w:shd w:val="clear" w:color="auto" w:fill="E8EED3"/>
          </w:tcPr>
          <w:p>
            <w:pPr>
              <w:spacing w:after="0"/>
              <w:rPr>
                <w:sz w:val="8"/>
                <w:szCs w:val="8"/>
                <w:color w:val="auto"/>
              </w:rPr>
            </w:pPr>
          </w:p>
        </w:tc>
        <w:tc>
          <w:tcPr>
            <w:tcW w:w="1440" w:type="dxa"/>
            <w:vAlign w:val="bottom"/>
            <w:shd w:val="clear" w:color="auto" w:fill="E8EED3"/>
          </w:tcPr>
          <w:p>
            <w:pPr>
              <w:spacing w:after="0"/>
              <w:rPr>
                <w:sz w:val="8"/>
                <w:szCs w:val="8"/>
                <w:color w:val="auto"/>
              </w:rPr>
            </w:pPr>
          </w:p>
        </w:tc>
        <w:tc>
          <w:tcPr>
            <w:tcW w:w="1460" w:type="dxa"/>
            <w:vAlign w:val="bottom"/>
            <w:shd w:val="clear" w:color="auto" w:fill="E8EED3"/>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40" w:type="dxa"/>
            <w:vAlign w:val="bottom"/>
            <w:tcBorders>
              <w:bottom w:val="single" w:sz="8" w:color="E8EED3"/>
            </w:tcBorders>
            <w:vMerge w:val="continue"/>
            <w:shd w:val="clear" w:color="auto" w:fill="E8EED3"/>
          </w:tcPr>
          <w:p>
            <w:pPr>
              <w:spacing w:after="0"/>
              <w:rPr>
                <w:sz w:val="9"/>
                <w:szCs w:val="9"/>
                <w:color w:val="auto"/>
              </w:rPr>
            </w:pPr>
          </w:p>
        </w:tc>
        <w:tc>
          <w:tcPr>
            <w:tcW w:w="880" w:type="dxa"/>
            <w:vAlign w:val="bottom"/>
            <w:tcBorders>
              <w:bottom w:val="single" w:sz="8" w:color="E8EED3"/>
            </w:tcBorders>
            <w:shd w:val="clear" w:color="auto" w:fill="E8EED3"/>
          </w:tcPr>
          <w:p>
            <w:pPr>
              <w:spacing w:after="0"/>
              <w:rPr>
                <w:sz w:val="9"/>
                <w:szCs w:val="9"/>
                <w:color w:val="auto"/>
              </w:rPr>
            </w:pPr>
          </w:p>
        </w:tc>
        <w:tc>
          <w:tcPr>
            <w:tcW w:w="1260" w:type="dxa"/>
            <w:vAlign w:val="bottom"/>
            <w:tcBorders>
              <w:bottom w:val="single" w:sz="8" w:color="E8EED3"/>
            </w:tcBorders>
            <w:shd w:val="clear" w:color="auto" w:fill="E8EED3"/>
          </w:tcPr>
          <w:p>
            <w:pPr>
              <w:spacing w:after="0"/>
              <w:rPr>
                <w:sz w:val="9"/>
                <w:szCs w:val="9"/>
                <w:color w:val="auto"/>
              </w:rPr>
            </w:pPr>
          </w:p>
        </w:tc>
        <w:tc>
          <w:tcPr>
            <w:tcW w:w="1120" w:type="dxa"/>
            <w:vAlign w:val="bottom"/>
            <w:tcBorders>
              <w:bottom w:val="single" w:sz="8" w:color="E8EED3"/>
            </w:tcBorders>
            <w:shd w:val="clear" w:color="auto" w:fill="E8EED3"/>
          </w:tcPr>
          <w:p>
            <w:pPr>
              <w:spacing w:after="0"/>
              <w:rPr>
                <w:sz w:val="9"/>
                <w:szCs w:val="9"/>
                <w:color w:val="auto"/>
              </w:rPr>
            </w:pPr>
          </w:p>
        </w:tc>
        <w:tc>
          <w:tcPr>
            <w:tcW w:w="1440" w:type="dxa"/>
            <w:vAlign w:val="bottom"/>
            <w:tcBorders>
              <w:bottom w:val="single" w:sz="8" w:color="E8EED3"/>
            </w:tcBorders>
            <w:shd w:val="clear" w:color="auto" w:fill="E8EED3"/>
          </w:tcPr>
          <w:p>
            <w:pPr>
              <w:spacing w:after="0"/>
              <w:rPr>
                <w:sz w:val="9"/>
                <w:szCs w:val="9"/>
                <w:color w:val="auto"/>
              </w:rPr>
            </w:pPr>
          </w:p>
        </w:tc>
        <w:tc>
          <w:tcPr>
            <w:tcW w:w="1460" w:type="dxa"/>
            <w:vAlign w:val="bottom"/>
            <w:tcBorders>
              <w:bottom w:val="single" w:sz="8" w:color="E8EED3"/>
            </w:tcBorders>
            <w:shd w:val="clear" w:color="auto" w:fill="E8EED3"/>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D2DEA7"/>
          </w:tcPr>
          <w:p>
            <w:pPr>
              <w:ind w:left="60"/>
              <w:spacing w:after="0"/>
              <w:rPr>
                <w:sz w:val="20"/>
                <w:szCs w:val="20"/>
                <w:color w:val="auto"/>
              </w:rPr>
            </w:pPr>
            <w:r>
              <w:rPr>
                <w:rFonts w:ascii="Arial" w:cs="Arial" w:eastAsia="Arial" w:hAnsi="Arial"/>
                <w:sz w:val="15"/>
                <w:szCs w:val="15"/>
                <w:color w:val="auto"/>
              </w:rPr>
              <w:t>Dennis Sadlowski</w:t>
            </w:r>
          </w:p>
        </w:tc>
        <w:tc>
          <w:tcPr>
            <w:tcW w:w="88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2016</w:t>
            </w:r>
          </w:p>
        </w:tc>
        <w:tc>
          <w:tcPr>
            <w:tcW w:w="1260" w:type="dxa"/>
            <w:vAlign w:val="bottom"/>
            <w:shd w:val="clear" w:color="auto" w:fill="D2DEA7"/>
          </w:tcPr>
          <w:p>
            <w:pPr>
              <w:spacing w:after="0"/>
              <w:rPr>
                <w:sz w:val="19"/>
                <w:szCs w:val="19"/>
                <w:color w:val="auto"/>
              </w:rPr>
            </w:pPr>
          </w:p>
        </w:tc>
        <w:tc>
          <w:tcPr>
            <w:tcW w:w="1120" w:type="dxa"/>
            <w:vAlign w:val="bottom"/>
            <w:shd w:val="clear" w:color="auto" w:fill="D2DEA7"/>
          </w:tcPr>
          <w:p>
            <w:pPr>
              <w:spacing w:after="0"/>
              <w:rPr>
                <w:sz w:val="19"/>
                <w:szCs w:val="19"/>
                <w:color w:val="auto"/>
              </w:rPr>
            </w:pPr>
          </w:p>
        </w:tc>
        <w:tc>
          <w:tcPr>
            <w:tcW w:w="1440" w:type="dxa"/>
            <w:vAlign w:val="bottom"/>
            <w:shd w:val="clear" w:color="auto" w:fill="D2DEA7"/>
          </w:tcPr>
          <w:p>
            <w:pPr>
              <w:spacing w:after="0"/>
              <w:rPr>
                <w:sz w:val="19"/>
                <w:szCs w:val="19"/>
                <w:color w:val="auto"/>
              </w:rPr>
            </w:pPr>
          </w:p>
        </w:tc>
        <w:tc>
          <w:tcPr>
            <w:tcW w:w="146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4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Chief Executive Officer</w:t>
            </w:r>
          </w:p>
        </w:tc>
        <w:tc>
          <w:tcPr>
            <w:tcW w:w="880" w:type="dxa"/>
            <w:vAlign w:val="bottom"/>
            <w:vMerge w:val="continue"/>
            <w:shd w:val="clear" w:color="auto" w:fill="D2DEA7"/>
          </w:tcPr>
          <w:p>
            <w:pPr>
              <w:spacing w:after="0"/>
              <w:rPr>
                <w:sz w:val="8"/>
                <w:szCs w:val="8"/>
                <w:color w:val="auto"/>
              </w:rPr>
            </w:pPr>
          </w:p>
        </w:tc>
        <w:tc>
          <w:tcPr>
            <w:tcW w:w="1260" w:type="dxa"/>
            <w:vAlign w:val="bottom"/>
            <w:shd w:val="clear" w:color="auto" w:fill="D2DEA7"/>
          </w:tcPr>
          <w:p>
            <w:pPr>
              <w:spacing w:after="0"/>
              <w:rPr>
                <w:sz w:val="8"/>
                <w:szCs w:val="8"/>
                <w:color w:val="auto"/>
              </w:rPr>
            </w:pPr>
          </w:p>
        </w:tc>
        <w:tc>
          <w:tcPr>
            <w:tcW w:w="1120" w:type="dxa"/>
            <w:vAlign w:val="bottom"/>
            <w:shd w:val="clear" w:color="auto" w:fill="D2DEA7"/>
          </w:tcPr>
          <w:p>
            <w:pPr>
              <w:spacing w:after="0"/>
              <w:rPr>
                <w:sz w:val="8"/>
                <w:szCs w:val="8"/>
                <w:color w:val="auto"/>
              </w:rPr>
            </w:pPr>
          </w:p>
        </w:tc>
        <w:tc>
          <w:tcPr>
            <w:tcW w:w="1440" w:type="dxa"/>
            <w:vAlign w:val="bottom"/>
            <w:shd w:val="clear" w:color="auto" w:fill="D2DEA7"/>
          </w:tcPr>
          <w:p>
            <w:pPr>
              <w:spacing w:after="0"/>
              <w:rPr>
                <w:sz w:val="8"/>
                <w:szCs w:val="8"/>
                <w:color w:val="auto"/>
              </w:rPr>
            </w:pPr>
          </w:p>
        </w:tc>
        <w:tc>
          <w:tcPr>
            <w:tcW w:w="1460" w:type="dxa"/>
            <w:vAlign w:val="bottom"/>
            <w:shd w:val="clear" w:color="auto" w:fill="D2DEA7"/>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40" w:type="dxa"/>
            <w:vAlign w:val="bottom"/>
            <w:tcBorders>
              <w:bottom w:val="single" w:sz="8" w:color="D2DEA7"/>
            </w:tcBorders>
            <w:vMerge w:val="continue"/>
            <w:shd w:val="clear" w:color="auto" w:fill="D2DEA7"/>
          </w:tcPr>
          <w:p>
            <w:pPr>
              <w:spacing w:after="0"/>
              <w:rPr>
                <w:sz w:val="9"/>
                <w:szCs w:val="9"/>
                <w:color w:val="auto"/>
              </w:rPr>
            </w:pPr>
          </w:p>
        </w:tc>
        <w:tc>
          <w:tcPr>
            <w:tcW w:w="880" w:type="dxa"/>
            <w:vAlign w:val="bottom"/>
            <w:tcBorders>
              <w:bottom w:val="single" w:sz="8" w:color="D2DEA7"/>
            </w:tcBorders>
            <w:shd w:val="clear" w:color="auto" w:fill="D2DEA7"/>
          </w:tcPr>
          <w:p>
            <w:pPr>
              <w:spacing w:after="0"/>
              <w:rPr>
                <w:sz w:val="9"/>
                <w:szCs w:val="9"/>
                <w:color w:val="auto"/>
              </w:rPr>
            </w:pPr>
          </w:p>
        </w:tc>
        <w:tc>
          <w:tcPr>
            <w:tcW w:w="1260" w:type="dxa"/>
            <w:vAlign w:val="bottom"/>
            <w:tcBorders>
              <w:bottom w:val="single" w:sz="8" w:color="D2DEA7"/>
            </w:tcBorders>
            <w:shd w:val="clear" w:color="auto" w:fill="D2DEA7"/>
          </w:tcPr>
          <w:p>
            <w:pPr>
              <w:spacing w:after="0"/>
              <w:rPr>
                <w:sz w:val="9"/>
                <w:szCs w:val="9"/>
                <w:color w:val="auto"/>
              </w:rPr>
            </w:pPr>
          </w:p>
        </w:tc>
        <w:tc>
          <w:tcPr>
            <w:tcW w:w="1120" w:type="dxa"/>
            <w:vAlign w:val="bottom"/>
            <w:tcBorders>
              <w:bottom w:val="single" w:sz="8" w:color="D2DEA7"/>
            </w:tcBorders>
            <w:shd w:val="clear" w:color="auto" w:fill="D2DEA7"/>
          </w:tcPr>
          <w:p>
            <w:pPr>
              <w:spacing w:after="0"/>
              <w:rPr>
                <w:sz w:val="9"/>
                <w:szCs w:val="9"/>
                <w:color w:val="auto"/>
              </w:rPr>
            </w:pPr>
          </w:p>
        </w:tc>
        <w:tc>
          <w:tcPr>
            <w:tcW w:w="1440" w:type="dxa"/>
            <w:vAlign w:val="bottom"/>
            <w:tcBorders>
              <w:bottom w:val="single" w:sz="8" w:color="D2DEA7"/>
            </w:tcBorders>
            <w:shd w:val="clear" w:color="auto" w:fill="D2DEA7"/>
          </w:tcPr>
          <w:p>
            <w:pPr>
              <w:spacing w:after="0"/>
              <w:rPr>
                <w:sz w:val="9"/>
                <w:szCs w:val="9"/>
                <w:color w:val="auto"/>
              </w:rPr>
            </w:pPr>
          </w:p>
        </w:tc>
        <w:tc>
          <w:tcPr>
            <w:tcW w:w="1460" w:type="dxa"/>
            <w:vAlign w:val="bottom"/>
            <w:tcBorders>
              <w:bottom w:val="single" w:sz="8" w:color="D2DEA7"/>
            </w:tcBorders>
            <w:shd w:val="clear" w:color="auto" w:fill="D2DEA7"/>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E8EED3"/>
          </w:tcPr>
          <w:p>
            <w:pPr>
              <w:ind w:left="60"/>
              <w:spacing w:after="0"/>
              <w:rPr>
                <w:sz w:val="20"/>
                <w:szCs w:val="20"/>
                <w:color w:val="auto"/>
              </w:rPr>
            </w:pPr>
            <w:r>
              <w:rPr>
                <w:rFonts w:ascii="Arial" w:cs="Arial" w:eastAsia="Arial" w:hAnsi="Arial"/>
                <w:sz w:val="15"/>
                <w:szCs w:val="15"/>
                <w:color w:val="auto"/>
              </w:rPr>
              <w:t>Jonathan Pollack</w:t>
            </w:r>
          </w:p>
        </w:tc>
        <w:tc>
          <w:tcPr>
            <w:tcW w:w="880" w:type="dxa"/>
            <w:vAlign w:val="bottom"/>
            <w:shd w:val="clear" w:color="auto" w:fill="E8EED3"/>
          </w:tcPr>
          <w:p>
            <w:pPr>
              <w:spacing w:after="0"/>
              <w:rPr>
                <w:sz w:val="19"/>
                <w:szCs w:val="19"/>
                <w:color w:val="auto"/>
              </w:rPr>
            </w:pPr>
          </w:p>
        </w:tc>
        <w:tc>
          <w:tcPr>
            <w:tcW w:w="1260" w:type="dxa"/>
            <w:vAlign w:val="bottom"/>
            <w:shd w:val="clear" w:color="auto" w:fill="E8EED3"/>
          </w:tcPr>
          <w:p>
            <w:pPr>
              <w:spacing w:after="0"/>
              <w:rPr>
                <w:sz w:val="19"/>
                <w:szCs w:val="19"/>
                <w:color w:val="auto"/>
              </w:rPr>
            </w:pPr>
          </w:p>
        </w:tc>
        <w:tc>
          <w:tcPr>
            <w:tcW w:w="1120" w:type="dxa"/>
            <w:vAlign w:val="bottom"/>
            <w:shd w:val="clear" w:color="auto" w:fill="E8EED3"/>
          </w:tcPr>
          <w:p>
            <w:pPr>
              <w:spacing w:after="0"/>
              <w:rPr>
                <w:sz w:val="19"/>
                <w:szCs w:val="19"/>
                <w:color w:val="auto"/>
              </w:rPr>
            </w:pPr>
          </w:p>
        </w:tc>
        <w:tc>
          <w:tcPr>
            <w:tcW w:w="1440" w:type="dxa"/>
            <w:vAlign w:val="bottom"/>
            <w:shd w:val="clear" w:color="auto" w:fill="E8EED3"/>
          </w:tcPr>
          <w:p>
            <w:pPr>
              <w:spacing w:after="0"/>
              <w:rPr>
                <w:sz w:val="19"/>
                <w:szCs w:val="19"/>
                <w:color w:val="auto"/>
              </w:rPr>
            </w:pPr>
          </w:p>
        </w:tc>
        <w:tc>
          <w:tcPr>
            <w:tcW w:w="146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40" w:type="dxa"/>
            <w:vAlign w:val="bottom"/>
            <w:shd w:val="clear" w:color="auto" w:fill="E8EED3"/>
          </w:tcPr>
          <w:p>
            <w:pPr>
              <w:ind w:left="60"/>
              <w:spacing w:after="0" w:line="162" w:lineRule="exact"/>
              <w:rPr>
                <w:sz w:val="20"/>
                <w:szCs w:val="20"/>
                <w:color w:val="auto"/>
              </w:rPr>
            </w:pPr>
            <w:r>
              <w:rPr>
                <w:rFonts w:ascii="Arial" w:cs="Arial" w:eastAsia="Arial" w:hAnsi="Arial"/>
                <w:sz w:val="15"/>
                <w:szCs w:val="15"/>
                <w:color w:val="auto"/>
              </w:rPr>
              <w:t>Assistant Secretary</w:t>
            </w:r>
          </w:p>
        </w:tc>
        <w:tc>
          <w:tcPr>
            <w:tcW w:w="88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rPr>
              <w:t>2011</w:t>
            </w:r>
          </w:p>
        </w:tc>
        <w:tc>
          <w:tcPr>
            <w:tcW w:w="1260" w:type="dxa"/>
            <w:vAlign w:val="bottom"/>
            <w:shd w:val="clear" w:color="auto" w:fill="E8EED3"/>
          </w:tcPr>
          <w:p>
            <w:pPr>
              <w:spacing w:after="0"/>
              <w:rPr>
                <w:sz w:val="14"/>
                <w:szCs w:val="14"/>
                <w:color w:val="auto"/>
              </w:rPr>
            </w:pPr>
          </w:p>
        </w:tc>
        <w:tc>
          <w:tcPr>
            <w:tcW w:w="1120" w:type="dxa"/>
            <w:vAlign w:val="bottom"/>
            <w:shd w:val="clear" w:color="auto" w:fill="E8EED3"/>
          </w:tcPr>
          <w:p>
            <w:pPr>
              <w:spacing w:after="0"/>
              <w:rPr>
                <w:sz w:val="14"/>
                <w:szCs w:val="14"/>
                <w:color w:val="auto"/>
              </w:rPr>
            </w:pPr>
          </w:p>
        </w:tc>
        <w:tc>
          <w:tcPr>
            <w:tcW w:w="1440" w:type="dxa"/>
            <w:vAlign w:val="bottom"/>
            <w:shd w:val="clear" w:color="auto" w:fill="E8EED3"/>
          </w:tcPr>
          <w:p>
            <w:pPr>
              <w:spacing w:after="0"/>
              <w:rPr>
                <w:sz w:val="14"/>
                <w:szCs w:val="14"/>
                <w:color w:val="auto"/>
              </w:rPr>
            </w:pPr>
          </w:p>
        </w:tc>
        <w:tc>
          <w:tcPr>
            <w:tcW w:w="146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4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President of JMP Fam Holdings, Inc.</w:t>
            </w:r>
          </w:p>
        </w:tc>
        <w:tc>
          <w:tcPr>
            <w:tcW w:w="880" w:type="dxa"/>
            <w:vAlign w:val="bottom"/>
            <w:tcBorders>
              <w:bottom w:val="single" w:sz="8" w:color="E8EED3"/>
            </w:tcBorders>
            <w:shd w:val="clear" w:color="auto" w:fill="E8EED3"/>
          </w:tcPr>
          <w:p>
            <w:pPr>
              <w:spacing w:after="0"/>
              <w:rPr>
                <w:sz w:val="18"/>
                <w:szCs w:val="18"/>
                <w:color w:val="auto"/>
              </w:rPr>
            </w:pPr>
          </w:p>
        </w:tc>
        <w:tc>
          <w:tcPr>
            <w:tcW w:w="1260" w:type="dxa"/>
            <w:vAlign w:val="bottom"/>
            <w:tcBorders>
              <w:bottom w:val="single" w:sz="8" w:color="E8EED3"/>
            </w:tcBorders>
            <w:shd w:val="clear" w:color="auto" w:fill="E8EED3"/>
          </w:tcPr>
          <w:p>
            <w:pPr>
              <w:spacing w:after="0"/>
              <w:rPr>
                <w:sz w:val="18"/>
                <w:szCs w:val="18"/>
                <w:color w:val="auto"/>
              </w:rPr>
            </w:pPr>
          </w:p>
        </w:tc>
        <w:tc>
          <w:tcPr>
            <w:tcW w:w="1120" w:type="dxa"/>
            <w:vAlign w:val="bottom"/>
            <w:tcBorders>
              <w:bottom w:val="single" w:sz="8" w:color="E8EED3"/>
            </w:tcBorders>
            <w:shd w:val="clear" w:color="auto" w:fill="E8EED3"/>
          </w:tcPr>
          <w:p>
            <w:pPr>
              <w:spacing w:after="0"/>
              <w:rPr>
                <w:sz w:val="18"/>
                <w:szCs w:val="18"/>
                <w:color w:val="auto"/>
              </w:rPr>
            </w:pPr>
          </w:p>
        </w:tc>
        <w:tc>
          <w:tcPr>
            <w:tcW w:w="1440" w:type="dxa"/>
            <w:vAlign w:val="bottom"/>
            <w:tcBorders>
              <w:bottom w:val="single" w:sz="8" w:color="E8EED3"/>
            </w:tcBorders>
            <w:shd w:val="clear" w:color="auto" w:fill="E8EED3"/>
          </w:tcPr>
          <w:p>
            <w:pPr>
              <w:spacing w:after="0"/>
              <w:rPr>
                <w:sz w:val="18"/>
                <w:szCs w:val="18"/>
                <w:color w:val="auto"/>
              </w:rPr>
            </w:pPr>
          </w:p>
        </w:tc>
        <w:tc>
          <w:tcPr>
            <w:tcW w:w="1460" w:type="dxa"/>
            <w:vAlign w:val="bottom"/>
            <w:tcBorders>
              <w:bottom w:val="single" w:sz="8" w:color="E8EED3"/>
            </w:tcBorders>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D2DEA7"/>
          </w:tcPr>
          <w:p>
            <w:pPr>
              <w:ind w:left="60"/>
              <w:spacing w:after="0"/>
              <w:rPr>
                <w:sz w:val="20"/>
                <w:szCs w:val="20"/>
                <w:color w:val="auto"/>
              </w:rPr>
            </w:pPr>
            <w:r>
              <w:rPr>
                <w:rFonts w:ascii="Arial" w:cs="Arial" w:eastAsia="Arial" w:hAnsi="Arial"/>
                <w:sz w:val="15"/>
                <w:szCs w:val="15"/>
                <w:color w:val="auto"/>
              </w:rPr>
              <w:t>Eric M. Goldberg</w:t>
            </w:r>
          </w:p>
        </w:tc>
        <w:tc>
          <w:tcPr>
            <w:tcW w:w="88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2013</w:t>
            </w:r>
          </w:p>
        </w:tc>
        <w:tc>
          <w:tcPr>
            <w:tcW w:w="126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120" w:type="dxa"/>
            <w:vAlign w:val="bottom"/>
            <w:shd w:val="clear" w:color="auto" w:fill="D2DEA7"/>
          </w:tcPr>
          <w:p>
            <w:pPr>
              <w:spacing w:after="0"/>
              <w:rPr>
                <w:sz w:val="19"/>
                <w:szCs w:val="19"/>
                <w:color w:val="auto"/>
              </w:rPr>
            </w:pPr>
          </w:p>
        </w:tc>
        <w:tc>
          <w:tcPr>
            <w:tcW w:w="144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46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4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President of All American Events &amp; Tours</w:t>
            </w:r>
          </w:p>
        </w:tc>
        <w:tc>
          <w:tcPr>
            <w:tcW w:w="880" w:type="dxa"/>
            <w:vAlign w:val="bottom"/>
            <w:vMerge w:val="continue"/>
            <w:shd w:val="clear" w:color="auto" w:fill="D2DEA7"/>
          </w:tcPr>
          <w:p>
            <w:pPr>
              <w:spacing w:after="0"/>
              <w:rPr>
                <w:sz w:val="8"/>
                <w:szCs w:val="8"/>
                <w:color w:val="auto"/>
              </w:rPr>
            </w:pPr>
          </w:p>
        </w:tc>
        <w:tc>
          <w:tcPr>
            <w:tcW w:w="1260" w:type="dxa"/>
            <w:vAlign w:val="bottom"/>
            <w:vMerge w:val="continue"/>
            <w:shd w:val="clear" w:color="auto" w:fill="D2DEA7"/>
          </w:tcPr>
          <w:p>
            <w:pPr>
              <w:spacing w:after="0"/>
              <w:rPr>
                <w:sz w:val="8"/>
                <w:szCs w:val="8"/>
                <w:color w:val="auto"/>
              </w:rPr>
            </w:pPr>
          </w:p>
        </w:tc>
        <w:tc>
          <w:tcPr>
            <w:tcW w:w="1120" w:type="dxa"/>
            <w:vAlign w:val="bottom"/>
            <w:shd w:val="clear" w:color="auto" w:fill="D2DEA7"/>
          </w:tcPr>
          <w:p>
            <w:pPr>
              <w:spacing w:after="0"/>
              <w:rPr>
                <w:sz w:val="8"/>
                <w:szCs w:val="8"/>
                <w:color w:val="auto"/>
              </w:rPr>
            </w:pPr>
          </w:p>
        </w:tc>
        <w:tc>
          <w:tcPr>
            <w:tcW w:w="1440" w:type="dxa"/>
            <w:vAlign w:val="bottom"/>
            <w:vMerge w:val="continue"/>
            <w:shd w:val="clear" w:color="auto" w:fill="D2DEA7"/>
          </w:tcPr>
          <w:p>
            <w:pPr>
              <w:spacing w:after="0"/>
              <w:rPr>
                <w:sz w:val="8"/>
                <w:szCs w:val="8"/>
                <w:color w:val="auto"/>
              </w:rPr>
            </w:pPr>
          </w:p>
        </w:tc>
        <w:tc>
          <w:tcPr>
            <w:tcW w:w="1460" w:type="dxa"/>
            <w:vAlign w:val="bottom"/>
            <w:shd w:val="clear" w:color="auto" w:fill="D2DEA7"/>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40" w:type="dxa"/>
            <w:vAlign w:val="bottom"/>
            <w:tcBorders>
              <w:bottom w:val="single" w:sz="8" w:color="D2DEA7"/>
            </w:tcBorders>
            <w:vMerge w:val="continue"/>
            <w:shd w:val="clear" w:color="auto" w:fill="D2DEA7"/>
          </w:tcPr>
          <w:p>
            <w:pPr>
              <w:spacing w:after="0"/>
              <w:rPr>
                <w:sz w:val="9"/>
                <w:szCs w:val="9"/>
                <w:color w:val="auto"/>
              </w:rPr>
            </w:pPr>
          </w:p>
        </w:tc>
        <w:tc>
          <w:tcPr>
            <w:tcW w:w="880" w:type="dxa"/>
            <w:vAlign w:val="bottom"/>
            <w:tcBorders>
              <w:bottom w:val="single" w:sz="8" w:color="D2DEA7"/>
            </w:tcBorders>
            <w:shd w:val="clear" w:color="auto" w:fill="D2DEA7"/>
          </w:tcPr>
          <w:p>
            <w:pPr>
              <w:spacing w:after="0"/>
              <w:rPr>
                <w:sz w:val="9"/>
                <w:szCs w:val="9"/>
                <w:color w:val="auto"/>
              </w:rPr>
            </w:pPr>
          </w:p>
        </w:tc>
        <w:tc>
          <w:tcPr>
            <w:tcW w:w="1260" w:type="dxa"/>
            <w:vAlign w:val="bottom"/>
            <w:tcBorders>
              <w:bottom w:val="single" w:sz="8" w:color="D2DEA7"/>
            </w:tcBorders>
            <w:shd w:val="clear" w:color="auto" w:fill="D2DEA7"/>
          </w:tcPr>
          <w:p>
            <w:pPr>
              <w:spacing w:after="0"/>
              <w:rPr>
                <w:sz w:val="9"/>
                <w:szCs w:val="9"/>
                <w:color w:val="auto"/>
              </w:rPr>
            </w:pPr>
          </w:p>
        </w:tc>
        <w:tc>
          <w:tcPr>
            <w:tcW w:w="1120" w:type="dxa"/>
            <w:vAlign w:val="bottom"/>
            <w:tcBorders>
              <w:bottom w:val="single" w:sz="8" w:color="D2DEA7"/>
            </w:tcBorders>
            <w:shd w:val="clear" w:color="auto" w:fill="D2DEA7"/>
          </w:tcPr>
          <w:p>
            <w:pPr>
              <w:spacing w:after="0"/>
              <w:rPr>
                <w:sz w:val="9"/>
                <w:szCs w:val="9"/>
                <w:color w:val="auto"/>
              </w:rPr>
            </w:pPr>
          </w:p>
        </w:tc>
        <w:tc>
          <w:tcPr>
            <w:tcW w:w="1440" w:type="dxa"/>
            <w:vAlign w:val="bottom"/>
            <w:tcBorders>
              <w:bottom w:val="single" w:sz="8" w:color="D2DEA7"/>
            </w:tcBorders>
            <w:shd w:val="clear" w:color="auto" w:fill="D2DEA7"/>
          </w:tcPr>
          <w:p>
            <w:pPr>
              <w:spacing w:after="0"/>
              <w:rPr>
                <w:sz w:val="9"/>
                <w:szCs w:val="9"/>
                <w:color w:val="auto"/>
              </w:rPr>
            </w:pPr>
          </w:p>
        </w:tc>
        <w:tc>
          <w:tcPr>
            <w:tcW w:w="1460" w:type="dxa"/>
            <w:vAlign w:val="bottom"/>
            <w:tcBorders>
              <w:bottom w:val="single" w:sz="8" w:color="D2DEA7"/>
            </w:tcBorders>
            <w:shd w:val="clear" w:color="auto" w:fill="D2DEA7"/>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E8EED3"/>
          </w:tcPr>
          <w:p>
            <w:pPr>
              <w:ind w:left="60"/>
              <w:spacing w:after="0"/>
              <w:rPr>
                <w:sz w:val="20"/>
                <w:szCs w:val="20"/>
                <w:color w:val="auto"/>
              </w:rPr>
            </w:pPr>
            <w:r>
              <w:rPr>
                <w:rFonts w:ascii="Arial" w:cs="Arial" w:eastAsia="Arial" w:hAnsi="Arial"/>
                <w:sz w:val="15"/>
                <w:szCs w:val="15"/>
                <w:color w:val="auto"/>
              </w:rPr>
              <w:t>David B. Liner</w:t>
            </w:r>
          </w:p>
        </w:tc>
        <w:tc>
          <w:tcPr>
            <w:tcW w:w="880" w:type="dxa"/>
            <w:vAlign w:val="bottom"/>
            <w:shd w:val="clear" w:color="auto" w:fill="E8EED3"/>
          </w:tcPr>
          <w:p>
            <w:pPr>
              <w:spacing w:after="0"/>
              <w:rPr>
                <w:sz w:val="19"/>
                <w:szCs w:val="19"/>
                <w:color w:val="auto"/>
              </w:rPr>
            </w:pPr>
          </w:p>
        </w:tc>
        <w:tc>
          <w:tcPr>
            <w:tcW w:w="1260" w:type="dxa"/>
            <w:vAlign w:val="bottom"/>
            <w:shd w:val="clear" w:color="auto" w:fill="E8EED3"/>
          </w:tcPr>
          <w:p>
            <w:pPr>
              <w:spacing w:after="0"/>
              <w:rPr>
                <w:sz w:val="19"/>
                <w:szCs w:val="19"/>
                <w:color w:val="auto"/>
              </w:rPr>
            </w:pPr>
          </w:p>
        </w:tc>
        <w:tc>
          <w:tcPr>
            <w:tcW w:w="1120" w:type="dxa"/>
            <w:vAlign w:val="bottom"/>
            <w:shd w:val="clear" w:color="auto" w:fill="E8EED3"/>
          </w:tcPr>
          <w:p>
            <w:pPr>
              <w:spacing w:after="0"/>
              <w:rPr>
                <w:sz w:val="19"/>
                <w:szCs w:val="19"/>
                <w:color w:val="auto"/>
              </w:rPr>
            </w:pPr>
          </w:p>
        </w:tc>
        <w:tc>
          <w:tcPr>
            <w:tcW w:w="1440" w:type="dxa"/>
            <w:vAlign w:val="bottom"/>
            <w:shd w:val="clear" w:color="auto" w:fill="E8EED3"/>
          </w:tcPr>
          <w:p>
            <w:pPr>
              <w:spacing w:after="0"/>
              <w:rPr>
                <w:sz w:val="19"/>
                <w:szCs w:val="19"/>
                <w:color w:val="auto"/>
              </w:rPr>
            </w:pPr>
          </w:p>
        </w:tc>
        <w:tc>
          <w:tcPr>
            <w:tcW w:w="146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40" w:type="dxa"/>
            <w:vAlign w:val="bottom"/>
            <w:shd w:val="clear" w:color="auto" w:fill="E8EED3"/>
          </w:tcPr>
          <w:p>
            <w:pPr>
              <w:ind w:left="60"/>
              <w:spacing w:after="0" w:line="162" w:lineRule="exact"/>
              <w:rPr>
                <w:sz w:val="20"/>
                <w:szCs w:val="20"/>
                <w:color w:val="auto"/>
              </w:rPr>
            </w:pPr>
            <w:r>
              <w:rPr>
                <w:rFonts w:ascii="Arial" w:cs="Arial" w:eastAsia="Arial" w:hAnsi="Arial"/>
                <w:sz w:val="15"/>
                <w:szCs w:val="15"/>
                <w:color w:val="auto"/>
              </w:rPr>
              <w:t>Former Vice President, General Counsel, Corporate Secretary and</w:t>
            </w:r>
          </w:p>
        </w:tc>
        <w:tc>
          <w:tcPr>
            <w:tcW w:w="88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rPr>
              <w:t>2017</w:t>
            </w:r>
          </w:p>
        </w:tc>
        <w:tc>
          <w:tcPr>
            <w:tcW w:w="126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w w:val="99"/>
              </w:rPr>
              <w:t>X</w:t>
            </w:r>
          </w:p>
        </w:tc>
        <w:tc>
          <w:tcPr>
            <w:tcW w:w="112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w w:val="99"/>
              </w:rPr>
              <w:t>X</w:t>
            </w:r>
          </w:p>
        </w:tc>
        <w:tc>
          <w:tcPr>
            <w:tcW w:w="144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w w:val="99"/>
              </w:rPr>
              <w:t>X</w:t>
            </w:r>
          </w:p>
        </w:tc>
        <w:tc>
          <w:tcPr>
            <w:tcW w:w="1460" w:type="dxa"/>
            <w:vAlign w:val="bottom"/>
            <w:shd w:val="clear" w:color="auto" w:fill="E8EED3"/>
          </w:tcPr>
          <w:p>
            <w:pPr>
              <w:jc w:val="center"/>
              <w:spacing w:after="0" w:line="162" w:lineRule="exact"/>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E8EED3"/>
            </w:tcBorders>
            <w:shd w:val="clear" w:color="auto" w:fill="E8EED3"/>
          </w:tcPr>
          <w:p>
            <w:pPr>
              <w:ind w:left="60"/>
              <w:spacing w:after="0"/>
              <w:rPr>
                <w:sz w:val="20"/>
                <w:szCs w:val="20"/>
                <w:color w:val="auto"/>
              </w:rPr>
            </w:pPr>
            <w:r>
              <w:rPr>
                <w:rFonts w:ascii="Arial" w:cs="Arial" w:eastAsia="Arial" w:hAnsi="Arial"/>
                <w:sz w:val="15"/>
                <w:szCs w:val="15"/>
                <w:color w:val="auto"/>
              </w:rPr>
              <w:t>Chief Compliance Officer of Roper Technologies, Inc.</w:t>
            </w:r>
          </w:p>
        </w:tc>
        <w:tc>
          <w:tcPr>
            <w:tcW w:w="880" w:type="dxa"/>
            <w:vAlign w:val="bottom"/>
            <w:tcBorders>
              <w:bottom w:val="single" w:sz="8" w:color="E8EED3"/>
            </w:tcBorders>
            <w:shd w:val="clear" w:color="auto" w:fill="E8EED3"/>
          </w:tcPr>
          <w:p>
            <w:pPr>
              <w:spacing w:after="0"/>
              <w:rPr>
                <w:sz w:val="18"/>
                <w:szCs w:val="18"/>
                <w:color w:val="auto"/>
              </w:rPr>
            </w:pPr>
          </w:p>
        </w:tc>
        <w:tc>
          <w:tcPr>
            <w:tcW w:w="1260" w:type="dxa"/>
            <w:vAlign w:val="bottom"/>
            <w:tcBorders>
              <w:bottom w:val="single" w:sz="8" w:color="E8EED3"/>
            </w:tcBorders>
            <w:shd w:val="clear" w:color="auto" w:fill="E8EED3"/>
          </w:tcPr>
          <w:p>
            <w:pPr>
              <w:spacing w:after="0"/>
              <w:rPr>
                <w:sz w:val="18"/>
                <w:szCs w:val="18"/>
                <w:color w:val="auto"/>
              </w:rPr>
            </w:pPr>
          </w:p>
        </w:tc>
        <w:tc>
          <w:tcPr>
            <w:tcW w:w="1120" w:type="dxa"/>
            <w:vAlign w:val="bottom"/>
            <w:tcBorders>
              <w:bottom w:val="single" w:sz="8" w:color="E8EED3"/>
            </w:tcBorders>
            <w:shd w:val="clear" w:color="auto" w:fill="E8EED3"/>
          </w:tcPr>
          <w:p>
            <w:pPr>
              <w:spacing w:after="0"/>
              <w:rPr>
                <w:sz w:val="18"/>
                <w:szCs w:val="18"/>
                <w:color w:val="auto"/>
              </w:rPr>
            </w:pPr>
          </w:p>
        </w:tc>
        <w:tc>
          <w:tcPr>
            <w:tcW w:w="1440" w:type="dxa"/>
            <w:vAlign w:val="bottom"/>
            <w:tcBorders>
              <w:bottom w:val="single" w:sz="8" w:color="E8EED3"/>
            </w:tcBorders>
            <w:shd w:val="clear" w:color="auto" w:fill="E8EED3"/>
          </w:tcPr>
          <w:p>
            <w:pPr>
              <w:spacing w:after="0"/>
              <w:rPr>
                <w:sz w:val="18"/>
                <w:szCs w:val="18"/>
                <w:color w:val="auto"/>
              </w:rPr>
            </w:pPr>
          </w:p>
        </w:tc>
        <w:tc>
          <w:tcPr>
            <w:tcW w:w="1460" w:type="dxa"/>
            <w:vAlign w:val="bottom"/>
            <w:tcBorders>
              <w:bottom w:val="single" w:sz="8" w:color="E8EED3"/>
            </w:tcBorders>
            <w:shd w:val="clear" w:color="auto" w:fill="E8EED3"/>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D2DEA7"/>
          </w:tcPr>
          <w:p>
            <w:pPr>
              <w:ind w:left="60"/>
              <w:spacing w:after="0"/>
              <w:rPr>
                <w:sz w:val="20"/>
                <w:szCs w:val="20"/>
                <w:color w:val="auto"/>
              </w:rPr>
            </w:pPr>
            <w:r>
              <w:rPr>
                <w:rFonts w:ascii="Arial" w:cs="Arial" w:eastAsia="Arial" w:hAnsi="Arial"/>
                <w:sz w:val="15"/>
                <w:szCs w:val="15"/>
                <w:color w:val="auto"/>
              </w:rPr>
              <w:t>Claudio A. Mannarino</w:t>
            </w:r>
          </w:p>
        </w:tc>
        <w:tc>
          <w:tcPr>
            <w:tcW w:w="88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2015</w:t>
            </w:r>
          </w:p>
        </w:tc>
        <w:tc>
          <w:tcPr>
            <w:tcW w:w="126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112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rPr>
              <w:t>Chair</w:t>
            </w:r>
          </w:p>
        </w:tc>
        <w:tc>
          <w:tcPr>
            <w:tcW w:w="1440" w:type="dxa"/>
            <w:vAlign w:val="bottom"/>
            <w:shd w:val="clear" w:color="auto" w:fill="D2DEA7"/>
          </w:tcPr>
          <w:p>
            <w:pPr>
              <w:spacing w:after="0"/>
              <w:rPr>
                <w:sz w:val="19"/>
                <w:szCs w:val="19"/>
                <w:color w:val="auto"/>
              </w:rPr>
            </w:pPr>
          </w:p>
        </w:tc>
        <w:tc>
          <w:tcPr>
            <w:tcW w:w="1460" w:type="dxa"/>
            <w:vAlign w:val="bottom"/>
            <w:vMerge w:val="restart"/>
            <w:shd w:val="clear" w:color="auto" w:fill="D2DEA7"/>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03"/>
        </w:trPr>
        <w:tc>
          <w:tcPr>
            <w:tcW w:w="4840" w:type="dxa"/>
            <w:vAlign w:val="bottom"/>
            <w:vMerge w:val="restart"/>
            <w:shd w:val="clear" w:color="auto" w:fill="D2DEA7"/>
          </w:tcPr>
          <w:p>
            <w:pPr>
              <w:ind w:left="60"/>
              <w:spacing w:after="0"/>
              <w:rPr>
                <w:sz w:val="20"/>
                <w:szCs w:val="20"/>
                <w:color w:val="auto"/>
              </w:rPr>
            </w:pPr>
            <w:r>
              <w:rPr>
                <w:rFonts w:ascii="Arial" w:cs="Arial" w:eastAsia="Arial" w:hAnsi="Arial"/>
                <w:sz w:val="15"/>
                <w:szCs w:val="15"/>
                <w:color w:val="auto"/>
              </w:rPr>
              <w:t>President of Sette CS, Inc.</w:t>
            </w:r>
          </w:p>
        </w:tc>
        <w:tc>
          <w:tcPr>
            <w:tcW w:w="880" w:type="dxa"/>
            <w:vAlign w:val="bottom"/>
            <w:vMerge w:val="continue"/>
            <w:shd w:val="clear" w:color="auto" w:fill="D2DEA7"/>
          </w:tcPr>
          <w:p>
            <w:pPr>
              <w:spacing w:after="0"/>
              <w:rPr>
                <w:sz w:val="8"/>
                <w:szCs w:val="8"/>
                <w:color w:val="auto"/>
              </w:rPr>
            </w:pPr>
          </w:p>
        </w:tc>
        <w:tc>
          <w:tcPr>
            <w:tcW w:w="1260" w:type="dxa"/>
            <w:vAlign w:val="bottom"/>
            <w:vMerge w:val="continue"/>
            <w:shd w:val="clear" w:color="auto" w:fill="D2DEA7"/>
          </w:tcPr>
          <w:p>
            <w:pPr>
              <w:spacing w:after="0"/>
              <w:rPr>
                <w:sz w:val="8"/>
                <w:szCs w:val="8"/>
                <w:color w:val="auto"/>
              </w:rPr>
            </w:pPr>
          </w:p>
        </w:tc>
        <w:tc>
          <w:tcPr>
            <w:tcW w:w="1120" w:type="dxa"/>
            <w:vAlign w:val="bottom"/>
            <w:vMerge w:val="continue"/>
            <w:shd w:val="clear" w:color="auto" w:fill="D2DEA7"/>
          </w:tcPr>
          <w:p>
            <w:pPr>
              <w:spacing w:after="0"/>
              <w:rPr>
                <w:sz w:val="8"/>
                <w:szCs w:val="8"/>
                <w:color w:val="auto"/>
              </w:rPr>
            </w:pPr>
          </w:p>
        </w:tc>
        <w:tc>
          <w:tcPr>
            <w:tcW w:w="1440" w:type="dxa"/>
            <w:vAlign w:val="bottom"/>
            <w:shd w:val="clear" w:color="auto" w:fill="D2DEA7"/>
          </w:tcPr>
          <w:p>
            <w:pPr>
              <w:spacing w:after="0"/>
              <w:rPr>
                <w:sz w:val="8"/>
                <w:szCs w:val="8"/>
                <w:color w:val="auto"/>
              </w:rPr>
            </w:pPr>
          </w:p>
        </w:tc>
        <w:tc>
          <w:tcPr>
            <w:tcW w:w="1460" w:type="dxa"/>
            <w:vAlign w:val="bottom"/>
            <w:vMerge w:val="continue"/>
            <w:shd w:val="clear" w:color="auto" w:fill="D2DEA7"/>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40" w:type="dxa"/>
            <w:vAlign w:val="bottom"/>
            <w:tcBorders>
              <w:bottom w:val="single" w:sz="8" w:color="D2DEA7"/>
            </w:tcBorders>
            <w:vMerge w:val="continue"/>
            <w:shd w:val="clear" w:color="auto" w:fill="D2DEA7"/>
          </w:tcPr>
          <w:p>
            <w:pPr>
              <w:spacing w:after="0"/>
              <w:rPr>
                <w:sz w:val="9"/>
                <w:szCs w:val="9"/>
                <w:color w:val="auto"/>
              </w:rPr>
            </w:pPr>
          </w:p>
        </w:tc>
        <w:tc>
          <w:tcPr>
            <w:tcW w:w="880" w:type="dxa"/>
            <w:vAlign w:val="bottom"/>
            <w:tcBorders>
              <w:bottom w:val="single" w:sz="8" w:color="D2DEA7"/>
            </w:tcBorders>
            <w:shd w:val="clear" w:color="auto" w:fill="D2DEA7"/>
          </w:tcPr>
          <w:p>
            <w:pPr>
              <w:spacing w:after="0"/>
              <w:rPr>
                <w:sz w:val="9"/>
                <w:szCs w:val="9"/>
                <w:color w:val="auto"/>
              </w:rPr>
            </w:pPr>
          </w:p>
        </w:tc>
        <w:tc>
          <w:tcPr>
            <w:tcW w:w="1260" w:type="dxa"/>
            <w:vAlign w:val="bottom"/>
            <w:tcBorders>
              <w:bottom w:val="single" w:sz="8" w:color="D2DEA7"/>
            </w:tcBorders>
            <w:shd w:val="clear" w:color="auto" w:fill="D2DEA7"/>
          </w:tcPr>
          <w:p>
            <w:pPr>
              <w:spacing w:after="0"/>
              <w:rPr>
                <w:sz w:val="9"/>
                <w:szCs w:val="9"/>
                <w:color w:val="auto"/>
              </w:rPr>
            </w:pPr>
          </w:p>
        </w:tc>
        <w:tc>
          <w:tcPr>
            <w:tcW w:w="1120" w:type="dxa"/>
            <w:vAlign w:val="bottom"/>
            <w:tcBorders>
              <w:bottom w:val="single" w:sz="8" w:color="D2DEA7"/>
            </w:tcBorders>
            <w:shd w:val="clear" w:color="auto" w:fill="D2DEA7"/>
          </w:tcPr>
          <w:p>
            <w:pPr>
              <w:spacing w:after="0"/>
              <w:rPr>
                <w:sz w:val="9"/>
                <w:szCs w:val="9"/>
                <w:color w:val="auto"/>
              </w:rPr>
            </w:pPr>
          </w:p>
        </w:tc>
        <w:tc>
          <w:tcPr>
            <w:tcW w:w="1440" w:type="dxa"/>
            <w:vAlign w:val="bottom"/>
            <w:tcBorders>
              <w:bottom w:val="single" w:sz="8" w:color="D2DEA7"/>
            </w:tcBorders>
            <w:shd w:val="clear" w:color="auto" w:fill="D2DEA7"/>
          </w:tcPr>
          <w:p>
            <w:pPr>
              <w:spacing w:after="0"/>
              <w:rPr>
                <w:sz w:val="9"/>
                <w:szCs w:val="9"/>
                <w:color w:val="auto"/>
              </w:rPr>
            </w:pPr>
          </w:p>
        </w:tc>
        <w:tc>
          <w:tcPr>
            <w:tcW w:w="1460" w:type="dxa"/>
            <w:vAlign w:val="bottom"/>
            <w:tcBorders>
              <w:bottom w:val="single" w:sz="8" w:color="D2DEA7"/>
            </w:tcBorders>
            <w:shd w:val="clear" w:color="auto" w:fill="D2DEA7"/>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E8EED3"/>
          </w:tcPr>
          <w:p>
            <w:pPr>
              <w:ind w:left="60"/>
              <w:spacing w:after="0"/>
              <w:rPr>
                <w:sz w:val="20"/>
                <w:szCs w:val="20"/>
                <w:color w:val="auto"/>
              </w:rPr>
            </w:pPr>
            <w:r>
              <w:rPr>
                <w:rFonts w:ascii="Arial" w:cs="Arial" w:eastAsia="Arial" w:hAnsi="Arial"/>
                <w:sz w:val="15"/>
                <w:szCs w:val="15"/>
                <w:color w:val="auto"/>
              </w:rPr>
              <w:t>Munish Nanda</w:t>
            </w:r>
          </w:p>
        </w:tc>
        <w:tc>
          <w:tcPr>
            <w:tcW w:w="88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rPr>
              <w:t>2018</w:t>
            </w:r>
          </w:p>
        </w:tc>
        <w:tc>
          <w:tcPr>
            <w:tcW w:w="126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120" w:type="dxa"/>
            <w:vAlign w:val="bottom"/>
            <w:vMerge w:val="restart"/>
            <w:shd w:val="clear" w:color="auto" w:fill="E8EED3"/>
          </w:tcPr>
          <w:p>
            <w:pPr>
              <w:jc w:val="center"/>
              <w:spacing w:after="0"/>
              <w:rPr>
                <w:sz w:val="20"/>
                <w:szCs w:val="20"/>
                <w:color w:val="auto"/>
              </w:rPr>
            </w:pPr>
            <w:r>
              <w:rPr>
                <w:rFonts w:ascii="Arial" w:cs="Arial" w:eastAsia="Arial" w:hAnsi="Arial"/>
                <w:sz w:val="15"/>
                <w:szCs w:val="15"/>
                <w:color w:val="auto"/>
                <w:w w:val="99"/>
              </w:rPr>
              <w:t>X</w:t>
            </w:r>
          </w:p>
        </w:tc>
        <w:tc>
          <w:tcPr>
            <w:tcW w:w="1440" w:type="dxa"/>
            <w:vAlign w:val="bottom"/>
            <w:shd w:val="clear" w:color="auto" w:fill="E8EED3"/>
          </w:tcPr>
          <w:p>
            <w:pPr>
              <w:spacing w:after="0"/>
              <w:rPr>
                <w:sz w:val="19"/>
                <w:szCs w:val="19"/>
                <w:color w:val="auto"/>
              </w:rPr>
            </w:pPr>
          </w:p>
        </w:tc>
        <w:tc>
          <w:tcPr>
            <w:tcW w:w="1460" w:type="dxa"/>
            <w:vAlign w:val="bottom"/>
            <w:shd w:val="clear" w:color="auto" w:fill="E8EED3"/>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40" w:type="dxa"/>
            <w:vAlign w:val="bottom"/>
            <w:vMerge w:val="restart"/>
            <w:shd w:val="clear" w:color="auto" w:fill="E8EED3"/>
          </w:tcPr>
          <w:p>
            <w:pPr>
              <w:ind w:left="60"/>
              <w:spacing w:after="0"/>
              <w:rPr>
                <w:sz w:val="20"/>
                <w:szCs w:val="20"/>
                <w:color w:val="auto"/>
              </w:rPr>
            </w:pPr>
            <w:r>
              <w:rPr>
                <w:rFonts w:ascii="Arial" w:cs="Arial" w:eastAsia="Arial" w:hAnsi="Arial"/>
                <w:sz w:val="15"/>
                <w:szCs w:val="15"/>
                <w:color w:val="auto"/>
              </w:rPr>
              <w:t>President, Americas &amp; Europe of Watts Water Technologies, Inc.</w:t>
            </w:r>
          </w:p>
        </w:tc>
        <w:tc>
          <w:tcPr>
            <w:tcW w:w="880" w:type="dxa"/>
            <w:vAlign w:val="bottom"/>
            <w:vMerge w:val="continue"/>
            <w:shd w:val="clear" w:color="auto" w:fill="E8EED3"/>
          </w:tcPr>
          <w:p>
            <w:pPr>
              <w:spacing w:after="0"/>
              <w:rPr>
                <w:sz w:val="8"/>
                <w:szCs w:val="8"/>
                <w:color w:val="auto"/>
              </w:rPr>
            </w:pPr>
          </w:p>
        </w:tc>
        <w:tc>
          <w:tcPr>
            <w:tcW w:w="1260" w:type="dxa"/>
            <w:vAlign w:val="bottom"/>
            <w:vMerge w:val="continue"/>
            <w:shd w:val="clear" w:color="auto" w:fill="E8EED3"/>
          </w:tcPr>
          <w:p>
            <w:pPr>
              <w:spacing w:after="0"/>
              <w:rPr>
                <w:sz w:val="8"/>
                <w:szCs w:val="8"/>
                <w:color w:val="auto"/>
              </w:rPr>
            </w:pPr>
          </w:p>
        </w:tc>
        <w:tc>
          <w:tcPr>
            <w:tcW w:w="1120" w:type="dxa"/>
            <w:vAlign w:val="bottom"/>
            <w:vMerge w:val="continue"/>
            <w:shd w:val="clear" w:color="auto" w:fill="E8EED3"/>
          </w:tcPr>
          <w:p>
            <w:pPr>
              <w:spacing w:after="0"/>
              <w:rPr>
                <w:sz w:val="8"/>
                <w:szCs w:val="8"/>
                <w:color w:val="auto"/>
              </w:rPr>
            </w:pPr>
          </w:p>
        </w:tc>
        <w:tc>
          <w:tcPr>
            <w:tcW w:w="1440" w:type="dxa"/>
            <w:vAlign w:val="bottom"/>
            <w:shd w:val="clear" w:color="auto" w:fill="E8EED3"/>
          </w:tcPr>
          <w:p>
            <w:pPr>
              <w:spacing w:after="0"/>
              <w:rPr>
                <w:sz w:val="8"/>
                <w:szCs w:val="8"/>
                <w:color w:val="auto"/>
              </w:rPr>
            </w:pPr>
          </w:p>
        </w:tc>
        <w:tc>
          <w:tcPr>
            <w:tcW w:w="1460" w:type="dxa"/>
            <w:vAlign w:val="bottom"/>
            <w:shd w:val="clear" w:color="auto" w:fill="E8EED3"/>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40" w:type="dxa"/>
            <w:vAlign w:val="bottom"/>
            <w:tcBorders>
              <w:bottom w:val="single" w:sz="8" w:color="E8EED3"/>
            </w:tcBorders>
            <w:vMerge w:val="continue"/>
            <w:shd w:val="clear" w:color="auto" w:fill="E8EED3"/>
          </w:tcPr>
          <w:p>
            <w:pPr>
              <w:spacing w:after="0"/>
              <w:rPr>
                <w:sz w:val="9"/>
                <w:szCs w:val="9"/>
                <w:color w:val="auto"/>
              </w:rPr>
            </w:pPr>
          </w:p>
        </w:tc>
        <w:tc>
          <w:tcPr>
            <w:tcW w:w="880" w:type="dxa"/>
            <w:vAlign w:val="bottom"/>
            <w:tcBorders>
              <w:bottom w:val="single" w:sz="8" w:color="E8EED3"/>
            </w:tcBorders>
            <w:shd w:val="clear" w:color="auto" w:fill="E8EED3"/>
          </w:tcPr>
          <w:p>
            <w:pPr>
              <w:spacing w:after="0"/>
              <w:rPr>
                <w:sz w:val="9"/>
                <w:szCs w:val="9"/>
                <w:color w:val="auto"/>
              </w:rPr>
            </w:pPr>
          </w:p>
        </w:tc>
        <w:tc>
          <w:tcPr>
            <w:tcW w:w="1260" w:type="dxa"/>
            <w:vAlign w:val="bottom"/>
            <w:tcBorders>
              <w:bottom w:val="single" w:sz="8" w:color="E8EED3"/>
            </w:tcBorders>
            <w:shd w:val="clear" w:color="auto" w:fill="E8EED3"/>
          </w:tcPr>
          <w:p>
            <w:pPr>
              <w:spacing w:after="0"/>
              <w:rPr>
                <w:sz w:val="9"/>
                <w:szCs w:val="9"/>
                <w:color w:val="auto"/>
              </w:rPr>
            </w:pPr>
          </w:p>
        </w:tc>
        <w:tc>
          <w:tcPr>
            <w:tcW w:w="1120" w:type="dxa"/>
            <w:vAlign w:val="bottom"/>
            <w:tcBorders>
              <w:bottom w:val="single" w:sz="8" w:color="E8EED3"/>
            </w:tcBorders>
            <w:shd w:val="clear" w:color="auto" w:fill="E8EED3"/>
          </w:tcPr>
          <w:p>
            <w:pPr>
              <w:spacing w:after="0"/>
              <w:rPr>
                <w:sz w:val="9"/>
                <w:szCs w:val="9"/>
                <w:color w:val="auto"/>
              </w:rPr>
            </w:pPr>
          </w:p>
        </w:tc>
        <w:tc>
          <w:tcPr>
            <w:tcW w:w="1440" w:type="dxa"/>
            <w:vAlign w:val="bottom"/>
            <w:tcBorders>
              <w:bottom w:val="single" w:sz="8" w:color="E8EED3"/>
            </w:tcBorders>
            <w:shd w:val="clear" w:color="auto" w:fill="E8EED3"/>
          </w:tcPr>
          <w:p>
            <w:pPr>
              <w:spacing w:after="0"/>
              <w:rPr>
                <w:sz w:val="9"/>
                <w:szCs w:val="9"/>
                <w:color w:val="auto"/>
              </w:rPr>
            </w:pPr>
          </w:p>
        </w:tc>
        <w:tc>
          <w:tcPr>
            <w:tcW w:w="1460" w:type="dxa"/>
            <w:vAlign w:val="bottom"/>
            <w:tcBorders>
              <w:bottom w:val="single" w:sz="8" w:color="E8EED3"/>
            </w:tcBorders>
            <w:shd w:val="clear" w:color="auto" w:fill="E8EED3"/>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D2DEA7"/>
          </w:tcPr>
          <w:p>
            <w:pPr>
              <w:ind w:left="60"/>
              <w:spacing w:after="0"/>
              <w:rPr>
                <w:sz w:val="20"/>
                <w:szCs w:val="20"/>
                <w:color w:val="auto"/>
              </w:rPr>
            </w:pPr>
            <w:r>
              <w:rPr>
                <w:rFonts w:ascii="Arial" w:cs="Arial" w:eastAsia="Arial" w:hAnsi="Arial"/>
                <w:sz w:val="15"/>
                <w:szCs w:val="15"/>
                <w:color w:val="auto"/>
              </w:rPr>
              <w:t>Valerie Gentile Sachs</w:t>
            </w:r>
          </w:p>
        </w:tc>
        <w:tc>
          <w:tcPr>
            <w:tcW w:w="880" w:type="dxa"/>
            <w:vAlign w:val="bottom"/>
            <w:shd w:val="clear" w:color="auto" w:fill="D2DEA7"/>
          </w:tcPr>
          <w:p>
            <w:pPr>
              <w:spacing w:after="0"/>
              <w:rPr>
                <w:sz w:val="19"/>
                <w:szCs w:val="19"/>
                <w:color w:val="auto"/>
              </w:rPr>
            </w:pPr>
          </w:p>
        </w:tc>
        <w:tc>
          <w:tcPr>
            <w:tcW w:w="1260" w:type="dxa"/>
            <w:vAlign w:val="bottom"/>
            <w:shd w:val="clear" w:color="auto" w:fill="D2DEA7"/>
          </w:tcPr>
          <w:p>
            <w:pPr>
              <w:spacing w:after="0"/>
              <w:rPr>
                <w:sz w:val="19"/>
                <w:szCs w:val="19"/>
                <w:color w:val="auto"/>
              </w:rPr>
            </w:pPr>
          </w:p>
        </w:tc>
        <w:tc>
          <w:tcPr>
            <w:tcW w:w="1120" w:type="dxa"/>
            <w:vAlign w:val="bottom"/>
            <w:shd w:val="clear" w:color="auto" w:fill="D2DEA7"/>
          </w:tcPr>
          <w:p>
            <w:pPr>
              <w:spacing w:after="0"/>
              <w:rPr>
                <w:sz w:val="19"/>
                <w:szCs w:val="19"/>
                <w:color w:val="auto"/>
              </w:rPr>
            </w:pPr>
          </w:p>
        </w:tc>
        <w:tc>
          <w:tcPr>
            <w:tcW w:w="1440" w:type="dxa"/>
            <w:vAlign w:val="bottom"/>
            <w:shd w:val="clear" w:color="auto" w:fill="D2DEA7"/>
          </w:tcPr>
          <w:p>
            <w:pPr>
              <w:spacing w:after="0"/>
              <w:rPr>
                <w:sz w:val="19"/>
                <w:szCs w:val="19"/>
                <w:color w:val="auto"/>
              </w:rPr>
            </w:pPr>
          </w:p>
        </w:tc>
        <w:tc>
          <w:tcPr>
            <w:tcW w:w="1460" w:type="dxa"/>
            <w:vAlign w:val="bottom"/>
            <w:shd w:val="clear" w:color="auto" w:fill="D2DEA7"/>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40" w:type="dxa"/>
            <w:vAlign w:val="bottom"/>
            <w:shd w:val="clear" w:color="auto" w:fill="D2DEA7"/>
          </w:tcPr>
          <w:p>
            <w:pPr>
              <w:ind w:left="60"/>
              <w:spacing w:after="0" w:line="162" w:lineRule="exact"/>
              <w:rPr>
                <w:sz w:val="20"/>
                <w:szCs w:val="20"/>
                <w:color w:val="auto"/>
              </w:rPr>
            </w:pPr>
            <w:r>
              <w:rPr>
                <w:rFonts w:ascii="Arial" w:cs="Arial" w:eastAsia="Arial" w:hAnsi="Arial"/>
                <w:sz w:val="15"/>
                <w:szCs w:val="15"/>
                <w:color w:val="auto"/>
              </w:rPr>
              <w:t>Former Vice President, General Counsel and Corporate Secretary of</w:t>
            </w:r>
          </w:p>
        </w:tc>
        <w:tc>
          <w:tcPr>
            <w:tcW w:w="880" w:type="dxa"/>
            <w:vAlign w:val="bottom"/>
            <w:shd w:val="clear" w:color="auto" w:fill="D2DEA7"/>
          </w:tcPr>
          <w:p>
            <w:pPr>
              <w:jc w:val="center"/>
              <w:spacing w:after="0" w:line="162" w:lineRule="exact"/>
              <w:rPr>
                <w:sz w:val="20"/>
                <w:szCs w:val="20"/>
                <w:color w:val="auto"/>
              </w:rPr>
            </w:pPr>
            <w:r>
              <w:rPr>
                <w:rFonts w:ascii="Arial" w:cs="Arial" w:eastAsia="Arial" w:hAnsi="Arial"/>
                <w:sz w:val="15"/>
                <w:szCs w:val="15"/>
                <w:color w:val="auto"/>
              </w:rPr>
              <w:t>2016</w:t>
            </w:r>
          </w:p>
        </w:tc>
        <w:tc>
          <w:tcPr>
            <w:tcW w:w="1260" w:type="dxa"/>
            <w:vAlign w:val="bottom"/>
            <w:shd w:val="clear" w:color="auto" w:fill="D2DEA7"/>
          </w:tcPr>
          <w:p>
            <w:pPr>
              <w:jc w:val="center"/>
              <w:spacing w:after="0" w:line="162" w:lineRule="exact"/>
              <w:rPr>
                <w:sz w:val="20"/>
                <w:szCs w:val="20"/>
                <w:color w:val="auto"/>
              </w:rPr>
            </w:pPr>
            <w:r>
              <w:rPr>
                <w:rFonts w:ascii="Arial" w:cs="Arial" w:eastAsia="Arial" w:hAnsi="Arial"/>
                <w:sz w:val="15"/>
                <w:szCs w:val="15"/>
                <w:color w:val="auto"/>
                <w:w w:val="99"/>
              </w:rPr>
              <w:t>X</w:t>
            </w:r>
          </w:p>
        </w:tc>
        <w:tc>
          <w:tcPr>
            <w:tcW w:w="1120" w:type="dxa"/>
            <w:vAlign w:val="bottom"/>
            <w:shd w:val="clear" w:color="auto" w:fill="D2DEA7"/>
          </w:tcPr>
          <w:p>
            <w:pPr>
              <w:spacing w:after="0"/>
              <w:rPr>
                <w:sz w:val="14"/>
                <w:szCs w:val="14"/>
                <w:color w:val="auto"/>
              </w:rPr>
            </w:pPr>
          </w:p>
        </w:tc>
        <w:tc>
          <w:tcPr>
            <w:tcW w:w="1440" w:type="dxa"/>
            <w:vAlign w:val="bottom"/>
            <w:shd w:val="clear" w:color="auto" w:fill="D2DEA7"/>
          </w:tcPr>
          <w:p>
            <w:pPr>
              <w:jc w:val="center"/>
              <w:spacing w:after="0" w:line="162" w:lineRule="exact"/>
              <w:rPr>
                <w:sz w:val="20"/>
                <w:szCs w:val="20"/>
                <w:color w:val="auto"/>
              </w:rPr>
            </w:pPr>
            <w:r>
              <w:rPr>
                <w:rFonts w:ascii="Arial" w:cs="Arial" w:eastAsia="Arial" w:hAnsi="Arial"/>
                <w:sz w:val="15"/>
                <w:szCs w:val="15"/>
                <w:color w:val="auto"/>
              </w:rPr>
              <w:t>Chair</w:t>
            </w:r>
          </w:p>
        </w:tc>
        <w:tc>
          <w:tcPr>
            <w:tcW w:w="1460" w:type="dxa"/>
            <w:vAlign w:val="bottom"/>
            <w:shd w:val="clear" w:color="auto" w:fill="D2DEA7"/>
          </w:tcPr>
          <w:p>
            <w:pPr>
              <w:jc w:val="center"/>
              <w:spacing w:after="0" w:line="162" w:lineRule="exact"/>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179"/>
        </w:trPr>
        <w:tc>
          <w:tcPr>
            <w:tcW w:w="4840" w:type="dxa"/>
            <w:vAlign w:val="bottom"/>
            <w:shd w:val="clear" w:color="auto" w:fill="D2DEA7"/>
          </w:tcPr>
          <w:p>
            <w:pPr>
              <w:ind w:left="60"/>
              <w:spacing w:after="0"/>
              <w:rPr>
                <w:sz w:val="20"/>
                <w:szCs w:val="20"/>
                <w:color w:val="auto"/>
              </w:rPr>
            </w:pPr>
            <w:r>
              <w:rPr>
                <w:rFonts w:ascii="Arial" w:cs="Arial" w:eastAsia="Arial" w:hAnsi="Arial"/>
                <w:sz w:val="15"/>
                <w:szCs w:val="15"/>
                <w:color w:val="auto"/>
              </w:rPr>
              <w:t>OM Group, Inc.</w:t>
            </w:r>
          </w:p>
        </w:tc>
        <w:tc>
          <w:tcPr>
            <w:tcW w:w="880" w:type="dxa"/>
            <w:vAlign w:val="bottom"/>
            <w:shd w:val="clear" w:color="auto" w:fill="D2DEA7"/>
          </w:tcPr>
          <w:p>
            <w:pPr>
              <w:spacing w:after="0"/>
              <w:rPr>
                <w:sz w:val="15"/>
                <w:szCs w:val="15"/>
                <w:color w:val="auto"/>
              </w:rPr>
            </w:pPr>
          </w:p>
        </w:tc>
        <w:tc>
          <w:tcPr>
            <w:tcW w:w="1260" w:type="dxa"/>
            <w:vAlign w:val="bottom"/>
            <w:shd w:val="clear" w:color="auto" w:fill="D2DEA7"/>
          </w:tcPr>
          <w:p>
            <w:pPr>
              <w:spacing w:after="0"/>
              <w:rPr>
                <w:sz w:val="15"/>
                <w:szCs w:val="15"/>
                <w:color w:val="auto"/>
              </w:rPr>
            </w:pPr>
          </w:p>
        </w:tc>
        <w:tc>
          <w:tcPr>
            <w:tcW w:w="1120" w:type="dxa"/>
            <w:vAlign w:val="bottom"/>
            <w:shd w:val="clear" w:color="auto" w:fill="D2DEA7"/>
          </w:tcPr>
          <w:p>
            <w:pPr>
              <w:spacing w:after="0"/>
              <w:rPr>
                <w:sz w:val="15"/>
                <w:szCs w:val="15"/>
                <w:color w:val="auto"/>
              </w:rPr>
            </w:pPr>
          </w:p>
        </w:tc>
        <w:tc>
          <w:tcPr>
            <w:tcW w:w="1440" w:type="dxa"/>
            <w:vAlign w:val="bottom"/>
            <w:shd w:val="clear" w:color="auto" w:fill="D2DEA7"/>
          </w:tcPr>
          <w:p>
            <w:pPr>
              <w:spacing w:after="0"/>
              <w:rPr>
                <w:sz w:val="15"/>
                <w:szCs w:val="15"/>
                <w:color w:val="auto"/>
              </w:rPr>
            </w:pPr>
          </w:p>
        </w:tc>
        <w:tc>
          <w:tcPr>
            <w:tcW w:w="1460" w:type="dxa"/>
            <w:vAlign w:val="bottom"/>
            <w:shd w:val="clear" w:color="auto" w:fill="D2DEA7"/>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840" w:type="dxa"/>
            <w:vAlign w:val="bottom"/>
            <w:shd w:val="clear" w:color="auto" w:fill="D2DEA7"/>
          </w:tcPr>
          <w:p>
            <w:pPr>
              <w:spacing w:after="0"/>
              <w:rPr>
                <w:sz w:val="4"/>
                <w:szCs w:val="4"/>
                <w:color w:val="auto"/>
              </w:rPr>
            </w:pPr>
          </w:p>
        </w:tc>
        <w:tc>
          <w:tcPr>
            <w:tcW w:w="880" w:type="dxa"/>
            <w:vAlign w:val="bottom"/>
            <w:shd w:val="clear" w:color="auto" w:fill="D2DEA7"/>
          </w:tcPr>
          <w:p>
            <w:pPr>
              <w:spacing w:after="0"/>
              <w:rPr>
                <w:sz w:val="4"/>
                <w:szCs w:val="4"/>
                <w:color w:val="auto"/>
              </w:rPr>
            </w:pPr>
          </w:p>
        </w:tc>
        <w:tc>
          <w:tcPr>
            <w:tcW w:w="1260" w:type="dxa"/>
            <w:vAlign w:val="bottom"/>
            <w:shd w:val="clear" w:color="auto" w:fill="D2DEA7"/>
          </w:tcPr>
          <w:p>
            <w:pPr>
              <w:spacing w:after="0"/>
              <w:rPr>
                <w:sz w:val="4"/>
                <w:szCs w:val="4"/>
                <w:color w:val="auto"/>
              </w:rPr>
            </w:pPr>
          </w:p>
        </w:tc>
        <w:tc>
          <w:tcPr>
            <w:tcW w:w="1120" w:type="dxa"/>
            <w:vAlign w:val="bottom"/>
            <w:shd w:val="clear" w:color="auto" w:fill="D2DEA7"/>
          </w:tcPr>
          <w:p>
            <w:pPr>
              <w:spacing w:after="0"/>
              <w:rPr>
                <w:sz w:val="4"/>
                <w:szCs w:val="4"/>
                <w:color w:val="auto"/>
              </w:rPr>
            </w:pPr>
          </w:p>
        </w:tc>
        <w:tc>
          <w:tcPr>
            <w:tcW w:w="1440" w:type="dxa"/>
            <w:vAlign w:val="bottom"/>
            <w:shd w:val="clear" w:color="auto" w:fill="D2DEA7"/>
          </w:tcPr>
          <w:p>
            <w:pPr>
              <w:spacing w:after="0"/>
              <w:rPr>
                <w:sz w:val="4"/>
                <w:szCs w:val="4"/>
                <w:color w:val="auto"/>
              </w:rPr>
            </w:pPr>
          </w:p>
        </w:tc>
        <w:tc>
          <w:tcPr>
            <w:tcW w:w="1460" w:type="dxa"/>
            <w:vAlign w:val="bottom"/>
            <w:shd w:val="clear" w:color="auto" w:fill="D2DEA7"/>
          </w:tcPr>
          <w:p>
            <w:pPr>
              <w:spacing w:after="0"/>
              <w:rPr>
                <w:sz w:val="4"/>
                <w:szCs w:val="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director’s background, professional experience, qualifications and skills.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- 2 -</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80" w:right="40"/>
        <w:spacing w:after="0" w:line="235" w:lineRule="auto"/>
        <w:rPr>
          <w:sz w:val="20"/>
          <w:szCs w:val="20"/>
          <w:color w:val="auto"/>
        </w:rPr>
      </w:pPr>
      <w:r>
        <w:rPr>
          <w:rFonts w:ascii="Arial" w:cs="Arial" w:eastAsia="Arial" w:hAnsi="Arial"/>
          <w:sz w:val="22"/>
          <w:szCs w:val="22"/>
          <w:color w:val="41659C"/>
        </w:rPr>
        <w:t xml:space="preserve">JASON DEZWIREK </w:t>
      </w:r>
      <w:r>
        <w:rPr>
          <w:rFonts w:ascii="Arial" w:cs="Arial" w:eastAsia="Arial" w:hAnsi="Arial"/>
          <w:sz w:val="16"/>
          <w:szCs w:val="16"/>
          <w:color w:val="000000"/>
        </w:rPr>
        <w:t>(48) has been our Chairman of the Board since May 2013. Previously, he served as</w:t>
      </w:r>
      <w:r>
        <w:rPr>
          <w:rFonts w:ascii="Arial" w:cs="Arial" w:eastAsia="Arial" w:hAnsi="Arial"/>
          <w:sz w:val="22"/>
          <w:szCs w:val="22"/>
          <w:color w:val="41659C"/>
        </w:rPr>
        <w:t xml:space="preserve"> </w:t>
      </w:r>
      <w:r>
        <w:rPr>
          <w:rFonts w:ascii="Arial" w:cs="Arial" w:eastAsia="Arial" w:hAnsi="Arial"/>
          <w:sz w:val="16"/>
          <w:szCs w:val="16"/>
          <w:color w:val="000000"/>
        </w:rPr>
        <w:t>Secretary of our Company from February 1998 until September 2013. In 1999, Mr. DeZwirek founded Kaboose Inc., a family focused online media company. Mr. DeZwirek served as the Chairman and CEO of Kaboose Inc. until its sale to Disney Online (a subsidiary of The Walt Disney Company) and Barclays Private Equity Limited in June 2009. Mr. DeZwirek also previously served as a director and corporate secretary of API Technologies Corp. (NASDAQ:ATNY), a prime contractor in electronics, highly engineered systems, secure communications and electronic components and sub-systems for the defense and aerospace industries, from November 2006 through January 2011. Mr. DeZwirek also is and has been involved in private investment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-996315</wp:posOffset>
            </wp:positionV>
            <wp:extent cx="1284605" cy="1516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139" w:lineRule="exact"/>
        <w:rPr>
          <w:sz w:val="20"/>
          <w:szCs w:val="20"/>
          <w:color w:val="auto"/>
        </w:rPr>
      </w:pPr>
    </w:p>
    <w:p>
      <w:pPr>
        <w:ind w:left="3080" w:right="260"/>
        <w:spacing w:after="0" w:line="253" w:lineRule="auto"/>
        <w:rPr>
          <w:sz w:val="20"/>
          <w:szCs w:val="20"/>
          <w:color w:val="auto"/>
        </w:rPr>
      </w:pPr>
      <w:r>
        <w:rPr>
          <w:rFonts w:ascii="Arial" w:cs="Arial" w:eastAsia="Arial" w:hAnsi="Arial"/>
          <w:sz w:val="16"/>
          <w:szCs w:val="16"/>
          <w:color w:val="auto"/>
        </w:rPr>
        <w:t>With his experience at Kaboose Inc., Mr. DeZwirek brings broad executive expertise, including operations, technology, management and strategy. Having served as a director of our Company for over 20 years, he also has a breadth of knowledge of the overall issues our Company faces.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80" w:right="60"/>
        <w:spacing w:after="0" w:line="228" w:lineRule="auto"/>
        <w:rPr>
          <w:sz w:val="20"/>
          <w:szCs w:val="20"/>
          <w:color w:val="auto"/>
        </w:rPr>
      </w:pPr>
      <w:r>
        <w:rPr>
          <w:rFonts w:ascii="Arial" w:cs="Arial" w:eastAsia="Arial" w:hAnsi="Arial"/>
          <w:sz w:val="22"/>
          <w:szCs w:val="22"/>
          <w:color w:val="41659C"/>
        </w:rPr>
        <w:t xml:space="preserve">DENNIS SADLOWSKI </w:t>
      </w:r>
      <w:r>
        <w:rPr>
          <w:rFonts w:ascii="Arial" w:cs="Arial" w:eastAsia="Arial" w:hAnsi="Arial"/>
          <w:sz w:val="16"/>
          <w:szCs w:val="16"/>
          <w:color w:val="000000"/>
        </w:rPr>
        <w:t>(58) served as our Interim Chief Executive Officer and President from January</w:t>
      </w:r>
      <w:r>
        <w:rPr>
          <w:rFonts w:ascii="Arial" w:cs="Arial" w:eastAsia="Arial" w:hAnsi="Arial"/>
          <w:sz w:val="22"/>
          <w:szCs w:val="22"/>
          <w:color w:val="41659C"/>
        </w:rPr>
        <w:t xml:space="preserve"> </w:t>
      </w:r>
      <w:r>
        <w:rPr>
          <w:rFonts w:ascii="Arial" w:cs="Arial" w:eastAsia="Arial" w:hAnsi="Arial"/>
          <w:sz w:val="16"/>
          <w:szCs w:val="16"/>
          <w:color w:val="000000"/>
        </w:rPr>
        <w:t>2017 until his permanent appointment as Chief Executive Officer in June 2017 and as a director since May 2016.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-633730</wp:posOffset>
            </wp:positionV>
            <wp:extent cx="1284605" cy="1516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6"/>
          <w:szCs w:val="16"/>
          <w:color w:val="auto"/>
        </w:rPr>
        <w:t>employees. Previously, Mr. Sadlowski served as the Chief Executive Officer of International Battery, an early</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stage green tech company focused on large format lithium ion batteries for the grid storage markets, from</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September 2011 until April 2012. Mr. Sadlowski worked at Siemens from July 2000 to March 2010, serving as the</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President &amp; Chief Executive Officer of Siemens Energy &amp; Automation, Inc. from July 2007 until October 2009, an</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operating subsidiary of the global manufacturer Siemens AG, where he had executive accountability for the</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company’s global strategic direction, operating performance and marketplace success. His responsibilities at</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Siemens Energy &amp; Automation included overseeing six operating divisions along with a combined sales</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organization, a number of wholly-owned subsidiaries and over 12,000 employees. Mr. Sadlowski has also</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previously worked at General Electric and Thomas &amp; Betts. Mr. Sadlowski was a former member of the board of</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directors and audit committee of Trojan Battery, a privately-held global leader in deep cycle lead-acid</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batteries. Mr. Sadlowski earned a bachelor’s degree in Chemical and Nuclear Engineering from the University of</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California at Berkeley, and his master’s degree in Business Administration from Seattle University.</w:t>
      </w:r>
    </w:p>
    <w:p>
      <w:pPr>
        <w:spacing w:after="0" w:line="167" w:lineRule="exact"/>
        <w:rPr>
          <w:sz w:val="20"/>
          <w:szCs w:val="20"/>
          <w:color w:val="auto"/>
        </w:rPr>
      </w:pPr>
    </w:p>
    <w:p>
      <w:pPr>
        <w:ind w:left="3080" w:right="20"/>
        <w:spacing w:after="0" w:line="249" w:lineRule="auto"/>
        <w:rPr>
          <w:sz w:val="20"/>
          <w:szCs w:val="20"/>
          <w:color w:val="auto"/>
        </w:rPr>
      </w:pPr>
      <w:r>
        <w:rPr>
          <w:rFonts w:ascii="Arial" w:cs="Arial" w:eastAsia="Arial" w:hAnsi="Arial"/>
          <w:sz w:val="16"/>
          <w:szCs w:val="16"/>
          <w:color w:val="auto"/>
        </w:rPr>
        <w:t>Mr. Sadlowski blends global strategic leadership capabilities along with operating depth across a variety of long cycle businesses. He has led global executive teams to strong organic growth supplemented with targeted acquisitions. Having served on the board of both private and public companies, Mr. Sadlowski brings a strategic focus to growth and a strong market orientation to the board room. Additionally, as our Chief Executive Officer, he provides our Board with valuable insight on the day-to-day operations of our Company and any current issues it may face.</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41659C"/>
        </w:rPr>
        <w:t>- 3 -</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80" w:right="40"/>
        <w:spacing w:after="0" w:line="239" w:lineRule="auto"/>
        <w:rPr>
          <w:sz w:val="20"/>
          <w:szCs w:val="20"/>
          <w:color w:val="auto"/>
        </w:rPr>
      </w:pPr>
      <w:r>
        <w:rPr>
          <w:rFonts w:ascii="Arial" w:cs="Arial" w:eastAsia="Arial" w:hAnsi="Arial"/>
          <w:sz w:val="22"/>
          <w:szCs w:val="22"/>
          <w:color w:val="41659C"/>
        </w:rPr>
        <w:t xml:space="preserve">JONATHAN POLLACK </w:t>
      </w:r>
      <w:r>
        <w:rPr>
          <w:rFonts w:ascii="Arial" w:cs="Arial" w:eastAsia="Arial" w:hAnsi="Arial"/>
          <w:sz w:val="16"/>
          <w:szCs w:val="16"/>
          <w:color w:val="000000"/>
        </w:rPr>
        <w:t>(47) has been the President of JMP Fam Holdings, Inc. since 2000 and has</w:t>
      </w:r>
      <w:r>
        <w:rPr>
          <w:rFonts w:ascii="Arial" w:cs="Arial" w:eastAsia="Arial" w:hAnsi="Arial"/>
          <w:sz w:val="22"/>
          <w:szCs w:val="22"/>
          <w:color w:val="41659C"/>
        </w:rPr>
        <w:t xml:space="preserve"> </w:t>
      </w:r>
      <w:r>
        <w:rPr>
          <w:rFonts w:ascii="Arial" w:cs="Arial" w:eastAsia="Arial" w:hAnsi="Arial"/>
          <w:sz w:val="16"/>
          <w:szCs w:val="16"/>
          <w:color w:val="000000"/>
        </w:rPr>
        <w:t>served as our Assistant Secretary since May 2012. Previously, he served as Executive Vice President of API Technologies Corp. (NASDAQ:ATNY) from September 2009 and as a director from June 2007 until, in each case, January 2011. Mr. Pollack also served on its audit committee and compensation committee from January 2007 through September 2009. From March 2005 through its sale in June 2009, he served as the Chief Financial Officer and Corporate Secretary of Kaboose Inc. (TSX:KAB). Prior thereto, he worked in investment banking in New York. Mr. Pollack is currently a director of Aeterna Zentaris Inc. (NASDAQ: AEZS) and an officer of AcuityAds Holdings Inc. (TSXV: AT). Mr. Pollack was a director of Hanfeng Evergreen Inc. (TSX:HF) from November 2010 until February 2013 and then was reappointed to the board of directors in February 2014 and served as the lead director until August 2014. He was also a director of Pinetree Capital Ltd. (TSX:PNP) from February 2014 until April 2015. Mr. Pollack received a Master of Science degree in Finance from the London School of Economics and a Bachelor of Commerce degree from McGill University. He sits on the boards of several philanthropic organizations in Toronto, Ontario, including the Mt. Sinai Hospital Foundation, the Crescent School Foundation and the Sterling Hall School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-1711325</wp:posOffset>
            </wp:positionV>
            <wp:extent cx="1284605" cy="1516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146" w:lineRule="exact"/>
        <w:rPr>
          <w:sz w:val="20"/>
          <w:szCs w:val="20"/>
          <w:color w:val="auto"/>
        </w:rPr>
      </w:pPr>
    </w:p>
    <w:p>
      <w:pPr>
        <w:ind w:left="3080" w:right="100"/>
        <w:spacing w:after="0" w:line="253" w:lineRule="auto"/>
        <w:rPr>
          <w:sz w:val="20"/>
          <w:szCs w:val="20"/>
          <w:color w:val="auto"/>
        </w:rPr>
      </w:pPr>
      <w:r>
        <w:rPr>
          <w:rFonts w:ascii="Arial" w:cs="Arial" w:eastAsia="Arial" w:hAnsi="Arial"/>
          <w:sz w:val="16"/>
          <w:szCs w:val="16"/>
          <w:color w:val="auto"/>
        </w:rPr>
        <w:t>Mr. Pollack brings over 20 years of financial, strategic and merger and acquisitions expertise to our Board, which will assist our Board as we continue to expand our business. He also brings experience serving on the board of directors of other public companies.</w:t>
      </w:r>
    </w:p>
    <w:p>
      <w:pPr>
        <w:spacing w:after="0" w:line="200" w:lineRule="exact"/>
        <w:rPr>
          <w:sz w:val="20"/>
          <w:szCs w:val="20"/>
          <w:color w:val="auto"/>
        </w:rPr>
      </w:pPr>
    </w:p>
    <w:p>
      <w:pPr>
        <w:spacing w:after="0" w:line="221" w:lineRule="exact"/>
        <w:rPr>
          <w:sz w:val="20"/>
          <w:szCs w:val="20"/>
          <w:color w:val="auto"/>
        </w:rPr>
      </w:pPr>
    </w:p>
    <w:p>
      <w:pPr>
        <w:ind w:left="3080"/>
        <w:spacing w:after="0" w:line="236" w:lineRule="auto"/>
        <w:rPr>
          <w:sz w:val="20"/>
          <w:szCs w:val="20"/>
          <w:color w:val="auto"/>
        </w:rPr>
      </w:pPr>
      <w:r>
        <w:rPr>
          <w:rFonts w:ascii="Arial" w:cs="Arial" w:eastAsia="Arial" w:hAnsi="Arial"/>
          <w:sz w:val="22"/>
          <w:szCs w:val="22"/>
          <w:color w:val="41659C"/>
        </w:rPr>
        <w:t xml:space="preserve">ERIC M. GOLDBERG </w:t>
      </w:r>
      <w:r>
        <w:rPr>
          <w:rFonts w:ascii="Arial" w:cs="Arial" w:eastAsia="Arial" w:hAnsi="Arial"/>
          <w:sz w:val="16"/>
          <w:szCs w:val="16"/>
          <w:color w:val="000000"/>
        </w:rPr>
        <w:t>(49) has served as the President of All American Events &amp; Tours, a Pittsburgh,</w:t>
      </w:r>
      <w:r>
        <w:rPr>
          <w:rFonts w:ascii="Arial" w:cs="Arial" w:eastAsia="Arial" w:hAnsi="Arial"/>
          <w:sz w:val="22"/>
          <w:szCs w:val="22"/>
          <w:color w:val="41659C"/>
        </w:rPr>
        <w:t xml:space="preserve"> </w:t>
      </w:r>
      <w:r>
        <w:rPr>
          <w:rFonts w:ascii="Arial" w:cs="Arial" w:eastAsia="Arial" w:hAnsi="Arial"/>
          <w:sz w:val="16"/>
          <w:szCs w:val="16"/>
          <w:color w:val="000000"/>
        </w:rPr>
        <w:t>Pennsylvania-based sports incentive company, specializing in providing unique and customized experiences for retail and corporate clients since 1996. Since 2007, he has also been a principal of GKK Capital, a commercial real estate development company. From 1996 until 1999, Mr. Goldberg was the general counsel for Native American Nations, a company focusing on developing business strategies for Native American tribes throughout the United States. From 2010 until 2011, he served as a director of API Technologies Corp. (NASDAQ:ATNY). Mr. Goldberg received a Bachelor of Science degree in Management from the Tulane University A. B. Freeman School of Business and a Juris Doctorate from the University of Miami School of Law. Mr. Goldberg is licensed to practice law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-1115060</wp:posOffset>
            </wp:positionV>
            <wp:extent cx="1284605" cy="1516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140" w:lineRule="exact"/>
        <w:rPr>
          <w:sz w:val="20"/>
          <w:szCs w:val="20"/>
          <w:color w:val="auto"/>
        </w:rPr>
      </w:pPr>
    </w:p>
    <w:p>
      <w:pPr>
        <w:ind w:left="3080" w:right="220"/>
        <w:spacing w:after="0" w:line="260" w:lineRule="auto"/>
        <w:rPr>
          <w:sz w:val="20"/>
          <w:szCs w:val="20"/>
          <w:color w:val="auto"/>
        </w:rPr>
      </w:pPr>
      <w:r>
        <w:rPr>
          <w:rFonts w:ascii="Arial" w:cs="Arial" w:eastAsia="Arial" w:hAnsi="Arial"/>
          <w:sz w:val="16"/>
          <w:szCs w:val="16"/>
          <w:color w:val="auto"/>
        </w:rPr>
        <w:t>Mr. Goldberg brings over 20 years of sales, marketing, operations, strategic planning and legal expertise to our Board, which assists our Board as we continue to expand our business.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- 4 -</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80"/>
        <w:spacing w:after="0"/>
        <w:rPr>
          <w:sz w:val="20"/>
          <w:szCs w:val="20"/>
          <w:color w:val="auto"/>
        </w:rPr>
      </w:pPr>
      <w:r>
        <w:rPr>
          <w:rFonts w:ascii="Arial" w:cs="Arial" w:eastAsia="Arial" w:hAnsi="Arial"/>
          <w:sz w:val="22"/>
          <w:szCs w:val="22"/>
          <w:color w:val="41659C"/>
        </w:rPr>
        <w:t xml:space="preserve">DAVID B. LINER </w:t>
      </w:r>
      <w:r>
        <w:rPr>
          <w:rFonts w:ascii="Arial" w:cs="Arial" w:eastAsia="Arial" w:hAnsi="Arial"/>
          <w:sz w:val="16"/>
          <w:szCs w:val="16"/>
          <w:color w:val="000000"/>
        </w:rPr>
        <w:t>(63) served as General Counsel, Corporate Secretary and Chief Compliance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-154940</wp:posOffset>
            </wp:positionV>
            <wp:extent cx="1284605" cy="1516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6"/>
          <w:szCs w:val="16"/>
          <w:color w:val="auto"/>
        </w:rPr>
        <w:t>Roper Technologies, Inc. (NYSE: ROP) from August 2005 until June 2016 and as a Vice President until his</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retirement in January 2018. Roper Technologies, a component of the S&amp;P 500, designs and develops software</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and engineered products and solutions for healthcare, transportation, food, energy, water, education and other</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niche markets worldwide. Mr. Liner helped execute Roper Technologies’ acquisition program, deploying over</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$5 billion in assets and acquiring over 40 businesses. Prior to joining Roper Technologies, Mr. Liner served as a</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corporate partner in the Detroit office of Dykema Gossett, a national law firm, where he headed the firm’s</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automotive industry practice and founded the firm’s China practice. He had previously been the Vice President,</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General Counsel and Assistant Secretary of Metaldyne Corporation, formerly MascoTech, Inc. (NYSE: MSX), a</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manufacturer of products for the global transportation industry. Mr. Liner earned a bachelor’s degree from the</w:t>
      </w:r>
    </w:p>
    <w:p>
      <w:pPr>
        <w:spacing w:after="0" w:line="5"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University of Michigan and his Juris Doctor from Wayne State University Law School.</w:t>
      </w:r>
    </w:p>
    <w:p>
      <w:pPr>
        <w:spacing w:after="0" w:line="167" w:lineRule="exact"/>
        <w:rPr>
          <w:sz w:val="20"/>
          <w:szCs w:val="20"/>
          <w:color w:val="auto"/>
        </w:rPr>
      </w:pPr>
    </w:p>
    <w:p>
      <w:pPr>
        <w:ind w:left="3080" w:right="40"/>
        <w:spacing w:after="0" w:line="249" w:lineRule="auto"/>
        <w:rPr>
          <w:sz w:val="20"/>
          <w:szCs w:val="20"/>
          <w:color w:val="auto"/>
        </w:rPr>
      </w:pPr>
      <w:r>
        <w:rPr>
          <w:rFonts w:ascii="Arial" w:cs="Arial" w:eastAsia="Arial" w:hAnsi="Arial"/>
          <w:sz w:val="16"/>
          <w:szCs w:val="16"/>
          <w:color w:val="auto"/>
        </w:rPr>
        <w:t>Mr. Liner brings extensive legal, transactional and corporate governance expertise to our Board that will assist us as we continue to expand our business and create stockholder value. Having built and led a global corporate compliance and risk program as the General Counsel of a public company, he has developed expertise in areas of governance and compliance which will provide strong support and additional depth to our Board and to the committees on which he may serve. Mr. Liner also brings international experience to our Board, including past international board service.</w:t>
      </w:r>
    </w:p>
    <w:p>
      <w:pPr>
        <w:spacing w:after="0" w:line="200" w:lineRule="exact"/>
        <w:rPr>
          <w:sz w:val="20"/>
          <w:szCs w:val="20"/>
          <w:color w:val="auto"/>
        </w:rPr>
      </w:pPr>
    </w:p>
    <w:p>
      <w:pPr>
        <w:spacing w:after="0" w:line="225" w:lineRule="exact"/>
        <w:rPr>
          <w:sz w:val="20"/>
          <w:szCs w:val="20"/>
          <w:color w:val="auto"/>
        </w:rPr>
      </w:pPr>
    </w:p>
    <w:p>
      <w:pPr>
        <w:ind w:left="3080"/>
        <w:spacing w:after="0"/>
        <w:rPr>
          <w:sz w:val="20"/>
          <w:szCs w:val="20"/>
          <w:color w:val="auto"/>
        </w:rPr>
      </w:pPr>
      <w:r>
        <w:rPr>
          <w:rFonts w:ascii="Arial" w:cs="Arial" w:eastAsia="Arial" w:hAnsi="Arial"/>
          <w:sz w:val="22"/>
          <w:szCs w:val="22"/>
          <w:color w:val="41659C"/>
        </w:rPr>
        <w:t xml:space="preserve">CLAUDIO A. MANNARINO </w:t>
      </w:r>
      <w:r>
        <w:rPr>
          <w:rFonts w:ascii="Arial" w:cs="Arial" w:eastAsia="Arial" w:hAnsi="Arial"/>
          <w:sz w:val="16"/>
          <w:szCs w:val="16"/>
          <w:color w:val="000000"/>
        </w:rPr>
        <w:t>(48) is the President of Sette CS Inc., a management consulting firm. From</w:t>
      </w:r>
      <w:r>
        <w:rPr>
          <w:rFonts w:ascii="Arial" w:cs="Arial" w:eastAsia="Arial" w:hAnsi="Arial"/>
          <w:sz w:val="22"/>
          <w:szCs w:val="22"/>
          <w:color w:val="41659C"/>
        </w:rPr>
        <w:t xml:space="preserve"> </w:t>
      </w:r>
      <w:r>
        <w:rPr>
          <w:rFonts w:ascii="Arial" w:cs="Arial" w:eastAsia="Arial" w:hAnsi="Arial"/>
          <w:sz w:val="16"/>
          <w:szCs w:val="16"/>
          <w:color w:val="000000"/>
        </w:rPr>
        <w:t>June 2014 to November 2015, he served as the Senior Vice President and Chief Financial Officer of API Technologies Corp. (NASDAQ: ATNY), a leading provider of RF/microwave, microelectronics and security technologies for critical and high-reliability applications. He also served as API’s Senior Vice President, Finance from January 2010 to June 2014 and as its Chief Financial Officer and Vice President of Finance from November 2006 to January 2010. Prior to that, he served in various, senior-level management roles throughout API’s finance organization. Before joining API, Mr. Mannarino served as Controller for two divisions of Transcontinental, Inc., a Canadian publicly traded company on the Toronto Stock Exchange. Mr. Mannarino holds a Bachelor of Commerce degree from the University of Ottawa and attained his Certified Management Accountant certification in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-1134110</wp:posOffset>
            </wp:positionV>
            <wp:extent cx="1284605" cy="1516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299" w:lineRule="exact"/>
        <w:rPr>
          <w:sz w:val="20"/>
          <w:szCs w:val="20"/>
          <w:color w:val="auto"/>
        </w:rPr>
      </w:pPr>
    </w:p>
    <w:p>
      <w:pPr>
        <w:ind w:left="3080" w:right="380"/>
        <w:spacing w:after="0" w:line="260" w:lineRule="auto"/>
        <w:rPr>
          <w:sz w:val="20"/>
          <w:szCs w:val="20"/>
          <w:color w:val="auto"/>
        </w:rPr>
      </w:pPr>
      <w:r>
        <w:rPr>
          <w:rFonts w:ascii="Arial" w:cs="Arial" w:eastAsia="Arial" w:hAnsi="Arial"/>
          <w:sz w:val="16"/>
          <w:szCs w:val="16"/>
          <w:color w:val="auto"/>
        </w:rPr>
        <w:t>Mr. Mannarino brings over 20 years of financial, strategic and merger and acquisition expertise to our Board, which will assist us as we expand our business.</w:t>
      </w: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41659C"/>
        </w:rPr>
        <w:t>- 5 -</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80" w:right="20"/>
        <w:spacing w:after="0" w:line="237" w:lineRule="auto"/>
        <w:rPr>
          <w:sz w:val="20"/>
          <w:szCs w:val="20"/>
          <w:color w:val="auto"/>
        </w:rPr>
      </w:pPr>
      <w:r>
        <w:rPr>
          <w:rFonts w:ascii="Arial" w:cs="Arial" w:eastAsia="Arial" w:hAnsi="Arial"/>
          <w:sz w:val="22"/>
          <w:szCs w:val="22"/>
          <w:color w:val="41659C"/>
        </w:rPr>
        <w:t xml:space="preserve">MUNISH NANDA </w:t>
      </w:r>
      <w:r>
        <w:rPr>
          <w:rFonts w:ascii="Arial" w:cs="Arial" w:eastAsia="Arial" w:hAnsi="Arial"/>
          <w:sz w:val="16"/>
          <w:szCs w:val="16"/>
          <w:color w:val="000000"/>
        </w:rPr>
        <w:t>(54) has served as the President, Americas &amp; Europe of Watts Water Technologies, Inc.</w:t>
      </w:r>
      <w:r>
        <w:rPr>
          <w:rFonts w:ascii="Arial" w:cs="Arial" w:eastAsia="Arial" w:hAnsi="Arial"/>
          <w:sz w:val="22"/>
          <w:szCs w:val="22"/>
          <w:color w:val="41659C"/>
        </w:rPr>
        <w:t xml:space="preserve"> </w:t>
      </w:r>
      <w:r>
        <w:rPr>
          <w:rFonts w:ascii="Arial" w:cs="Arial" w:eastAsia="Arial" w:hAnsi="Arial"/>
          <w:sz w:val="16"/>
          <w:szCs w:val="16"/>
          <w:color w:val="000000"/>
        </w:rPr>
        <w:t>(NYSE: WTS), a global manufacturer of plumbing, heating and water quality products, since February 2016. He joined Watts Water in April 2015 as President, Americas. Mr. Nanda previously served as President of Control Technologies for ITT Corporation from April 2011 to March 2015 and as Group Vice President of ITT Corporation’s Fluid and Motion Control Group from April 2008 to April 2011. ITT Corporation is a diversified manufacturer of highly engineered critical components and customized technology solutions for the energy, transportation and industrial markets. Prior to joining ITT Corporation, Mr. Nanda held several operating leadership and general management positions with Thermo Fisher Scientific Corporation and Honeywell International Inc. Mr. Nanda graduated with a Bachelor of Engineering degree in Production Engineering with Honors from Regional Engineering College Tiruchy in India and earned an MBA from Northern Arizona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-1235710</wp:posOffset>
            </wp:positionV>
            <wp:extent cx="1284605" cy="1516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140" w:lineRule="exact"/>
        <w:rPr>
          <w:sz w:val="20"/>
          <w:szCs w:val="20"/>
          <w:color w:val="auto"/>
        </w:rPr>
      </w:pPr>
    </w:p>
    <w:p>
      <w:pPr>
        <w:ind w:left="3080" w:right="20"/>
        <w:spacing w:after="0" w:line="253" w:lineRule="auto"/>
        <w:rPr>
          <w:sz w:val="20"/>
          <w:szCs w:val="20"/>
          <w:color w:val="auto"/>
        </w:rPr>
      </w:pPr>
      <w:r>
        <w:rPr>
          <w:rFonts w:ascii="Arial" w:cs="Arial" w:eastAsia="Arial" w:hAnsi="Arial"/>
          <w:sz w:val="16"/>
          <w:szCs w:val="16"/>
          <w:color w:val="auto"/>
        </w:rPr>
        <w:t>Mr. Nanda brings over 25 years of experience working in senior operational management roles for global industrial manufacturers, which will assist us as we continue to grow and streamline our business. Mr. Nanda also brings extensive experience in the fluid handling, energy and niche manufacturing industries.</w:t>
      </w:r>
    </w:p>
    <w:p>
      <w:pPr>
        <w:spacing w:after="0" w:line="200" w:lineRule="exact"/>
        <w:rPr>
          <w:sz w:val="20"/>
          <w:szCs w:val="20"/>
          <w:color w:val="auto"/>
        </w:rPr>
      </w:pPr>
    </w:p>
    <w:p>
      <w:pPr>
        <w:spacing w:after="0" w:line="221" w:lineRule="exact"/>
        <w:rPr>
          <w:sz w:val="20"/>
          <w:szCs w:val="20"/>
          <w:color w:val="auto"/>
        </w:rPr>
      </w:pPr>
    </w:p>
    <w:p>
      <w:pPr>
        <w:ind w:left="3080"/>
        <w:spacing w:after="0" w:line="239" w:lineRule="auto"/>
        <w:rPr>
          <w:sz w:val="20"/>
          <w:szCs w:val="20"/>
          <w:color w:val="auto"/>
        </w:rPr>
      </w:pPr>
      <w:r>
        <w:rPr>
          <w:rFonts w:ascii="Arial" w:cs="Arial" w:eastAsia="Arial" w:hAnsi="Arial"/>
          <w:sz w:val="22"/>
          <w:szCs w:val="22"/>
          <w:color w:val="41659C"/>
        </w:rPr>
        <w:t xml:space="preserve">VALERIE GENTILE SACHS </w:t>
      </w:r>
      <w:r>
        <w:rPr>
          <w:rFonts w:ascii="Arial" w:cs="Arial" w:eastAsia="Arial" w:hAnsi="Arial"/>
          <w:sz w:val="16"/>
          <w:szCs w:val="16"/>
          <w:color w:val="000000"/>
        </w:rPr>
        <w:t>(63) served as the Vice President, General Counsel and Corporate</w:t>
      </w:r>
      <w:r>
        <w:rPr>
          <w:rFonts w:ascii="Arial" w:cs="Arial" w:eastAsia="Arial" w:hAnsi="Arial"/>
          <w:sz w:val="22"/>
          <w:szCs w:val="22"/>
          <w:color w:val="41659C"/>
        </w:rPr>
        <w:t xml:space="preserve"> </w:t>
      </w:r>
      <w:r>
        <w:rPr>
          <w:rFonts w:ascii="Arial" w:cs="Arial" w:eastAsia="Arial" w:hAnsi="Arial"/>
          <w:sz w:val="16"/>
          <w:szCs w:val="16"/>
          <w:color w:val="000000"/>
        </w:rPr>
        <w:t>Secretary of OM Group, Inc. (NYSE: OMG), a global developer and manufacturer of magnetic technologies, battery technologies and engineered specialty chemicals, from September 2005 through the completion of its sale in November 2015 to Apollo Global Management. She had executive responsibility for OM Group’s world-wide Legal, Internal Audit and Environment, Health &amp; Safety operations. She also served on the boards of directors and acted as Managing Director of numerous U.S. and non-U.S. entities affiliated with OM Group. Prior to joining OM Group, Ms. Sachs served as Executive Vice President, General Counsel and Secretary of Jo-Ann Stores, Inc. (NYSE: JAS), a US-based retailer. She had previously served as General Counsel of Marconi plc (LSE and NASDAQ: MONI), a London-based, global communications and information technology company. Ms. Sachs has been a trustee of a regional humane society and is active with a number of charitable organizations fighting hunger and meeting basic human needs. She earned her bachelor’s degree (B.L.S.—Chemistry) with honors from Bowling Green State University and her Juris Doctor from Case Western Reserve University School of Law, where she was a member of Law Review and a DeWitt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-1595120</wp:posOffset>
            </wp:positionV>
            <wp:extent cx="1284605" cy="1516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4605" cy="1516380"/>
                    </a:xfrm>
                    <a:prstGeom prst="rect">
                      <a:avLst/>
                    </a:prstGeom>
                    <a:noFill/>
                  </pic:spPr>
                </pic:pic>
              </a:graphicData>
            </a:graphic>
          </wp:anchor>
        </w:drawing>
      </w:r>
    </w:p>
    <w:p>
      <w:pPr>
        <w:spacing w:after="0" w:line="140" w:lineRule="exact"/>
        <w:rPr>
          <w:sz w:val="20"/>
          <w:szCs w:val="20"/>
          <w:color w:val="auto"/>
        </w:rPr>
      </w:pPr>
    </w:p>
    <w:p>
      <w:pPr>
        <w:ind w:left="3080" w:right="20"/>
        <w:spacing w:after="0" w:line="249" w:lineRule="auto"/>
        <w:rPr>
          <w:sz w:val="20"/>
          <w:szCs w:val="20"/>
          <w:color w:val="auto"/>
        </w:rPr>
      </w:pPr>
      <w:r>
        <w:rPr>
          <w:rFonts w:ascii="Arial" w:cs="Arial" w:eastAsia="Arial" w:hAnsi="Arial"/>
          <w:sz w:val="16"/>
          <w:szCs w:val="16"/>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General Counsel of three public companies, she has developed expertise in the areas of governance, compliance and executive compensation, which will provide strong support and additional depth to our Board and to the committees on which she may serve.</w:t>
      </w:r>
    </w:p>
    <w:p>
      <w:pPr>
        <w:spacing w:after="0" w:line="217" w:lineRule="exact"/>
        <w:rPr>
          <w:sz w:val="20"/>
          <w:szCs w:val="20"/>
          <w:color w:val="auto"/>
        </w:rPr>
      </w:pPr>
    </w:p>
    <w:p>
      <w:pPr>
        <w:jc w:val="both"/>
        <w:ind w:left="220" w:right="80"/>
        <w:spacing w:after="0" w:line="253" w:lineRule="auto"/>
        <w:rPr>
          <w:sz w:val="20"/>
          <w:szCs w:val="20"/>
          <w:color w:val="auto"/>
        </w:rPr>
      </w:pPr>
      <w:r>
        <w:rPr>
          <w:rFonts w:ascii="Arial" w:cs="Arial" w:eastAsia="Arial" w:hAnsi="Arial"/>
          <w:sz w:val="16"/>
          <w:szCs w:val="16"/>
          <w:color w:val="auto"/>
        </w:rPr>
        <w:t>In order to be elected, a nominee must receive a plurality of the votes cast at the meeting in person or by proxy. If prior to the meeting a director nominee is unable or unwilling to serve, which our Board does not anticipate, the proxy will be voted for a substitute nominee selected by our Board,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7023735" cy="556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373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- 6 -</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Our Board and Its Committees</w:t>
      </w:r>
    </w:p>
    <w:p>
      <w:pPr>
        <w:spacing w:after="0" w:line="240"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Our Board held twelve meetings during 2018. Our Board’s policy regarding director attendance at the annual meeting of stockholders is that directors are encouraged to attend, and that we will make all appropriate arrangements for directors to attend. All of the directors attended our 2018 annual meeting of stockholders. During 2018, all directors attended at least 75% of the aggregate number of meetings of our Board and the committees on which they served in 2018.</w:t>
      </w:r>
    </w:p>
    <w:p>
      <w:pPr>
        <w:spacing w:after="0" w:line="205" w:lineRule="exact"/>
        <w:rPr>
          <w:sz w:val="20"/>
          <w:szCs w:val="20"/>
          <w:color w:val="auto"/>
        </w:rPr>
      </w:pPr>
    </w:p>
    <w:p>
      <w:pPr>
        <w:ind w:left="220" w:right="620"/>
        <w:spacing w:after="0" w:line="260" w:lineRule="auto"/>
        <w:rPr>
          <w:sz w:val="20"/>
          <w:szCs w:val="20"/>
          <w:color w:val="auto"/>
        </w:rPr>
      </w:pPr>
      <w:r>
        <w:rPr>
          <w:rFonts w:ascii="Arial" w:cs="Arial" w:eastAsia="Arial" w:hAnsi="Arial"/>
          <w:sz w:val="16"/>
          <w:szCs w:val="16"/>
          <w:color w:val="auto"/>
        </w:rPr>
        <w:t>Our Board has three standing committees: the Audit Committee, the Compensation Committee and the Nominations and Corporate Governance Committee.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2"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Claudio A. Mannarino, Chair</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Munish Nanda</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Audit Committee held six meetings in 2018.</w:t>
      </w:r>
    </w:p>
    <w:p>
      <w:pPr>
        <w:spacing w:after="0" w:line="221" w:lineRule="exact"/>
        <w:rPr>
          <w:sz w:val="20"/>
          <w:szCs w:val="20"/>
          <w:color w:val="auto"/>
        </w:rPr>
      </w:pPr>
    </w:p>
    <w:p>
      <w:pPr>
        <w:ind w:left="220" w:right="240"/>
        <w:spacing w:after="0" w:line="253" w:lineRule="auto"/>
        <w:rPr>
          <w:sz w:val="20"/>
          <w:szCs w:val="20"/>
          <w:color w:val="auto"/>
        </w:rPr>
      </w:pPr>
      <w:r>
        <w:rPr>
          <w:rFonts w:ascii="Arial" w:cs="Arial" w:eastAsia="Arial" w:hAnsi="Arial"/>
          <w:sz w:val="16"/>
          <w:szCs w:val="16"/>
          <w:color w:val="auto"/>
        </w:rPr>
        <w:t>Our Board has determined that Mr. Mannarino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Securities and Exchange Commission (the “SEC”).</w:t>
      </w:r>
    </w:p>
    <w:p>
      <w:pPr>
        <w:spacing w:after="0" w:line="201"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The primary purpose of our Audit Committee is to assist our Board in its general oversight of the integrity of our Company’s financial statements and of our Company’s compliance with legal and regulatory requirements. Its responsibilities include overseeing and 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6989445" cy="1156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89445" cy="11563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 financial reports and other financial information;</w:t>
      </w:r>
    </w:p>
    <w:p>
      <w:pPr>
        <w:spacing w:after="0" w:line="207" w:lineRule="exact"/>
        <w:rPr>
          <w:sz w:val="20"/>
          <w:szCs w:val="20"/>
          <w:color w:val="auto"/>
        </w:rPr>
      </w:pPr>
    </w:p>
    <w:p>
      <w:pPr>
        <w:ind w:left="580" w:hanging="127"/>
        <w:spacing w:after="0"/>
        <w:tabs>
          <w:tab w:leader="none" w:pos="580" w:val="left"/>
        </w:tabs>
        <w:numPr>
          <w:ilvl w:val="0"/>
          <w:numId w:val="7"/>
        </w:numPr>
        <w:rPr>
          <w:rFonts w:ascii="Arial" w:cs="Arial" w:eastAsia="Arial" w:hAnsi="Arial"/>
          <w:sz w:val="16"/>
          <w:szCs w:val="16"/>
          <w:color w:val="41659C"/>
        </w:rPr>
      </w:pPr>
      <w:r>
        <w:rPr>
          <w:rFonts w:ascii="Arial" w:cs="Arial" w:eastAsia="Arial" w:hAnsi="Arial"/>
          <w:sz w:val="16"/>
          <w:szCs w:val="16"/>
          <w:color w:val="auto"/>
        </w:rPr>
        <w:t>our Company’s system of internal accounting and financial controls;</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7"/>
        </w:numPr>
        <w:rPr>
          <w:rFonts w:ascii="Arial" w:cs="Arial" w:eastAsia="Arial" w:hAnsi="Arial"/>
          <w:sz w:val="16"/>
          <w:szCs w:val="16"/>
          <w:color w:val="41659C"/>
        </w:rPr>
      </w:pPr>
      <w:r>
        <w:rPr>
          <w:rFonts w:ascii="Arial" w:cs="Arial" w:eastAsia="Arial" w:hAnsi="Arial"/>
          <w:sz w:val="16"/>
          <w:szCs w:val="16"/>
          <w:color w:val="auto"/>
        </w:rPr>
        <w:t>the engagement of our independent auditor; and</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7"/>
        </w:numPr>
        <w:rPr>
          <w:rFonts w:ascii="Arial" w:cs="Arial" w:eastAsia="Arial" w:hAnsi="Arial"/>
          <w:sz w:val="16"/>
          <w:szCs w:val="16"/>
          <w:color w:val="41659C"/>
        </w:rPr>
      </w:pPr>
      <w:r>
        <w:rPr>
          <w:rFonts w:ascii="Arial" w:cs="Arial" w:eastAsia="Arial" w:hAnsi="Arial"/>
          <w:sz w:val="16"/>
          <w:szCs w:val="16"/>
          <w:color w:val="auto"/>
        </w:rPr>
        <w:t>the annual independent audit of our financial statements.</w:t>
      </w:r>
    </w:p>
    <w:p>
      <w:pPr>
        <w:spacing w:after="0" w:line="200" w:lineRule="exact"/>
        <w:rPr>
          <w:sz w:val="20"/>
          <w:szCs w:val="20"/>
          <w:color w:val="auto"/>
        </w:rPr>
      </w:pPr>
    </w:p>
    <w:p>
      <w:pPr>
        <w:spacing w:after="0" w:line="277"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 xml:space="preserve">Our Audit Committee also reviews and approves the services of our independent auditors and evaluates transactions where the potential for a conflict of interest exists. Our Audit Committee’s purposes are more fully described in its written charter, a copy of which can be found on our website </w:t>
      </w:r>
      <w:r>
        <w:rPr>
          <w:rFonts w:ascii="Arial" w:cs="Arial" w:eastAsia="Arial" w:hAnsi="Arial"/>
          <w:sz w:val="16"/>
          <w:szCs w:val="16"/>
          <w:i w:val="1"/>
          <w:iCs w:val="1"/>
          <w:color w:val="auto"/>
        </w:rPr>
        <w:t xml:space="preserve">www.cecoenviro.com </w:t>
      </w:r>
      <w:r>
        <w:rPr>
          <w:rFonts w:ascii="Arial" w:cs="Arial" w:eastAsia="Arial" w:hAnsi="Arial"/>
          <w:sz w:val="16"/>
          <w:szCs w:val="16"/>
          <w:color w:val="auto"/>
        </w:rPr>
        <w:t>on the Investor Relations, Corporate Governance section.</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2"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Valerie Gentile Sachs, Chair</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David B. Liner</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Compensation Committee held ten meetings in 2018.</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41659C"/>
        </w:rPr>
        <w:t>- 7 -</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Each member of our Compensation Committee is independent under the applicable NASDAQ listing requirements. Our Compensation Committee oversees our compensation programs, with particular attention to the compensation for our CEO and the other named executive officers. Our Compensation Committee operates under a written charter, which can be found on our website www.cecoenviro.com on the Investor Relations, Corporate Governance section. Its primary purpose is to assist our Board in matters related to compensation of our executive officers. Its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146050</wp:posOffset>
            </wp:positionV>
            <wp:extent cx="6989445" cy="899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9445" cy="899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ind w:left="620" w:right="640" w:hanging="161"/>
        <w:spacing w:after="0" w:line="253" w:lineRule="auto"/>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reviewing and approving corporate goals and objectives for the compensation of our Chief Executive Officer (“CEO”), evaluating our CEO’s</w:t>
      </w:r>
      <w:r>
        <w:rPr>
          <w:rFonts w:ascii="Arial" w:cs="Arial" w:eastAsia="Arial" w:hAnsi="Arial"/>
          <w:sz w:val="16"/>
          <w:szCs w:val="16"/>
          <w:color w:val="41659C"/>
        </w:rPr>
        <w:t xml:space="preserve"> </w:t>
      </w:r>
      <w:r>
        <w:rPr>
          <w:rFonts w:ascii="Arial" w:cs="Arial" w:eastAsia="Arial" w:hAnsi="Arial"/>
          <w:sz w:val="16"/>
          <w:szCs w:val="16"/>
          <w:color w:val="000000"/>
        </w:rPr>
        <w:t>performance in light of those goals and objectives, and determining and recommending to our Board for approval, our CEO’s compensation level based on this evaluation; and</w:t>
      </w:r>
    </w:p>
    <w:p>
      <w:pPr>
        <w:spacing w:after="0" w:line="187" w:lineRule="exact"/>
        <w:rPr>
          <w:sz w:val="20"/>
          <w:szCs w:val="20"/>
          <w:color w:val="auto"/>
        </w:rPr>
      </w:pPr>
    </w:p>
    <w:p>
      <w:pPr>
        <w:ind w:left="580" w:hanging="127"/>
        <w:spacing w:after="0"/>
        <w:tabs>
          <w:tab w:leader="none" w:pos="580" w:val="left"/>
        </w:tabs>
        <w:numPr>
          <w:ilvl w:val="0"/>
          <w:numId w:val="8"/>
        </w:numPr>
        <w:rPr>
          <w:rFonts w:ascii="Arial" w:cs="Arial" w:eastAsia="Arial" w:hAnsi="Arial"/>
          <w:sz w:val="16"/>
          <w:szCs w:val="16"/>
          <w:color w:val="41659C"/>
        </w:rPr>
      </w:pPr>
      <w:r>
        <w:rPr>
          <w:rFonts w:ascii="Arial" w:cs="Arial" w:eastAsia="Arial" w:hAnsi="Arial"/>
          <w:sz w:val="16"/>
          <w:szCs w:val="16"/>
          <w:color w:val="auto"/>
        </w:rPr>
        <w:t>approving or making recommendations to our Board with respect to the compensation of our other executive officers.</w:t>
      </w:r>
    </w:p>
    <w:p>
      <w:pPr>
        <w:spacing w:after="0" w:line="200" w:lineRule="exact"/>
        <w:rPr>
          <w:sz w:val="20"/>
          <w:szCs w:val="20"/>
          <w:color w:val="auto"/>
        </w:rPr>
      </w:pPr>
    </w:p>
    <w:p>
      <w:pPr>
        <w:spacing w:after="0" w:line="277"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Our Compensation Committee also administers our equity programs, including our 2017 Equity and Incentive Compensation Plan and our Employee Stock Purchase Plan. Our Compensation Committee reports to our Board on all compensation matters regarding our directors, executives, and other key salaried employees. Our Compensation Committee annually reviews and approves the compensation for our directors, executives and other key salaried employees. It does not generally delegate any of its authority to other persons, although it has the power to delegate certain authority as permitted by applicable law and the NASDAQ listing standards to subcommittees, our Board or management.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Nominations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2"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6"/>
          <w:szCs w:val="16"/>
          <w:color w:val="auto"/>
        </w:rPr>
        <w:t>Members:</w:t>
      </w:r>
      <w:r>
        <w:rPr>
          <w:sz w:val="20"/>
          <w:szCs w:val="20"/>
          <w:color w:val="auto"/>
        </w:rPr>
        <w:tab/>
      </w:r>
      <w:r>
        <w:rPr>
          <w:rFonts w:ascii="Arial" w:cs="Arial" w:eastAsia="Arial" w:hAnsi="Arial"/>
          <w:sz w:val="16"/>
          <w:szCs w:val="16"/>
          <w:b w:val="1"/>
          <w:bCs w:val="1"/>
          <w:color w:val="auto"/>
        </w:rPr>
        <w:t>David B. Liner, Chair</w:t>
      </w:r>
    </w:p>
    <w:p>
      <w:pPr>
        <w:spacing w:after="0" w:line="2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Claudio A. Mannarino</w:t>
      </w:r>
    </w:p>
    <w:p>
      <w:pPr>
        <w:spacing w:after="0" w:line="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Valerie Gentile Sachs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Nominations and Corporate Governance Committee held three meetings in 2018.</w:t>
      </w:r>
    </w:p>
    <w:p>
      <w:pPr>
        <w:spacing w:after="0" w:line="221"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Each member or our Nominations and Corporate Governance Committee is an independent director under the applicable NASDAQ listing requirements. Our Nominations and Corporate Governance Committee operates under a written charter, which can be found on our website www.cecoenviro.com on the Investor Relations, Corporate Governance section. Its primary purposes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1156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9445" cy="11563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to identify individuals qualified to become Board members;</w:t>
      </w:r>
    </w:p>
    <w:p>
      <w:pPr>
        <w:spacing w:after="0" w:line="207" w:lineRule="exact"/>
        <w:rPr>
          <w:sz w:val="20"/>
          <w:szCs w:val="20"/>
          <w:color w:val="auto"/>
        </w:rPr>
      </w:pPr>
    </w:p>
    <w:p>
      <w:pPr>
        <w:ind w:left="580" w:hanging="127"/>
        <w:spacing w:after="0"/>
        <w:tabs>
          <w:tab w:leader="none" w:pos="5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to make recommendations to our Board regarding Board and committee composition;</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to develop and recommend to our Board corporate governance principles applicable to our Company; and</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9"/>
        </w:numPr>
        <w:rPr>
          <w:rFonts w:ascii="Arial" w:cs="Arial" w:eastAsia="Arial" w:hAnsi="Arial"/>
          <w:sz w:val="16"/>
          <w:szCs w:val="16"/>
          <w:color w:val="41659C"/>
        </w:rPr>
      </w:pPr>
      <w:r>
        <w:rPr>
          <w:rFonts w:ascii="Arial" w:cs="Arial" w:eastAsia="Arial" w:hAnsi="Arial"/>
          <w:sz w:val="16"/>
          <w:szCs w:val="16"/>
          <w:color w:val="auto"/>
        </w:rPr>
        <w:t>to oversee the evaluation of our Board and management.</w:t>
      </w:r>
    </w:p>
    <w:p>
      <w:pPr>
        <w:spacing w:after="0" w:line="200" w:lineRule="exact"/>
        <w:rPr>
          <w:sz w:val="20"/>
          <w:szCs w:val="20"/>
          <w:color w:val="auto"/>
        </w:rPr>
      </w:pPr>
    </w:p>
    <w:p>
      <w:pPr>
        <w:spacing w:after="0" w:line="277"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 xml:space="preserve">Our Nominations and Corporate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w:t>
      </w:r>
    </w:p>
    <w:p>
      <w:pPr>
        <w:spacing w:after="0" w:line="205"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6"/>
          <w:szCs w:val="16"/>
          <w:color w:val="auto"/>
        </w:rPr>
        <w:t>Our Bylaws provide stockholders the ability to nominate candidates for election as directors at an annual meeting of stockholders. Stockholders who wish to nominate a candidate should submit the candidate’s name and the other information required by our Bylaws to our Corporate Secretary and follow the procedures stated in our Bylaws. These procedures are summarized below in “Information for Our 2020 Annual Meeting.”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- 8 -</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Corporate Governance Committee has adopted a policy to consider stockholder recommendations of candidates for nomination to our Board who stockholders submit outside the process in the Company’s Bylaws discussed above. Our Nominations and Corporate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Corporate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TX 75254-8809, Attention: Corporate Secretary.</w:t>
      </w: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Sadlowski serves as Chief Executive Officer. Our Bylaws provide that any two or more offices may be held by the same person, but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common understanding of the organization with the executive management and provides focus to ensure our Board is effective in its task of setting and implementing the Company’s strategy.</w:t>
      </w:r>
    </w:p>
    <w:p>
      <w:pPr>
        <w:spacing w:after="0" w:line="207"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The separation of the roles of Chief Executive Officer and Chairman and the independence of a majority of our Board help ensure independent oversight of management. All of our directors, other than the Chairman, Mr. DeZwirek, the Chief Executive Officer, Mr. Sadlowski, and Mr. Pollack, qualify as independent under the applicable NASDAQ listing requirements. The standing committees — the Audit Committee, the Compensation Committee and the Nominations and Corporate Governance Committee — are comprised entirely of independent directors and provide independent oversight of management. Additionally, the non-management directors regularly meet in executive session and the independent directors meet in executive session, as required.</w:t>
      </w:r>
    </w:p>
    <w:p>
      <w:pPr>
        <w:spacing w:after="0" w:line="395"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corporate governance risk to our Nominations and Corporate Governance Committee. To the extent that the Audit Committee, Compensation Committee or the Nominations and Corporate Governance Committee identifies any material risks or related issues, the risks or issues are addressed with the full Board.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Qualifications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jc w:val="both"/>
        <w:ind w:left="220" w:right="300"/>
        <w:spacing w:after="0" w:line="253" w:lineRule="auto"/>
        <w:rPr>
          <w:sz w:val="20"/>
          <w:szCs w:val="20"/>
          <w:color w:val="auto"/>
        </w:rPr>
      </w:pPr>
      <w:r>
        <w:rPr>
          <w:rFonts w:ascii="Arial" w:cs="Arial" w:eastAsia="Arial" w:hAnsi="Arial"/>
          <w:sz w:val="16"/>
          <w:szCs w:val="16"/>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Corporate Governance Committee,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1516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9445" cy="151638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20" w:right="580" w:hanging="167"/>
        <w:spacing w:after="0" w:line="260" w:lineRule="auto"/>
        <w:tabs>
          <w:tab w:leader="none" w:pos="579"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Whether the person will qualify as a director who is “independent” under applicable laws and regulations, and whether the person is qualified under applicable laws and regulations to serve as a director of our Company;</w:t>
      </w:r>
    </w:p>
    <w:p>
      <w:pPr>
        <w:spacing w:after="0" w:line="181" w:lineRule="exact"/>
        <w:rPr>
          <w:rFonts w:ascii="Arial" w:cs="Arial" w:eastAsia="Arial" w:hAnsi="Arial"/>
          <w:sz w:val="16"/>
          <w:szCs w:val="16"/>
          <w:color w:val="41659C"/>
        </w:rPr>
      </w:pPr>
    </w:p>
    <w:p>
      <w:pPr>
        <w:ind w:left="580" w:hanging="127"/>
        <w:spacing w:after="0"/>
        <w:tabs>
          <w:tab w:leader="none" w:pos="580"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Whether the person is willing to serve as a director, and willing to commit the time necessary for the performance of the duties of a director;</w:t>
      </w:r>
    </w:p>
    <w:p>
      <w:pPr>
        <w:spacing w:after="0" w:line="207" w:lineRule="exact"/>
        <w:rPr>
          <w:rFonts w:ascii="Arial" w:cs="Arial" w:eastAsia="Arial" w:hAnsi="Arial"/>
          <w:sz w:val="16"/>
          <w:szCs w:val="16"/>
          <w:color w:val="41659C"/>
        </w:rPr>
      </w:pPr>
    </w:p>
    <w:p>
      <w:pPr>
        <w:ind w:left="620" w:right="500" w:hanging="167"/>
        <w:spacing w:after="0" w:line="253" w:lineRule="auto"/>
        <w:tabs>
          <w:tab w:leader="none" w:pos="576"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The contribution that the person can make to our Board, with consideration being given to the person’s business experience, education, skills, conflicts of interest, the interplay of the candidate’s experience with that of other board members, and such other factors as our Board may consider relevant; and</w:t>
      </w:r>
    </w:p>
    <w:p>
      <w:pPr>
        <w:spacing w:after="0" w:line="187" w:lineRule="exact"/>
        <w:rPr>
          <w:rFonts w:ascii="Arial" w:cs="Arial" w:eastAsia="Arial" w:hAnsi="Arial"/>
          <w:sz w:val="16"/>
          <w:szCs w:val="16"/>
          <w:color w:val="41659C"/>
        </w:rPr>
      </w:pPr>
    </w:p>
    <w:p>
      <w:pPr>
        <w:ind w:left="580" w:hanging="127"/>
        <w:spacing w:after="0"/>
        <w:tabs>
          <w:tab w:leader="none" w:pos="580" w:val="left"/>
        </w:tabs>
        <w:numPr>
          <w:ilvl w:val="0"/>
          <w:numId w:val="10"/>
        </w:numPr>
        <w:rPr>
          <w:rFonts w:ascii="Arial" w:cs="Arial" w:eastAsia="Arial" w:hAnsi="Arial"/>
          <w:sz w:val="16"/>
          <w:szCs w:val="16"/>
          <w:color w:val="41659C"/>
        </w:rPr>
      </w:pPr>
      <w:r>
        <w:rPr>
          <w:rFonts w:ascii="Arial" w:cs="Arial" w:eastAsia="Arial" w:hAnsi="Arial"/>
          <w:sz w:val="16"/>
          <w:szCs w:val="16"/>
          <w:color w:val="auto"/>
        </w:rPr>
        <w:t>The character and integrity of the person.</w:t>
      </w:r>
    </w:p>
    <w:p>
      <w:pPr>
        <w:spacing w:after="0" w:line="200" w:lineRule="exact"/>
        <w:rPr>
          <w:rFonts w:ascii="Arial" w:cs="Arial" w:eastAsia="Arial" w:hAnsi="Arial"/>
          <w:sz w:val="16"/>
          <w:szCs w:val="16"/>
          <w:color w:val="41659C"/>
        </w:rPr>
      </w:pPr>
    </w:p>
    <w:p>
      <w:pPr>
        <w:spacing w:after="0" w:line="201" w:lineRule="exact"/>
        <w:rPr>
          <w:rFonts w:ascii="Arial" w:cs="Arial" w:eastAsia="Arial" w:hAnsi="Arial"/>
          <w:sz w:val="16"/>
          <w:szCs w:val="16"/>
          <w:color w:val="41659C"/>
        </w:rPr>
      </w:pPr>
    </w:p>
    <w:p>
      <w:pPr>
        <w:ind w:left="5660" w:hanging="98"/>
        <w:spacing w:after="0"/>
        <w:tabs>
          <w:tab w:leader="none" w:pos="5660" w:val="left"/>
        </w:tabs>
        <w:numPr>
          <w:ilvl w:val="1"/>
          <w:numId w:val="10"/>
        </w:numPr>
        <w:rPr>
          <w:rFonts w:ascii="Arial" w:cs="Arial" w:eastAsia="Arial" w:hAnsi="Arial"/>
          <w:sz w:val="17"/>
          <w:szCs w:val="17"/>
          <w:color w:val="41659C"/>
        </w:rPr>
      </w:pPr>
      <w:r>
        <w:rPr>
          <w:rFonts w:ascii="Arial" w:cs="Arial" w:eastAsia="Arial" w:hAnsi="Arial"/>
          <w:sz w:val="17"/>
          <w:szCs w:val="17"/>
          <w:color w:val="41659C"/>
        </w:rPr>
        <w:t>9 -</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240"/>
        <w:spacing w:after="0" w:line="250" w:lineRule="auto"/>
        <w:rPr>
          <w:sz w:val="20"/>
          <w:szCs w:val="20"/>
          <w:color w:val="auto"/>
        </w:rPr>
      </w:pPr>
      <w:r>
        <w:rPr>
          <w:rFonts w:ascii="Arial" w:cs="Arial" w:eastAsia="Arial" w:hAnsi="Arial"/>
          <w:sz w:val="16"/>
          <w:szCs w:val="16"/>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205"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With respect to skill set diversity, our Board seeks to have directors and nominees composed of qualified professionals with a broad range of skills, but believes in a diverse mix of background, experience, expertise, perspectives, gender, age and ethnicity. Our current directors have a broad range of skills, expertise and diversity, some of which have been described in the director profiles. Diversity helps to create a balanced Board to effectively develop strategies for our Company’s growth.</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Code of Ethics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 xml:space="preserve">We have adopted a Code of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The Code of Ethics and Conduct and Corporate Governance Guidelines for the Board of Directors are posted on our website </w:t>
      </w:r>
      <w:r>
        <w:rPr>
          <w:rFonts w:ascii="Arial" w:cs="Arial" w:eastAsia="Arial" w:hAnsi="Arial"/>
          <w:sz w:val="16"/>
          <w:szCs w:val="16"/>
          <w:i w:val="1"/>
          <w:iCs w:val="1"/>
          <w:color w:val="auto"/>
        </w:rPr>
        <w:t>www.cecoenviro.com</w:t>
      </w:r>
      <w:r>
        <w:rPr>
          <w:rFonts w:ascii="Arial" w:cs="Arial" w:eastAsia="Arial" w:hAnsi="Arial"/>
          <w:sz w:val="16"/>
          <w:szCs w:val="16"/>
          <w:color w:val="auto"/>
        </w:rPr>
        <w:t xml:space="preserve"> on the Investor Relations, Corporate Governance section. We will post on our website any amendments to or waivers of the Code of Ethics and Conduct for executive officers or directors in accordance with applicable laws and regulations. The information on or accessible through our website is not a part of or incorporated by reference into this Proxy Statement.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jc w:val="both"/>
        <w:ind w:left="220" w:right="40"/>
        <w:spacing w:after="0" w:line="253"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2300 Yonge Street, Suite 1710, Toronto, Ontario M4P 1E4.</w:t>
      </w:r>
    </w:p>
    <w:p>
      <w:pPr>
        <w:spacing w:after="0" w:line="201" w:lineRule="exact"/>
        <w:rPr>
          <w:sz w:val="20"/>
          <w:szCs w:val="20"/>
          <w:color w:val="auto"/>
        </w:rPr>
      </w:pPr>
    </w:p>
    <w:p>
      <w:pPr>
        <w:jc w:val="both"/>
        <w:ind w:left="220" w:right="160"/>
        <w:spacing w:after="0" w:line="253" w:lineRule="auto"/>
        <w:rPr>
          <w:sz w:val="20"/>
          <w:szCs w:val="20"/>
          <w:color w:val="auto"/>
        </w:rPr>
      </w:pPr>
      <w:r>
        <w:rPr>
          <w:rFonts w:ascii="Arial" w:cs="Arial" w:eastAsia="Arial" w:hAnsi="Arial"/>
          <w:sz w:val="16"/>
          <w:szCs w:val="16"/>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201" w:lineRule="exact"/>
        <w:rPr>
          <w:sz w:val="20"/>
          <w:szCs w:val="20"/>
          <w:color w:val="auto"/>
        </w:rPr>
      </w:pPr>
    </w:p>
    <w:p>
      <w:pPr>
        <w:ind w:left="220" w:right="60"/>
        <w:spacing w:after="0" w:line="260" w:lineRule="auto"/>
        <w:rPr>
          <w:sz w:val="20"/>
          <w:szCs w:val="20"/>
          <w:color w:val="auto"/>
        </w:rPr>
      </w:pPr>
      <w:r>
        <w:rPr>
          <w:rFonts w:ascii="Arial" w:cs="Arial" w:eastAsia="Arial" w:hAnsi="Arial"/>
          <w:sz w:val="16"/>
          <w:szCs w:val="16"/>
          <w:color w:val="auto"/>
        </w:rPr>
        <w:t>Our Board or the independent directors will determine, in their respective sole discretion, the method by which any such communications will be reviewed and considered.</w:t>
      </w:r>
    </w:p>
    <w:p>
      <w:pPr>
        <w:spacing w:after="0" w:line="37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2018 Director Compensation</w:t>
      </w:r>
    </w:p>
    <w:p>
      <w:pPr>
        <w:spacing w:after="0" w:line="240" w:lineRule="exact"/>
        <w:rPr>
          <w:sz w:val="20"/>
          <w:szCs w:val="20"/>
          <w:color w:val="auto"/>
        </w:rPr>
      </w:pPr>
    </w:p>
    <w:p>
      <w:pPr>
        <w:jc w:val="both"/>
        <w:ind w:left="220" w:right="320"/>
        <w:spacing w:after="0" w:line="253" w:lineRule="auto"/>
        <w:rPr>
          <w:sz w:val="20"/>
          <w:szCs w:val="20"/>
          <w:color w:val="auto"/>
        </w:rPr>
      </w:pPr>
      <w:r>
        <w:rPr>
          <w:rFonts w:ascii="Arial" w:cs="Arial" w:eastAsia="Arial" w:hAnsi="Arial"/>
          <w:sz w:val="16"/>
          <w:szCs w:val="16"/>
          <w:color w:val="auto"/>
        </w:rPr>
        <w:t>Our non-management directors receive the following compensation for their service on our Board, except for Mr. DeZwirek, who does not receive the annual cash retainer or fees for his service as our Chairman of the Board, although we pay fees to a company he controls for management consulting services as described in footnote 1 to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143510</wp:posOffset>
            </wp:positionV>
            <wp:extent cx="8255" cy="864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64870"/>
                    </a:xfrm>
                    <a:prstGeom prst="rect">
                      <a:avLst/>
                    </a:prstGeom>
                    <a:noFill/>
                  </pic:spPr>
                </pic:pic>
              </a:graphicData>
            </a:graphic>
          </wp:anchor>
        </w:drawing>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656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Director Service</w:t>
            </w:r>
          </w:p>
        </w:tc>
        <w:tc>
          <w:tcPr>
            <w:tcW w:w="4440" w:type="dxa"/>
            <w:vAlign w:val="bottom"/>
            <w:shd w:val="clear" w:color="auto" w:fill="41659C"/>
          </w:tcPr>
          <w:p>
            <w:pPr>
              <w:jc w:val="right"/>
              <w:ind w:right="114"/>
              <w:spacing w:after="0"/>
              <w:rPr>
                <w:sz w:val="20"/>
                <w:szCs w:val="20"/>
                <w:color w:val="auto"/>
              </w:rPr>
            </w:pPr>
            <w:r>
              <w:rPr>
                <w:rFonts w:ascii="Arial" w:cs="Arial" w:eastAsia="Arial" w:hAnsi="Arial"/>
                <w:sz w:val="15"/>
                <w:szCs w:val="15"/>
                <w:b w:val="1"/>
                <w:bCs w:val="1"/>
                <w:color w:val="FFFFFF"/>
              </w:rPr>
              <w:t>Compensation ($)</w:t>
            </w:r>
          </w:p>
        </w:tc>
      </w:tr>
      <w:tr>
        <w:trPr>
          <w:trHeight w:val="162"/>
        </w:trPr>
        <w:tc>
          <w:tcPr>
            <w:tcW w:w="6560" w:type="dxa"/>
            <w:vAlign w:val="bottom"/>
            <w:shd w:val="clear" w:color="auto" w:fill="E8EED3"/>
          </w:tcPr>
          <w:p>
            <w:pPr>
              <w:ind w:left="60"/>
              <w:spacing w:after="0" w:line="162" w:lineRule="exact"/>
              <w:rPr>
                <w:sz w:val="20"/>
                <w:szCs w:val="20"/>
                <w:color w:val="auto"/>
              </w:rPr>
            </w:pPr>
            <w:r>
              <w:rPr>
                <w:rFonts w:ascii="Arial" w:cs="Arial" w:eastAsia="Arial" w:hAnsi="Arial"/>
                <w:sz w:val="15"/>
                <w:szCs w:val="15"/>
                <w:color w:val="auto"/>
              </w:rPr>
              <w:t>Annual cash retainer, paid quarterly:</w:t>
            </w:r>
          </w:p>
        </w:tc>
        <w:tc>
          <w:tcPr>
            <w:tcW w:w="4440" w:type="dxa"/>
            <w:vAlign w:val="bottom"/>
            <w:shd w:val="clear" w:color="auto" w:fill="E8EED3"/>
          </w:tcPr>
          <w:p>
            <w:pPr>
              <w:jc w:val="right"/>
              <w:ind w:right="34"/>
              <w:spacing w:after="0" w:line="162" w:lineRule="exact"/>
              <w:rPr>
                <w:sz w:val="20"/>
                <w:szCs w:val="20"/>
                <w:color w:val="auto"/>
              </w:rPr>
            </w:pPr>
            <w:r>
              <w:rPr>
                <w:rFonts w:ascii="Arial" w:cs="Arial" w:eastAsia="Arial" w:hAnsi="Arial"/>
                <w:sz w:val="15"/>
                <w:szCs w:val="15"/>
                <w:color w:val="auto"/>
              </w:rPr>
              <w:t>45,000</w:t>
            </w:r>
          </w:p>
        </w:tc>
      </w:tr>
      <w:tr>
        <w:trPr>
          <w:trHeight w:val="162"/>
        </w:trPr>
        <w:tc>
          <w:tcPr>
            <w:tcW w:w="6560" w:type="dxa"/>
            <w:vAlign w:val="bottom"/>
            <w:shd w:val="clear" w:color="auto" w:fill="D2DEA7"/>
          </w:tcPr>
          <w:p>
            <w:pPr>
              <w:ind w:left="60"/>
              <w:spacing w:after="0" w:line="162" w:lineRule="exact"/>
              <w:rPr>
                <w:sz w:val="20"/>
                <w:szCs w:val="20"/>
                <w:color w:val="auto"/>
              </w:rPr>
            </w:pPr>
            <w:r>
              <w:rPr>
                <w:rFonts w:ascii="Arial" w:cs="Arial" w:eastAsia="Arial" w:hAnsi="Arial"/>
                <w:sz w:val="15"/>
                <w:szCs w:val="15"/>
                <w:color w:val="auto"/>
              </w:rPr>
              <w:t>Annual equity retainer:</w:t>
            </w:r>
          </w:p>
        </w:tc>
        <w:tc>
          <w:tcPr>
            <w:tcW w:w="4440" w:type="dxa"/>
            <w:vAlign w:val="bottom"/>
            <w:shd w:val="clear" w:color="auto" w:fill="D2DEA7"/>
          </w:tcPr>
          <w:p>
            <w:pPr>
              <w:jc w:val="right"/>
              <w:ind w:right="34"/>
              <w:spacing w:after="0" w:line="162" w:lineRule="exact"/>
              <w:rPr>
                <w:sz w:val="20"/>
                <w:szCs w:val="20"/>
                <w:color w:val="auto"/>
              </w:rPr>
            </w:pPr>
            <w:r>
              <w:rPr>
                <w:rFonts w:ascii="Arial" w:cs="Arial" w:eastAsia="Arial" w:hAnsi="Arial"/>
                <w:sz w:val="15"/>
                <w:szCs w:val="15"/>
                <w:color w:val="auto"/>
              </w:rPr>
              <w:t>70,000</w:t>
            </w:r>
          </w:p>
        </w:tc>
      </w:tr>
      <w:tr>
        <w:trPr>
          <w:trHeight w:val="4"/>
        </w:trPr>
        <w:tc>
          <w:tcPr>
            <w:tcW w:w="6560" w:type="dxa"/>
            <w:vAlign w:val="bottom"/>
            <w:shd w:val="clear" w:color="auto" w:fill="E8EED3"/>
          </w:tcPr>
          <w:p>
            <w:pPr>
              <w:ind w:left="60"/>
              <w:spacing w:after="0" w:line="4" w:lineRule="exact"/>
              <w:rPr>
                <w:sz w:val="20"/>
                <w:szCs w:val="20"/>
                <w:color w:val="auto"/>
              </w:rPr>
            </w:pPr>
            <w:r>
              <w:rPr>
                <w:rFonts w:ascii="Arial" w:cs="Arial" w:eastAsia="Arial" w:hAnsi="Arial"/>
                <w:sz w:val="1"/>
                <w:szCs w:val="1"/>
                <w:color w:val="auto"/>
              </w:rPr>
              <w:t>Annual Chairman of the Board cash retainer:</w:t>
            </w:r>
          </w:p>
        </w:tc>
        <w:tc>
          <w:tcPr>
            <w:tcW w:w="4440" w:type="dxa"/>
            <w:vAlign w:val="bottom"/>
            <w:shd w:val="clear" w:color="auto" w:fill="E8EED3"/>
          </w:tcPr>
          <w:p>
            <w:pPr>
              <w:jc w:val="right"/>
              <w:ind w:right="34"/>
              <w:spacing w:after="0" w:line="4" w:lineRule="exact"/>
              <w:rPr>
                <w:sz w:val="20"/>
                <w:szCs w:val="20"/>
                <w:color w:val="auto"/>
              </w:rPr>
            </w:pPr>
            <w:r>
              <w:rPr>
                <w:rFonts w:ascii="Arial" w:cs="Arial" w:eastAsia="Arial" w:hAnsi="Arial"/>
                <w:sz w:val="1"/>
                <w:szCs w:val="1"/>
                <w:color w:val="auto"/>
              </w:rPr>
              <w:t>—</w:t>
            </w:r>
          </w:p>
        </w:tc>
      </w:tr>
      <w:tr>
        <w:trPr>
          <w:trHeight w:val="157"/>
        </w:trPr>
        <w:tc>
          <w:tcPr>
            <w:tcW w:w="6560" w:type="dxa"/>
            <w:vAlign w:val="bottom"/>
            <w:shd w:val="clear" w:color="auto" w:fill="E8EED3"/>
          </w:tcPr>
          <w:p>
            <w:pPr>
              <w:ind w:left="3100"/>
              <w:spacing w:after="0"/>
              <w:rPr>
                <w:sz w:val="20"/>
                <w:szCs w:val="20"/>
                <w:color w:val="auto"/>
              </w:rPr>
            </w:pPr>
            <w:r>
              <w:rPr>
                <w:rFonts w:ascii="Arial" w:cs="Arial" w:eastAsia="Arial" w:hAnsi="Arial"/>
                <w:sz w:val="13"/>
                <w:szCs w:val="13"/>
                <w:color w:val="auto"/>
              </w:rPr>
              <w:t>1</w:t>
            </w:r>
          </w:p>
        </w:tc>
        <w:tc>
          <w:tcPr>
            <w:tcW w:w="4440" w:type="dxa"/>
            <w:vAlign w:val="bottom"/>
            <w:shd w:val="clear" w:color="auto" w:fill="E8EED3"/>
          </w:tcPr>
          <w:p>
            <w:pPr>
              <w:spacing w:after="0"/>
              <w:rPr>
                <w:sz w:val="13"/>
                <w:szCs w:val="13"/>
                <w:color w:val="auto"/>
              </w:rPr>
            </w:pPr>
          </w:p>
        </w:tc>
      </w:tr>
      <w:tr>
        <w:trPr>
          <w:trHeight w:val="163"/>
        </w:trPr>
        <w:tc>
          <w:tcPr>
            <w:tcW w:w="6560" w:type="dxa"/>
            <w:vAlign w:val="bottom"/>
            <w:shd w:val="clear" w:color="auto" w:fill="D2DEA7"/>
          </w:tcPr>
          <w:p>
            <w:pPr>
              <w:ind w:left="60"/>
              <w:spacing w:after="0" w:line="163" w:lineRule="exact"/>
              <w:rPr>
                <w:sz w:val="20"/>
                <w:szCs w:val="20"/>
                <w:color w:val="auto"/>
              </w:rPr>
            </w:pPr>
            <w:r>
              <w:rPr>
                <w:rFonts w:ascii="Arial" w:cs="Arial" w:eastAsia="Arial" w:hAnsi="Arial"/>
                <w:sz w:val="15"/>
                <w:szCs w:val="15"/>
                <w:color w:val="auto"/>
              </w:rPr>
              <w:t>Annual Committee Chair supplement:</w:t>
            </w:r>
          </w:p>
        </w:tc>
        <w:tc>
          <w:tcPr>
            <w:tcW w:w="4440" w:type="dxa"/>
            <w:vAlign w:val="bottom"/>
            <w:shd w:val="clear" w:color="auto" w:fill="D2DEA7"/>
          </w:tcPr>
          <w:p>
            <w:pPr>
              <w:spacing w:after="0"/>
              <w:rPr>
                <w:sz w:val="14"/>
                <w:szCs w:val="14"/>
                <w:color w:val="auto"/>
              </w:rPr>
            </w:pPr>
          </w:p>
        </w:tc>
      </w:tr>
      <w:tr>
        <w:trPr>
          <w:trHeight w:val="162"/>
        </w:trPr>
        <w:tc>
          <w:tcPr>
            <w:tcW w:w="656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Audit Committee:</w:t>
            </w:r>
          </w:p>
        </w:tc>
        <w:tc>
          <w:tcPr>
            <w:tcW w:w="4440" w:type="dxa"/>
            <w:vAlign w:val="bottom"/>
            <w:shd w:val="clear" w:color="auto" w:fill="E8EED3"/>
          </w:tcPr>
          <w:p>
            <w:pPr>
              <w:jc w:val="right"/>
              <w:ind w:right="34"/>
              <w:spacing w:after="0" w:line="162" w:lineRule="exact"/>
              <w:rPr>
                <w:sz w:val="20"/>
                <w:szCs w:val="20"/>
                <w:color w:val="auto"/>
              </w:rPr>
            </w:pPr>
            <w:r>
              <w:rPr>
                <w:rFonts w:ascii="Arial" w:cs="Arial" w:eastAsia="Arial" w:hAnsi="Arial"/>
                <w:sz w:val="15"/>
                <w:szCs w:val="15"/>
                <w:color w:val="auto"/>
              </w:rPr>
              <w:t>30,000</w:t>
            </w:r>
          </w:p>
        </w:tc>
      </w:tr>
      <w:tr>
        <w:trPr>
          <w:trHeight w:val="162"/>
        </w:trPr>
        <w:tc>
          <w:tcPr>
            <w:tcW w:w="6560" w:type="dxa"/>
            <w:vAlign w:val="bottom"/>
            <w:shd w:val="clear" w:color="auto" w:fill="D2DEA7"/>
          </w:tcPr>
          <w:p>
            <w:pPr>
              <w:ind w:left="140"/>
              <w:spacing w:after="0" w:line="162" w:lineRule="exact"/>
              <w:rPr>
                <w:sz w:val="20"/>
                <w:szCs w:val="20"/>
                <w:color w:val="auto"/>
              </w:rPr>
            </w:pPr>
            <w:r>
              <w:rPr>
                <w:rFonts w:ascii="Arial" w:cs="Arial" w:eastAsia="Arial" w:hAnsi="Arial"/>
                <w:sz w:val="15"/>
                <w:szCs w:val="15"/>
                <w:color w:val="auto"/>
              </w:rPr>
              <w:t>Compensation Committee</w:t>
            </w:r>
          </w:p>
        </w:tc>
        <w:tc>
          <w:tcPr>
            <w:tcW w:w="4440" w:type="dxa"/>
            <w:vAlign w:val="bottom"/>
            <w:shd w:val="clear" w:color="auto" w:fill="D2DEA7"/>
          </w:tcPr>
          <w:p>
            <w:pPr>
              <w:jc w:val="right"/>
              <w:ind w:right="34"/>
              <w:spacing w:after="0" w:line="162" w:lineRule="exact"/>
              <w:rPr>
                <w:sz w:val="20"/>
                <w:szCs w:val="20"/>
                <w:color w:val="auto"/>
              </w:rPr>
            </w:pPr>
            <w:r>
              <w:rPr>
                <w:rFonts w:ascii="Arial" w:cs="Arial" w:eastAsia="Arial" w:hAnsi="Arial"/>
                <w:sz w:val="15"/>
                <w:szCs w:val="15"/>
                <w:color w:val="auto"/>
              </w:rPr>
              <w:t>15,000</w:t>
            </w:r>
          </w:p>
        </w:tc>
      </w:tr>
      <w:tr>
        <w:trPr>
          <w:trHeight w:val="162"/>
        </w:trPr>
        <w:tc>
          <w:tcPr>
            <w:tcW w:w="6560" w:type="dxa"/>
            <w:vAlign w:val="bottom"/>
            <w:shd w:val="clear" w:color="auto" w:fill="E8EED3"/>
          </w:tcPr>
          <w:p>
            <w:pPr>
              <w:ind w:left="140"/>
              <w:spacing w:after="0" w:line="162" w:lineRule="exact"/>
              <w:rPr>
                <w:sz w:val="20"/>
                <w:szCs w:val="20"/>
                <w:color w:val="auto"/>
              </w:rPr>
            </w:pPr>
            <w:r>
              <w:rPr>
                <w:rFonts w:ascii="Arial" w:cs="Arial" w:eastAsia="Arial" w:hAnsi="Arial"/>
                <w:sz w:val="15"/>
                <w:szCs w:val="15"/>
                <w:color w:val="auto"/>
              </w:rPr>
              <w:t>Nomination and Corporate Governance Committee</w:t>
            </w:r>
          </w:p>
        </w:tc>
        <w:tc>
          <w:tcPr>
            <w:tcW w:w="4440" w:type="dxa"/>
            <w:vAlign w:val="bottom"/>
            <w:shd w:val="clear" w:color="auto" w:fill="E8EED3"/>
          </w:tcPr>
          <w:p>
            <w:pPr>
              <w:jc w:val="right"/>
              <w:ind w:right="34"/>
              <w:spacing w:after="0" w:line="162" w:lineRule="exact"/>
              <w:rPr>
                <w:sz w:val="20"/>
                <w:szCs w:val="20"/>
                <w:color w:val="auto"/>
              </w:rPr>
            </w:pPr>
            <w:r>
              <w:rPr>
                <w:rFonts w:ascii="Arial" w:cs="Arial" w:eastAsia="Arial" w:hAnsi="Arial"/>
                <w:sz w:val="15"/>
                <w:szCs w:val="15"/>
                <w:color w:val="auto"/>
              </w:rPr>
              <w:t>15,000</w:t>
            </w:r>
          </w:p>
        </w:tc>
      </w:tr>
    </w:tbl>
    <w:p>
      <w:pPr>
        <w:spacing w:after="0" w:line="126" w:lineRule="exact"/>
        <w:rPr>
          <w:sz w:val="20"/>
          <w:szCs w:val="20"/>
          <w:color w:val="auto"/>
        </w:rPr>
      </w:pPr>
    </w:p>
    <w:p>
      <w:pPr>
        <w:ind w:left="540" w:right="20" w:hanging="330"/>
        <w:spacing w:after="0" w:line="257"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lieu of paying an annual cash retainer or fees to Mr. DeZwirek for his service as Chairman of the Board, we pay consulting fees to Icarus Investments Corp. (“Icarus”). For a description of this arrangement, see “Certain Transactions” below.</w:t>
      </w:r>
    </w:p>
    <w:p>
      <w:pPr>
        <w:spacing w:after="0" w:line="116" w:lineRule="exact"/>
        <w:rPr>
          <w:rFonts w:ascii="Arial" w:cs="Arial" w:eastAsia="Arial" w:hAnsi="Arial"/>
          <w:sz w:val="14"/>
          <w:szCs w:val="14"/>
          <w:color w:val="auto"/>
        </w:rPr>
      </w:pPr>
    </w:p>
    <w:p>
      <w:pPr>
        <w:ind w:left="5620" w:hanging="105"/>
        <w:spacing w:after="0"/>
        <w:tabs>
          <w:tab w:leader="none" w:pos="5620" w:val="left"/>
        </w:tabs>
        <w:numPr>
          <w:ilvl w:val="1"/>
          <w:numId w:val="11"/>
        </w:numPr>
        <w:rPr>
          <w:rFonts w:ascii="Arial" w:cs="Arial" w:eastAsia="Arial" w:hAnsi="Arial"/>
          <w:sz w:val="17"/>
          <w:szCs w:val="17"/>
          <w:color w:val="41659C"/>
        </w:rPr>
      </w:pPr>
      <w:r>
        <w:rPr>
          <w:rFonts w:ascii="Arial" w:cs="Arial" w:eastAsia="Arial" w:hAnsi="Arial"/>
          <w:sz w:val="17"/>
          <w:szCs w:val="17"/>
          <w:color w:val="41659C"/>
        </w:rPr>
        <w:t>10 -</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Our Compensation Committee has determined that granting RSUs in lieu of cash meeting payments simplifies the directors’ compensation while promoting the ownership of common stock. We therefore granted RSUs covering 11,218 shares of common stock in June 2018 to each of the non-management directors serving at that time. The RSUs generally vest on the one-year anniversary of the grant. We also reimburse or pay our Board members their reasonable travel and out-of-pocket expenses to attend meetings. Beginning in 2019, our non-management directors are eligible to participate in the Company’s U.S. health plan with 100% of the premium payable by the enrolled director. In addition, until September of 2018, we paid for office space at our Toronto facility, which is used by Icarus and Mr. DeZwirek.</w:t>
      </w:r>
    </w:p>
    <w:p>
      <w:pPr>
        <w:spacing w:after="0" w:line="204" w:lineRule="exact"/>
        <w:rPr>
          <w:sz w:val="20"/>
          <w:szCs w:val="20"/>
          <w:color w:val="auto"/>
        </w:rPr>
      </w:pPr>
    </w:p>
    <w:p>
      <w:pPr>
        <w:jc w:val="both"/>
        <w:ind w:left="220" w:right="240"/>
        <w:spacing w:after="0" w:line="253" w:lineRule="auto"/>
        <w:rPr>
          <w:sz w:val="20"/>
          <w:szCs w:val="20"/>
          <w:color w:val="auto"/>
        </w:rPr>
      </w:pPr>
      <w:r>
        <w:rPr>
          <w:rFonts w:ascii="Arial" w:cs="Arial" w:eastAsia="Arial" w:hAnsi="Arial"/>
          <w:sz w:val="16"/>
          <w:szCs w:val="16"/>
          <w:color w:val="auto"/>
        </w:rPr>
        <w:t>The following table reflects the 2018 compensation paid to each of our directors who served at any time during 2018, other than Mr. Sadlowski, who is also a Company employee and receives no additional compensation for his services as a director. The table does not include reimbursed expenses for attending meetings. The terms of service of two long-term directors, Mr. Rudin and Mr. Wright, expired at our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6455410</wp:posOffset>
            </wp:positionH>
            <wp:positionV relativeFrom="paragraph">
              <wp:posOffset>143510</wp:posOffset>
            </wp:positionV>
            <wp:extent cx="8255" cy="1816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81610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143510</wp:posOffset>
            </wp:positionV>
            <wp:extent cx="8255" cy="1816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81610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143510</wp:posOffset>
            </wp:positionV>
            <wp:extent cx="8255" cy="1816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816100"/>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143510</wp:posOffset>
            </wp:positionV>
            <wp:extent cx="8255" cy="1816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816100"/>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5040" w:type="dxa"/>
            <w:vAlign w:val="bottom"/>
            <w:shd w:val="clear" w:color="auto" w:fill="41659C"/>
          </w:tcPr>
          <w:p>
            <w:pPr>
              <w:spacing w:after="0"/>
              <w:rPr>
                <w:sz w:val="14"/>
                <w:szCs w:val="14"/>
                <w:color w:val="auto"/>
              </w:rPr>
            </w:pPr>
          </w:p>
        </w:tc>
        <w:tc>
          <w:tcPr>
            <w:tcW w:w="178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Fees Earned or</w:t>
            </w:r>
          </w:p>
        </w:tc>
        <w:tc>
          <w:tcPr>
            <w:tcW w:w="1640" w:type="dxa"/>
            <w:vAlign w:val="bottom"/>
            <w:shd w:val="clear" w:color="auto" w:fill="41659C"/>
          </w:tcPr>
          <w:p>
            <w:pPr>
              <w:spacing w:after="0"/>
              <w:rPr>
                <w:sz w:val="14"/>
                <w:szCs w:val="14"/>
                <w:color w:val="auto"/>
              </w:rPr>
            </w:pPr>
          </w:p>
        </w:tc>
        <w:tc>
          <w:tcPr>
            <w:tcW w:w="1600" w:type="dxa"/>
            <w:vAlign w:val="bottom"/>
            <w:shd w:val="clear" w:color="auto" w:fill="41659C"/>
          </w:tcPr>
          <w:p>
            <w:pPr>
              <w:jc w:val="center"/>
              <w:ind w:right="124"/>
              <w:spacing w:after="0"/>
              <w:rPr>
                <w:sz w:val="20"/>
                <w:szCs w:val="20"/>
                <w:color w:val="auto"/>
              </w:rPr>
            </w:pPr>
            <w:r>
              <w:rPr>
                <w:rFonts w:ascii="Arial" w:cs="Arial" w:eastAsia="Arial" w:hAnsi="Arial"/>
                <w:sz w:val="15"/>
                <w:szCs w:val="15"/>
                <w:b w:val="1"/>
                <w:bCs w:val="1"/>
                <w:color w:val="FFFFFF"/>
              </w:rPr>
              <w:t>All Other</w:t>
            </w:r>
          </w:p>
        </w:tc>
        <w:tc>
          <w:tcPr>
            <w:tcW w:w="940" w:type="dxa"/>
            <w:vAlign w:val="bottom"/>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040" w:type="dxa"/>
            <w:vAlign w:val="bottom"/>
            <w:shd w:val="clear" w:color="auto" w:fill="41659C"/>
          </w:tcPr>
          <w:p>
            <w:pPr>
              <w:spacing w:after="0"/>
              <w:rPr>
                <w:sz w:val="12"/>
                <w:szCs w:val="12"/>
                <w:color w:val="auto"/>
              </w:rPr>
            </w:pPr>
          </w:p>
        </w:tc>
        <w:tc>
          <w:tcPr>
            <w:tcW w:w="1780" w:type="dxa"/>
            <w:vAlign w:val="bottom"/>
            <w:vMerge w:val="restart"/>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Paid in Cash</w:t>
            </w:r>
          </w:p>
        </w:tc>
        <w:tc>
          <w:tcPr>
            <w:tcW w:w="1640" w:type="dxa"/>
            <w:vAlign w:val="bottom"/>
            <w:shd w:val="clear" w:color="auto" w:fill="41659C"/>
          </w:tcPr>
          <w:p>
            <w:pPr>
              <w:jc w:val="right"/>
              <w:ind w:right="290"/>
              <w:spacing w:after="0" w:line="143" w:lineRule="exact"/>
              <w:rPr>
                <w:sz w:val="20"/>
                <w:szCs w:val="20"/>
                <w:color w:val="auto"/>
              </w:rPr>
            </w:pPr>
            <w:r>
              <w:rPr>
                <w:rFonts w:ascii="Arial" w:cs="Arial" w:eastAsia="Arial" w:hAnsi="Arial"/>
                <w:sz w:val="13"/>
                <w:szCs w:val="13"/>
                <w:b w:val="1"/>
                <w:bCs w:val="1"/>
                <w:color w:val="FFFFFF"/>
              </w:rPr>
              <w:t>1</w:t>
            </w:r>
          </w:p>
        </w:tc>
        <w:tc>
          <w:tcPr>
            <w:tcW w:w="1600" w:type="dxa"/>
            <w:vAlign w:val="bottom"/>
            <w:vMerge w:val="restart"/>
            <w:shd w:val="clear" w:color="auto" w:fill="41659C"/>
          </w:tcPr>
          <w:p>
            <w:pPr>
              <w:jc w:val="center"/>
              <w:ind w:right="104"/>
              <w:spacing w:after="0" w:line="162" w:lineRule="exact"/>
              <w:rPr>
                <w:sz w:val="20"/>
                <w:szCs w:val="20"/>
                <w:color w:val="auto"/>
              </w:rPr>
            </w:pPr>
            <w:r>
              <w:rPr>
                <w:rFonts w:ascii="Arial" w:cs="Arial" w:eastAsia="Arial" w:hAnsi="Arial"/>
                <w:sz w:val="15"/>
                <w:szCs w:val="15"/>
                <w:b w:val="1"/>
                <w:bCs w:val="1"/>
                <w:color w:val="FFFFFF"/>
              </w:rPr>
              <w:t>Compensation</w:t>
            </w:r>
          </w:p>
        </w:tc>
        <w:tc>
          <w:tcPr>
            <w:tcW w:w="940" w:type="dxa"/>
            <w:vAlign w:val="bottom"/>
            <w:vMerge w:val="restart"/>
            <w:shd w:val="clear" w:color="auto" w:fill="41659C"/>
          </w:tcPr>
          <w:p>
            <w:pPr>
              <w:jc w:val="right"/>
              <w:ind w:right="264"/>
              <w:spacing w:after="0" w:line="162" w:lineRule="exact"/>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
        </w:trPr>
        <w:tc>
          <w:tcPr>
            <w:tcW w:w="5040" w:type="dxa"/>
            <w:vAlign w:val="bottom"/>
            <w:shd w:val="clear" w:color="auto" w:fill="41659C"/>
          </w:tcPr>
          <w:p>
            <w:pPr>
              <w:spacing w:after="0" w:line="20" w:lineRule="exact"/>
              <w:rPr>
                <w:sz w:val="1"/>
                <w:szCs w:val="1"/>
                <w:color w:val="auto"/>
              </w:rPr>
            </w:pPr>
          </w:p>
        </w:tc>
        <w:tc>
          <w:tcPr>
            <w:tcW w:w="1780" w:type="dxa"/>
            <w:vAlign w:val="bottom"/>
            <w:vMerge w:val="continue"/>
            <w:shd w:val="clear" w:color="auto" w:fill="41659C"/>
          </w:tcPr>
          <w:p>
            <w:pPr>
              <w:spacing w:after="0" w:line="20" w:lineRule="exact"/>
              <w:rPr>
                <w:sz w:val="1"/>
                <w:szCs w:val="1"/>
                <w:color w:val="auto"/>
              </w:rPr>
            </w:pPr>
          </w:p>
        </w:tc>
        <w:tc>
          <w:tcPr>
            <w:tcW w:w="1640" w:type="dxa"/>
            <w:vAlign w:val="bottom"/>
            <w:shd w:val="clear" w:color="auto" w:fill="41659C"/>
          </w:tcPr>
          <w:p>
            <w:pPr>
              <w:jc w:val="right"/>
              <w:ind w:right="370"/>
              <w:spacing w:after="0" w:line="19" w:lineRule="exact"/>
              <w:rPr>
                <w:sz w:val="20"/>
                <w:szCs w:val="20"/>
                <w:color w:val="auto"/>
              </w:rPr>
            </w:pPr>
            <w:r>
              <w:rPr>
                <w:rFonts w:ascii="Arial" w:cs="Arial" w:eastAsia="Arial" w:hAnsi="Arial"/>
                <w:sz w:val="2"/>
                <w:szCs w:val="2"/>
                <w:b w:val="1"/>
                <w:bCs w:val="1"/>
                <w:color w:val="FFFFFF"/>
              </w:rPr>
              <w:t>Stock Awards</w:t>
            </w:r>
          </w:p>
        </w:tc>
        <w:tc>
          <w:tcPr>
            <w:tcW w:w="1600" w:type="dxa"/>
            <w:vAlign w:val="bottom"/>
            <w:vMerge w:val="continue"/>
            <w:shd w:val="clear" w:color="auto" w:fill="41659C"/>
          </w:tcPr>
          <w:p>
            <w:pPr>
              <w:spacing w:after="0" w:line="20" w:lineRule="exact"/>
              <w:rPr>
                <w:sz w:val="1"/>
                <w:szCs w:val="1"/>
                <w:color w:val="auto"/>
              </w:rPr>
            </w:pPr>
          </w:p>
        </w:tc>
        <w:tc>
          <w:tcPr>
            <w:tcW w:w="940" w:type="dxa"/>
            <w:vAlign w:val="bottom"/>
            <w:vMerge w:val="continue"/>
            <w:shd w:val="clear" w:color="auto" w:fill="41659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Borders>
              <w:bottom w:val="single" w:sz="8" w:color="41659C"/>
            </w:tcBorders>
            <w:shd w:val="clear" w:color="auto" w:fill="41659C"/>
          </w:tcPr>
          <w:p>
            <w:pPr>
              <w:ind w:left="80"/>
              <w:spacing w:after="0"/>
              <w:rPr>
                <w:sz w:val="20"/>
                <w:szCs w:val="20"/>
                <w:color w:val="auto"/>
              </w:rPr>
            </w:pPr>
            <w:r>
              <w:rPr>
                <w:rFonts w:ascii="Arial" w:cs="Arial" w:eastAsia="Arial" w:hAnsi="Arial"/>
                <w:sz w:val="15"/>
                <w:szCs w:val="15"/>
                <w:b w:val="1"/>
                <w:bCs w:val="1"/>
                <w:color w:val="FFFFFF"/>
              </w:rPr>
              <w:t>Name</w:t>
            </w:r>
          </w:p>
        </w:tc>
        <w:tc>
          <w:tcPr>
            <w:tcW w:w="17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p>
        </w:tc>
        <w:tc>
          <w:tcPr>
            <w:tcW w:w="1640" w:type="dxa"/>
            <w:vAlign w:val="bottom"/>
            <w:tcBorders>
              <w:bottom w:val="single" w:sz="8" w:color="41659C"/>
            </w:tcBorders>
            <w:shd w:val="clear" w:color="auto" w:fill="41659C"/>
          </w:tcPr>
          <w:p>
            <w:pPr>
              <w:jc w:val="right"/>
              <w:ind w:right="730"/>
              <w:spacing w:after="0"/>
              <w:rPr>
                <w:sz w:val="20"/>
                <w:szCs w:val="20"/>
                <w:color w:val="auto"/>
              </w:rPr>
            </w:pPr>
            <w:r>
              <w:rPr>
                <w:rFonts w:ascii="Arial" w:cs="Arial" w:eastAsia="Arial" w:hAnsi="Arial"/>
                <w:sz w:val="15"/>
                <w:szCs w:val="15"/>
                <w:b w:val="1"/>
                <w:bCs w:val="1"/>
                <w:color w:val="FFFFFF"/>
              </w:rPr>
              <w:t>($)</w:t>
            </w:r>
          </w:p>
        </w:tc>
        <w:tc>
          <w:tcPr>
            <w:tcW w:w="1600" w:type="dxa"/>
            <w:vAlign w:val="bottom"/>
            <w:tcBorders>
              <w:bottom w:val="single" w:sz="8" w:color="41659C"/>
            </w:tcBorders>
            <w:shd w:val="clear" w:color="auto" w:fill="41659C"/>
          </w:tcPr>
          <w:p>
            <w:pPr>
              <w:jc w:val="center"/>
              <w:ind w:right="124"/>
              <w:spacing w:after="0"/>
              <w:rPr>
                <w:sz w:val="20"/>
                <w:szCs w:val="20"/>
                <w:color w:val="auto"/>
              </w:rPr>
            </w:pPr>
            <w:r>
              <w:rPr>
                <w:rFonts w:ascii="Arial" w:cs="Arial" w:eastAsia="Arial" w:hAnsi="Arial"/>
                <w:sz w:val="15"/>
                <w:szCs w:val="15"/>
                <w:b w:val="1"/>
                <w:bCs w:val="1"/>
                <w:color w:val="FFFFFF"/>
              </w:rPr>
              <w:t>($)</w:t>
            </w:r>
          </w:p>
        </w:tc>
        <w:tc>
          <w:tcPr>
            <w:tcW w:w="940" w:type="dxa"/>
            <w:vAlign w:val="bottom"/>
            <w:tcBorders>
              <w:bottom w:val="single" w:sz="8" w:color="41659C"/>
            </w:tcBorders>
            <w:shd w:val="clear" w:color="auto" w:fill="41659C"/>
          </w:tcPr>
          <w:p>
            <w:pPr>
              <w:jc w:val="right"/>
              <w:ind w:right="344"/>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Jason DeZwirek</w:t>
            </w:r>
          </w:p>
        </w:tc>
        <w:tc>
          <w:tcPr>
            <w:tcW w:w="178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E8EED3"/>
            </w:tcBorders>
            <w:shd w:val="clear" w:color="auto" w:fill="E8EED3"/>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E8EED3"/>
            </w:tcBorders>
            <w:shd w:val="clear" w:color="auto" w:fill="E8EED3"/>
          </w:tcPr>
          <w:p>
            <w:pPr>
              <w:jc w:val="right"/>
              <w:ind w:right="164"/>
              <w:spacing w:after="0"/>
              <w:rPr>
                <w:sz w:val="20"/>
                <w:szCs w:val="20"/>
                <w:color w:val="auto"/>
              </w:rPr>
            </w:pPr>
            <w:r>
              <w:rPr>
                <w:rFonts w:ascii="Arial" w:cs="Arial" w:eastAsia="Arial" w:hAnsi="Arial"/>
                <w:sz w:val="15"/>
                <w:szCs w:val="15"/>
                <w:color w:val="auto"/>
              </w:rPr>
              <w:t xml:space="preserve">240,000 </w:t>
            </w:r>
            <w:r>
              <w:rPr>
                <w:rFonts w:ascii="Arial" w:cs="Arial" w:eastAsia="Arial" w:hAnsi="Arial"/>
                <w:sz w:val="12"/>
                <w:szCs w:val="12"/>
                <w:color w:val="auto"/>
              </w:rPr>
              <w:t>2</w:t>
            </w:r>
          </w:p>
        </w:tc>
        <w:tc>
          <w:tcPr>
            <w:tcW w:w="940" w:type="dxa"/>
            <w:vAlign w:val="bottom"/>
            <w:tcBorders>
              <w:bottom w:val="single" w:sz="8" w:color="E8EED3"/>
            </w:tcBorders>
            <w:shd w:val="clear" w:color="auto" w:fill="E8EED3"/>
          </w:tcPr>
          <w:p>
            <w:pPr>
              <w:jc w:val="right"/>
              <w:ind w:right="4"/>
              <w:spacing w:after="0"/>
              <w:rPr>
                <w:sz w:val="20"/>
                <w:szCs w:val="20"/>
                <w:color w:val="auto"/>
              </w:rPr>
            </w:pPr>
            <w:r>
              <w:rPr>
                <w:rFonts w:ascii="Arial" w:cs="Arial" w:eastAsia="Arial" w:hAnsi="Arial"/>
                <w:sz w:val="15"/>
                <w:szCs w:val="15"/>
                <w:color w:val="auto"/>
              </w:rPr>
              <w:t>310,000</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Eric M. Goldberg</w:t>
            </w:r>
          </w:p>
        </w:tc>
        <w:tc>
          <w:tcPr>
            <w:tcW w:w="178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45,000</w:t>
            </w:r>
          </w:p>
        </w:tc>
        <w:tc>
          <w:tcPr>
            <w:tcW w:w="1640" w:type="dxa"/>
            <w:vAlign w:val="bottom"/>
            <w:tcBorders>
              <w:bottom w:val="single" w:sz="8" w:color="D2DEA7"/>
            </w:tcBorders>
            <w:shd w:val="clear" w:color="auto" w:fill="D2DEA7"/>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D2DEA7"/>
            </w:tcBorders>
            <w:shd w:val="clear" w:color="auto" w:fill="D2DEA7"/>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2DEA7"/>
            </w:tcBorders>
            <w:shd w:val="clear" w:color="auto" w:fill="D2DEA7"/>
          </w:tcPr>
          <w:p>
            <w:pPr>
              <w:jc w:val="right"/>
              <w:ind w:right="4"/>
              <w:spacing w:after="0"/>
              <w:rPr>
                <w:sz w:val="20"/>
                <w:szCs w:val="20"/>
                <w:color w:val="auto"/>
              </w:rPr>
            </w:pPr>
            <w:r>
              <w:rPr>
                <w:rFonts w:ascii="Arial" w:cs="Arial" w:eastAsia="Arial" w:hAnsi="Arial"/>
                <w:sz w:val="15"/>
                <w:szCs w:val="15"/>
                <w:color w:val="auto"/>
              </w:rPr>
              <w:t>115,000</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David B. Liner</w:t>
            </w:r>
          </w:p>
        </w:tc>
        <w:tc>
          <w:tcPr>
            <w:tcW w:w="178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60,000</w:t>
            </w:r>
          </w:p>
        </w:tc>
        <w:tc>
          <w:tcPr>
            <w:tcW w:w="1640" w:type="dxa"/>
            <w:vAlign w:val="bottom"/>
            <w:tcBorders>
              <w:bottom w:val="single" w:sz="8" w:color="E8EED3"/>
            </w:tcBorders>
            <w:shd w:val="clear" w:color="auto" w:fill="E8EED3"/>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E8EED3"/>
            </w:tcBorders>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8EED3"/>
            </w:tcBorders>
            <w:shd w:val="clear" w:color="auto" w:fill="E8EED3"/>
          </w:tcPr>
          <w:p>
            <w:pPr>
              <w:jc w:val="right"/>
              <w:ind w:right="4"/>
              <w:spacing w:after="0"/>
              <w:rPr>
                <w:sz w:val="20"/>
                <w:szCs w:val="20"/>
                <w:color w:val="auto"/>
              </w:rPr>
            </w:pPr>
            <w:r>
              <w:rPr>
                <w:rFonts w:ascii="Arial" w:cs="Arial" w:eastAsia="Arial" w:hAnsi="Arial"/>
                <w:sz w:val="15"/>
                <w:szCs w:val="15"/>
                <w:color w:val="auto"/>
              </w:rPr>
              <w:t>130,000</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Claudio A. Mannarino</w:t>
            </w:r>
          </w:p>
        </w:tc>
        <w:tc>
          <w:tcPr>
            <w:tcW w:w="178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75,000</w:t>
            </w:r>
          </w:p>
        </w:tc>
        <w:tc>
          <w:tcPr>
            <w:tcW w:w="1640" w:type="dxa"/>
            <w:vAlign w:val="bottom"/>
            <w:tcBorders>
              <w:bottom w:val="single" w:sz="8" w:color="D2DEA7"/>
            </w:tcBorders>
            <w:shd w:val="clear" w:color="auto" w:fill="D2DEA7"/>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D2DEA7"/>
            </w:tcBorders>
            <w:shd w:val="clear" w:color="auto" w:fill="D2DEA7"/>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2DEA7"/>
            </w:tcBorders>
            <w:shd w:val="clear" w:color="auto" w:fill="D2DEA7"/>
          </w:tcPr>
          <w:p>
            <w:pPr>
              <w:jc w:val="right"/>
              <w:ind w:right="4"/>
              <w:spacing w:after="0"/>
              <w:rPr>
                <w:sz w:val="20"/>
                <w:szCs w:val="20"/>
                <w:color w:val="auto"/>
              </w:rPr>
            </w:pPr>
            <w:r>
              <w:rPr>
                <w:rFonts w:ascii="Arial" w:cs="Arial" w:eastAsia="Arial" w:hAnsi="Arial"/>
                <w:sz w:val="15"/>
                <w:szCs w:val="15"/>
                <w:color w:val="auto"/>
              </w:rPr>
              <w:t>145,000</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Munish Nanda</w:t>
            </w:r>
          </w:p>
        </w:tc>
        <w:tc>
          <w:tcPr>
            <w:tcW w:w="178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13,475</w:t>
            </w:r>
          </w:p>
        </w:tc>
        <w:tc>
          <w:tcPr>
            <w:tcW w:w="1640" w:type="dxa"/>
            <w:vAlign w:val="bottom"/>
            <w:tcBorders>
              <w:bottom w:val="single" w:sz="8" w:color="E8EED3"/>
            </w:tcBorders>
            <w:shd w:val="clear" w:color="auto" w:fill="E8EED3"/>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E8EED3"/>
            </w:tcBorders>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8EED3"/>
            </w:tcBorders>
            <w:shd w:val="clear" w:color="auto" w:fill="E8EED3"/>
          </w:tcPr>
          <w:p>
            <w:pPr>
              <w:jc w:val="right"/>
              <w:ind w:right="4"/>
              <w:spacing w:after="0"/>
              <w:rPr>
                <w:sz w:val="20"/>
                <w:szCs w:val="20"/>
                <w:color w:val="auto"/>
              </w:rPr>
            </w:pPr>
            <w:r>
              <w:rPr>
                <w:rFonts w:ascii="Arial" w:cs="Arial" w:eastAsia="Arial" w:hAnsi="Arial"/>
                <w:sz w:val="15"/>
                <w:szCs w:val="15"/>
                <w:color w:val="auto"/>
              </w:rPr>
              <w:t>83,475</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Jonathan Pollack</w:t>
            </w:r>
          </w:p>
        </w:tc>
        <w:tc>
          <w:tcPr>
            <w:tcW w:w="178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45,000</w:t>
            </w:r>
          </w:p>
        </w:tc>
        <w:tc>
          <w:tcPr>
            <w:tcW w:w="1640" w:type="dxa"/>
            <w:vAlign w:val="bottom"/>
            <w:tcBorders>
              <w:bottom w:val="single" w:sz="8" w:color="D2DEA7"/>
            </w:tcBorders>
            <w:shd w:val="clear" w:color="auto" w:fill="D2DEA7"/>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D2DEA7"/>
            </w:tcBorders>
            <w:shd w:val="clear" w:color="auto" w:fill="D2DEA7"/>
          </w:tcPr>
          <w:p>
            <w:pPr>
              <w:jc w:val="right"/>
              <w:ind w:right="164"/>
              <w:spacing w:after="0"/>
              <w:rPr>
                <w:sz w:val="20"/>
                <w:szCs w:val="20"/>
                <w:color w:val="auto"/>
              </w:rPr>
            </w:pPr>
            <w:r>
              <w:rPr>
                <w:rFonts w:ascii="Arial" w:cs="Arial" w:eastAsia="Arial" w:hAnsi="Arial"/>
                <w:sz w:val="15"/>
                <w:szCs w:val="15"/>
                <w:color w:val="auto"/>
              </w:rPr>
              <w:t xml:space="preserve">78,000 </w:t>
            </w:r>
            <w:r>
              <w:rPr>
                <w:rFonts w:ascii="Arial" w:cs="Arial" w:eastAsia="Arial" w:hAnsi="Arial"/>
                <w:sz w:val="12"/>
                <w:szCs w:val="12"/>
                <w:color w:val="auto"/>
              </w:rPr>
              <w:t>3</w:t>
            </w:r>
          </w:p>
        </w:tc>
        <w:tc>
          <w:tcPr>
            <w:tcW w:w="940" w:type="dxa"/>
            <w:vAlign w:val="bottom"/>
            <w:tcBorders>
              <w:bottom w:val="single" w:sz="8" w:color="D2DEA7"/>
            </w:tcBorders>
            <w:shd w:val="clear" w:color="auto" w:fill="D2DEA7"/>
          </w:tcPr>
          <w:p>
            <w:pPr>
              <w:jc w:val="right"/>
              <w:ind w:right="4"/>
              <w:spacing w:after="0"/>
              <w:rPr>
                <w:sz w:val="20"/>
                <w:szCs w:val="20"/>
                <w:color w:val="auto"/>
              </w:rPr>
            </w:pPr>
            <w:r>
              <w:rPr>
                <w:rFonts w:ascii="Arial" w:cs="Arial" w:eastAsia="Arial" w:hAnsi="Arial"/>
                <w:sz w:val="15"/>
                <w:szCs w:val="15"/>
                <w:color w:val="auto"/>
              </w:rPr>
              <w:t>193,000</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E8EED3"/>
            </w:tcBorders>
            <w:shd w:val="clear" w:color="auto" w:fill="E8EED3"/>
          </w:tcPr>
          <w:p>
            <w:pPr>
              <w:ind w:left="80"/>
              <w:spacing w:after="0"/>
              <w:rPr>
                <w:sz w:val="20"/>
                <w:szCs w:val="20"/>
                <w:color w:val="auto"/>
              </w:rPr>
            </w:pPr>
            <w:r>
              <w:rPr>
                <w:rFonts w:ascii="Arial" w:cs="Arial" w:eastAsia="Arial" w:hAnsi="Arial"/>
                <w:sz w:val="15"/>
                <w:szCs w:val="15"/>
                <w:color w:val="auto"/>
              </w:rPr>
              <w:t>Seth Rudin</w:t>
            </w:r>
          </w:p>
        </w:tc>
        <w:tc>
          <w:tcPr>
            <w:tcW w:w="1780" w:type="dxa"/>
            <w:vAlign w:val="bottom"/>
            <w:tcBorders>
              <w:bottom w:val="single" w:sz="8" w:color="E8EED3"/>
            </w:tcBorders>
            <w:shd w:val="clear" w:color="auto" w:fill="E8EED3"/>
          </w:tcPr>
          <w:p>
            <w:pPr>
              <w:jc w:val="right"/>
              <w:ind w:right="104"/>
              <w:spacing w:after="0"/>
              <w:rPr>
                <w:sz w:val="20"/>
                <w:szCs w:val="20"/>
                <w:color w:val="auto"/>
              </w:rPr>
            </w:pPr>
            <w:r>
              <w:rPr>
                <w:rFonts w:ascii="Arial" w:cs="Arial" w:eastAsia="Arial" w:hAnsi="Arial"/>
                <w:sz w:val="15"/>
                <w:szCs w:val="15"/>
                <w:color w:val="auto"/>
              </w:rPr>
              <w:t>31,525</w:t>
            </w:r>
          </w:p>
        </w:tc>
        <w:tc>
          <w:tcPr>
            <w:tcW w:w="1640" w:type="dxa"/>
            <w:vAlign w:val="bottom"/>
            <w:tcBorders>
              <w:bottom w:val="single" w:sz="8" w:color="E8EED3"/>
            </w:tcBorders>
            <w:shd w:val="clear" w:color="auto" w:fill="E8EED3"/>
          </w:tcPr>
          <w:p>
            <w:pPr>
              <w:jc w:val="right"/>
              <w:ind w:right="90"/>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8EED3"/>
            </w:tcBorders>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E8EED3"/>
            </w:tcBorders>
            <w:shd w:val="clear" w:color="auto" w:fill="E8EED3"/>
          </w:tcPr>
          <w:p>
            <w:pPr>
              <w:jc w:val="right"/>
              <w:ind w:right="4"/>
              <w:spacing w:after="0"/>
              <w:rPr>
                <w:sz w:val="20"/>
                <w:szCs w:val="20"/>
                <w:color w:val="auto"/>
              </w:rPr>
            </w:pPr>
            <w:r>
              <w:rPr>
                <w:rFonts w:ascii="Arial" w:cs="Arial" w:eastAsia="Arial" w:hAnsi="Arial"/>
                <w:sz w:val="15"/>
                <w:szCs w:val="15"/>
                <w:color w:val="auto"/>
              </w:rPr>
              <w:t>31,525</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D2DEA7"/>
            </w:tcBorders>
            <w:shd w:val="clear" w:color="auto" w:fill="D2DEA7"/>
          </w:tcPr>
          <w:p>
            <w:pPr>
              <w:ind w:left="80"/>
              <w:spacing w:after="0"/>
              <w:rPr>
                <w:sz w:val="20"/>
                <w:szCs w:val="20"/>
                <w:color w:val="auto"/>
              </w:rPr>
            </w:pPr>
            <w:r>
              <w:rPr>
                <w:rFonts w:ascii="Arial" w:cs="Arial" w:eastAsia="Arial" w:hAnsi="Arial"/>
                <w:sz w:val="15"/>
                <w:szCs w:val="15"/>
                <w:color w:val="auto"/>
              </w:rPr>
              <w:t>Valerie Gentile Sachs</w:t>
            </w:r>
          </w:p>
        </w:tc>
        <w:tc>
          <w:tcPr>
            <w:tcW w:w="1780" w:type="dxa"/>
            <w:vAlign w:val="bottom"/>
            <w:tcBorders>
              <w:bottom w:val="single" w:sz="8" w:color="D2DEA7"/>
            </w:tcBorders>
            <w:shd w:val="clear" w:color="auto" w:fill="D2DEA7"/>
          </w:tcPr>
          <w:p>
            <w:pPr>
              <w:jc w:val="right"/>
              <w:ind w:right="104"/>
              <w:spacing w:after="0"/>
              <w:rPr>
                <w:sz w:val="20"/>
                <w:szCs w:val="20"/>
                <w:color w:val="auto"/>
              </w:rPr>
            </w:pPr>
            <w:r>
              <w:rPr>
                <w:rFonts w:ascii="Arial" w:cs="Arial" w:eastAsia="Arial" w:hAnsi="Arial"/>
                <w:sz w:val="15"/>
                <w:szCs w:val="15"/>
                <w:color w:val="auto"/>
              </w:rPr>
              <w:t>60,000</w:t>
            </w:r>
          </w:p>
        </w:tc>
        <w:tc>
          <w:tcPr>
            <w:tcW w:w="1640" w:type="dxa"/>
            <w:vAlign w:val="bottom"/>
            <w:tcBorders>
              <w:bottom w:val="single" w:sz="8" w:color="D2DEA7"/>
            </w:tcBorders>
            <w:shd w:val="clear" w:color="auto" w:fill="D2DEA7"/>
          </w:tcPr>
          <w:p>
            <w:pPr>
              <w:jc w:val="right"/>
              <w:ind w:right="90"/>
              <w:spacing w:after="0"/>
              <w:rPr>
                <w:sz w:val="20"/>
                <w:szCs w:val="20"/>
                <w:color w:val="auto"/>
              </w:rPr>
            </w:pPr>
            <w:r>
              <w:rPr>
                <w:rFonts w:ascii="Arial" w:cs="Arial" w:eastAsia="Arial" w:hAnsi="Arial"/>
                <w:sz w:val="15"/>
                <w:szCs w:val="15"/>
                <w:color w:val="auto"/>
              </w:rPr>
              <w:t>70,000</w:t>
            </w:r>
          </w:p>
        </w:tc>
        <w:tc>
          <w:tcPr>
            <w:tcW w:w="1600" w:type="dxa"/>
            <w:vAlign w:val="bottom"/>
            <w:tcBorders>
              <w:bottom w:val="single" w:sz="8" w:color="D2DEA7"/>
            </w:tcBorders>
            <w:shd w:val="clear" w:color="auto" w:fill="D2DEA7"/>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D2DEA7"/>
            </w:tcBorders>
            <w:shd w:val="clear" w:color="auto" w:fill="D2DEA7"/>
          </w:tcPr>
          <w:p>
            <w:pPr>
              <w:jc w:val="right"/>
              <w:ind w:right="4"/>
              <w:spacing w:after="0"/>
              <w:rPr>
                <w:sz w:val="20"/>
                <w:szCs w:val="20"/>
                <w:color w:val="auto"/>
              </w:rPr>
            </w:pPr>
            <w:r>
              <w:rPr>
                <w:rFonts w:ascii="Arial" w:cs="Arial" w:eastAsia="Arial" w:hAnsi="Arial"/>
                <w:sz w:val="15"/>
                <w:szCs w:val="15"/>
                <w:color w:val="auto"/>
              </w:rPr>
              <w:t>130,000</w:t>
            </w:r>
          </w:p>
        </w:tc>
        <w:tc>
          <w:tcPr>
            <w:tcW w:w="0" w:type="dxa"/>
            <w:vAlign w:val="bottom"/>
          </w:tcPr>
          <w:p>
            <w:pPr>
              <w:spacing w:after="0"/>
              <w:rPr>
                <w:sz w:val="1"/>
                <w:szCs w:val="1"/>
                <w:color w:val="auto"/>
              </w:rPr>
            </w:pPr>
          </w:p>
        </w:tc>
      </w:tr>
      <w:tr>
        <w:trPr>
          <w:trHeight w:val="216"/>
        </w:trPr>
        <w:tc>
          <w:tcPr>
            <w:tcW w:w="5040" w:type="dxa"/>
            <w:vAlign w:val="bottom"/>
            <w:shd w:val="clear" w:color="auto" w:fill="E8EED3"/>
          </w:tcPr>
          <w:p>
            <w:pPr>
              <w:ind w:left="80"/>
              <w:spacing w:after="0"/>
              <w:rPr>
                <w:sz w:val="20"/>
                <w:szCs w:val="20"/>
                <w:color w:val="auto"/>
              </w:rPr>
            </w:pPr>
            <w:r>
              <w:rPr>
                <w:rFonts w:ascii="Arial" w:cs="Arial" w:eastAsia="Arial" w:hAnsi="Arial"/>
                <w:sz w:val="15"/>
                <w:szCs w:val="15"/>
                <w:color w:val="auto"/>
              </w:rPr>
              <w:t>Donald A. Wright</w:t>
            </w:r>
          </w:p>
        </w:tc>
        <w:tc>
          <w:tcPr>
            <w:tcW w:w="178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31,525</w:t>
            </w:r>
          </w:p>
        </w:tc>
        <w:tc>
          <w:tcPr>
            <w:tcW w:w="1640" w:type="dxa"/>
            <w:vAlign w:val="bottom"/>
            <w:shd w:val="clear" w:color="auto" w:fill="E8EED3"/>
          </w:tcPr>
          <w:p>
            <w:pPr>
              <w:jc w:val="right"/>
              <w:ind w:right="90"/>
              <w:spacing w:after="0"/>
              <w:rPr>
                <w:sz w:val="20"/>
                <w:szCs w:val="20"/>
                <w:color w:val="auto"/>
              </w:rPr>
            </w:pPr>
            <w:r>
              <w:rPr>
                <w:rFonts w:ascii="Arial" w:cs="Arial" w:eastAsia="Arial" w:hAnsi="Arial"/>
                <w:sz w:val="15"/>
                <w:szCs w:val="15"/>
                <w:color w:val="auto"/>
              </w:rPr>
              <w:t>—</w:t>
            </w:r>
          </w:p>
        </w:tc>
        <w:tc>
          <w:tcPr>
            <w:tcW w:w="1600" w:type="dxa"/>
            <w:vAlign w:val="bottom"/>
            <w:shd w:val="clear" w:color="auto" w:fill="E8EED3"/>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jc w:val="right"/>
              <w:ind w:right="4"/>
              <w:spacing w:after="0"/>
              <w:rPr>
                <w:sz w:val="20"/>
                <w:szCs w:val="20"/>
                <w:color w:val="auto"/>
              </w:rPr>
            </w:pPr>
            <w:r>
              <w:rPr>
                <w:rFonts w:ascii="Arial" w:cs="Arial" w:eastAsia="Arial" w:hAnsi="Arial"/>
                <w:sz w:val="15"/>
                <w:szCs w:val="15"/>
                <w:color w:val="auto"/>
              </w:rPr>
              <w:t>31,525</w:t>
            </w:r>
          </w:p>
        </w:tc>
        <w:tc>
          <w:tcPr>
            <w:tcW w:w="0" w:type="dxa"/>
            <w:vAlign w:val="bottom"/>
          </w:tcPr>
          <w:p>
            <w:pPr>
              <w:spacing w:after="0"/>
              <w:rPr>
                <w:sz w:val="1"/>
                <w:szCs w:val="1"/>
                <w:color w:val="auto"/>
              </w:rPr>
            </w:pPr>
          </w:p>
        </w:tc>
      </w:tr>
      <w:tr>
        <w:trPr>
          <w:trHeight w:val="40"/>
        </w:trPr>
        <w:tc>
          <w:tcPr>
            <w:tcW w:w="5040" w:type="dxa"/>
            <w:vAlign w:val="bottom"/>
            <w:shd w:val="clear" w:color="auto" w:fill="E8EED3"/>
          </w:tcPr>
          <w:p>
            <w:pPr>
              <w:spacing w:after="0"/>
              <w:rPr>
                <w:sz w:val="3"/>
                <w:szCs w:val="3"/>
                <w:color w:val="auto"/>
              </w:rPr>
            </w:pPr>
          </w:p>
        </w:tc>
        <w:tc>
          <w:tcPr>
            <w:tcW w:w="1780" w:type="dxa"/>
            <w:vAlign w:val="bottom"/>
            <w:shd w:val="clear" w:color="auto" w:fill="E8EED3"/>
          </w:tcPr>
          <w:p>
            <w:pPr>
              <w:spacing w:after="0"/>
              <w:rPr>
                <w:sz w:val="3"/>
                <w:szCs w:val="3"/>
                <w:color w:val="auto"/>
              </w:rPr>
            </w:pPr>
          </w:p>
        </w:tc>
        <w:tc>
          <w:tcPr>
            <w:tcW w:w="1640" w:type="dxa"/>
            <w:vAlign w:val="bottom"/>
            <w:shd w:val="clear" w:color="auto" w:fill="E8EED3"/>
          </w:tcPr>
          <w:p>
            <w:pPr>
              <w:spacing w:after="0"/>
              <w:rPr>
                <w:sz w:val="3"/>
                <w:szCs w:val="3"/>
                <w:color w:val="auto"/>
              </w:rPr>
            </w:pPr>
          </w:p>
        </w:tc>
        <w:tc>
          <w:tcPr>
            <w:tcW w:w="1600" w:type="dxa"/>
            <w:vAlign w:val="bottom"/>
            <w:shd w:val="clear" w:color="auto" w:fill="E8EED3"/>
          </w:tcPr>
          <w:p>
            <w:pPr>
              <w:spacing w:after="0"/>
              <w:rPr>
                <w:sz w:val="3"/>
                <w:szCs w:val="3"/>
                <w:color w:val="auto"/>
              </w:rPr>
            </w:pPr>
          </w:p>
        </w:tc>
        <w:tc>
          <w:tcPr>
            <w:tcW w:w="940" w:type="dxa"/>
            <w:vAlign w:val="bottom"/>
            <w:shd w:val="clear" w:color="auto" w:fill="E8EED3"/>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80" w:right="40" w:hanging="329"/>
        <w:spacing w:after="0" w:line="245"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10 to the Company’s audited financial statements included in our Company’s Annual Report on Form 10-K for the year ended December 31, 2018. The stock awards shown in the table above represent the RSU awards granted to our directors in 2018. The table below shows the aggregate number of unvested RSUs and unexercised options held by each of our non-management directors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143510</wp:posOffset>
            </wp:positionV>
            <wp:extent cx="8255" cy="1447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44780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143510</wp:posOffset>
            </wp:positionV>
            <wp:extent cx="8255" cy="1447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447800"/>
                    </a:xfrm>
                    <a:prstGeom prst="rect">
                      <a:avLst/>
                    </a:prstGeom>
                    <a:noFill/>
                  </pic:spPr>
                </pic:pic>
              </a:graphicData>
            </a:graphic>
          </wp:anchor>
        </w:drawing>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6060" w:type="dxa"/>
            <w:vAlign w:val="bottom"/>
            <w:shd w:val="clear" w:color="auto" w:fill="41659C"/>
          </w:tcPr>
          <w:p>
            <w:pPr>
              <w:ind w:left="100"/>
              <w:spacing w:after="0"/>
              <w:rPr>
                <w:sz w:val="20"/>
                <w:szCs w:val="20"/>
                <w:color w:val="auto"/>
              </w:rPr>
            </w:pPr>
            <w:r>
              <w:rPr>
                <w:rFonts w:ascii="Arial" w:cs="Arial" w:eastAsia="Arial" w:hAnsi="Arial"/>
                <w:sz w:val="15"/>
                <w:szCs w:val="15"/>
                <w:b w:val="1"/>
                <w:bCs w:val="1"/>
                <w:color w:val="FFFFFF"/>
              </w:rPr>
              <w:t>Name</w:t>
            </w:r>
          </w:p>
        </w:tc>
        <w:tc>
          <w:tcPr>
            <w:tcW w:w="2480" w:type="dxa"/>
            <w:vAlign w:val="bottom"/>
            <w:shd w:val="clear" w:color="auto" w:fill="41659C"/>
          </w:tcPr>
          <w:p>
            <w:pPr>
              <w:jc w:val="right"/>
              <w:ind w:right="604"/>
              <w:spacing w:after="0"/>
              <w:rPr>
                <w:sz w:val="20"/>
                <w:szCs w:val="20"/>
                <w:color w:val="auto"/>
              </w:rPr>
            </w:pPr>
            <w:r>
              <w:rPr>
                <w:rFonts w:ascii="Arial" w:cs="Arial" w:eastAsia="Arial" w:hAnsi="Arial"/>
                <w:sz w:val="15"/>
                <w:szCs w:val="15"/>
                <w:b w:val="1"/>
                <w:bCs w:val="1"/>
                <w:color w:val="FFFFFF"/>
              </w:rPr>
              <w:t>RSUs (#)</w:t>
            </w:r>
          </w:p>
        </w:tc>
        <w:tc>
          <w:tcPr>
            <w:tcW w:w="2140" w:type="dxa"/>
            <w:vAlign w:val="bottom"/>
            <w:shd w:val="clear" w:color="auto" w:fill="41659C"/>
          </w:tcPr>
          <w:p>
            <w:pPr>
              <w:jc w:val="right"/>
              <w:ind w:right="204"/>
              <w:spacing w:after="0"/>
              <w:rPr>
                <w:sz w:val="20"/>
                <w:szCs w:val="20"/>
                <w:color w:val="auto"/>
              </w:rPr>
            </w:pPr>
            <w:r>
              <w:rPr>
                <w:rFonts w:ascii="Arial" w:cs="Arial" w:eastAsia="Arial" w:hAnsi="Arial"/>
                <w:sz w:val="15"/>
                <w:szCs w:val="15"/>
                <w:b w:val="1"/>
                <w:bCs w:val="1"/>
                <w:color w:val="FFFFFF"/>
              </w:rPr>
              <w:t>Stock Options (#)</w:t>
            </w:r>
          </w:p>
        </w:tc>
      </w:tr>
      <w:tr>
        <w:trPr>
          <w:trHeight w:val="250"/>
        </w:trPr>
        <w:tc>
          <w:tcPr>
            <w:tcW w:w="60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5"/>
                <w:szCs w:val="15"/>
                <w:color w:val="auto"/>
              </w:rPr>
              <w:t>Jason DeZwirek</w:t>
            </w:r>
          </w:p>
        </w:tc>
        <w:tc>
          <w:tcPr>
            <w:tcW w:w="2480" w:type="dxa"/>
            <w:vAlign w:val="bottom"/>
            <w:tcBorders>
              <w:bottom w:val="single" w:sz="8" w:color="E8EED3"/>
            </w:tcBorders>
            <w:shd w:val="clear" w:color="auto" w:fill="E8EED3"/>
          </w:tcPr>
          <w:p>
            <w:pPr>
              <w:jc w:val="right"/>
              <w:ind w:right="524"/>
              <w:spacing w:after="0"/>
              <w:rPr>
                <w:sz w:val="20"/>
                <w:szCs w:val="20"/>
                <w:color w:val="auto"/>
              </w:rPr>
            </w:pPr>
            <w:r>
              <w:rPr>
                <w:rFonts w:ascii="Arial" w:cs="Arial" w:eastAsia="Arial" w:hAnsi="Arial"/>
                <w:sz w:val="15"/>
                <w:szCs w:val="15"/>
                <w:color w:val="auto"/>
              </w:rPr>
              <w:t>17,476</w:t>
            </w:r>
          </w:p>
        </w:tc>
        <w:tc>
          <w:tcPr>
            <w:tcW w:w="21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77"/>
        </w:trPr>
        <w:tc>
          <w:tcPr>
            <w:tcW w:w="60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5"/>
                <w:szCs w:val="15"/>
                <w:color w:val="auto"/>
              </w:rPr>
              <w:t>Eric M. Goldberg</w:t>
            </w:r>
          </w:p>
        </w:tc>
        <w:tc>
          <w:tcPr>
            <w:tcW w:w="2480" w:type="dxa"/>
            <w:vAlign w:val="bottom"/>
            <w:tcBorders>
              <w:bottom w:val="single" w:sz="8" w:color="D2DEA7"/>
            </w:tcBorders>
            <w:shd w:val="clear" w:color="auto" w:fill="D2DEA7"/>
          </w:tcPr>
          <w:p>
            <w:pPr>
              <w:jc w:val="right"/>
              <w:ind w:right="524"/>
              <w:spacing w:after="0"/>
              <w:rPr>
                <w:sz w:val="20"/>
                <w:szCs w:val="20"/>
                <w:color w:val="auto"/>
              </w:rPr>
            </w:pPr>
            <w:r>
              <w:rPr>
                <w:rFonts w:ascii="Arial" w:cs="Arial" w:eastAsia="Arial" w:hAnsi="Arial"/>
                <w:sz w:val="15"/>
                <w:szCs w:val="15"/>
                <w:color w:val="auto"/>
              </w:rPr>
              <w:t>17,476</w:t>
            </w:r>
          </w:p>
        </w:tc>
        <w:tc>
          <w:tcPr>
            <w:tcW w:w="21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15,000</w:t>
            </w:r>
          </w:p>
        </w:tc>
      </w:tr>
      <w:tr>
        <w:trPr>
          <w:trHeight w:val="277"/>
        </w:trPr>
        <w:tc>
          <w:tcPr>
            <w:tcW w:w="60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5"/>
                <w:szCs w:val="15"/>
                <w:color w:val="auto"/>
              </w:rPr>
              <w:t>David B. Liner</w:t>
            </w:r>
          </w:p>
        </w:tc>
        <w:tc>
          <w:tcPr>
            <w:tcW w:w="2480" w:type="dxa"/>
            <w:vAlign w:val="bottom"/>
            <w:tcBorders>
              <w:bottom w:val="single" w:sz="8" w:color="E8EED3"/>
            </w:tcBorders>
            <w:shd w:val="clear" w:color="auto" w:fill="E8EED3"/>
          </w:tcPr>
          <w:p>
            <w:pPr>
              <w:jc w:val="right"/>
              <w:ind w:right="524"/>
              <w:spacing w:after="0"/>
              <w:rPr>
                <w:sz w:val="20"/>
                <w:szCs w:val="20"/>
                <w:color w:val="auto"/>
              </w:rPr>
            </w:pPr>
            <w:r>
              <w:rPr>
                <w:rFonts w:ascii="Arial" w:cs="Arial" w:eastAsia="Arial" w:hAnsi="Arial"/>
                <w:sz w:val="15"/>
                <w:szCs w:val="15"/>
                <w:color w:val="auto"/>
              </w:rPr>
              <w:t>11,218</w:t>
            </w:r>
          </w:p>
        </w:tc>
        <w:tc>
          <w:tcPr>
            <w:tcW w:w="21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77"/>
        </w:trPr>
        <w:tc>
          <w:tcPr>
            <w:tcW w:w="60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5"/>
                <w:szCs w:val="15"/>
                <w:color w:val="auto"/>
              </w:rPr>
              <w:t>Claudio A. Mannarino</w:t>
            </w:r>
          </w:p>
        </w:tc>
        <w:tc>
          <w:tcPr>
            <w:tcW w:w="2480" w:type="dxa"/>
            <w:vAlign w:val="bottom"/>
            <w:tcBorders>
              <w:bottom w:val="single" w:sz="8" w:color="D2DEA7"/>
            </w:tcBorders>
            <w:shd w:val="clear" w:color="auto" w:fill="D2DEA7"/>
          </w:tcPr>
          <w:p>
            <w:pPr>
              <w:jc w:val="right"/>
              <w:ind w:right="524"/>
              <w:spacing w:after="0"/>
              <w:rPr>
                <w:sz w:val="20"/>
                <w:szCs w:val="20"/>
                <w:color w:val="auto"/>
              </w:rPr>
            </w:pPr>
            <w:r>
              <w:rPr>
                <w:rFonts w:ascii="Arial" w:cs="Arial" w:eastAsia="Arial" w:hAnsi="Arial"/>
                <w:sz w:val="15"/>
                <w:szCs w:val="15"/>
                <w:color w:val="auto"/>
              </w:rPr>
              <w:t>17,476</w:t>
            </w:r>
          </w:p>
        </w:tc>
        <w:tc>
          <w:tcPr>
            <w:tcW w:w="21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w:t>
            </w:r>
          </w:p>
        </w:tc>
      </w:tr>
      <w:tr>
        <w:trPr>
          <w:trHeight w:val="277"/>
        </w:trPr>
        <w:tc>
          <w:tcPr>
            <w:tcW w:w="6060" w:type="dxa"/>
            <w:vAlign w:val="bottom"/>
            <w:tcBorders>
              <w:bottom w:val="single" w:sz="8" w:color="E8EED3"/>
            </w:tcBorders>
            <w:shd w:val="clear" w:color="auto" w:fill="E8EED3"/>
          </w:tcPr>
          <w:p>
            <w:pPr>
              <w:ind w:left="100"/>
              <w:spacing w:after="0"/>
              <w:rPr>
                <w:sz w:val="20"/>
                <w:szCs w:val="20"/>
                <w:color w:val="auto"/>
              </w:rPr>
            </w:pPr>
            <w:r>
              <w:rPr>
                <w:rFonts w:ascii="Arial" w:cs="Arial" w:eastAsia="Arial" w:hAnsi="Arial"/>
                <w:sz w:val="15"/>
                <w:szCs w:val="15"/>
                <w:color w:val="auto"/>
              </w:rPr>
              <w:t>Munish Nanda</w:t>
            </w:r>
          </w:p>
        </w:tc>
        <w:tc>
          <w:tcPr>
            <w:tcW w:w="2480" w:type="dxa"/>
            <w:vAlign w:val="bottom"/>
            <w:tcBorders>
              <w:bottom w:val="single" w:sz="8" w:color="E8EED3"/>
            </w:tcBorders>
            <w:shd w:val="clear" w:color="auto" w:fill="E8EED3"/>
          </w:tcPr>
          <w:p>
            <w:pPr>
              <w:jc w:val="right"/>
              <w:ind w:right="524"/>
              <w:spacing w:after="0"/>
              <w:rPr>
                <w:sz w:val="20"/>
                <w:szCs w:val="20"/>
                <w:color w:val="auto"/>
              </w:rPr>
            </w:pPr>
            <w:r>
              <w:rPr>
                <w:rFonts w:ascii="Arial" w:cs="Arial" w:eastAsia="Arial" w:hAnsi="Arial"/>
                <w:sz w:val="15"/>
                <w:szCs w:val="15"/>
                <w:color w:val="auto"/>
              </w:rPr>
              <w:t>11,218</w:t>
            </w:r>
          </w:p>
        </w:tc>
        <w:tc>
          <w:tcPr>
            <w:tcW w:w="2140" w:type="dxa"/>
            <w:vAlign w:val="bottom"/>
            <w:tcBorders>
              <w:bottom w:val="single" w:sz="8" w:color="E8EED3"/>
            </w:tcBorders>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277"/>
        </w:trPr>
        <w:tc>
          <w:tcPr>
            <w:tcW w:w="6060" w:type="dxa"/>
            <w:vAlign w:val="bottom"/>
            <w:tcBorders>
              <w:bottom w:val="single" w:sz="8" w:color="D2DEA7"/>
            </w:tcBorders>
            <w:shd w:val="clear" w:color="auto" w:fill="D2DEA7"/>
          </w:tcPr>
          <w:p>
            <w:pPr>
              <w:ind w:left="100"/>
              <w:spacing w:after="0"/>
              <w:rPr>
                <w:sz w:val="20"/>
                <w:szCs w:val="20"/>
                <w:color w:val="auto"/>
              </w:rPr>
            </w:pPr>
            <w:r>
              <w:rPr>
                <w:rFonts w:ascii="Arial" w:cs="Arial" w:eastAsia="Arial" w:hAnsi="Arial"/>
                <w:sz w:val="15"/>
                <w:szCs w:val="15"/>
                <w:color w:val="auto"/>
              </w:rPr>
              <w:t>Jonathan Pollack</w:t>
            </w:r>
          </w:p>
        </w:tc>
        <w:tc>
          <w:tcPr>
            <w:tcW w:w="2480" w:type="dxa"/>
            <w:vAlign w:val="bottom"/>
            <w:tcBorders>
              <w:bottom w:val="single" w:sz="8" w:color="D2DEA7"/>
            </w:tcBorders>
            <w:shd w:val="clear" w:color="auto" w:fill="D2DEA7"/>
          </w:tcPr>
          <w:p>
            <w:pPr>
              <w:jc w:val="right"/>
              <w:ind w:right="524"/>
              <w:spacing w:after="0"/>
              <w:rPr>
                <w:sz w:val="20"/>
                <w:szCs w:val="20"/>
                <w:color w:val="auto"/>
              </w:rPr>
            </w:pPr>
            <w:r>
              <w:rPr>
                <w:rFonts w:ascii="Arial" w:cs="Arial" w:eastAsia="Arial" w:hAnsi="Arial"/>
                <w:sz w:val="15"/>
                <w:szCs w:val="15"/>
                <w:color w:val="auto"/>
              </w:rPr>
              <w:t>17,476</w:t>
            </w:r>
          </w:p>
        </w:tc>
        <w:tc>
          <w:tcPr>
            <w:tcW w:w="2140" w:type="dxa"/>
            <w:vAlign w:val="bottom"/>
            <w:tcBorders>
              <w:bottom w:val="single" w:sz="8" w:color="D2DEA7"/>
            </w:tcBorders>
            <w:shd w:val="clear" w:color="auto" w:fill="D2DEA7"/>
          </w:tcPr>
          <w:p>
            <w:pPr>
              <w:jc w:val="right"/>
              <w:ind w:right="24"/>
              <w:spacing w:after="0"/>
              <w:rPr>
                <w:sz w:val="20"/>
                <w:szCs w:val="20"/>
                <w:color w:val="auto"/>
              </w:rPr>
            </w:pPr>
            <w:r>
              <w:rPr>
                <w:rFonts w:ascii="Arial" w:cs="Arial" w:eastAsia="Arial" w:hAnsi="Arial"/>
                <w:sz w:val="15"/>
                <w:szCs w:val="15"/>
                <w:color w:val="auto"/>
              </w:rPr>
              <w:t>103,000</w:t>
            </w:r>
          </w:p>
        </w:tc>
      </w:tr>
      <w:tr>
        <w:trPr>
          <w:trHeight w:val="243"/>
        </w:trPr>
        <w:tc>
          <w:tcPr>
            <w:tcW w:w="6060" w:type="dxa"/>
            <w:vAlign w:val="bottom"/>
            <w:shd w:val="clear" w:color="auto" w:fill="E8EED3"/>
          </w:tcPr>
          <w:p>
            <w:pPr>
              <w:ind w:left="100"/>
              <w:spacing w:after="0"/>
              <w:rPr>
                <w:sz w:val="20"/>
                <w:szCs w:val="20"/>
                <w:color w:val="auto"/>
              </w:rPr>
            </w:pPr>
            <w:r>
              <w:rPr>
                <w:rFonts w:ascii="Arial" w:cs="Arial" w:eastAsia="Arial" w:hAnsi="Arial"/>
                <w:sz w:val="15"/>
                <w:szCs w:val="15"/>
                <w:color w:val="auto"/>
              </w:rPr>
              <w:t>Valerie Gentile Sachs</w:t>
            </w:r>
          </w:p>
        </w:tc>
        <w:tc>
          <w:tcPr>
            <w:tcW w:w="2480" w:type="dxa"/>
            <w:vAlign w:val="bottom"/>
            <w:shd w:val="clear" w:color="auto" w:fill="E8EED3"/>
          </w:tcPr>
          <w:p>
            <w:pPr>
              <w:jc w:val="right"/>
              <w:ind w:right="524"/>
              <w:spacing w:after="0"/>
              <w:rPr>
                <w:sz w:val="20"/>
                <w:szCs w:val="20"/>
                <w:color w:val="auto"/>
              </w:rPr>
            </w:pPr>
            <w:r>
              <w:rPr>
                <w:rFonts w:ascii="Arial" w:cs="Arial" w:eastAsia="Arial" w:hAnsi="Arial"/>
                <w:sz w:val="15"/>
                <w:szCs w:val="15"/>
                <w:color w:val="auto"/>
              </w:rPr>
              <w:t>15,632</w:t>
            </w:r>
          </w:p>
        </w:tc>
        <w:tc>
          <w:tcPr>
            <w:tcW w:w="214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w:t>
            </w:r>
          </w:p>
        </w:tc>
      </w:tr>
      <w:tr>
        <w:trPr>
          <w:trHeight w:val="54"/>
        </w:trPr>
        <w:tc>
          <w:tcPr>
            <w:tcW w:w="6060" w:type="dxa"/>
            <w:vAlign w:val="bottom"/>
            <w:shd w:val="clear" w:color="auto" w:fill="E8EED3"/>
          </w:tcPr>
          <w:p>
            <w:pPr>
              <w:spacing w:after="0"/>
              <w:rPr>
                <w:sz w:val="4"/>
                <w:szCs w:val="4"/>
                <w:color w:val="auto"/>
              </w:rPr>
            </w:pPr>
          </w:p>
        </w:tc>
        <w:tc>
          <w:tcPr>
            <w:tcW w:w="2480" w:type="dxa"/>
            <w:vAlign w:val="bottom"/>
            <w:shd w:val="clear" w:color="auto" w:fill="E8EED3"/>
          </w:tcPr>
          <w:p>
            <w:pPr>
              <w:spacing w:after="0"/>
              <w:rPr>
                <w:sz w:val="4"/>
                <w:szCs w:val="4"/>
                <w:color w:val="auto"/>
              </w:rPr>
            </w:pPr>
          </w:p>
        </w:tc>
        <w:tc>
          <w:tcPr>
            <w:tcW w:w="2140" w:type="dxa"/>
            <w:vAlign w:val="bottom"/>
            <w:shd w:val="clear" w:color="auto" w:fill="E8EED3"/>
          </w:tcPr>
          <w:p>
            <w:pPr>
              <w:spacing w:after="0"/>
              <w:rPr>
                <w:sz w:val="4"/>
                <w:szCs w:val="4"/>
                <w:color w:val="auto"/>
              </w:rPr>
            </w:pPr>
          </w:p>
        </w:tc>
      </w:tr>
    </w:tbl>
    <w:p>
      <w:pPr>
        <w:spacing w:after="0" w:line="126" w:lineRule="exact"/>
        <w:rPr>
          <w:sz w:val="20"/>
          <w:szCs w:val="20"/>
          <w:color w:val="auto"/>
        </w:rPr>
      </w:pPr>
    </w:p>
    <w:p>
      <w:pPr>
        <w:ind w:left="580" w:right="60" w:hanging="329"/>
        <w:spacing w:after="0" w:line="249"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amount reflects the fees we paid to Icarus, a company controlled by Mr. DeZwirek, pursuant to which Icarus provides us management consulting services. For a description of this arrangement, see “Certain Transactions” below. In addition, until September of 2018, we paid for office space at our Toronto facility, which is used by Icarus and Mr. DeZwirek, that approximated $50,000.</w:t>
      </w:r>
    </w:p>
    <w:p>
      <w:pPr>
        <w:spacing w:after="0" w:line="105" w:lineRule="exact"/>
        <w:rPr>
          <w:rFonts w:ascii="Arial" w:cs="Arial" w:eastAsia="Arial" w:hAnsi="Arial"/>
          <w:sz w:val="14"/>
          <w:szCs w:val="14"/>
          <w:color w:val="auto"/>
        </w:rPr>
      </w:pPr>
    </w:p>
    <w:p>
      <w:pPr>
        <w:ind w:left="580" w:right="180" w:hanging="329"/>
        <w:spacing w:after="0" w:line="249"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amount reflects the fees we paid to JMP Fam Holdings, Inc., a company controlled by Mr. Pollack, for consulting services performed by Mr. Pollack during 2018. Pursuant to an oral arrangement, JMP Fam Holdings provides us with strategic advisory services, including the evaluation of financing options, capital structure and potential acquisitions, for a monthly fee of $6,500.</w:t>
      </w:r>
    </w:p>
    <w:p>
      <w:pPr>
        <w:spacing w:after="0" w:line="197"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a specified multiple of the non-management director’s regular annual cash retainer. On December 3, 2018, our Board increased the minimum stock ownership requirement from three times the regular annual cash retainer to five times that amount. Non-management directors have five years from the later of December 3, 2018 or the date of his or her election or appointment to our Board to attain such ownership levels. Our Compensation Committee in its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- 11 -</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discretion may extend the period of time for attainment of such ownership levels in appropriate circumstances. For purposes of this requirement, a non-management director’s stock ownership includes all shares of our common stock owned by the non-management director outright or held in trust for the director and the director’s immediate family, plus a non-management director’s restricted stock or equivalent units. The value of a share is measured as the greater of the then current market price or the closing price of a share of our common stock on the acquisition or grant date.</w:t>
      </w:r>
    </w:p>
    <w:p>
      <w:pPr>
        <w:spacing w:after="0" w:line="38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Certain Transactions</w:t>
      </w:r>
    </w:p>
    <w:p>
      <w:pPr>
        <w:spacing w:after="0" w:line="240" w:lineRule="exact"/>
        <w:rPr>
          <w:sz w:val="20"/>
          <w:szCs w:val="20"/>
          <w:color w:val="auto"/>
        </w:rPr>
      </w:pPr>
    </w:p>
    <w:p>
      <w:pPr>
        <w:ind w:left="220" w:right="280"/>
        <w:spacing w:after="0" w:line="250" w:lineRule="auto"/>
        <w:rPr>
          <w:sz w:val="20"/>
          <w:szCs w:val="20"/>
          <w:color w:val="auto"/>
        </w:rPr>
      </w:pPr>
      <w:r>
        <w:rPr>
          <w:rFonts w:ascii="Arial" w:cs="Arial" w:eastAsia="Arial" w:hAnsi="Arial"/>
          <w:sz w:val="16"/>
          <w:szCs w:val="16"/>
          <w:color w:val="auto"/>
        </w:rPr>
        <w:t>Since January 1, 2018, we have not been a party to any transaction or series of similar transactions in which the amount involved exceeded or will exceed $120,000 and in which any then director, executive officer, holder of more than five percent (5%) of our common stock, or any member of the immediate family of any of the foregoing, had or will have a direct or indirect material interest, other than in connection with the transaction described below.</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are a party to an oral agreement with Icarus pursuant to which Icarus provides us management consulting services regarding our corporate policies,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marketing, strategic and financial planning, including long- and short-term goals, mergers and acquisitions and other business combinations, financing,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growth plans and other related matters, for $20,000 per month. Icarus is controlled by our Chairman of the Board, Jason DeZwirek. We paid fees of</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$240,000 to Icarus for its services during 2018. These fees are also shown in the 2018 Director Compensation Table above as “All Other Compensation”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Mr. DeZwirek. In addition, until September of 2018, we paid for office space at our Toronto facility, which is used by Icarus and Mr. DeZwirek, that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approximated $50,000.</w:t>
      </w: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41659C"/>
        </w:rPr>
        <w:t>- 12 -</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EXECUTIVE COMPENSATION</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Compensation Discussion and Analysis</w:t>
      </w:r>
    </w:p>
    <w:p>
      <w:pPr>
        <w:spacing w:after="0" w:line="240"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Our executive compensation program is designed to attract, motivate, retain and reward executive talent to achieve our business goals, with the ultimate goal of increasing stockholder value. This Compensation Discussion and Analysis (“CD&amp;A”) provides information about our compensation objectives and policies for our CEO and the other executive officers included in the “2018 Summary Compensation Table,” who are referred to in this CD&amp;A as our “named executive officers.” This CD&amp;A puts in perspective the information set forth in the “2018 Summary Compensation Table” that follows in this Proxy Statement.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In 2018 our Compensation Committee implemented changes to our executive compensation programs to be more competitive in the market for talent and to more closely align with industry best practices and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62865</wp:posOffset>
            </wp:positionV>
            <wp:extent cx="6989445" cy="2475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9445" cy="2475230"/>
                    </a:xfrm>
                    <a:prstGeom prst="rect">
                      <a:avLst/>
                    </a:prstGeom>
                    <a:noFill/>
                  </pic:spPr>
                </pic:pic>
              </a:graphicData>
            </a:graphic>
          </wp:anchor>
        </w:drawing>
      </w:r>
    </w:p>
    <w:p>
      <w:pPr>
        <w:spacing w:after="0" w:line="283" w:lineRule="exact"/>
        <w:rPr>
          <w:sz w:val="20"/>
          <w:szCs w:val="20"/>
          <w:color w:val="auto"/>
        </w:rPr>
      </w:pPr>
    </w:p>
    <w:p>
      <w:pPr>
        <w:ind w:left="620" w:right="380" w:hanging="167"/>
        <w:spacing w:after="0" w:line="253" w:lineRule="auto"/>
        <w:tabs>
          <w:tab w:leader="none" w:pos="579"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Our 2018 annual performance-based cash incentive compensation program was designed so that no amount would be payable unless we achieved our operating income goal at or above 100% for Mr. Sadlowski, our Chief Executive Officer (“CEO”), and Mr. Eckl, our Chief Financial Officer (“CFO”) and at or above 90% for Mr. Gohr, our Chief Accounting Officer.</w:t>
      </w:r>
    </w:p>
    <w:p>
      <w:pPr>
        <w:spacing w:after="0" w:line="187" w:lineRule="exact"/>
        <w:rPr>
          <w:rFonts w:ascii="Arial" w:cs="Arial" w:eastAsia="Arial" w:hAnsi="Arial"/>
          <w:sz w:val="16"/>
          <w:szCs w:val="16"/>
          <w:color w:val="41659C"/>
        </w:rPr>
      </w:pPr>
    </w:p>
    <w:p>
      <w:pPr>
        <w:ind w:left="620" w:right="400" w:hanging="167"/>
        <w:spacing w:after="0" w:line="250" w:lineRule="auto"/>
        <w:tabs>
          <w:tab w:leader="none" w:pos="579"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We introduced performance-based restricted stock units (“PRSUs”) as a vehicle under our long-term equity incentive program and generally required attainment of specified levels of adjusted EBITDA (as calculated for purposes of our Company’s quarterly financial reports) (“Adjusted EBITDA”) in 2020 for all or a portion of those PRSUs to vest. We also granted time-based restricted stock units (“RSUs”) that generally vest ratably over four or five years.</w:t>
      </w:r>
    </w:p>
    <w:p>
      <w:pPr>
        <w:spacing w:after="0" w:line="191" w:lineRule="exact"/>
        <w:rPr>
          <w:rFonts w:ascii="Arial" w:cs="Arial" w:eastAsia="Arial" w:hAnsi="Arial"/>
          <w:sz w:val="16"/>
          <w:szCs w:val="16"/>
          <w:color w:val="41659C"/>
        </w:rPr>
      </w:pPr>
    </w:p>
    <w:p>
      <w:pPr>
        <w:ind w:left="620" w:right="440" w:hanging="167"/>
        <w:spacing w:after="0" w:line="249" w:lineRule="auto"/>
        <w:tabs>
          <w:tab w:leader="none" w:pos="579"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We increased the percentage of the total target compensation “at risk” for our CEO, so that for 2018 half of his total target cash compensation was performance-based and 70% of his total target equity compensation was performance-based. In 2018, we also included an additional performance-based goal to drive aggressive, sustainable growth that increased his total equity compensation opportunity to 80% if stretch performance is achieved, which would result in our CEO earning the maximum number of PRSUs that were granted. We discuss this program below under “2018 Equity Grant Detail.”</w:t>
      </w:r>
    </w:p>
    <w:p>
      <w:pPr>
        <w:spacing w:after="0" w:line="192" w:lineRule="exact"/>
        <w:rPr>
          <w:rFonts w:ascii="Arial" w:cs="Arial" w:eastAsia="Arial" w:hAnsi="Arial"/>
          <w:sz w:val="16"/>
          <w:szCs w:val="16"/>
          <w:color w:val="41659C"/>
        </w:rPr>
      </w:pPr>
    </w:p>
    <w:p>
      <w:pPr>
        <w:ind w:left="620" w:right="560" w:hanging="167"/>
        <w:spacing w:after="0" w:line="253" w:lineRule="auto"/>
        <w:tabs>
          <w:tab w:leader="none" w:pos="579" w:val="left"/>
        </w:tabs>
        <w:numPr>
          <w:ilvl w:val="0"/>
          <w:numId w:val="14"/>
        </w:numPr>
        <w:rPr>
          <w:rFonts w:ascii="Arial" w:cs="Arial" w:eastAsia="Arial" w:hAnsi="Arial"/>
          <w:sz w:val="16"/>
          <w:szCs w:val="16"/>
          <w:color w:val="41659C"/>
        </w:rPr>
      </w:pPr>
      <w:r>
        <w:rPr>
          <w:rFonts w:ascii="Arial" w:cs="Arial" w:eastAsia="Arial" w:hAnsi="Arial"/>
          <w:sz w:val="16"/>
          <w:szCs w:val="16"/>
          <w:color w:val="auto"/>
        </w:rPr>
        <w:t>We revised our stock ownership guidelines to apply to all executives, including our named executive officers. Our CEO is required to own our stock having a value of five times his base salary. Our CFO is now required to own our stock having a value equal to three times his base salary, and our other executive officers (currently, only Mr. Gohr) are required to own our stock having values equal to their base salaries.</w:t>
      </w: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other compensation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78740</wp:posOffset>
            </wp:positionV>
            <wp:extent cx="6989445" cy="17646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9445" cy="1764665"/>
                    </a:xfrm>
                    <a:prstGeom prst="rect">
                      <a:avLst/>
                    </a:prstGeom>
                    <a:noFill/>
                  </pic:spPr>
                </pic:pic>
              </a:graphicData>
            </a:graphic>
          </wp:anchor>
        </w:drawing>
      </w:r>
    </w:p>
    <w:p>
      <w:pPr>
        <w:spacing w:after="0" w:line="309" w:lineRule="exact"/>
        <w:rPr>
          <w:sz w:val="20"/>
          <w:szCs w:val="20"/>
          <w:color w:val="auto"/>
        </w:rPr>
      </w:pPr>
    </w:p>
    <w:p>
      <w:pPr>
        <w:ind w:left="620" w:right="600" w:hanging="167"/>
        <w:spacing w:after="0" w:line="250" w:lineRule="auto"/>
        <w:tabs>
          <w:tab w:leader="none" w:pos="579" w:val="left"/>
        </w:tabs>
        <w:numPr>
          <w:ilvl w:val="0"/>
          <w:numId w:val="15"/>
        </w:numPr>
        <w:rPr>
          <w:rFonts w:ascii="Arial" w:cs="Arial" w:eastAsia="Arial" w:hAnsi="Arial"/>
          <w:sz w:val="16"/>
          <w:szCs w:val="16"/>
          <w:color w:val="41659C"/>
        </w:rPr>
      </w:pPr>
      <w:r>
        <w:rPr>
          <w:rFonts w:ascii="Arial" w:cs="Arial" w:eastAsia="Arial" w:hAnsi="Arial"/>
          <w:sz w:val="16"/>
          <w:szCs w:val="16"/>
          <w:color w:val="auto"/>
        </w:rPr>
        <w:t>We adopted a clawback policy in 2017 that permits us to recover excess incentive-based compensation paid to an executive officer if we are required to restate our financial statements due to material noncompliance with the financial reporting requirements under United States federal securities laws and such executive officer willfully committed an act of fraud, dishonesty or recklessness in the performance of his duties that contributed to the noncompliance or benefitted materially as a result of receiving excess incentive-based compensation.</w:t>
      </w:r>
    </w:p>
    <w:p>
      <w:pPr>
        <w:spacing w:after="0" w:line="191" w:lineRule="exact"/>
        <w:rPr>
          <w:rFonts w:ascii="Arial" w:cs="Arial" w:eastAsia="Arial" w:hAnsi="Arial"/>
          <w:sz w:val="16"/>
          <w:szCs w:val="16"/>
          <w:color w:val="41659C"/>
        </w:rPr>
      </w:pPr>
    </w:p>
    <w:p>
      <w:pPr>
        <w:ind w:left="580" w:hanging="127"/>
        <w:spacing w:after="0"/>
        <w:tabs>
          <w:tab w:leader="none" w:pos="580" w:val="left"/>
        </w:tabs>
        <w:numPr>
          <w:ilvl w:val="0"/>
          <w:numId w:val="15"/>
        </w:numPr>
        <w:rPr>
          <w:rFonts w:ascii="Arial" w:cs="Arial" w:eastAsia="Arial" w:hAnsi="Arial"/>
          <w:sz w:val="16"/>
          <w:szCs w:val="16"/>
          <w:color w:val="41659C"/>
        </w:rPr>
      </w:pPr>
      <w:r>
        <w:rPr>
          <w:rFonts w:ascii="Arial" w:cs="Arial" w:eastAsia="Arial" w:hAnsi="Arial"/>
          <w:sz w:val="16"/>
          <w:szCs w:val="16"/>
          <w:color w:val="auto"/>
        </w:rPr>
        <w:t>We use tally sheets when determining executive compensation.</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15"/>
        </w:numPr>
        <w:rPr>
          <w:rFonts w:ascii="Arial" w:cs="Arial" w:eastAsia="Arial" w:hAnsi="Arial"/>
          <w:sz w:val="16"/>
          <w:szCs w:val="16"/>
          <w:color w:val="41659C"/>
        </w:rPr>
      </w:pPr>
      <w:r>
        <w:rPr>
          <w:rFonts w:ascii="Arial" w:cs="Arial" w:eastAsia="Arial" w:hAnsi="Arial"/>
          <w:sz w:val="16"/>
          <w:szCs w:val="16"/>
          <w:color w:val="auto"/>
        </w:rPr>
        <w:t>We review executive compensation paid by our peers to evaluate appropriate executive compensation.</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15"/>
        </w:numPr>
        <w:rPr>
          <w:rFonts w:ascii="Arial" w:cs="Arial" w:eastAsia="Arial" w:hAnsi="Arial"/>
          <w:sz w:val="16"/>
          <w:szCs w:val="16"/>
          <w:color w:val="41659C"/>
        </w:rPr>
      </w:pPr>
      <w:r>
        <w:rPr>
          <w:rFonts w:ascii="Arial" w:cs="Arial" w:eastAsia="Arial" w:hAnsi="Arial"/>
          <w:sz w:val="16"/>
          <w:szCs w:val="16"/>
          <w:color w:val="auto"/>
        </w:rPr>
        <w:t>Our Compensation Committee has engaged an independent executive compensation consultant to provide advice on compensation matters.</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15"/>
        </w:numPr>
        <w:rPr>
          <w:rFonts w:ascii="Arial" w:cs="Arial" w:eastAsia="Arial" w:hAnsi="Arial"/>
          <w:sz w:val="16"/>
          <w:szCs w:val="16"/>
          <w:color w:val="41659C"/>
        </w:rPr>
      </w:pPr>
      <w:r>
        <w:rPr>
          <w:rFonts w:ascii="Arial" w:cs="Arial" w:eastAsia="Arial" w:hAnsi="Arial"/>
          <w:sz w:val="16"/>
          <w:szCs w:val="16"/>
          <w:color w:val="auto"/>
        </w:rPr>
        <w:t>We provide limited perquisites.</w:t>
      </w:r>
    </w:p>
    <w:p>
      <w:pPr>
        <w:spacing w:after="0" w:line="200" w:lineRule="exact"/>
        <w:rPr>
          <w:rFonts w:ascii="Arial" w:cs="Arial" w:eastAsia="Arial" w:hAnsi="Arial"/>
          <w:sz w:val="16"/>
          <w:szCs w:val="16"/>
          <w:color w:val="41659C"/>
        </w:rPr>
      </w:pPr>
    </w:p>
    <w:p>
      <w:pPr>
        <w:spacing w:after="0" w:line="201" w:lineRule="exact"/>
        <w:rPr>
          <w:rFonts w:ascii="Arial" w:cs="Arial" w:eastAsia="Arial" w:hAnsi="Arial"/>
          <w:sz w:val="16"/>
          <w:szCs w:val="16"/>
          <w:color w:val="41659C"/>
        </w:rPr>
      </w:pPr>
    </w:p>
    <w:p>
      <w:pPr>
        <w:ind w:left="5620" w:hanging="105"/>
        <w:spacing w:after="0"/>
        <w:tabs>
          <w:tab w:leader="none" w:pos="5620" w:val="left"/>
        </w:tabs>
        <w:numPr>
          <w:ilvl w:val="1"/>
          <w:numId w:val="15"/>
        </w:numPr>
        <w:rPr>
          <w:rFonts w:ascii="Arial" w:cs="Arial" w:eastAsia="Arial" w:hAnsi="Arial"/>
          <w:sz w:val="17"/>
          <w:szCs w:val="17"/>
          <w:color w:val="41659C"/>
        </w:rPr>
      </w:pPr>
      <w:r>
        <w:rPr>
          <w:rFonts w:ascii="Arial" w:cs="Arial" w:eastAsia="Arial" w:hAnsi="Arial"/>
          <w:sz w:val="17"/>
          <w:szCs w:val="17"/>
          <w:color w:val="41659C"/>
        </w:rPr>
        <w:t>13 -</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At our 2018 Annual Meeting of Stockholders, approximately 98% of the votes cast on our advisory “Say-on-Pay” proposal was for approval of the compensation we paid to our named executive officers. Our Compensation Committee believes that this strong approval reflects our continued efforts to improve our compensation practices. As in the prior year, during 2018, we had direct contact and discussions with stockholders representing approximately 50% of our outstanding shares. Our CEO and CFO as well as some of our directors participated in these discussions and provided stockholder feedback to our Board as a whole. Our Compensation Committee considered the 2018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Policy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160"/>
        <w:spacing w:after="0" w:line="248" w:lineRule="auto"/>
        <w:rPr>
          <w:sz w:val="20"/>
          <w:szCs w:val="20"/>
          <w:color w:val="auto"/>
        </w:rPr>
      </w:pPr>
      <w:r>
        <w:rPr>
          <w:rFonts w:ascii="Arial" w:cs="Arial" w:eastAsia="Arial" w:hAnsi="Arial"/>
          <w:sz w:val="16"/>
          <w:szCs w:val="16"/>
          <w:color w:val="auto"/>
        </w:rPr>
        <w:t>Our Compensation Committee believes that an effective executive compensation program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207" w:lineRule="exact"/>
        <w:rPr>
          <w:sz w:val="20"/>
          <w:szCs w:val="20"/>
          <w:color w:val="auto"/>
        </w:rPr>
      </w:pPr>
    </w:p>
    <w:p>
      <w:pPr>
        <w:ind w:left="220" w:right="280"/>
        <w:spacing w:after="0" w:line="253" w:lineRule="auto"/>
        <w:rPr>
          <w:sz w:val="20"/>
          <w:szCs w:val="20"/>
          <w:color w:val="auto"/>
        </w:rPr>
      </w:pPr>
      <w:r>
        <w:rPr>
          <w:rFonts w:ascii="Arial" w:cs="Arial" w:eastAsia="Arial" w:hAnsi="Arial"/>
          <w:sz w:val="16"/>
          <w:szCs w:val="16"/>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8"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Our Compensation Committee oversees our compensation programs, with particular attention to the compensation for our CEO and the other named executive officers, to ensure that our compensation philosophy is consistent with the best interests of the Company and our stockholders. It reviews and approves (or, as appropriate, recommends to our Board for approval) changes to our executive compensation policies and programs. While our Compensation Committee has established objective, formula-based arrangements, it believes that an effective executive compensation program also requires the use of sound business judgement and the ability to exercise discretion. Accordingly, our Compensation Committee retains discretion to adjust the mix of cash and equity compensation components, adjust the mix of RSUs and PRSUs awarded, and offer other forms of equity-based compensation. From time to time, our Compensation Committee exercises its discretion and modifies the recommended adjustments or awards to our named executive officers. We believe that this discretion allows our Compensation Committee to better calibrate the relative contributions of each named executive officer and to respond to market practices as our business needs change.</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Role of Compensation Consultants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Our Compensation Committee has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data, competitive market pay, compensation structure and general market trends. More specifically, Meridian provided market and peer group data to give our Compensation Committee context for our Company’s annual incentive plan participants, target award opportunities and the appropriate allocation among financial metrics. In addition, Meridian recommended that our Compensation Committee set the annual incentive targets to align with our Company’s short-term business strategy and to complement our long-term incentive structure, as well as to be measurable and specific with respect to goals and ranges tied to creating stockholder value. In revising our executive compensation programs to be more market competitive and more closely aligned with what we believe are industry best practices, our Compensation Committee considered the information presented by Meridian.</w:t>
      </w:r>
    </w:p>
    <w:p>
      <w:pPr>
        <w:spacing w:after="0" w:line="204"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Meridian has also provided a review of our fixed, variable and long-term compensation against our peer group for our named executive officers. Our Compensation Committee reviewed and discussed the data but determined that it did not warrant any adjustments to our current compensation structure or awards.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- 14 -</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Our Compensation Committee assessed the independence of Meridian, as required under the NASDAQ listing requirements, and considered and assessed all relevant factors, including those set forth in Rule 10C-1(b)(4)(i) through (vi) under the Exchange Act, that could give rise to a potential conflict of interest with respect to Meridian during 2018. Based on this review, our Compensation Committee did not identify any conflict of interest raised by the work of Meridian. Meridian does not provide any services to management or any other services to our Company.</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Our annual and long-term incentive-based executive compensation is structured to reward our executives for achieving our Company’s business goals. From time to time, our Compensation Committee relies upon recommendations made by our management, and in particular, our CEO, regarding compensation for our executives other than our CEO. As part of its review and establishment of the performance criteria and compensation of our named executive officers, our Compensation Committee meets separately with our CEO at least once each year and with our other executives as it deems appropriate. Our CEO and such other executives as our CEO deems appropriate annually review the performance of each of our other named executive officers (other than our CEO)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non-executive directors, and based on that review, our Compensation Committee makes a recommendation to the non-executive directors regarding the compensation of our CEO.</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480"/>
        <w:spacing w:after="0" w:line="249" w:lineRule="auto"/>
        <w:rPr>
          <w:sz w:val="20"/>
          <w:szCs w:val="20"/>
          <w:color w:val="auto"/>
        </w:rPr>
      </w:pPr>
      <w:r>
        <w:rPr>
          <w:rFonts w:ascii="Arial" w:cs="Arial" w:eastAsia="Arial" w:hAnsi="Arial"/>
          <w:sz w:val="16"/>
          <w:szCs w:val="16"/>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bonus, long-term stock-based compensation and other material benefits of our CEO, subject to the terms of his employment agreement.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External Pay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8" w:lineRule="exact"/>
        <w:rPr>
          <w:sz w:val="20"/>
          <w:szCs w:val="20"/>
          <w:color w:val="auto"/>
        </w:rPr>
      </w:pPr>
    </w:p>
    <w:p>
      <w:pPr>
        <w:ind w:left="220" w:right="360"/>
        <w:spacing w:after="0" w:line="250" w:lineRule="auto"/>
        <w:rPr>
          <w:sz w:val="20"/>
          <w:szCs w:val="20"/>
          <w:color w:val="auto"/>
        </w:rPr>
      </w:pPr>
      <w:r>
        <w:rPr>
          <w:rFonts w:ascii="Arial" w:cs="Arial" w:eastAsia="Arial" w:hAnsi="Arial"/>
          <w:sz w:val="16"/>
          <w:szCs w:val="16"/>
          <w:color w:val="auto"/>
        </w:rPr>
        <w:t>Our Compensation Committee considers external pay comparison data as a market check on its compensation decisions, but not for specific benchmarking. In December 2018, our Compensation Committee identified a peer group that it believes more appropriately reflects our peers for purposes of determining executive compensation in subsequent years; however, for purposes of 2018 compensation decisions we used the following peer group, which has been the same since 2015, except that TRC Companies, Inc. was removed following its acquisition in 2017.</w:t>
      </w: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Aegion Corporation</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Federal Signal Corporation</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Ormat Technologies, Inc.</w:t>
            </w:r>
          </w:p>
        </w:tc>
      </w:t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Ameresco, Inc.</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Graco Inc.</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Powell Industries, Inc.</w:t>
            </w:r>
          </w:p>
        </w:tc>
      </w:t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Chart Industries, Inc.</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Graham Corporation</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Preformed Line Products Co.</w:t>
            </w:r>
          </w:p>
        </w:tc>
      </w:t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CIRCOR International, Inc.</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HC2 Holdings, Inc.</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Thermon Group Holdings Inc.</w:t>
            </w:r>
          </w:p>
        </w:tc>
      </w:t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Douglas Dynamics, Inc.</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Heritage-Crystal Clean Inc.</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US Ecology, Inc.</w:t>
            </w:r>
          </w:p>
        </w:tc>
      </w:tr>
      <w:tr>
        <w:trPr>
          <w:trHeight w:val="191"/>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Enphase Energy, Inc.</w:t>
            </w:r>
          </w:p>
        </w:tc>
        <w:tc>
          <w:tcPr>
            <w:tcW w:w="3160" w:type="dxa"/>
            <w:vAlign w:val="bottom"/>
            <w:shd w:val="clear" w:color="auto" w:fill="E8EED3"/>
          </w:tcPr>
          <w:p>
            <w:pPr>
              <w:ind w:left="31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Lydall, Inc.</w:t>
            </w:r>
          </w:p>
        </w:tc>
        <w:tc>
          <w:tcPr>
            <w:tcW w:w="3970" w:type="dxa"/>
            <w:vAlign w:val="bottom"/>
            <w:shd w:val="clear" w:color="auto" w:fill="E8EED3"/>
          </w:tcPr>
          <w:p>
            <w:pPr>
              <w:ind w:left="29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Williams Industrial Services Group Inc.</w:t>
            </w:r>
          </w:p>
        </w:tc>
      </w:tr>
      <w:tr>
        <w:trPr>
          <w:trHeight w:val="189"/>
        </w:trPr>
        <w:tc>
          <w:tcPr>
            <w:tcW w:w="2990" w:type="dxa"/>
            <w:vAlign w:val="bottom"/>
            <w:shd w:val="clear" w:color="auto" w:fill="E8EED3"/>
          </w:tcPr>
          <w:p>
            <w:pPr>
              <w:ind w:left="240"/>
              <w:spacing w:after="0"/>
              <w:rPr>
                <w:sz w:val="20"/>
                <w:szCs w:val="20"/>
                <w:color w:val="auto"/>
              </w:rPr>
            </w:pPr>
            <w:r>
              <w:rPr>
                <w:rFonts w:ascii="Arial" w:cs="Arial" w:eastAsia="Arial" w:hAnsi="Arial"/>
                <w:sz w:val="16"/>
                <w:szCs w:val="16"/>
                <w:color w:val="41659C"/>
              </w:rPr>
              <w:t xml:space="preserve">• </w:t>
            </w:r>
            <w:r>
              <w:rPr>
                <w:rFonts w:ascii="Arial" w:cs="Arial" w:eastAsia="Arial" w:hAnsi="Arial"/>
                <w:sz w:val="16"/>
                <w:szCs w:val="16"/>
                <w:color w:val="000000"/>
              </w:rPr>
              <w:t>Esco Technologies, Inc.</w:t>
            </w:r>
          </w:p>
        </w:tc>
        <w:tc>
          <w:tcPr>
            <w:tcW w:w="3160" w:type="dxa"/>
            <w:vAlign w:val="bottom"/>
            <w:shd w:val="clear" w:color="auto" w:fill="E8EED3"/>
          </w:tcPr>
          <w:p>
            <w:pPr>
              <w:spacing w:after="0"/>
              <w:rPr>
                <w:sz w:val="16"/>
                <w:szCs w:val="16"/>
                <w:color w:val="auto"/>
              </w:rPr>
            </w:pPr>
          </w:p>
        </w:tc>
        <w:tc>
          <w:tcPr>
            <w:tcW w:w="3970" w:type="dxa"/>
            <w:vAlign w:val="bottom"/>
            <w:shd w:val="clear" w:color="auto" w:fill="E8EED3"/>
          </w:tcPr>
          <w:p>
            <w:pPr>
              <w:ind w:left="450"/>
              <w:spacing w:after="0"/>
              <w:rPr>
                <w:sz w:val="20"/>
                <w:szCs w:val="20"/>
                <w:color w:val="auto"/>
              </w:rPr>
            </w:pPr>
            <w:r>
              <w:rPr>
                <w:rFonts w:ascii="Arial" w:cs="Arial" w:eastAsia="Arial" w:hAnsi="Arial"/>
                <w:sz w:val="16"/>
                <w:szCs w:val="16"/>
                <w:color w:val="auto"/>
              </w:rPr>
              <w:t>(formerly known as Global Power</w:t>
            </w:r>
          </w:p>
        </w:tc>
      </w:tr>
      <w:tr>
        <w:trPr>
          <w:trHeight w:val="194"/>
        </w:trPr>
        <w:tc>
          <w:tcPr>
            <w:tcW w:w="2990" w:type="dxa"/>
            <w:vAlign w:val="bottom"/>
            <w:shd w:val="clear" w:color="auto" w:fill="E8EED3"/>
          </w:tcPr>
          <w:p>
            <w:pPr>
              <w:spacing w:after="0"/>
              <w:rPr>
                <w:sz w:val="16"/>
                <w:szCs w:val="16"/>
                <w:color w:val="auto"/>
              </w:rPr>
            </w:pPr>
          </w:p>
        </w:tc>
        <w:tc>
          <w:tcPr>
            <w:tcW w:w="3160" w:type="dxa"/>
            <w:vAlign w:val="bottom"/>
            <w:shd w:val="clear" w:color="auto" w:fill="E8EED3"/>
          </w:tcPr>
          <w:p>
            <w:pPr>
              <w:spacing w:after="0"/>
              <w:rPr>
                <w:sz w:val="16"/>
                <w:szCs w:val="16"/>
                <w:color w:val="auto"/>
              </w:rPr>
            </w:pPr>
          </w:p>
        </w:tc>
        <w:tc>
          <w:tcPr>
            <w:tcW w:w="3970" w:type="dxa"/>
            <w:vAlign w:val="bottom"/>
            <w:shd w:val="clear" w:color="auto" w:fill="E8EED3"/>
          </w:tcPr>
          <w:p>
            <w:pPr>
              <w:ind w:left="450"/>
              <w:spacing w:after="0"/>
              <w:rPr>
                <w:sz w:val="20"/>
                <w:szCs w:val="20"/>
                <w:color w:val="auto"/>
              </w:rPr>
            </w:pPr>
            <w:r>
              <w:rPr>
                <w:rFonts w:ascii="Arial" w:cs="Arial" w:eastAsia="Arial" w:hAnsi="Arial"/>
                <w:sz w:val="16"/>
                <w:szCs w:val="16"/>
                <w:color w:val="auto"/>
              </w:rPr>
              <w:t>Equipment Group Inc.)</w:t>
            </w:r>
          </w:p>
        </w:tc>
      </w:tr>
      <w:tr>
        <w:trPr>
          <w:trHeight w:val="127"/>
        </w:trPr>
        <w:tc>
          <w:tcPr>
            <w:tcW w:w="2990" w:type="dxa"/>
            <w:vAlign w:val="bottom"/>
            <w:shd w:val="clear" w:color="auto" w:fill="E8EED3"/>
          </w:tcPr>
          <w:p>
            <w:pPr>
              <w:spacing w:after="0"/>
              <w:rPr>
                <w:sz w:val="11"/>
                <w:szCs w:val="11"/>
                <w:color w:val="auto"/>
              </w:rPr>
            </w:pPr>
          </w:p>
        </w:tc>
        <w:tc>
          <w:tcPr>
            <w:tcW w:w="3160" w:type="dxa"/>
            <w:vAlign w:val="bottom"/>
            <w:shd w:val="clear" w:color="auto" w:fill="E8EED3"/>
          </w:tcPr>
          <w:p>
            <w:pPr>
              <w:spacing w:after="0"/>
              <w:rPr>
                <w:sz w:val="11"/>
                <w:szCs w:val="11"/>
                <w:color w:val="auto"/>
              </w:rPr>
            </w:pPr>
          </w:p>
        </w:tc>
        <w:tc>
          <w:tcPr>
            <w:tcW w:w="3970" w:type="dxa"/>
            <w:vAlign w:val="bottom"/>
            <w:shd w:val="clear" w:color="auto" w:fill="E8EED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-367665</wp:posOffset>
            </wp:positionV>
            <wp:extent cx="179705" cy="368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705" cy="368300"/>
                    </a:xfrm>
                    <a:prstGeom prst="rect">
                      <a:avLst/>
                    </a:prstGeom>
                    <a:noFill/>
                  </pic:spPr>
                </pic:pic>
              </a:graphicData>
            </a:graphic>
          </wp:anchor>
        </w:drawing>
      </w:r>
    </w:p>
    <w:p>
      <w:pPr>
        <w:spacing w:after="0" w:line="198" w:lineRule="exact"/>
        <w:rPr>
          <w:sz w:val="20"/>
          <w:szCs w:val="20"/>
          <w:color w:val="auto"/>
        </w:rPr>
      </w:pPr>
    </w:p>
    <w:p>
      <w:pPr>
        <w:ind w:left="220"/>
        <w:spacing w:after="0" w:line="211" w:lineRule="auto"/>
        <w:rPr>
          <w:sz w:val="20"/>
          <w:szCs w:val="20"/>
          <w:color w:val="auto"/>
        </w:rPr>
      </w:pPr>
      <w:r>
        <w:rPr>
          <w:rFonts w:ascii="Arial" w:cs="Arial" w:eastAsia="Arial" w:hAnsi="Arial"/>
          <w:sz w:val="16"/>
          <w:szCs w:val="16"/>
          <w:color w:val="auto"/>
        </w:rPr>
        <w:t>We are currently in the bottom quartile of this peer group in terms of size, based primarily on revenue and market capitalization. Based on its review of the peer group data and market data and other factors discussed in this Compensation Discussion and Analysis, Meridian determined that our CEO’s 2018 total target compensation approximates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this peer group, which corresponds to our Company’s size within the peer group, as described above.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- 15 -</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2018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Our Company’s financial performance reflected solid progression in 2018. We had year-over-year organic revenue growth and exceeded our operating income and free cash flow targets for the year. As a result of this performance, our named executive officers earned cash incentive compensation for 2018 and received RSUs. As incentive for future performance, the named executive officers were granted PRSUs that give them the opportunity to earn shares based on our Company’s future performance. The charts below show the proportion of salary and actual annual cash incentive payments for 2018 and the RSUs and PRSUs granted in 2018 for each named executive officer. The PRSUs noted below represent the grant date fair value and assume maximum achievement with respect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222250</wp:posOffset>
            </wp:positionV>
            <wp:extent cx="4848225" cy="1207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4822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Our executive compensation program consists of cash, with a fixed salary and an annual cash incentive opportunity, and equity generally in in the form of RSUs and PRSUs. We have in the past also granted stock options to our executives, but stock options are not currently part of our ongoing executive compensation program. From time to time we have paid discretionary cash bonuses to recognize and reward executives, if the circumstances warrant.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Base Salary</w:t>
      </w:r>
    </w:p>
    <w:p>
      <w:pPr>
        <w:spacing w:after="0" w:line="128"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We provide our named executive officers with a base salary to compensate them for the expertise and value they bring to us. Base salary is determined for each individual based on the executive’s position and responsibility, taking into account the executive’s impact level, external market data, scope of responsibility, prior experience, past accomplishments and other similar factors, and whether the particular base salary is subject to any existing employment agreement.</w:t>
      </w:r>
    </w:p>
    <w:p>
      <w:pPr>
        <w:spacing w:after="0" w:line="205"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Salary levels for our named executive officers are reviewed and approved by the Compensation Committee annually as well as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2018, our Compensation Committee approved the following base salaries for our named executive officers. When Messrs. Sadlowski and Eckl joined our Company, each entered into an employment agreement on terms negotiated at arms’ length. Mr. Sadlowski did not receive an increase in his salary in 2018. Mr. Eckl’s salary increased from $300,000 to $335,000 as of January 9, 2018 in accordance with the terms of his employment agreement. Mr. Gohr received an increase in his base salary of approximately 4% effective April 1, 2018 based on his performance.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5600" w:type="dxa"/>
            <w:vAlign w:val="bottom"/>
            <w:shd w:val="clear" w:color="auto" w:fill="41659C"/>
          </w:tcPr>
          <w:p>
            <w:pPr>
              <w:spacing w:after="0"/>
              <w:rPr>
                <w:sz w:val="15"/>
                <w:szCs w:val="15"/>
                <w:color w:val="auto"/>
              </w:rPr>
            </w:pPr>
          </w:p>
        </w:tc>
        <w:tc>
          <w:tcPr>
            <w:tcW w:w="5400" w:type="dxa"/>
            <w:vAlign w:val="bottom"/>
            <w:shd w:val="clear" w:color="auto" w:fill="41659C"/>
          </w:tcPr>
          <w:p>
            <w:pPr>
              <w:jc w:val="center"/>
              <w:ind w:left="2784"/>
              <w:spacing w:after="0"/>
              <w:rPr>
                <w:sz w:val="20"/>
                <w:szCs w:val="20"/>
                <w:color w:val="auto"/>
              </w:rPr>
            </w:pPr>
            <w:r>
              <w:rPr>
                <w:rFonts w:ascii="Arial" w:cs="Arial" w:eastAsia="Arial" w:hAnsi="Arial"/>
                <w:sz w:val="15"/>
                <w:szCs w:val="15"/>
                <w:b w:val="1"/>
                <w:bCs w:val="1"/>
                <w:color w:val="FFFFFF"/>
              </w:rPr>
              <w:t>Base Salary</w:t>
            </w:r>
          </w:p>
        </w:tc>
      </w:tr>
      <w:tr>
        <w:trPr>
          <w:trHeight w:val="162"/>
        </w:trPr>
        <w:tc>
          <w:tcPr>
            <w:tcW w:w="5600" w:type="dxa"/>
            <w:vAlign w:val="bottom"/>
            <w:shd w:val="clear" w:color="auto" w:fill="41659C"/>
          </w:tcPr>
          <w:p>
            <w:pPr>
              <w:spacing w:after="0"/>
              <w:rPr>
                <w:sz w:val="14"/>
                <w:szCs w:val="14"/>
                <w:color w:val="auto"/>
              </w:rPr>
            </w:pPr>
          </w:p>
        </w:tc>
        <w:tc>
          <w:tcPr>
            <w:tcW w:w="5400" w:type="dxa"/>
            <w:vAlign w:val="bottom"/>
            <w:shd w:val="clear" w:color="auto" w:fill="41659C"/>
          </w:tcPr>
          <w:p>
            <w:pPr>
              <w:jc w:val="center"/>
              <w:ind w:left="2804"/>
              <w:spacing w:after="0" w:line="162" w:lineRule="exact"/>
              <w:rPr>
                <w:sz w:val="20"/>
                <w:szCs w:val="20"/>
                <w:color w:val="auto"/>
              </w:rPr>
            </w:pPr>
            <w:r>
              <w:rPr>
                <w:rFonts w:ascii="Arial" w:cs="Arial" w:eastAsia="Arial" w:hAnsi="Arial"/>
                <w:sz w:val="15"/>
                <w:szCs w:val="15"/>
                <w:b w:val="1"/>
                <w:bCs w:val="1"/>
                <w:color w:val="FFFFFF"/>
              </w:rPr>
              <w:t>Rate ($)</w:t>
            </w:r>
          </w:p>
        </w:tc>
      </w:tr>
      <w:tr>
        <w:trPr>
          <w:trHeight w:val="197"/>
        </w:trPr>
        <w:tc>
          <w:tcPr>
            <w:tcW w:w="560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Named Executive Officer</w:t>
            </w:r>
          </w:p>
        </w:tc>
        <w:tc>
          <w:tcPr>
            <w:tcW w:w="5400" w:type="dxa"/>
            <w:vAlign w:val="bottom"/>
            <w:shd w:val="clear" w:color="auto" w:fill="41659C"/>
          </w:tcPr>
          <w:p>
            <w:pPr>
              <w:jc w:val="center"/>
              <w:ind w:left="2784"/>
              <w:spacing w:after="0"/>
              <w:rPr>
                <w:sz w:val="20"/>
                <w:szCs w:val="20"/>
                <w:color w:val="auto"/>
              </w:rPr>
            </w:pPr>
            <w:r>
              <w:rPr>
                <w:rFonts w:ascii="Arial" w:cs="Arial" w:eastAsia="Arial" w:hAnsi="Arial"/>
                <w:sz w:val="15"/>
                <w:szCs w:val="15"/>
                <w:b w:val="1"/>
                <w:bCs w:val="1"/>
                <w:color w:val="FFFFFF"/>
              </w:rPr>
              <w:t>(as of 12/31/18)</w:t>
            </w:r>
          </w:p>
        </w:tc>
      </w:tr>
      <w:tr>
        <w:trPr>
          <w:trHeight w:val="162"/>
        </w:trPr>
        <w:tc>
          <w:tcPr>
            <w:tcW w:w="56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540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575,000</w:t>
            </w:r>
          </w:p>
        </w:tc>
      </w:tr>
      <w:tr>
        <w:trPr>
          <w:trHeight w:val="162"/>
        </w:trPr>
        <w:tc>
          <w:tcPr>
            <w:tcW w:w="560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540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335,000</w:t>
            </w:r>
          </w:p>
        </w:tc>
      </w:tr>
      <w:tr>
        <w:trPr>
          <w:trHeight w:val="162"/>
        </w:trPr>
        <w:tc>
          <w:tcPr>
            <w:tcW w:w="56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540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5375910</wp:posOffset>
            </wp:positionH>
            <wp:positionV relativeFrom="paragraph">
              <wp:posOffset>-624840</wp:posOffset>
            </wp:positionV>
            <wp:extent cx="8255" cy="625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625475"/>
                    </a:xfrm>
                    <a:prstGeom prst="rect">
                      <a:avLst/>
                    </a:prstGeom>
                    <a:noFill/>
                  </pic:spPr>
                </pic:pic>
              </a:graphicData>
            </a:graphic>
          </wp:anchor>
        </w:drawing>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- 16 -</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Cash Incentive Compensation</w:t>
      </w:r>
    </w:p>
    <w:p>
      <w:pPr>
        <w:spacing w:after="0" w:line="128"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We believe that a portion of our named executive officers’ cash compensation should be earned based on our annual performance, so that our executives are appropriately motivated to maximize our financial and operating performance each year. Early each year, our Compensation Committee selects executives to participate in the annual incentive program and determines the amount of the award and the performance goals for the participant. After year-end, our Compensation Committee determines whether the objectives and conditions for earning the awards have been met.</w:t>
      </w:r>
    </w:p>
    <w:p>
      <w:pPr>
        <w:spacing w:after="0" w:line="205"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For 2018, our Compensation Committee approved annual incentive award opportunities for our named executive officers based on objective Company financial performance goals. Each named executive officer had an incentive award opportunity expressed as a percentage of his 2018 salary. The percentages were 100% of salary for Mr. Sadlowski, 55% of salary for Mr. Eckl and 35% of salary for Mr. Gohr. At target performance, each named executive officer would receive 100% of his incentive award opportunity. If our Company’s performance in 2018 exceeded the target, the annual incentive payout could be up to a maximum 200% of the incentive award opportunity for each of Messrs. Sadlowski and Eckl and up to a maximum 120% of the incentive award opportunity for Mr.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-187960</wp:posOffset>
            </wp:positionV>
            <wp:extent cx="28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4" w:lineRule="exact"/>
        <w:rPr>
          <w:sz w:val="20"/>
          <w:szCs w:val="20"/>
          <w:color w:val="auto"/>
        </w:rPr>
      </w:pPr>
    </w:p>
    <w:p>
      <w:pPr>
        <w:ind w:left="220" w:right="240"/>
        <w:spacing w:after="0" w:line="253" w:lineRule="auto"/>
        <w:rPr>
          <w:sz w:val="20"/>
          <w:szCs w:val="20"/>
          <w:color w:val="auto"/>
        </w:rPr>
      </w:pPr>
      <w:r>
        <w:rPr>
          <w:rFonts w:ascii="Arial" w:cs="Arial" w:eastAsia="Arial" w:hAnsi="Arial"/>
          <w:sz w:val="16"/>
          <w:szCs w:val="16"/>
          <w:color w:val="auto"/>
        </w:rPr>
        <w:t>Our Compensation Committee selected revenue, adjusted operating income and adjusted free cash flow as the performance metrics for our 2018 cash incentive program because it believed that improvement in these three metrics would drive stockholder value. For purposes of the cash incentive program, we make certain adjustments deemed appropriate by the Compensation Committee and as noted below.</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To determine achievement of our revenue metric, we used revenue as reported in our financial statements.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Operating Income</w:t>
      </w:r>
      <w:r>
        <w:rPr>
          <w:rFonts w:ascii="Arial" w:cs="Arial" w:eastAsia="Arial" w:hAnsi="Arial"/>
          <w:sz w:val="16"/>
          <w:szCs w:val="16"/>
          <w:color w:val="auto"/>
        </w:rPr>
        <w:t>: For purposes of determining achievement of this performance metric, we adjusted operating income as reported in our financial</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statements to exclude the following special items: (1) amortization and earnout expenses, and (2) loss on divestitures, net of selling costs.</w:t>
      </w:r>
    </w:p>
    <w:p>
      <w:pPr>
        <w:spacing w:after="0" w:line="205" w:lineRule="exact"/>
        <w:rPr>
          <w:sz w:val="20"/>
          <w:szCs w:val="20"/>
          <w:color w:val="auto"/>
        </w:rPr>
      </w:pPr>
    </w:p>
    <w:p>
      <w:pPr>
        <w:ind w:left="220" w:right="40"/>
        <w:spacing w:after="0" w:line="280" w:lineRule="auto"/>
        <w:rPr>
          <w:sz w:val="20"/>
          <w:szCs w:val="20"/>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We calculated free cash flow by adjusting cash flows from operating activities as reported in our financial statements to exclude earnout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to include acquisitions of property and equipment.</w:t>
      </w:r>
    </w:p>
    <w:p>
      <w:pPr>
        <w:spacing w:after="0" w:line="180" w:lineRule="exact"/>
        <w:rPr>
          <w:sz w:val="20"/>
          <w:szCs w:val="20"/>
          <w:color w:val="auto"/>
        </w:rPr>
      </w:pPr>
    </w:p>
    <w:p>
      <w:pPr>
        <w:ind w:left="220" w:right="120"/>
        <w:spacing w:after="0" w:line="260" w:lineRule="auto"/>
        <w:rPr>
          <w:sz w:val="20"/>
          <w:szCs w:val="20"/>
          <w:color w:val="auto"/>
        </w:rPr>
      </w:pPr>
      <w:r>
        <w:rPr>
          <w:rFonts w:ascii="Arial" w:cs="Arial" w:eastAsia="Arial" w:hAnsi="Arial"/>
          <w:sz w:val="16"/>
          <w:szCs w:val="16"/>
          <w:color w:val="auto"/>
        </w:rPr>
        <w:t>Our Compensation Committee gave equal weight to each of the three performance metrics; however, it determined that unless our Company achieved a specified level of operating income (100% of target for Messrs. Sadlowski and Eckl and 90% of target for Mr. Gohr), no cash incentive would be paid.</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280" w:type="dxa"/>
            <w:vAlign w:val="bottom"/>
            <w:shd w:val="clear" w:color="auto" w:fill="41659C"/>
          </w:tcPr>
          <w:p>
            <w:pPr>
              <w:spacing w:after="0"/>
              <w:rPr>
                <w:sz w:val="15"/>
                <w:szCs w:val="15"/>
                <w:color w:val="auto"/>
              </w:rPr>
            </w:pPr>
          </w:p>
        </w:tc>
        <w:tc>
          <w:tcPr>
            <w:tcW w:w="900" w:type="dxa"/>
            <w:vAlign w:val="bottom"/>
            <w:shd w:val="clear" w:color="auto" w:fill="41659C"/>
          </w:tcPr>
          <w:p>
            <w:pPr>
              <w:spacing w:after="0"/>
              <w:rPr>
                <w:sz w:val="15"/>
                <w:szCs w:val="15"/>
                <w:color w:val="auto"/>
              </w:rPr>
            </w:pPr>
          </w:p>
        </w:tc>
        <w:tc>
          <w:tcPr>
            <w:tcW w:w="2620" w:type="dxa"/>
            <w:vAlign w:val="bottom"/>
            <w:shd w:val="clear" w:color="auto" w:fill="41659C"/>
          </w:tcPr>
          <w:p>
            <w:pPr>
              <w:jc w:val="center"/>
              <w:ind w:left="304"/>
              <w:spacing w:after="0"/>
              <w:rPr>
                <w:sz w:val="20"/>
                <w:szCs w:val="20"/>
                <w:color w:val="auto"/>
              </w:rPr>
            </w:pPr>
            <w:r>
              <w:rPr>
                <w:rFonts w:ascii="Arial" w:cs="Arial" w:eastAsia="Arial" w:hAnsi="Arial"/>
                <w:sz w:val="15"/>
                <w:szCs w:val="15"/>
                <w:b w:val="1"/>
                <w:bCs w:val="1"/>
                <w:color w:val="FFFFFF"/>
                <w:w w:val="99"/>
              </w:rPr>
              <w:t>Threshold</w:t>
            </w:r>
          </w:p>
        </w:tc>
        <w:tc>
          <w:tcPr>
            <w:tcW w:w="2160" w:type="dxa"/>
            <w:vAlign w:val="bottom"/>
            <w:shd w:val="clear" w:color="auto" w:fill="41659C"/>
          </w:tcPr>
          <w:p>
            <w:pPr>
              <w:jc w:val="center"/>
              <w:ind w:right="104"/>
              <w:spacing w:after="0"/>
              <w:rPr>
                <w:sz w:val="20"/>
                <w:szCs w:val="20"/>
                <w:color w:val="auto"/>
              </w:rPr>
            </w:pPr>
            <w:r>
              <w:rPr>
                <w:rFonts w:ascii="Arial" w:cs="Arial" w:eastAsia="Arial" w:hAnsi="Arial"/>
                <w:sz w:val="15"/>
                <w:szCs w:val="15"/>
                <w:b w:val="1"/>
                <w:bCs w:val="1"/>
                <w:color w:val="FFFFFF"/>
              </w:rPr>
              <w:t>Target</w:t>
            </w:r>
          </w:p>
        </w:tc>
        <w:tc>
          <w:tcPr>
            <w:tcW w:w="2500" w:type="dxa"/>
            <w:vAlign w:val="bottom"/>
            <w:shd w:val="clear" w:color="auto" w:fill="41659C"/>
          </w:tcPr>
          <w:p>
            <w:pPr>
              <w:jc w:val="right"/>
              <w:ind w:right="904"/>
              <w:spacing w:after="0"/>
              <w:rPr>
                <w:sz w:val="20"/>
                <w:szCs w:val="20"/>
                <w:color w:val="auto"/>
              </w:rPr>
            </w:pPr>
            <w:r>
              <w:rPr>
                <w:rFonts w:ascii="Arial" w:cs="Arial" w:eastAsia="Arial" w:hAnsi="Arial"/>
                <w:sz w:val="15"/>
                <w:szCs w:val="15"/>
                <w:b w:val="1"/>
                <w:bCs w:val="1"/>
                <w:color w:val="FFFFFF"/>
              </w:rPr>
              <w:t>Maximum</w:t>
            </w:r>
          </w:p>
        </w:tc>
        <w:tc>
          <w:tcPr>
            <w:tcW w:w="1540" w:type="dxa"/>
            <w:vAlign w:val="bottom"/>
            <w:shd w:val="clear" w:color="auto" w:fill="41659C"/>
          </w:tcPr>
          <w:p>
            <w:pPr>
              <w:spacing w:after="0"/>
              <w:rPr>
                <w:sz w:val="15"/>
                <w:szCs w:val="15"/>
                <w:color w:val="auto"/>
              </w:rPr>
            </w:pPr>
          </w:p>
        </w:tc>
      </w:tr>
      <w:tr>
        <w:trPr>
          <w:trHeight w:val="162"/>
        </w:trPr>
        <w:tc>
          <w:tcPr>
            <w:tcW w:w="1280" w:type="dxa"/>
            <w:vAlign w:val="bottom"/>
            <w:shd w:val="clear" w:color="auto" w:fill="41659C"/>
          </w:tcPr>
          <w:p>
            <w:pPr>
              <w:spacing w:after="0"/>
              <w:rPr>
                <w:sz w:val="14"/>
                <w:szCs w:val="14"/>
                <w:color w:val="auto"/>
              </w:rPr>
            </w:pPr>
          </w:p>
        </w:tc>
        <w:tc>
          <w:tcPr>
            <w:tcW w:w="900" w:type="dxa"/>
            <w:vAlign w:val="bottom"/>
            <w:shd w:val="clear" w:color="auto" w:fill="41659C"/>
          </w:tcPr>
          <w:p>
            <w:pPr>
              <w:spacing w:after="0"/>
              <w:rPr>
                <w:sz w:val="14"/>
                <w:szCs w:val="14"/>
                <w:color w:val="auto"/>
              </w:rPr>
            </w:pPr>
          </w:p>
        </w:tc>
        <w:tc>
          <w:tcPr>
            <w:tcW w:w="2620" w:type="dxa"/>
            <w:vAlign w:val="bottom"/>
            <w:shd w:val="clear" w:color="auto" w:fill="41659C"/>
          </w:tcPr>
          <w:p>
            <w:pPr>
              <w:jc w:val="center"/>
              <w:ind w:left="304"/>
              <w:spacing w:after="0" w:line="162" w:lineRule="exact"/>
              <w:rPr>
                <w:sz w:val="20"/>
                <w:szCs w:val="20"/>
                <w:color w:val="auto"/>
              </w:rPr>
            </w:pPr>
            <w:r>
              <w:rPr>
                <w:rFonts w:ascii="Arial" w:cs="Arial" w:eastAsia="Arial" w:hAnsi="Arial"/>
                <w:sz w:val="15"/>
                <w:szCs w:val="15"/>
                <w:b w:val="1"/>
                <w:bCs w:val="1"/>
                <w:color w:val="FFFFFF"/>
              </w:rPr>
              <w:t>(dollars in millions)</w:t>
            </w:r>
          </w:p>
        </w:tc>
        <w:tc>
          <w:tcPr>
            <w:tcW w:w="2160" w:type="dxa"/>
            <w:vAlign w:val="bottom"/>
            <w:shd w:val="clear" w:color="auto" w:fill="41659C"/>
          </w:tcPr>
          <w:p>
            <w:pPr>
              <w:jc w:val="center"/>
              <w:ind w:right="84"/>
              <w:spacing w:after="0" w:line="162" w:lineRule="exact"/>
              <w:rPr>
                <w:sz w:val="20"/>
                <w:szCs w:val="20"/>
                <w:color w:val="auto"/>
              </w:rPr>
            </w:pPr>
            <w:r>
              <w:rPr>
                <w:rFonts w:ascii="Arial" w:cs="Arial" w:eastAsia="Arial" w:hAnsi="Arial"/>
                <w:sz w:val="15"/>
                <w:szCs w:val="15"/>
                <w:b w:val="1"/>
                <w:bCs w:val="1"/>
                <w:color w:val="FFFFFF"/>
              </w:rPr>
              <w:t>(dollars in millions)</w:t>
            </w:r>
          </w:p>
        </w:tc>
        <w:tc>
          <w:tcPr>
            <w:tcW w:w="2500" w:type="dxa"/>
            <w:vAlign w:val="bottom"/>
            <w:shd w:val="clear" w:color="auto" w:fill="41659C"/>
          </w:tcPr>
          <w:p>
            <w:pPr>
              <w:jc w:val="right"/>
              <w:ind w:right="564"/>
              <w:spacing w:after="0" w:line="162" w:lineRule="exact"/>
              <w:rPr>
                <w:sz w:val="20"/>
                <w:szCs w:val="20"/>
                <w:color w:val="auto"/>
              </w:rPr>
            </w:pPr>
            <w:r>
              <w:rPr>
                <w:rFonts w:ascii="Arial" w:cs="Arial" w:eastAsia="Arial" w:hAnsi="Arial"/>
                <w:sz w:val="15"/>
                <w:szCs w:val="15"/>
                <w:b w:val="1"/>
                <w:bCs w:val="1"/>
                <w:color w:val="FFFFFF"/>
              </w:rPr>
              <w:t>(dollars in millions)</w:t>
            </w:r>
          </w:p>
        </w:tc>
        <w:tc>
          <w:tcPr>
            <w:tcW w:w="1540" w:type="dxa"/>
            <w:vAlign w:val="bottom"/>
            <w:shd w:val="clear" w:color="auto" w:fill="41659C"/>
          </w:tcPr>
          <w:p>
            <w:pPr>
              <w:spacing w:after="0"/>
              <w:rPr>
                <w:sz w:val="14"/>
                <w:szCs w:val="14"/>
                <w:color w:val="auto"/>
              </w:rPr>
            </w:pPr>
          </w:p>
        </w:tc>
      </w:tr>
      <w:tr>
        <w:trPr>
          <w:trHeight w:val="197"/>
        </w:trPr>
        <w:tc>
          <w:tcPr>
            <w:tcW w:w="128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Metric</w:t>
            </w:r>
          </w:p>
        </w:tc>
        <w:tc>
          <w:tcPr>
            <w:tcW w:w="900" w:type="dxa"/>
            <w:vAlign w:val="bottom"/>
            <w:shd w:val="clear" w:color="auto" w:fill="41659C"/>
          </w:tcPr>
          <w:p>
            <w:pPr>
              <w:spacing w:after="0"/>
              <w:rPr>
                <w:sz w:val="17"/>
                <w:szCs w:val="17"/>
                <w:color w:val="auto"/>
              </w:rPr>
            </w:pPr>
          </w:p>
        </w:tc>
        <w:tc>
          <w:tcPr>
            <w:tcW w:w="2620" w:type="dxa"/>
            <w:vAlign w:val="bottom"/>
            <w:shd w:val="clear" w:color="auto" w:fill="41659C"/>
          </w:tcPr>
          <w:p>
            <w:pPr>
              <w:jc w:val="center"/>
              <w:ind w:left="304"/>
              <w:spacing w:after="0"/>
              <w:rPr>
                <w:sz w:val="20"/>
                <w:szCs w:val="20"/>
                <w:color w:val="auto"/>
              </w:rPr>
            </w:pPr>
            <w:r>
              <w:rPr>
                <w:rFonts w:ascii="Arial" w:cs="Arial" w:eastAsia="Arial" w:hAnsi="Arial"/>
                <w:sz w:val="15"/>
                <w:szCs w:val="15"/>
                <w:b w:val="1"/>
                <w:bCs w:val="1"/>
                <w:color w:val="FFFFFF"/>
              </w:rPr>
              <w:t>(50% Payout)</w:t>
            </w:r>
          </w:p>
        </w:tc>
        <w:tc>
          <w:tcPr>
            <w:tcW w:w="2160" w:type="dxa"/>
            <w:vAlign w:val="bottom"/>
            <w:shd w:val="clear" w:color="auto" w:fill="41659C"/>
          </w:tcPr>
          <w:p>
            <w:pPr>
              <w:jc w:val="center"/>
              <w:ind w:right="104"/>
              <w:spacing w:after="0"/>
              <w:rPr>
                <w:sz w:val="20"/>
                <w:szCs w:val="20"/>
                <w:color w:val="auto"/>
              </w:rPr>
            </w:pPr>
            <w:r>
              <w:rPr>
                <w:rFonts w:ascii="Arial" w:cs="Arial" w:eastAsia="Arial" w:hAnsi="Arial"/>
                <w:sz w:val="15"/>
                <w:szCs w:val="15"/>
                <w:b w:val="1"/>
                <w:bCs w:val="1"/>
                <w:color w:val="FFFFFF"/>
              </w:rPr>
              <w:t>(100% Payout)</w:t>
            </w:r>
          </w:p>
        </w:tc>
        <w:tc>
          <w:tcPr>
            <w:tcW w:w="2500" w:type="dxa"/>
            <w:vAlign w:val="bottom"/>
            <w:shd w:val="clear" w:color="auto" w:fill="41659C"/>
          </w:tcPr>
          <w:p>
            <w:pPr>
              <w:jc w:val="right"/>
              <w:ind w:right="524"/>
              <w:spacing w:after="0"/>
              <w:rPr>
                <w:sz w:val="20"/>
                <w:szCs w:val="20"/>
                <w:color w:val="auto"/>
              </w:rPr>
            </w:pPr>
            <w:r>
              <w:rPr>
                <w:rFonts w:ascii="Arial" w:cs="Arial" w:eastAsia="Arial" w:hAnsi="Arial"/>
                <w:sz w:val="15"/>
                <w:szCs w:val="15"/>
                <w:b w:val="1"/>
                <w:bCs w:val="1"/>
                <w:color w:val="FFFFFF"/>
              </w:rPr>
              <w:t>(200% / 120% Payout)</w:t>
            </w:r>
          </w:p>
        </w:tc>
        <w:tc>
          <w:tcPr>
            <w:tcW w:w="1540" w:type="dxa"/>
            <w:vAlign w:val="bottom"/>
            <w:shd w:val="clear" w:color="auto" w:fill="41659C"/>
          </w:tcPr>
          <w:p>
            <w:pPr>
              <w:jc w:val="right"/>
              <w:ind w:right="364"/>
              <w:spacing w:after="0"/>
              <w:rPr>
                <w:sz w:val="20"/>
                <w:szCs w:val="20"/>
                <w:color w:val="auto"/>
              </w:rPr>
            </w:pPr>
            <w:r>
              <w:rPr>
                <w:rFonts w:ascii="Arial" w:cs="Arial" w:eastAsia="Arial" w:hAnsi="Arial"/>
                <w:sz w:val="15"/>
                <w:szCs w:val="15"/>
                <w:b w:val="1"/>
                <w:bCs w:val="1"/>
                <w:color w:val="FFFFFF"/>
              </w:rPr>
              <w:t>Weighting</w:t>
            </w:r>
          </w:p>
        </w:tc>
      </w:tr>
      <w:tr>
        <w:trPr>
          <w:trHeight w:val="162"/>
        </w:trPr>
        <w:tc>
          <w:tcPr>
            <w:tcW w:w="128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Revenue</w:t>
            </w:r>
          </w:p>
        </w:tc>
        <w:tc>
          <w:tcPr>
            <w:tcW w:w="900" w:type="dxa"/>
            <w:vAlign w:val="bottom"/>
            <w:shd w:val="clear" w:color="auto" w:fill="E8EED3"/>
          </w:tcPr>
          <w:p>
            <w:pPr>
              <w:spacing w:after="0"/>
              <w:rPr>
                <w:sz w:val="14"/>
                <w:szCs w:val="14"/>
                <w:color w:val="auto"/>
              </w:rPr>
            </w:pPr>
          </w:p>
        </w:tc>
        <w:tc>
          <w:tcPr>
            <w:tcW w:w="262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309.3</w:t>
            </w:r>
          </w:p>
        </w:tc>
        <w:tc>
          <w:tcPr>
            <w:tcW w:w="2160" w:type="dxa"/>
            <w:vAlign w:val="bottom"/>
            <w:shd w:val="clear" w:color="auto" w:fill="E8EED3"/>
          </w:tcPr>
          <w:p>
            <w:pPr>
              <w:jc w:val="right"/>
              <w:ind w:right="264"/>
              <w:spacing w:after="0" w:line="162" w:lineRule="exact"/>
              <w:rPr>
                <w:sz w:val="20"/>
                <w:szCs w:val="20"/>
                <w:color w:val="auto"/>
              </w:rPr>
            </w:pPr>
            <w:r>
              <w:rPr>
                <w:rFonts w:ascii="Arial" w:cs="Arial" w:eastAsia="Arial" w:hAnsi="Arial"/>
                <w:sz w:val="15"/>
                <w:szCs w:val="15"/>
                <w:color w:val="auto"/>
              </w:rPr>
              <w:t>343.7</w:t>
            </w:r>
          </w:p>
        </w:tc>
        <w:tc>
          <w:tcPr>
            <w:tcW w:w="250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412.4</w:t>
            </w:r>
          </w:p>
        </w:tc>
        <w:tc>
          <w:tcPr>
            <w:tcW w:w="154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33%</w:t>
            </w:r>
          </w:p>
        </w:tc>
      </w:tr>
      <w:tr>
        <w:trPr>
          <w:trHeight w:val="142"/>
        </w:trPr>
        <w:tc>
          <w:tcPr>
            <w:tcW w:w="1280" w:type="dxa"/>
            <w:vAlign w:val="bottom"/>
            <w:tcBorders>
              <w:bottom w:val="single" w:sz="8" w:color="D2DEA7"/>
            </w:tcBorders>
            <w:shd w:val="clear" w:color="auto" w:fill="D2DEA7"/>
          </w:tcPr>
          <w:p>
            <w:pPr>
              <w:ind w:left="80"/>
              <w:spacing w:after="0" w:line="142" w:lineRule="exact"/>
              <w:rPr>
                <w:sz w:val="20"/>
                <w:szCs w:val="20"/>
                <w:color w:val="auto"/>
              </w:rPr>
            </w:pPr>
            <w:r>
              <w:rPr>
                <w:rFonts w:ascii="Arial" w:cs="Arial" w:eastAsia="Arial" w:hAnsi="Arial"/>
                <w:sz w:val="15"/>
                <w:szCs w:val="15"/>
                <w:color w:val="auto"/>
                <w:w w:val="98"/>
              </w:rPr>
              <w:t>Operating Income</w:t>
            </w:r>
          </w:p>
        </w:tc>
        <w:tc>
          <w:tcPr>
            <w:tcW w:w="900" w:type="dxa"/>
            <w:vAlign w:val="bottom"/>
            <w:tcBorders>
              <w:bottom w:val="single" w:sz="8" w:color="D2DEA7"/>
            </w:tcBorders>
            <w:shd w:val="clear" w:color="auto" w:fill="D2DEA7"/>
          </w:tcPr>
          <w:p>
            <w:pPr>
              <w:jc w:val="right"/>
              <w:ind w:right="755"/>
              <w:spacing w:after="0" w:line="135" w:lineRule="exact"/>
              <w:rPr>
                <w:sz w:val="20"/>
                <w:szCs w:val="20"/>
                <w:color w:val="auto"/>
              </w:rPr>
            </w:pPr>
            <w:r>
              <w:rPr>
                <w:rFonts w:ascii="Arial" w:cs="Arial" w:eastAsia="Arial" w:hAnsi="Arial"/>
                <w:sz w:val="13"/>
                <w:szCs w:val="13"/>
                <w:color w:val="auto"/>
                <w:w w:val="82"/>
              </w:rPr>
              <w:t>1</w:t>
            </w:r>
          </w:p>
        </w:tc>
        <w:tc>
          <w:tcPr>
            <w:tcW w:w="2620" w:type="dxa"/>
            <w:vAlign w:val="bottom"/>
            <w:tcBorders>
              <w:bottom w:val="single" w:sz="8" w:color="D2DEA7"/>
            </w:tcBorders>
            <w:shd w:val="clear" w:color="auto" w:fill="D2DEA7"/>
          </w:tcPr>
          <w:p>
            <w:pPr>
              <w:jc w:val="right"/>
              <w:ind w:right="224"/>
              <w:spacing w:after="0" w:line="142" w:lineRule="exact"/>
              <w:rPr>
                <w:sz w:val="20"/>
                <w:szCs w:val="20"/>
                <w:color w:val="auto"/>
              </w:rPr>
            </w:pPr>
            <w:r>
              <w:rPr>
                <w:rFonts w:ascii="Arial" w:cs="Arial" w:eastAsia="Arial" w:hAnsi="Arial"/>
                <w:sz w:val="15"/>
                <w:szCs w:val="15"/>
                <w:color w:val="auto"/>
              </w:rPr>
              <w:t>21.7</w:t>
            </w:r>
          </w:p>
        </w:tc>
        <w:tc>
          <w:tcPr>
            <w:tcW w:w="2160" w:type="dxa"/>
            <w:vAlign w:val="bottom"/>
            <w:tcBorders>
              <w:bottom w:val="single" w:sz="8" w:color="D2DEA7"/>
            </w:tcBorders>
            <w:shd w:val="clear" w:color="auto" w:fill="D2DEA7"/>
          </w:tcPr>
          <w:p>
            <w:pPr>
              <w:jc w:val="right"/>
              <w:ind w:right="264"/>
              <w:spacing w:after="0" w:line="142" w:lineRule="exact"/>
              <w:rPr>
                <w:sz w:val="20"/>
                <w:szCs w:val="20"/>
                <w:color w:val="auto"/>
              </w:rPr>
            </w:pPr>
            <w:r>
              <w:rPr>
                <w:rFonts w:ascii="Arial" w:cs="Arial" w:eastAsia="Arial" w:hAnsi="Arial"/>
                <w:sz w:val="15"/>
                <w:szCs w:val="15"/>
                <w:color w:val="auto"/>
              </w:rPr>
              <w:t>21.7</w:t>
            </w:r>
          </w:p>
        </w:tc>
        <w:tc>
          <w:tcPr>
            <w:tcW w:w="2500" w:type="dxa"/>
            <w:vAlign w:val="bottom"/>
            <w:tcBorders>
              <w:bottom w:val="single" w:sz="8" w:color="D2DEA7"/>
            </w:tcBorders>
            <w:shd w:val="clear" w:color="auto" w:fill="D2DEA7"/>
          </w:tcPr>
          <w:p>
            <w:pPr>
              <w:jc w:val="right"/>
              <w:ind w:right="284"/>
              <w:spacing w:after="0" w:line="142" w:lineRule="exact"/>
              <w:rPr>
                <w:sz w:val="20"/>
                <w:szCs w:val="20"/>
                <w:color w:val="auto"/>
              </w:rPr>
            </w:pPr>
            <w:r>
              <w:rPr>
                <w:rFonts w:ascii="Arial" w:cs="Arial" w:eastAsia="Arial" w:hAnsi="Arial"/>
                <w:sz w:val="15"/>
                <w:szCs w:val="15"/>
                <w:color w:val="auto"/>
              </w:rPr>
              <w:t>28.2</w:t>
            </w:r>
          </w:p>
        </w:tc>
        <w:tc>
          <w:tcPr>
            <w:tcW w:w="1540" w:type="dxa"/>
            <w:vAlign w:val="bottom"/>
            <w:tcBorders>
              <w:bottom w:val="single" w:sz="8" w:color="D2DEA7"/>
            </w:tcBorders>
            <w:shd w:val="clear" w:color="auto" w:fill="D2DEA7"/>
          </w:tcPr>
          <w:p>
            <w:pPr>
              <w:jc w:val="right"/>
              <w:ind w:right="104"/>
              <w:spacing w:after="0" w:line="142" w:lineRule="exact"/>
              <w:rPr>
                <w:sz w:val="20"/>
                <w:szCs w:val="20"/>
                <w:color w:val="auto"/>
              </w:rPr>
            </w:pPr>
            <w:r>
              <w:rPr>
                <w:rFonts w:ascii="Arial" w:cs="Arial" w:eastAsia="Arial" w:hAnsi="Arial"/>
                <w:sz w:val="15"/>
                <w:szCs w:val="15"/>
                <w:color w:val="auto"/>
              </w:rPr>
              <w:t>33%</w:t>
            </w:r>
          </w:p>
        </w:tc>
      </w:tr>
      <w:tr>
        <w:trPr>
          <w:trHeight w:val="162"/>
        </w:trPr>
        <w:tc>
          <w:tcPr>
            <w:tcW w:w="128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Free Cash Flow</w:t>
            </w:r>
          </w:p>
        </w:tc>
        <w:tc>
          <w:tcPr>
            <w:tcW w:w="900" w:type="dxa"/>
            <w:vAlign w:val="bottom"/>
            <w:shd w:val="clear" w:color="auto" w:fill="E8EED3"/>
          </w:tcPr>
          <w:p>
            <w:pPr>
              <w:spacing w:after="0"/>
              <w:rPr>
                <w:sz w:val="14"/>
                <w:szCs w:val="14"/>
                <w:color w:val="auto"/>
              </w:rPr>
            </w:pPr>
          </w:p>
        </w:tc>
        <w:tc>
          <w:tcPr>
            <w:tcW w:w="262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17.2</w:t>
            </w:r>
          </w:p>
        </w:tc>
        <w:tc>
          <w:tcPr>
            <w:tcW w:w="2160" w:type="dxa"/>
            <w:vAlign w:val="bottom"/>
            <w:shd w:val="clear" w:color="auto" w:fill="E8EED3"/>
          </w:tcPr>
          <w:p>
            <w:pPr>
              <w:jc w:val="right"/>
              <w:ind w:right="264"/>
              <w:spacing w:after="0" w:line="162" w:lineRule="exact"/>
              <w:rPr>
                <w:sz w:val="20"/>
                <w:szCs w:val="20"/>
                <w:color w:val="auto"/>
              </w:rPr>
            </w:pPr>
            <w:r>
              <w:rPr>
                <w:rFonts w:ascii="Arial" w:cs="Arial" w:eastAsia="Arial" w:hAnsi="Arial"/>
                <w:sz w:val="15"/>
                <w:szCs w:val="15"/>
                <w:color w:val="auto"/>
              </w:rPr>
              <w:t>19.1</w:t>
            </w:r>
          </w:p>
        </w:tc>
        <w:tc>
          <w:tcPr>
            <w:tcW w:w="250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24.8</w:t>
            </w:r>
          </w:p>
        </w:tc>
        <w:tc>
          <w:tcPr>
            <w:tcW w:w="154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6103620</wp:posOffset>
            </wp:positionH>
            <wp:positionV relativeFrom="paragraph">
              <wp:posOffset>-624840</wp:posOffset>
            </wp:positionV>
            <wp:extent cx="8255" cy="625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62547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-624840</wp:posOffset>
            </wp:positionV>
            <wp:extent cx="8255" cy="625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62547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-624840</wp:posOffset>
            </wp:positionV>
            <wp:extent cx="8255" cy="625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62547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-624840</wp:posOffset>
            </wp:positionV>
            <wp:extent cx="8255" cy="625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625475"/>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noted above, Mr. Gohr’s specified minimum level of operating income is 90% or a threshold of $19.5 million.</w:t>
      </w:r>
    </w:p>
    <w:p>
      <w:pPr>
        <w:spacing w:after="0" w:line="214" w:lineRule="exact"/>
        <w:rPr>
          <w:sz w:val="20"/>
          <w:szCs w:val="20"/>
          <w:color w:val="auto"/>
        </w:rPr>
      </w:pPr>
    </w:p>
    <w:p>
      <w:pPr>
        <w:ind w:left="220" w:right="160"/>
        <w:spacing w:after="0" w:line="249" w:lineRule="auto"/>
        <w:rPr>
          <w:sz w:val="20"/>
          <w:szCs w:val="20"/>
          <w:color w:val="auto"/>
        </w:rPr>
      </w:pPr>
      <w:r>
        <w:rPr>
          <w:rFonts w:ascii="Arial" w:cs="Arial" w:eastAsia="Arial" w:hAnsi="Arial"/>
          <w:sz w:val="16"/>
          <w:szCs w:val="16"/>
          <w:color w:val="auto"/>
        </w:rPr>
        <w:t>If the target level for each performance metric is attained, the cash incentive award is designed to pay out at 100% for that metric. The threshold is the lowest level of payout below which no payment is made for the specific component. If performance for a metric is between the identified threshold and target, or target and maximum, the actual payout is determined based on straight-line mathematical interpolation. Regardless of the actual attainment of any of the individual metrics, the cash incentive awards were designed so that no payout would be made for any named executive officer unless we achieved the specified minimum level of operating income for the performance period (as noted above).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- 17 -</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In early March 2019, our Compensation Committee determined the degree to which the cash incentive award goals for 2018 were achieved. For 2018, the actual achievements for the specific performance metrics are set forth below. The “Achievement Percentage” indicates the performance for that metric as compared to the target. The “Payout Percentage” for each metric is determined based on the applicable interpolation of the achievement between the threshold and target, or target and maximum, levels. Mr. Gohr had a different Payout Percentage for operating income and free cash flow, since his maximum payout opportunity for each metric was 120% of target. After giving equal weighting to each metric, the total payout as a percentage of target was determined.</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600" w:type="dxa"/>
            <w:vAlign w:val="bottom"/>
            <w:shd w:val="clear" w:color="auto" w:fill="41659C"/>
          </w:tcPr>
          <w:p>
            <w:pPr>
              <w:spacing w:after="0"/>
              <w:rPr>
                <w:sz w:val="14"/>
                <w:szCs w:val="14"/>
                <w:color w:val="auto"/>
              </w:rPr>
            </w:pPr>
          </w:p>
        </w:tc>
        <w:tc>
          <w:tcPr>
            <w:tcW w:w="2440" w:type="dxa"/>
            <w:vAlign w:val="bottom"/>
            <w:shd w:val="clear" w:color="auto" w:fill="41659C"/>
          </w:tcPr>
          <w:p>
            <w:pPr>
              <w:jc w:val="right"/>
              <w:ind w:right="604"/>
              <w:spacing w:after="0"/>
              <w:rPr>
                <w:sz w:val="20"/>
                <w:szCs w:val="20"/>
                <w:color w:val="auto"/>
              </w:rPr>
            </w:pPr>
            <w:r>
              <w:rPr>
                <w:rFonts w:ascii="Arial" w:cs="Arial" w:eastAsia="Arial" w:hAnsi="Arial"/>
                <w:sz w:val="15"/>
                <w:szCs w:val="15"/>
                <w:b w:val="1"/>
                <w:bCs w:val="1"/>
                <w:color w:val="FFFFFF"/>
              </w:rPr>
              <w:t>Achievement</w:t>
            </w:r>
          </w:p>
        </w:tc>
        <w:tc>
          <w:tcPr>
            <w:tcW w:w="2180" w:type="dxa"/>
            <w:vAlign w:val="bottom"/>
            <w:shd w:val="clear" w:color="auto" w:fill="41659C"/>
          </w:tcPr>
          <w:p>
            <w:pPr>
              <w:jc w:val="right"/>
              <w:ind w:right="784"/>
              <w:spacing w:after="0"/>
              <w:rPr>
                <w:sz w:val="20"/>
                <w:szCs w:val="20"/>
                <w:color w:val="auto"/>
              </w:rPr>
            </w:pPr>
            <w:r>
              <w:rPr>
                <w:rFonts w:ascii="Arial" w:cs="Arial" w:eastAsia="Arial" w:hAnsi="Arial"/>
                <w:sz w:val="15"/>
                <w:szCs w:val="15"/>
                <w:b w:val="1"/>
                <w:bCs w:val="1"/>
                <w:color w:val="FFFFFF"/>
              </w:rPr>
              <w:t>Achievement</w:t>
            </w:r>
          </w:p>
        </w:tc>
        <w:tc>
          <w:tcPr>
            <w:tcW w:w="1480" w:type="dxa"/>
            <w:vAlign w:val="bottom"/>
            <w:gridSpan w:val="2"/>
            <w:shd w:val="clear" w:color="auto" w:fill="41659C"/>
          </w:tcPr>
          <w:p>
            <w:pPr>
              <w:jc w:val="right"/>
              <w:ind w:right="24"/>
              <w:spacing w:after="0"/>
              <w:rPr>
                <w:sz w:val="20"/>
                <w:szCs w:val="20"/>
                <w:color w:val="auto"/>
              </w:rPr>
            </w:pPr>
            <w:r>
              <w:rPr>
                <w:rFonts w:ascii="Arial" w:cs="Arial" w:eastAsia="Arial" w:hAnsi="Arial"/>
                <w:sz w:val="15"/>
                <w:szCs w:val="15"/>
                <w:b w:val="1"/>
                <w:bCs w:val="1"/>
                <w:color w:val="FFFFFF"/>
              </w:rPr>
              <w:t>Payout Percentage</w:t>
            </w:r>
          </w:p>
        </w:tc>
        <w:tc>
          <w:tcPr>
            <w:tcW w:w="620" w:type="dxa"/>
            <w:vAlign w:val="bottom"/>
            <w:shd w:val="clear" w:color="auto" w:fill="41659C"/>
          </w:tcPr>
          <w:p>
            <w:pPr>
              <w:spacing w:after="0"/>
              <w:rPr>
                <w:sz w:val="14"/>
                <w:szCs w:val="14"/>
                <w:color w:val="auto"/>
              </w:rPr>
            </w:pPr>
          </w:p>
        </w:tc>
        <w:tc>
          <w:tcPr>
            <w:tcW w:w="1680" w:type="dxa"/>
            <w:vAlign w:val="bottom"/>
            <w:gridSpan w:val="3"/>
            <w:shd w:val="clear" w:color="auto" w:fill="41659C"/>
          </w:tcPr>
          <w:p>
            <w:pPr>
              <w:jc w:val="right"/>
              <w:ind w:right="300"/>
              <w:spacing w:after="0"/>
              <w:rPr>
                <w:sz w:val="20"/>
                <w:szCs w:val="20"/>
                <w:color w:val="auto"/>
              </w:rPr>
            </w:pPr>
            <w:r>
              <w:rPr>
                <w:rFonts w:ascii="Arial" w:cs="Arial" w:eastAsia="Arial" w:hAnsi="Arial"/>
                <w:sz w:val="15"/>
                <w:szCs w:val="15"/>
                <w:b w:val="1"/>
                <w:bCs w:val="1"/>
                <w:color w:val="FFFFFF"/>
              </w:rPr>
              <w:t>Payout Percentage</w:t>
            </w:r>
          </w:p>
        </w:tc>
      </w:tr>
      <w:tr>
        <w:trPr>
          <w:trHeight w:val="197"/>
        </w:trPr>
        <w:tc>
          <w:tcPr>
            <w:tcW w:w="260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Metric</w:t>
            </w:r>
          </w:p>
        </w:tc>
        <w:tc>
          <w:tcPr>
            <w:tcW w:w="2440" w:type="dxa"/>
            <w:vAlign w:val="bottom"/>
            <w:shd w:val="clear" w:color="auto" w:fill="41659C"/>
          </w:tcPr>
          <w:p>
            <w:pPr>
              <w:jc w:val="right"/>
              <w:ind w:right="364"/>
              <w:spacing w:after="0"/>
              <w:rPr>
                <w:sz w:val="20"/>
                <w:szCs w:val="20"/>
                <w:color w:val="auto"/>
              </w:rPr>
            </w:pPr>
            <w:r>
              <w:rPr>
                <w:rFonts w:ascii="Arial" w:cs="Arial" w:eastAsia="Arial" w:hAnsi="Arial"/>
                <w:sz w:val="15"/>
                <w:szCs w:val="15"/>
                <w:b w:val="1"/>
                <w:bCs w:val="1"/>
                <w:color w:val="FFFFFF"/>
              </w:rPr>
              <w:t>(dollars in millions)</w:t>
            </w:r>
          </w:p>
        </w:tc>
        <w:tc>
          <w:tcPr>
            <w:tcW w:w="2180" w:type="dxa"/>
            <w:vAlign w:val="bottom"/>
            <w:shd w:val="clear" w:color="auto" w:fill="41659C"/>
          </w:tcPr>
          <w:p>
            <w:pPr>
              <w:jc w:val="right"/>
              <w:ind w:right="864"/>
              <w:spacing w:after="0"/>
              <w:rPr>
                <w:sz w:val="20"/>
                <w:szCs w:val="20"/>
                <w:color w:val="auto"/>
              </w:rPr>
            </w:pPr>
            <w:r>
              <w:rPr>
                <w:rFonts w:ascii="Arial" w:cs="Arial" w:eastAsia="Arial" w:hAnsi="Arial"/>
                <w:sz w:val="15"/>
                <w:szCs w:val="15"/>
                <w:b w:val="1"/>
                <w:bCs w:val="1"/>
                <w:color w:val="FFFFFF"/>
              </w:rPr>
              <w:t>Percentage</w:t>
            </w:r>
          </w:p>
        </w:tc>
        <w:tc>
          <w:tcPr>
            <w:tcW w:w="1480" w:type="dxa"/>
            <w:vAlign w:val="bottom"/>
            <w:gridSpan w:val="2"/>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for CEO &amp; CFO</w:t>
            </w:r>
          </w:p>
        </w:tc>
        <w:tc>
          <w:tcPr>
            <w:tcW w:w="620" w:type="dxa"/>
            <w:vAlign w:val="bottom"/>
            <w:shd w:val="clear" w:color="auto" w:fill="41659C"/>
          </w:tcPr>
          <w:p>
            <w:pPr>
              <w:spacing w:after="0"/>
              <w:rPr>
                <w:sz w:val="17"/>
                <w:szCs w:val="17"/>
                <w:color w:val="auto"/>
              </w:rPr>
            </w:pPr>
          </w:p>
        </w:tc>
        <w:tc>
          <w:tcPr>
            <w:tcW w:w="1680" w:type="dxa"/>
            <w:vAlign w:val="bottom"/>
            <w:gridSpan w:val="3"/>
            <w:shd w:val="clear" w:color="auto" w:fill="41659C"/>
          </w:tcPr>
          <w:p>
            <w:pPr>
              <w:jc w:val="right"/>
              <w:ind w:right="560"/>
              <w:spacing w:after="0"/>
              <w:rPr>
                <w:sz w:val="20"/>
                <w:szCs w:val="20"/>
                <w:color w:val="auto"/>
              </w:rPr>
            </w:pPr>
            <w:r>
              <w:rPr>
                <w:rFonts w:ascii="Arial" w:cs="Arial" w:eastAsia="Arial" w:hAnsi="Arial"/>
                <w:sz w:val="15"/>
                <w:szCs w:val="15"/>
                <w:b w:val="1"/>
                <w:bCs w:val="1"/>
                <w:color w:val="FFFFFF"/>
              </w:rPr>
              <w:t>for Mr. Gohr</w:t>
            </w:r>
          </w:p>
        </w:tc>
      </w:tr>
      <w:tr>
        <w:trPr>
          <w:trHeight w:val="162"/>
        </w:trPr>
        <w:tc>
          <w:tcPr>
            <w:tcW w:w="260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Revenue</w:t>
            </w:r>
          </w:p>
        </w:tc>
        <w:tc>
          <w:tcPr>
            <w:tcW w:w="244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337.3</w:t>
            </w:r>
          </w:p>
        </w:tc>
        <w:tc>
          <w:tcPr>
            <w:tcW w:w="2180" w:type="dxa"/>
            <w:vAlign w:val="bottom"/>
            <w:shd w:val="clear" w:color="auto" w:fill="E8EED3"/>
          </w:tcPr>
          <w:p>
            <w:pPr>
              <w:jc w:val="right"/>
              <w:ind w:right="444"/>
              <w:spacing w:after="0" w:line="162" w:lineRule="exact"/>
              <w:rPr>
                <w:sz w:val="20"/>
                <w:szCs w:val="20"/>
                <w:color w:val="auto"/>
              </w:rPr>
            </w:pPr>
            <w:r>
              <w:rPr>
                <w:rFonts w:ascii="Arial" w:cs="Arial" w:eastAsia="Arial" w:hAnsi="Arial"/>
                <w:sz w:val="15"/>
                <w:szCs w:val="15"/>
                <w:color w:val="auto"/>
              </w:rPr>
              <w:t>98%</w:t>
            </w:r>
          </w:p>
        </w:tc>
        <w:tc>
          <w:tcPr>
            <w:tcW w:w="880" w:type="dxa"/>
            <w:vAlign w:val="bottom"/>
            <w:shd w:val="clear" w:color="auto" w:fill="E8EED3"/>
          </w:tcPr>
          <w:p>
            <w:pPr>
              <w:spacing w:after="0"/>
              <w:rPr>
                <w:sz w:val="14"/>
                <w:szCs w:val="14"/>
                <w:color w:val="auto"/>
              </w:rPr>
            </w:pPr>
          </w:p>
        </w:tc>
        <w:tc>
          <w:tcPr>
            <w:tcW w:w="600" w:type="dxa"/>
            <w:vAlign w:val="bottom"/>
            <w:shd w:val="clear" w:color="auto" w:fill="E8EED3"/>
          </w:tcPr>
          <w:p>
            <w:pPr>
              <w:jc w:val="right"/>
              <w:spacing w:after="0" w:line="162" w:lineRule="exact"/>
              <w:rPr>
                <w:sz w:val="20"/>
                <w:szCs w:val="20"/>
                <w:color w:val="auto"/>
              </w:rPr>
            </w:pPr>
            <w:r>
              <w:rPr>
                <w:rFonts w:ascii="Arial" w:cs="Arial" w:eastAsia="Arial" w:hAnsi="Arial"/>
                <w:sz w:val="15"/>
                <w:szCs w:val="15"/>
                <w:color w:val="auto"/>
              </w:rPr>
              <w:t>90%</w:t>
            </w:r>
          </w:p>
        </w:tc>
        <w:tc>
          <w:tcPr>
            <w:tcW w:w="620" w:type="dxa"/>
            <w:vAlign w:val="bottom"/>
            <w:shd w:val="clear" w:color="auto" w:fill="E8EED3"/>
          </w:tcPr>
          <w:p>
            <w:pPr>
              <w:spacing w:after="0"/>
              <w:rPr>
                <w:sz w:val="14"/>
                <w:szCs w:val="14"/>
                <w:color w:val="auto"/>
              </w:rPr>
            </w:pPr>
          </w:p>
        </w:tc>
        <w:tc>
          <w:tcPr>
            <w:tcW w:w="860" w:type="dxa"/>
            <w:vAlign w:val="bottom"/>
            <w:shd w:val="clear" w:color="auto" w:fill="E8EED3"/>
          </w:tcPr>
          <w:p>
            <w:pPr>
              <w:spacing w:after="0"/>
              <w:rPr>
                <w:sz w:val="14"/>
                <w:szCs w:val="14"/>
                <w:color w:val="auto"/>
              </w:rPr>
            </w:pPr>
          </w:p>
        </w:tc>
        <w:tc>
          <w:tcPr>
            <w:tcW w:w="820" w:type="dxa"/>
            <w:vAlign w:val="bottom"/>
            <w:gridSpan w:val="2"/>
            <w:shd w:val="clear" w:color="auto" w:fill="E8EED3"/>
          </w:tcPr>
          <w:p>
            <w:pPr>
              <w:jc w:val="right"/>
              <w:ind w:right="220"/>
              <w:spacing w:after="0" w:line="162" w:lineRule="exact"/>
              <w:rPr>
                <w:sz w:val="20"/>
                <w:szCs w:val="20"/>
                <w:color w:val="auto"/>
              </w:rPr>
            </w:pPr>
            <w:r>
              <w:rPr>
                <w:rFonts w:ascii="Arial" w:cs="Arial" w:eastAsia="Arial" w:hAnsi="Arial"/>
                <w:sz w:val="15"/>
                <w:szCs w:val="15"/>
                <w:color w:val="auto"/>
              </w:rPr>
              <w:t>90%</w:t>
            </w:r>
          </w:p>
        </w:tc>
      </w:tr>
      <w:tr>
        <w:trPr>
          <w:trHeight w:val="162"/>
        </w:trPr>
        <w:tc>
          <w:tcPr>
            <w:tcW w:w="260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Operating Income</w:t>
            </w:r>
          </w:p>
        </w:tc>
        <w:tc>
          <w:tcPr>
            <w:tcW w:w="2440" w:type="dxa"/>
            <w:vAlign w:val="bottom"/>
            <w:shd w:val="clear" w:color="auto" w:fill="D2DEA7"/>
          </w:tcPr>
          <w:p>
            <w:pPr>
              <w:jc w:val="right"/>
              <w:ind w:right="284"/>
              <w:spacing w:after="0" w:line="162" w:lineRule="exact"/>
              <w:rPr>
                <w:sz w:val="20"/>
                <w:szCs w:val="20"/>
                <w:color w:val="auto"/>
              </w:rPr>
            </w:pPr>
            <w:r>
              <w:rPr>
                <w:rFonts w:ascii="Arial" w:cs="Arial" w:eastAsia="Arial" w:hAnsi="Arial"/>
                <w:sz w:val="15"/>
                <w:szCs w:val="15"/>
                <w:color w:val="auto"/>
              </w:rPr>
              <w:t>24.1</w:t>
            </w:r>
          </w:p>
        </w:tc>
        <w:tc>
          <w:tcPr>
            <w:tcW w:w="2180" w:type="dxa"/>
            <w:vAlign w:val="bottom"/>
            <w:shd w:val="clear" w:color="auto" w:fill="D2DEA7"/>
          </w:tcPr>
          <w:p>
            <w:pPr>
              <w:jc w:val="right"/>
              <w:ind w:right="444"/>
              <w:spacing w:after="0" w:line="162" w:lineRule="exact"/>
              <w:rPr>
                <w:sz w:val="20"/>
                <w:szCs w:val="20"/>
                <w:color w:val="auto"/>
              </w:rPr>
            </w:pPr>
            <w:r>
              <w:rPr>
                <w:rFonts w:ascii="Arial" w:cs="Arial" w:eastAsia="Arial" w:hAnsi="Arial"/>
                <w:sz w:val="15"/>
                <w:szCs w:val="15"/>
                <w:color w:val="auto"/>
              </w:rPr>
              <w:t>111%</w:t>
            </w:r>
          </w:p>
        </w:tc>
        <w:tc>
          <w:tcPr>
            <w:tcW w:w="880" w:type="dxa"/>
            <w:vAlign w:val="bottom"/>
            <w:shd w:val="clear" w:color="auto" w:fill="D2DEA7"/>
          </w:tcPr>
          <w:p>
            <w:pPr>
              <w:spacing w:after="0"/>
              <w:rPr>
                <w:sz w:val="14"/>
                <w:szCs w:val="14"/>
                <w:color w:val="auto"/>
              </w:rPr>
            </w:pPr>
          </w:p>
        </w:tc>
        <w:tc>
          <w:tcPr>
            <w:tcW w:w="600" w:type="dxa"/>
            <w:vAlign w:val="bottom"/>
            <w:shd w:val="clear" w:color="auto" w:fill="D2DEA7"/>
          </w:tcPr>
          <w:p>
            <w:pPr>
              <w:jc w:val="right"/>
              <w:spacing w:after="0" w:line="162" w:lineRule="exact"/>
              <w:rPr>
                <w:sz w:val="20"/>
                <w:szCs w:val="20"/>
                <w:color w:val="auto"/>
              </w:rPr>
            </w:pPr>
            <w:r>
              <w:rPr>
                <w:rFonts w:ascii="Arial" w:cs="Arial" w:eastAsia="Arial" w:hAnsi="Arial"/>
                <w:sz w:val="15"/>
                <w:szCs w:val="15"/>
                <w:color w:val="auto"/>
              </w:rPr>
              <w:t>137%</w:t>
            </w:r>
          </w:p>
        </w:tc>
        <w:tc>
          <w:tcPr>
            <w:tcW w:w="620" w:type="dxa"/>
            <w:vAlign w:val="bottom"/>
            <w:shd w:val="clear" w:color="auto" w:fill="D2DEA7"/>
          </w:tcPr>
          <w:p>
            <w:pPr>
              <w:spacing w:after="0"/>
              <w:rPr>
                <w:sz w:val="14"/>
                <w:szCs w:val="14"/>
                <w:color w:val="auto"/>
              </w:rPr>
            </w:pPr>
          </w:p>
        </w:tc>
        <w:tc>
          <w:tcPr>
            <w:tcW w:w="860" w:type="dxa"/>
            <w:vAlign w:val="bottom"/>
            <w:shd w:val="clear" w:color="auto" w:fill="D2DEA7"/>
          </w:tcPr>
          <w:p>
            <w:pPr>
              <w:spacing w:after="0"/>
              <w:rPr>
                <w:sz w:val="14"/>
                <w:szCs w:val="14"/>
                <w:color w:val="auto"/>
              </w:rPr>
            </w:pPr>
          </w:p>
        </w:tc>
        <w:tc>
          <w:tcPr>
            <w:tcW w:w="820" w:type="dxa"/>
            <w:vAlign w:val="bottom"/>
            <w:gridSpan w:val="2"/>
            <w:shd w:val="clear" w:color="auto" w:fill="D2DEA7"/>
          </w:tcPr>
          <w:p>
            <w:pPr>
              <w:jc w:val="right"/>
              <w:ind w:right="220"/>
              <w:spacing w:after="0" w:line="162" w:lineRule="exact"/>
              <w:rPr>
                <w:sz w:val="20"/>
                <w:szCs w:val="20"/>
                <w:color w:val="auto"/>
              </w:rPr>
            </w:pPr>
            <w:r>
              <w:rPr>
                <w:rFonts w:ascii="Arial" w:cs="Arial" w:eastAsia="Arial" w:hAnsi="Arial"/>
                <w:sz w:val="15"/>
                <w:szCs w:val="15"/>
                <w:color w:val="auto"/>
              </w:rPr>
              <w:t>107%</w:t>
            </w:r>
          </w:p>
        </w:tc>
      </w:tr>
      <w:tr>
        <w:trPr>
          <w:trHeight w:val="162"/>
        </w:trPr>
        <w:tc>
          <w:tcPr>
            <w:tcW w:w="260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Free Cash Flow</w:t>
            </w:r>
          </w:p>
        </w:tc>
        <w:tc>
          <w:tcPr>
            <w:tcW w:w="2440" w:type="dxa"/>
            <w:vAlign w:val="bottom"/>
            <w:shd w:val="clear" w:color="auto" w:fill="E8EED3"/>
          </w:tcPr>
          <w:p>
            <w:pPr>
              <w:jc w:val="right"/>
              <w:ind w:right="284"/>
              <w:spacing w:after="0" w:line="162" w:lineRule="exact"/>
              <w:rPr>
                <w:sz w:val="20"/>
                <w:szCs w:val="20"/>
                <w:color w:val="auto"/>
              </w:rPr>
            </w:pPr>
            <w:r>
              <w:rPr>
                <w:rFonts w:ascii="Arial" w:cs="Arial" w:eastAsia="Arial" w:hAnsi="Arial"/>
                <w:sz w:val="15"/>
                <w:szCs w:val="15"/>
                <w:color w:val="auto"/>
              </w:rPr>
              <w:t>21.7</w:t>
            </w:r>
          </w:p>
        </w:tc>
        <w:tc>
          <w:tcPr>
            <w:tcW w:w="2180" w:type="dxa"/>
            <w:vAlign w:val="bottom"/>
            <w:shd w:val="clear" w:color="auto" w:fill="E8EED3"/>
          </w:tcPr>
          <w:p>
            <w:pPr>
              <w:jc w:val="right"/>
              <w:ind w:right="444"/>
              <w:spacing w:after="0" w:line="162" w:lineRule="exact"/>
              <w:rPr>
                <w:sz w:val="20"/>
                <w:szCs w:val="20"/>
                <w:color w:val="auto"/>
              </w:rPr>
            </w:pPr>
            <w:r>
              <w:rPr>
                <w:rFonts w:ascii="Arial" w:cs="Arial" w:eastAsia="Arial" w:hAnsi="Arial"/>
                <w:sz w:val="15"/>
                <w:szCs w:val="15"/>
                <w:color w:val="auto"/>
              </w:rPr>
              <w:t>114%</w:t>
            </w:r>
          </w:p>
        </w:tc>
        <w:tc>
          <w:tcPr>
            <w:tcW w:w="880" w:type="dxa"/>
            <w:vAlign w:val="bottom"/>
            <w:shd w:val="clear" w:color="auto" w:fill="E8EED3"/>
          </w:tcPr>
          <w:p>
            <w:pPr>
              <w:spacing w:after="0"/>
              <w:rPr>
                <w:sz w:val="14"/>
                <w:szCs w:val="14"/>
                <w:color w:val="auto"/>
              </w:rPr>
            </w:pPr>
          </w:p>
        </w:tc>
        <w:tc>
          <w:tcPr>
            <w:tcW w:w="600" w:type="dxa"/>
            <w:vAlign w:val="bottom"/>
            <w:shd w:val="clear" w:color="auto" w:fill="E8EED3"/>
          </w:tcPr>
          <w:p>
            <w:pPr>
              <w:jc w:val="right"/>
              <w:spacing w:after="0" w:line="162" w:lineRule="exact"/>
              <w:rPr>
                <w:sz w:val="20"/>
                <w:szCs w:val="20"/>
                <w:color w:val="auto"/>
              </w:rPr>
            </w:pPr>
            <w:r>
              <w:rPr>
                <w:rFonts w:ascii="Arial" w:cs="Arial" w:eastAsia="Arial" w:hAnsi="Arial"/>
                <w:sz w:val="15"/>
                <w:szCs w:val="15"/>
                <w:color w:val="auto"/>
              </w:rPr>
              <w:t>146%</w:t>
            </w:r>
          </w:p>
        </w:tc>
        <w:tc>
          <w:tcPr>
            <w:tcW w:w="620" w:type="dxa"/>
            <w:vAlign w:val="bottom"/>
            <w:shd w:val="clear" w:color="auto" w:fill="E8EED3"/>
          </w:tcPr>
          <w:p>
            <w:pPr>
              <w:spacing w:after="0"/>
              <w:rPr>
                <w:sz w:val="14"/>
                <w:szCs w:val="14"/>
                <w:color w:val="auto"/>
              </w:rPr>
            </w:pPr>
          </w:p>
        </w:tc>
        <w:tc>
          <w:tcPr>
            <w:tcW w:w="860" w:type="dxa"/>
            <w:vAlign w:val="bottom"/>
            <w:shd w:val="clear" w:color="auto" w:fill="E8EED3"/>
          </w:tcPr>
          <w:p>
            <w:pPr>
              <w:spacing w:after="0"/>
              <w:rPr>
                <w:sz w:val="14"/>
                <w:szCs w:val="14"/>
                <w:color w:val="auto"/>
              </w:rPr>
            </w:pPr>
          </w:p>
        </w:tc>
        <w:tc>
          <w:tcPr>
            <w:tcW w:w="820" w:type="dxa"/>
            <w:vAlign w:val="bottom"/>
            <w:gridSpan w:val="2"/>
            <w:shd w:val="clear" w:color="auto" w:fill="E8EED3"/>
          </w:tcPr>
          <w:p>
            <w:pPr>
              <w:jc w:val="right"/>
              <w:ind w:right="220"/>
              <w:spacing w:after="0" w:line="162" w:lineRule="exact"/>
              <w:rPr>
                <w:sz w:val="20"/>
                <w:szCs w:val="20"/>
                <w:color w:val="auto"/>
              </w:rPr>
            </w:pPr>
            <w:r>
              <w:rPr>
                <w:rFonts w:ascii="Arial" w:cs="Arial" w:eastAsia="Arial" w:hAnsi="Arial"/>
                <w:sz w:val="15"/>
                <w:szCs w:val="15"/>
                <w:color w:val="auto"/>
              </w:rPr>
              <w:t>110%</w:t>
            </w:r>
          </w:p>
        </w:tc>
      </w:tr>
      <w:tr>
        <w:trPr>
          <w:trHeight w:val="27"/>
        </w:trPr>
        <w:tc>
          <w:tcPr>
            <w:tcW w:w="2600" w:type="dxa"/>
            <w:vAlign w:val="bottom"/>
            <w:shd w:val="clear" w:color="auto" w:fill="E8EED3"/>
          </w:tcPr>
          <w:p>
            <w:pPr>
              <w:spacing w:after="0"/>
              <w:rPr>
                <w:sz w:val="2"/>
                <w:szCs w:val="2"/>
                <w:color w:val="auto"/>
              </w:rPr>
            </w:pPr>
          </w:p>
        </w:tc>
        <w:tc>
          <w:tcPr>
            <w:tcW w:w="2440" w:type="dxa"/>
            <w:vAlign w:val="bottom"/>
            <w:shd w:val="clear" w:color="auto" w:fill="E8EED3"/>
          </w:tcPr>
          <w:p>
            <w:pPr>
              <w:spacing w:after="0"/>
              <w:rPr>
                <w:sz w:val="2"/>
                <w:szCs w:val="2"/>
                <w:color w:val="auto"/>
              </w:rPr>
            </w:pPr>
          </w:p>
        </w:tc>
        <w:tc>
          <w:tcPr>
            <w:tcW w:w="2180" w:type="dxa"/>
            <w:vAlign w:val="bottom"/>
            <w:shd w:val="clear" w:color="auto" w:fill="E8EED3"/>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shd w:val="clear" w:color="auto" w:fill="E8EED3"/>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E8EED3"/>
          </w:tcPr>
          <w:p>
            <w:pPr>
              <w:spacing w:after="0"/>
              <w:rPr>
                <w:sz w:val="2"/>
                <w:szCs w:val="2"/>
                <w:color w:val="auto"/>
              </w:rPr>
            </w:pPr>
          </w:p>
        </w:tc>
      </w:tr>
      <w:tr>
        <w:trPr>
          <w:trHeight w:val="162"/>
        </w:trPr>
        <w:tc>
          <w:tcPr>
            <w:tcW w:w="2600" w:type="dxa"/>
            <w:vAlign w:val="bottom"/>
            <w:shd w:val="clear" w:color="auto" w:fill="D2DEA7"/>
          </w:tcPr>
          <w:p>
            <w:pPr>
              <w:ind w:left="60"/>
              <w:spacing w:after="0" w:line="162" w:lineRule="exact"/>
              <w:rPr>
                <w:sz w:val="20"/>
                <w:szCs w:val="20"/>
                <w:color w:val="auto"/>
              </w:rPr>
            </w:pPr>
            <w:r>
              <w:rPr>
                <w:rFonts w:ascii="Arial" w:cs="Arial" w:eastAsia="Arial" w:hAnsi="Arial"/>
                <w:sz w:val="15"/>
                <w:szCs w:val="15"/>
                <w:color w:val="auto"/>
              </w:rPr>
              <w:t>Aggregate Percentage</w:t>
            </w:r>
          </w:p>
        </w:tc>
        <w:tc>
          <w:tcPr>
            <w:tcW w:w="2440" w:type="dxa"/>
            <w:vAlign w:val="bottom"/>
            <w:shd w:val="clear" w:color="auto" w:fill="D2DEA7"/>
          </w:tcPr>
          <w:p>
            <w:pPr>
              <w:spacing w:after="0"/>
              <w:rPr>
                <w:sz w:val="14"/>
                <w:szCs w:val="14"/>
                <w:color w:val="auto"/>
              </w:rPr>
            </w:pPr>
          </w:p>
        </w:tc>
        <w:tc>
          <w:tcPr>
            <w:tcW w:w="2180" w:type="dxa"/>
            <w:vAlign w:val="bottom"/>
            <w:shd w:val="clear" w:color="auto" w:fill="D2DEA7"/>
          </w:tcPr>
          <w:p>
            <w:pPr>
              <w:spacing w:after="0"/>
              <w:rPr>
                <w:sz w:val="14"/>
                <w:szCs w:val="14"/>
                <w:color w:val="auto"/>
              </w:rPr>
            </w:pPr>
          </w:p>
        </w:tc>
        <w:tc>
          <w:tcPr>
            <w:tcW w:w="880" w:type="dxa"/>
            <w:vAlign w:val="bottom"/>
            <w:shd w:val="clear" w:color="auto" w:fill="D2DEA7"/>
          </w:tcPr>
          <w:p>
            <w:pPr>
              <w:spacing w:after="0"/>
              <w:rPr>
                <w:sz w:val="14"/>
                <w:szCs w:val="14"/>
                <w:color w:val="auto"/>
              </w:rPr>
            </w:pPr>
          </w:p>
        </w:tc>
        <w:tc>
          <w:tcPr>
            <w:tcW w:w="600" w:type="dxa"/>
            <w:vAlign w:val="bottom"/>
            <w:shd w:val="clear" w:color="auto" w:fill="D2DEA7"/>
          </w:tcPr>
          <w:p>
            <w:pPr>
              <w:jc w:val="right"/>
              <w:spacing w:after="0" w:line="162" w:lineRule="exact"/>
              <w:rPr>
                <w:sz w:val="20"/>
                <w:szCs w:val="20"/>
                <w:color w:val="auto"/>
              </w:rPr>
            </w:pPr>
            <w:r>
              <w:rPr>
                <w:rFonts w:ascii="Arial" w:cs="Arial" w:eastAsia="Arial" w:hAnsi="Arial"/>
                <w:sz w:val="15"/>
                <w:szCs w:val="15"/>
                <w:color w:val="auto"/>
              </w:rPr>
              <w:t>373%</w:t>
            </w:r>
          </w:p>
        </w:tc>
        <w:tc>
          <w:tcPr>
            <w:tcW w:w="620" w:type="dxa"/>
            <w:vAlign w:val="bottom"/>
            <w:shd w:val="clear" w:color="auto" w:fill="D2DEA7"/>
          </w:tcPr>
          <w:p>
            <w:pPr>
              <w:spacing w:after="0"/>
              <w:rPr>
                <w:sz w:val="14"/>
                <w:szCs w:val="14"/>
                <w:color w:val="auto"/>
              </w:rPr>
            </w:pPr>
          </w:p>
        </w:tc>
        <w:tc>
          <w:tcPr>
            <w:tcW w:w="860" w:type="dxa"/>
            <w:vAlign w:val="bottom"/>
            <w:shd w:val="clear" w:color="auto" w:fill="D2DEA7"/>
          </w:tcPr>
          <w:p>
            <w:pPr>
              <w:spacing w:after="0"/>
              <w:rPr>
                <w:sz w:val="14"/>
                <w:szCs w:val="14"/>
                <w:color w:val="auto"/>
              </w:rPr>
            </w:pPr>
          </w:p>
        </w:tc>
        <w:tc>
          <w:tcPr>
            <w:tcW w:w="820" w:type="dxa"/>
            <w:vAlign w:val="bottom"/>
            <w:gridSpan w:val="2"/>
            <w:shd w:val="clear" w:color="auto" w:fill="D2DEA7"/>
          </w:tcPr>
          <w:p>
            <w:pPr>
              <w:jc w:val="right"/>
              <w:ind w:right="220"/>
              <w:spacing w:after="0" w:line="162" w:lineRule="exact"/>
              <w:rPr>
                <w:sz w:val="20"/>
                <w:szCs w:val="20"/>
                <w:color w:val="auto"/>
              </w:rPr>
            </w:pPr>
            <w:r>
              <w:rPr>
                <w:rFonts w:ascii="Arial" w:cs="Arial" w:eastAsia="Arial" w:hAnsi="Arial"/>
                <w:sz w:val="15"/>
                <w:szCs w:val="15"/>
                <w:color w:val="auto"/>
              </w:rPr>
              <w:t>307%</w:t>
            </w:r>
          </w:p>
        </w:tc>
      </w:tr>
      <w:tr>
        <w:trPr>
          <w:trHeight w:val="169"/>
        </w:trPr>
        <w:tc>
          <w:tcPr>
            <w:tcW w:w="2600" w:type="dxa"/>
            <w:vAlign w:val="bottom"/>
            <w:tcBorders>
              <w:bottom w:val="single" w:sz="8" w:color="E8EED3"/>
            </w:tcBorders>
            <w:shd w:val="clear" w:color="auto" w:fill="E8EED3"/>
          </w:tcPr>
          <w:p>
            <w:pPr>
              <w:ind w:left="60"/>
              <w:spacing w:after="0" w:line="162" w:lineRule="exact"/>
              <w:rPr>
                <w:sz w:val="20"/>
                <w:szCs w:val="20"/>
                <w:color w:val="auto"/>
              </w:rPr>
            </w:pPr>
            <w:r>
              <w:rPr>
                <w:rFonts w:ascii="Arial" w:cs="Arial" w:eastAsia="Arial" w:hAnsi="Arial"/>
                <w:sz w:val="15"/>
                <w:szCs w:val="15"/>
                <w:color w:val="auto"/>
              </w:rPr>
              <w:t>Average</w:t>
            </w:r>
          </w:p>
        </w:tc>
        <w:tc>
          <w:tcPr>
            <w:tcW w:w="2440" w:type="dxa"/>
            <w:vAlign w:val="bottom"/>
            <w:tcBorders>
              <w:bottom w:val="single" w:sz="8" w:color="E8EED3"/>
            </w:tcBorders>
            <w:shd w:val="clear" w:color="auto" w:fill="E8EED3"/>
          </w:tcPr>
          <w:p>
            <w:pPr>
              <w:spacing w:after="0"/>
              <w:rPr>
                <w:sz w:val="14"/>
                <w:szCs w:val="14"/>
                <w:color w:val="auto"/>
              </w:rPr>
            </w:pPr>
          </w:p>
        </w:tc>
        <w:tc>
          <w:tcPr>
            <w:tcW w:w="2180" w:type="dxa"/>
            <w:vAlign w:val="bottom"/>
            <w:tcBorders>
              <w:bottom w:val="single" w:sz="8" w:color="E8EED3"/>
            </w:tcBorders>
            <w:shd w:val="clear" w:color="auto" w:fill="E8EED3"/>
          </w:tcPr>
          <w:p>
            <w:pPr>
              <w:spacing w:after="0"/>
              <w:rPr>
                <w:sz w:val="14"/>
                <w:szCs w:val="14"/>
                <w:color w:val="auto"/>
              </w:rPr>
            </w:pPr>
          </w:p>
        </w:tc>
        <w:tc>
          <w:tcPr>
            <w:tcW w:w="880" w:type="dxa"/>
            <w:vAlign w:val="bottom"/>
            <w:tcBorders>
              <w:bottom w:val="single" w:sz="8" w:color="auto"/>
            </w:tcBorders>
            <w:shd w:val="clear" w:color="auto" w:fill="E8EED3"/>
          </w:tcPr>
          <w:p>
            <w:pPr>
              <w:ind w:left="640"/>
              <w:spacing w:after="0" w:line="162" w:lineRule="exact"/>
              <w:rPr>
                <w:sz w:val="20"/>
                <w:szCs w:val="20"/>
                <w:color w:val="auto"/>
              </w:rPr>
            </w:pPr>
            <w:r>
              <w:rPr>
                <w:rFonts w:ascii="Arial" w:cs="Arial" w:eastAsia="Arial" w:hAnsi="Arial"/>
                <w:sz w:val="15"/>
                <w:szCs w:val="15"/>
                <w:color w:val="auto"/>
              </w:rPr>
              <w:t>x</w:t>
            </w:r>
          </w:p>
        </w:tc>
        <w:tc>
          <w:tcPr>
            <w:tcW w:w="600" w:type="dxa"/>
            <w:vAlign w:val="bottom"/>
            <w:tcBorders>
              <w:bottom w:val="single" w:sz="8" w:color="auto"/>
            </w:tcBorders>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.333</w:t>
            </w:r>
          </w:p>
        </w:tc>
        <w:tc>
          <w:tcPr>
            <w:tcW w:w="620" w:type="dxa"/>
            <w:vAlign w:val="bottom"/>
            <w:tcBorders>
              <w:bottom w:val="single" w:sz="8" w:color="E8EED3"/>
            </w:tcBorders>
            <w:shd w:val="clear" w:color="auto" w:fill="E8EED3"/>
          </w:tcPr>
          <w:p>
            <w:pPr>
              <w:spacing w:after="0"/>
              <w:rPr>
                <w:sz w:val="14"/>
                <w:szCs w:val="14"/>
                <w:color w:val="auto"/>
              </w:rPr>
            </w:pPr>
          </w:p>
        </w:tc>
        <w:tc>
          <w:tcPr>
            <w:tcW w:w="860" w:type="dxa"/>
            <w:vAlign w:val="bottom"/>
            <w:tcBorders>
              <w:bottom w:val="single" w:sz="8" w:color="auto"/>
            </w:tcBorders>
            <w:shd w:val="clear" w:color="auto" w:fill="E8EED3"/>
          </w:tcPr>
          <w:p>
            <w:pPr>
              <w:ind w:left="620"/>
              <w:spacing w:after="0" w:line="162" w:lineRule="exact"/>
              <w:rPr>
                <w:sz w:val="20"/>
                <w:szCs w:val="20"/>
                <w:color w:val="auto"/>
              </w:rPr>
            </w:pPr>
            <w:r>
              <w:rPr>
                <w:rFonts w:ascii="Arial" w:cs="Arial" w:eastAsia="Arial" w:hAnsi="Arial"/>
                <w:sz w:val="15"/>
                <w:szCs w:val="15"/>
                <w:color w:val="auto"/>
              </w:rPr>
              <w:t>x</w:t>
            </w:r>
          </w:p>
        </w:tc>
        <w:tc>
          <w:tcPr>
            <w:tcW w:w="600" w:type="dxa"/>
            <w:vAlign w:val="bottom"/>
            <w:tcBorders>
              <w:bottom w:val="single" w:sz="8" w:color="auto"/>
            </w:tcBorders>
            <w:shd w:val="clear" w:color="auto" w:fill="E8EED3"/>
          </w:tcPr>
          <w:p>
            <w:pPr>
              <w:jc w:val="right"/>
              <w:ind w:right="44"/>
              <w:spacing w:after="0" w:line="162" w:lineRule="exact"/>
              <w:rPr>
                <w:sz w:val="20"/>
                <w:szCs w:val="20"/>
                <w:color w:val="auto"/>
              </w:rPr>
            </w:pPr>
            <w:r>
              <w:rPr>
                <w:rFonts w:ascii="Arial" w:cs="Arial" w:eastAsia="Arial" w:hAnsi="Arial"/>
                <w:sz w:val="15"/>
                <w:szCs w:val="15"/>
                <w:color w:val="auto"/>
              </w:rPr>
              <w:t>.333</w:t>
            </w:r>
          </w:p>
        </w:tc>
        <w:tc>
          <w:tcPr>
            <w:tcW w:w="220" w:type="dxa"/>
            <w:vAlign w:val="bottom"/>
            <w:tcBorders>
              <w:bottom w:val="single" w:sz="8" w:color="E8EED3"/>
            </w:tcBorders>
            <w:shd w:val="clear" w:color="auto" w:fill="E8EED3"/>
          </w:tcPr>
          <w:p>
            <w:pPr>
              <w:spacing w:after="0"/>
              <w:rPr>
                <w:sz w:val="14"/>
                <w:szCs w:val="14"/>
                <w:color w:val="auto"/>
              </w:rPr>
            </w:pPr>
          </w:p>
        </w:tc>
      </w:tr>
      <w:tr>
        <w:trPr>
          <w:trHeight w:val="140"/>
        </w:trPr>
        <w:tc>
          <w:tcPr>
            <w:tcW w:w="2600" w:type="dxa"/>
            <w:vAlign w:val="bottom"/>
            <w:shd w:val="clear" w:color="auto" w:fill="D2DEA7"/>
          </w:tcPr>
          <w:p>
            <w:pPr>
              <w:ind w:left="80"/>
              <w:spacing w:after="0" w:line="141" w:lineRule="exact"/>
              <w:rPr>
                <w:sz w:val="20"/>
                <w:szCs w:val="20"/>
                <w:color w:val="auto"/>
              </w:rPr>
            </w:pPr>
            <w:r>
              <w:rPr>
                <w:rFonts w:ascii="Arial" w:cs="Arial" w:eastAsia="Arial" w:hAnsi="Arial"/>
                <w:sz w:val="15"/>
                <w:szCs w:val="15"/>
                <w:b w:val="1"/>
                <w:bCs w:val="1"/>
                <w:color w:val="auto"/>
              </w:rPr>
              <w:t>Total Payout as a Percentage of</w:t>
            </w:r>
          </w:p>
        </w:tc>
        <w:tc>
          <w:tcPr>
            <w:tcW w:w="2440" w:type="dxa"/>
            <w:vAlign w:val="bottom"/>
            <w:shd w:val="clear" w:color="auto" w:fill="D2DEA7"/>
          </w:tcPr>
          <w:p>
            <w:pPr>
              <w:spacing w:after="0"/>
              <w:rPr>
                <w:sz w:val="12"/>
                <w:szCs w:val="12"/>
                <w:color w:val="auto"/>
              </w:rPr>
            </w:pPr>
          </w:p>
        </w:tc>
        <w:tc>
          <w:tcPr>
            <w:tcW w:w="2180" w:type="dxa"/>
            <w:vAlign w:val="bottom"/>
            <w:shd w:val="clear" w:color="auto" w:fill="D2DEA7"/>
          </w:tcPr>
          <w:p>
            <w:pPr>
              <w:spacing w:after="0"/>
              <w:rPr>
                <w:sz w:val="12"/>
                <w:szCs w:val="12"/>
                <w:color w:val="auto"/>
              </w:rPr>
            </w:pPr>
          </w:p>
        </w:tc>
        <w:tc>
          <w:tcPr>
            <w:tcW w:w="880" w:type="dxa"/>
            <w:vAlign w:val="bottom"/>
            <w:shd w:val="clear" w:color="auto" w:fill="D2DEA7"/>
          </w:tcPr>
          <w:p>
            <w:pPr>
              <w:spacing w:after="0"/>
              <w:rPr>
                <w:sz w:val="12"/>
                <w:szCs w:val="12"/>
                <w:color w:val="auto"/>
              </w:rPr>
            </w:pPr>
          </w:p>
        </w:tc>
        <w:tc>
          <w:tcPr>
            <w:tcW w:w="600" w:type="dxa"/>
            <w:vAlign w:val="bottom"/>
            <w:shd w:val="clear" w:color="auto" w:fill="D2DEA7"/>
          </w:tcPr>
          <w:p>
            <w:pPr>
              <w:spacing w:after="0"/>
              <w:rPr>
                <w:sz w:val="12"/>
                <w:szCs w:val="12"/>
                <w:color w:val="auto"/>
              </w:rPr>
            </w:pPr>
          </w:p>
        </w:tc>
        <w:tc>
          <w:tcPr>
            <w:tcW w:w="620" w:type="dxa"/>
            <w:vAlign w:val="bottom"/>
            <w:shd w:val="clear" w:color="auto" w:fill="D2DEA7"/>
          </w:tcPr>
          <w:p>
            <w:pPr>
              <w:spacing w:after="0"/>
              <w:rPr>
                <w:sz w:val="12"/>
                <w:szCs w:val="12"/>
                <w:color w:val="auto"/>
              </w:rPr>
            </w:pPr>
          </w:p>
        </w:tc>
        <w:tc>
          <w:tcPr>
            <w:tcW w:w="860" w:type="dxa"/>
            <w:vAlign w:val="bottom"/>
            <w:shd w:val="clear" w:color="auto" w:fill="D2DEA7"/>
          </w:tcPr>
          <w:p>
            <w:pPr>
              <w:spacing w:after="0"/>
              <w:rPr>
                <w:sz w:val="12"/>
                <w:szCs w:val="12"/>
                <w:color w:val="auto"/>
              </w:rPr>
            </w:pPr>
          </w:p>
        </w:tc>
        <w:tc>
          <w:tcPr>
            <w:tcW w:w="600" w:type="dxa"/>
            <w:vAlign w:val="bottom"/>
            <w:shd w:val="clear" w:color="auto" w:fill="D2DEA7"/>
          </w:tcPr>
          <w:p>
            <w:pPr>
              <w:spacing w:after="0"/>
              <w:rPr>
                <w:sz w:val="12"/>
                <w:szCs w:val="12"/>
                <w:color w:val="auto"/>
              </w:rPr>
            </w:pPr>
          </w:p>
        </w:tc>
        <w:tc>
          <w:tcPr>
            <w:tcW w:w="220" w:type="dxa"/>
            <w:vAlign w:val="bottom"/>
            <w:shd w:val="clear" w:color="auto" w:fill="D2DEA7"/>
          </w:tcPr>
          <w:p>
            <w:pPr>
              <w:spacing w:after="0"/>
              <w:rPr>
                <w:sz w:val="12"/>
                <w:szCs w:val="12"/>
                <w:color w:val="auto"/>
              </w:rPr>
            </w:pPr>
          </w:p>
        </w:tc>
      </w:tr>
      <w:tr>
        <w:trPr>
          <w:trHeight w:val="183"/>
        </w:trPr>
        <w:tc>
          <w:tcPr>
            <w:tcW w:w="2600" w:type="dxa"/>
            <w:vAlign w:val="bottom"/>
            <w:shd w:val="clear" w:color="auto" w:fill="D2DEA7"/>
          </w:tcPr>
          <w:p>
            <w:pPr>
              <w:ind w:left="140"/>
              <w:spacing w:after="0"/>
              <w:rPr>
                <w:sz w:val="20"/>
                <w:szCs w:val="20"/>
                <w:color w:val="auto"/>
              </w:rPr>
            </w:pPr>
            <w:r>
              <w:rPr>
                <w:rFonts w:ascii="Arial" w:cs="Arial" w:eastAsia="Arial" w:hAnsi="Arial"/>
                <w:sz w:val="15"/>
                <w:szCs w:val="15"/>
                <w:b w:val="1"/>
                <w:bCs w:val="1"/>
                <w:color w:val="auto"/>
              </w:rPr>
              <w:t>Target</w:t>
            </w:r>
          </w:p>
        </w:tc>
        <w:tc>
          <w:tcPr>
            <w:tcW w:w="2440" w:type="dxa"/>
            <w:vAlign w:val="bottom"/>
            <w:shd w:val="clear" w:color="auto" w:fill="D2DEA7"/>
          </w:tcPr>
          <w:p>
            <w:pPr>
              <w:spacing w:after="0"/>
              <w:rPr>
                <w:sz w:val="15"/>
                <w:szCs w:val="15"/>
                <w:color w:val="auto"/>
              </w:rPr>
            </w:pPr>
          </w:p>
        </w:tc>
        <w:tc>
          <w:tcPr>
            <w:tcW w:w="2180" w:type="dxa"/>
            <w:vAlign w:val="bottom"/>
            <w:shd w:val="clear" w:color="auto" w:fill="D2DEA7"/>
          </w:tcPr>
          <w:p>
            <w:pPr>
              <w:spacing w:after="0"/>
              <w:rPr>
                <w:sz w:val="15"/>
                <w:szCs w:val="15"/>
                <w:color w:val="auto"/>
              </w:rPr>
            </w:pPr>
          </w:p>
        </w:tc>
        <w:tc>
          <w:tcPr>
            <w:tcW w:w="880" w:type="dxa"/>
            <w:vAlign w:val="bottom"/>
            <w:shd w:val="clear" w:color="auto" w:fill="D2DEA7"/>
          </w:tcPr>
          <w:p>
            <w:pPr>
              <w:spacing w:after="0"/>
              <w:rPr>
                <w:sz w:val="15"/>
                <w:szCs w:val="15"/>
                <w:color w:val="auto"/>
              </w:rPr>
            </w:pPr>
          </w:p>
        </w:tc>
        <w:tc>
          <w:tcPr>
            <w:tcW w:w="600" w:type="dxa"/>
            <w:vAlign w:val="bottom"/>
            <w:shd w:val="clear" w:color="auto" w:fill="D2DEA7"/>
          </w:tcPr>
          <w:p>
            <w:pPr>
              <w:jc w:val="right"/>
              <w:spacing w:after="0"/>
              <w:rPr>
                <w:sz w:val="20"/>
                <w:szCs w:val="20"/>
                <w:color w:val="auto"/>
              </w:rPr>
            </w:pPr>
            <w:r>
              <w:rPr>
                <w:rFonts w:ascii="Arial" w:cs="Arial" w:eastAsia="Arial" w:hAnsi="Arial"/>
                <w:sz w:val="15"/>
                <w:szCs w:val="15"/>
                <w:color w:val="auto"/>
              </w:rPr>
              <w:t>124%</w:t>
            </w:r>
          </w:p>
        </w:tc>
        <w:tc>
          <w:tcPr>
            <w:tcW w:w="620" w:type="dxa"/>
            <w:vAlign w:val="bottom"/>
            <w:shd w:val="clear" w:color="auto" w:fill="D2DEA7"/>
          </w:tcPr>
          <w:p>
            <w:pPr>
              <w:spacing w:after="0"/>
              <w:rPr>
                <w:sz w:val="15"/>
                <w:szCs w:val="15"/>
                <w:color w:val="auto"/>
              </w:rPr>
            </w:pPr>
          </w:p>
        </w:tc>
        <w:tc>
          <w:tcPr>
            <w:tcW w:w="860" w:type="dxa"/>
            <w:vAlign w:val="bottom"/>
            <w:shd w:val="clear" w:color="auto" w:fill="D2DEA7"/>
          </w:tcPr>
          <w:p>
            <w:pPr>
              <w:spacing w:after="0"/>
              <w:rPr>
                <w:sz w:val="15"/>
                <w:szCs w:val="15"/>
                <w:color w:val="auto"/>
              </w:rPr>
            </w:pPr>
          </w:p>
        </w:tc>
        <w:tc>
          <w:tcPr>
            <w:tcW w:w="820" w:type="dxa"/>
            <w:vAlign w:val="bottom"/>
            <w:gridSpan w:val="2"/>
            <w:shd w:val="clear" w:color="auto" w:fill="D2DEA7"/>
          </w:tcPr>
          <w:p>
            <w:pPr>
              <w:jc w:val="right"/>
              <w:ind w:right="220"/>
              <w:spacing w:after="0"/>
              <w:rPr>
                <w:sz w:val="20"/>
                <w:szCs w:val="20"/>
                <w:color w:val="auto"/>
              </w:rPr>
            </w:pPr>
            <w:r>
              <w:rPr>
                <w:rFonts w:ascii="Arial" w:cs="Arial" w:eastAsia="Arial" w:hAnsi="Arial"/>
                <w:sz w:val="15"/>
                <w:szCs w:val="15"/>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-967105</wp:posOffset>
            </wp:positionV>
            <wp:extent cx="8255" cy="967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967740"/>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-967105</wp:posOffset>
            </wp:positionV>
            <wp:extent cx="8255" cy="967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96774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-967105</wp:posOffset>
            </wp:positionV>
            <wp:extent cx="8255" cy="967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96774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-967105</wp:posOffset>
            </wp:positionV>
            <wp:extent cx="8255" cy="967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967740"/>
                    </a:xfrm>
                    <a:prstGeom prst="rect">
                      <a:avLst/>
                    </a:prstGeom>
                    <a:noFill/>
                  </pic:spPr>
                </pic:pic>
              </a:graphicData>
            </a:graphic>
          </wp:anchor>
        </w:drawing>
      </w:r>
    </w:p>
    <w:p>
      <w:pPr>
        <w:spacing w:after="0" w:line="198"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Since the specified minimum operating income levels for our named executive officers were achieved, our named executive officers earned the amounts shown below under the 2018 annual cash incentive program. The amount of each annual cash incentive payment is also shown in our 2018 Summary Compensation Table under the column captioned “Non-Equity Incentive Plan Compensation.”</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480" w:type="dxa"/>
            <w:vAlign w:val="bottom"/>
            <w:shd w:val="clear" w:color="auto" w:fill="41659C"/>
          </w:tcPr>
          <w:p>
            <w:pPr>
              <w:spacing w:after="0"/>
              <w:rPr>
                <w:sz w:val="14"/>
                <w:szCs w:val="14"/>
                <w:color w:val="auto"/>
              </w:rPr>
            </w:pPr>
          </w:p>
        </w:tc>
        <w:tc>
          <w:tcPr>
            <w:tcW w:w="1960" w:type="dxa"/>
            <w:vAlign w:val="bottom"/>
            <w:shd w:val="clear" w:color="auto" w:fill="41659C"/>
          </w:tcPr>
          <w:p>
            <w:pPr>
              <w:jc w:val="center"/>
              <w:ind w:left="264"/>
              <w:spacing w:after="0"/>
              <w:rPr>
                <w:sz w:val="20"/>
                <w:szCs w:val="20"/>
                <w:color w:val="auto"/>
              </w:rPr>
            </w:pPr>
            <w:r>
              <w:rPr>
                <w:rFonts w:ascii="Arial" w:cs="Arial" w:eastAsia="Arial" w:hAnsi="Arial"/>
                <w:sz w:val="15"/>
                <w:szCs w:val="15"/>
                <w:b w:val="1"/>
                <w:bCs w:val="1"/>
                <w:color w:val="FFFFFF"/>
              </w:rPr>
              <w:t>Target</w:t>
            </w:r>
          </w:p>
        </w:tc>
        <w:tc>
          <w:tcPr>
            <w:tcW w:w="580" w:type="dxa"/>
            <w:vAlign w:val="bottom"/>
            <w:shd w:val="clear" w:color="auto" w:fill="41659C"/>
          </w:tcPr>
          <w:p>
            <w:pPr>
              <w:spacing w:after="0"/>
              <w:rPr>
                <w:sz w:val="14"/>
                <w:szCs w:val="14"/>
                <w:color w:val="auto"/>
              </w:rPr>
            </w:pPr>
          </w:p>
        </w:tc>
        <w:tc>
          <w:tcPr>
            <w:tcW w:w="1660" w:type="dxa"/>
            <w:vAlign w:val="bottom"/>
            <w:shd w:val="clear" w:color="auto" w:fill="41659C"/>
          </w:tcPr>
          <w:p>
            <w:pPr>
              <w:spacing w:after="0"/>
              <w:rPr>
                <w:sz w:val="14"/>
                <w:szCs w:val="14"/>
                <w:color w:val="auto"/>
              </w:rPr>
            </w:pPr>
          </w:p>
        </w:tc>
        <w:tc>
          <w:tcPr>
            <w:tcW w:w="560" w:type="dxa"/>
            <w:vAlign w:val="bottom"/>
            <w:shd w:val="clear" w:color="auto" w:fill="41659C"/>
          </w:tcPr>
          <w:p>
            <w:pPr>
              <w:spacing w:after="0"/>
              <w:rPr>
                <w:sz w:val="14"/>
                <w:szCs w:val="14"/>
                <w:color w:val="auto"/>
              </w:rPr>
            </w:pPr>
          </w:p>
        </w:tc>
        <w:tc>
          <w:tcPr>
            <w:tcW w:w="154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620" w:type="dxa"/>
            <w:vAlign w:val="bottom"/>
            <w:shd w:val="clear" w:color="auto" w:fill="41659C"/>
          </w:tcPr>
          <w:p>
            <w:pPr>
              <w:spacing w:after="0"/>
              <w:rPr>
                <w:sz w:val="14"/>
                <w:szCs w:val="14"/>
                <w:color w:val="auto"/>
              </w:rPr>
            </w:pPr>
          </w:p>
        </w:tc>
      </w:tr>
      <w:tr>
        <w:trPr>
          <w:trHeight w:val="162"/>
        </w:trPr>
        <w:tc>
          <w:tcPr>
            <w:tcW w:w="2480" w:type="dxa"/>
            <w:vAlign w:val="bottom"/>
            <w:shd w:val="clear" w:color="auto" w:fill="41659C"/>
          </w:tcPr>
          <w:p>
            <w:pPr>
              <w:spacing w:after="0"/>
              <w:rPr>
                <w:sz w:val="14"/>
                <w:szCs w:val="14"/>
                <w:color w:val="auto"/>
              </w:rPr>
            </w:pPr>
          </w:p>
        </w:tc>
        <w:tc>
          <w:tcPr>
            <w:tcW w:w="1960" w:type="dxa"/>
            <w:vAlign w:val="bottom"/>
            <w:shd w:val="clear" w:color="auto" w:fill="41659C"/>
          </w:tcPr>
          <w:p>
            <w:pPr>
              <w:jc w:val="center"/>
              <w:ind w:left="264"/>
              <w:spacing w:after="0" w:line="162" w:lineRule="exact"/>
              <w:rPr>
                <w:sz w:val="20"/>
                <w:szCs w:val="20"/>
                <w:color w:val="auto"/>
              </w:rPr>
            </w:pPr>
            <w:r>
              <w:rPr>
                <w:rFonts w:ascii="Arial" w:cs="Arial" w:eastAsia="Arial" w:hAnsi="Arial"/>
                <w:sz w:val="15"/>
                <w:szCs w:val="15"/>
                <w:b w:val="1"/>
                <w:bCs w:val="1"/>
                <w:color w:val="FFFFFF"/>
              </w:rPr>
              <w:t>Opportunity as</w:t>
            </w:r>
          </w:p>
        </w:tc>
        <w:tc>
          <w:tcPr>
            <w:tcW w:w="580" w:type="dxa"/>
            <w:vAlign w:val="bottom"/>
            <w:shd w:val="clear" w:color="auto" w:fill="41659C"/>
          </w:tcPr>
          <w:p>
            <w:pPr>
              <w:spacing w:after="0"/>
              <w:rPr>
                <w:sz w:val="14"/>
                <w:szCs w:val="14"/>
                <w:color w:val="auto"/>
              </w:rPr>
            </w:pPr>
          </w:p>
        </w:tc>
        <w:tc>
          <w:tcPr>
            <w:tcW w:w="1660" w:type="dxa"/>
            <w:vAlign w:val="bottom"/>
            <w:shd w:val="clear" w:color="auto" w:fill="41659C"/>
          </w:tcPr>
          <w:p>
            <w:pPr>
              <w:spacing w:after="0"/>
              <w:rPr>
                <w:sz w:val="14"/>
                <w:szCs w:val="14"/>
                <w:color w:val="auto"/>
              </w:rPr>
            </w:pPr>
          </w:p>
        </w:tc>
        <w:tc>
          <w:tcPr>
            <w:tcW w:w="560" w:type="dxa"/>
            <w:vAlign w:val="bottom"/>
            <w:shd w:val="clear" w:color="auto" w:fill="41659C"/>
          </w:tcPr>
          <w:p>
            <w:pPr>
              <w:spacing w:after="0"/>
              <w:rPr>
                <w:sz w:val="14"/>
                <w:szCs w:val="14"/>
                <w:color w:val="auto"/>
              </w:rPr>
            </w:pPr>
          </w:p>
        </w:tc>
        <w:tc>
          <w:tcPr>
            <w:tcW w:w="154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620" w:type="dxa"/>
            <w:vAlign w:val="bottom"/>
            <w:shd w:val="clear" w:color="auto" w:fill="41659C"/>
          </w:tcPr>
          <w:p>
            <w:pPr>
              <w:jc w:val="center"/>
              <w:ind w:right="64"/>
              <w:spacing w:after="0" w:line="162" w:lineRule="exact"/>
              <w:rPr>
                <w:sz w:val="20"/>
                <w:szCs w:val="20"/>
                <w:color w:val="auto"/>
              </w:rPr>
            </w:pPr>
            <w:r>
              <w:rPr>
                <w:rFonts w:ascii="Arial" w:cs="Arial" w:eastAsia="Arial" w:hAnsi="Arial"/>
                <w:sz w:val="15"/>
                <w:szCs w:val="15"/>
                <w:b w:val="1"/>
                <w:bCs w:val="1"/>
                <w:color w:val="FFFFFF"/>
              </w:rPr>
              <w:t>Amount of</w:t>
            </w:r>
          </w:p>
        </w:tc>
      </w:tr>
      <w:tr>
        <w:trPr>
          <w:trHeight w:val="162"/>
        </w:trPr>
        <w:tc>
          <w:tcPr>
            <w:tcW w:w="2480" w:type="dxa"/>
            <w:vAlign w:val="bottom"/>
            <w:shd w:val="clear" w:color="auto" w:fill="41659C"/>
          </w:tcPr>
          <w:p>
            <w:pPr>
              <w:spacing w:after="0"/>
              <w:rPr>
                <w:sz w:val="14"/>
                <w:szCs w:val="14"/>
                <w:color w:val="auto"/>
              </w:rPr>
            </w:pPr>
          </w:p>
        </w:tc>
        <w:tc>
          <w:tcPr>
            <w:tcW w:w="1960" w:type="dxa"/>
            <w:vAlign w:val="bottom"/>
            <w:shd w:val="clear" w:color="auto" w:fill="41659C"/>
          </w:tcPr>
          <w:p>
            <w:pPr>
              <w:jc w:val="center"/>
              <w:ind w:left="264"/>
              <w:spacing w:after="0" w:line="162" w:lineRule="exact"/>
              <w:rPr>
                <w:sz w:val="20"/>
                <w:szCs w:val="20"/>
                <w:color w:val="auto"/>
              </w:rPr>
            </w:pPr>
            <w:r>
              <w:rPr>
                <w:rFonts w:ascii="Arial" w:cs="Arial" w:eastAsia="Arial" w:hAnsi="Arial"/>
                <w:sz w:val="15"/>
                <w:szCs w:val="15"/>
                <w:b w:val="1"/>
                <w:bCs w:val="1"/>
                <w:color w:val="FFFFFF"/>
              </w:rPr>
              <w:t>Percentage of</w:t>
            </w:r>
          </w:p>
        </w:tc>
        <w:tc>
          <w:tcPr>
            <w:tcW w:w="580" w:type="dxa"/>
            <w:vAlign w:val="bottom"/>
            <w:shd w:val="clear" w:color="auto" w:fill="41659C"/>
          </w:tcPr>
          <w:p>
            <w:pPr>
              <w:spacing w:after="0"/>
              <w:rPr>
                <w:sz w:val="14"/>
                <w:szCs w:val="14"/>
                <w:color w:val="auto"/>
              </w:rPr>
            </w:pPr>
          </w:p>
        </w:tc>
        <w:tc>
          <w:tcPr>
            <w:tcW w:w="1660" w:type="dxa"/>
            <w:vAlign w:val="bottom"/>
            <w:shd w:val="clear" w:color="auto" w:fill="41659C"/>
          </w:tcPr>
          <w:p>
            <w:pPr>
              <w:jc w:val="right"/>
              <w:ind w:right="624"/>
              <w:spacing w:after="0" w:line="162" w:lineRule="exact"/>
              <w:rPr>
                <w:sz w:val="20"/>
                <w:szCs w:val="20"/>
                <w:color w:val="auto"/>
              </w:rPr>
            </w:pPr>
            <w:r>
              <w:rPr>
                <w:rFonts w:ascii="Arial" w:cs="Arial" w:eastAsia="Arial" w:hAnsi="Arial"/>
                <w:sz w:val="15"/>
                <w:szCs w:val="15"/>
                <w:b w:val="1"/>
                <w:bCs w:val="1"/>
                <w:color w:val="FFFFFF"/>
              </w:rPr>
              <w:t>Payout</w:t>
            </w:r>
          </w:p>
        </w:tc>
        <w:tc>
          <w:tcPr>
            <w:tcW w:w="560" w:type="dxa"/>
            <w:vAlign w:val="bottom"/>
            <w:shd w:val="clear" w:color="auto" w:fill="41659C"/>
          </w:tcPr>
          <w:p>
            <w:pPr>
              <w:spacing w:after="0"/>
              <w:rPr>
                <w:sz w:val="14"/>
                <w:szCs w:val="14"/>
                <w:color w:val="auto"/>
              </w:rPr>
            </w:pPr>
          </w:p>
        </w:tc>
        <w:tc>
          <w:tcPr>
            <w:tcW w:w="1540" w:type="dxa"/>
            <w:vAlign w:val="bottom"/>
            <w:shd w:val="clear" w:color="auto" w:fill="41659C"/>
          </w:tcPr>
          <w:p>
            <w:pPr>
              <w:spacing w:after="0"/>
              <w:rPr>
                <w:sz w:val="14"/>
                <w:szCs w:val="14"/>
                <w:color w:val="auto"/>
              </w:rPr>
            </w:pPr>
          </w:p>
        </w:tc>
        <w:tc>
          <w:tcPr>
            <w:tcW w:w="600" w:type="dxa"/>
            <w:vAlign w:val="bottom"/>
            <w:shd w:val="clear" w:color="auto" w:fill="41659C"/>
          </w:tcPr>
          <w:p>
            <w:pPr>
              <w:spacing w:after="0"/>
              <w:rPr>
                <w:sz w:val="14"/>
                <w:szCs w:val="14"/>
                <w:color w:val="auto"/>
              </w:rPr>
            </w:pPr>
          </w:p>
        </w:tc>
        <w:tc>
          <w:tcPr>
            <w:tcW w:w="1620" w:type="dxa"/>
            <w:vAlign w:val="bottom"/>
            <w:shd w:val="clear" w:color="auto" w:fill="41659C"/>
          </w:tcPr>
          <w:p>
            <w:pPr>
              <w:jc w:val="center"/>
              <w:ind w:right="44"/>
              <w:spacing w:after="0" w:line="162" w:lineRule="exact"/>
              <w:rPr>
                <w:sz w:val="20"/>
                <w:szCs w:val="20"/>
                <w:color w:val="auto"/>
              </w:rPr>
            </w:pPr>
            <w:r>
              <w:rPr>
                <w:rFonts w:ascii="Arial" w:cs="Arial" w:eastAsia="Arial" w:hAnsi="Arial"/>
                <w:sz w:val="15"/>
                <w:szCs w:val="15"/>
                <w:b w:val="1"/>
                <w:bCs w:val="1"/>
                <w:color w:val="FFFFFF"/>
              </w:rPr>
              <w:t>Incentive</w:t>
            </w:r>
          </w:p>
        </w:tc>
      </w:tr>
      <w:tr>
        <w:trPr>
          <w:trHeight w:val="197"/>
        </w:trPr>
        <w:tc>
          <w:tcPr>
            <w:tcW w:w="248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Named Executive Officer</w:t>
            </w:r>
          </w:p>
        </w:tc>
        <w:tc>
          <w:tcPr>
            <w:tcW w:w="1960" w:type="dxa"/>
            <w:vAlign w:val="bottom"/>
            <w:shd w:val="clear" w:color="auto" w:fill="41659C"/>
          </w:tcPr>
          <w:p>
            <w:pPr>
              <w:jc w:val="center"/>
              <w:ind w:left="264"/>
              <w:spacing w:after="0"/>
              <w:rPr>
                <w:sz w:val="20"/>
                <w:szCs w:val="20"/>
                <w:color w:val="auto"/>
              </w:rPr>
            </w:pPr>
            <w:r>
              <w:rPr>
                <w:rFonts w:ascii="Arial" w:cs="Arial" w:eastAsia="Arial" w:hAnsi="Arial"/>
                <w:sz w:val="15"/>
                <w:szCs w:val="15"/>
                <w:b w:val="1"/>
                <w:bCs w:val="1"/>
                <w:color w:val="FFFFFF"/>
              </w:rPr>
              <w:t>Salary</w:t>
            </w:r>
          </w:p>
        </w:tc>
        <w:tc>
          <w:tcPr>
            <w:tcW w:w="580" w:type="dxa"/>
            <w:vAlign w:val="bottom"/>
            <w:shd w:val="clear" w:color="auto" w:fill="41659C"/>
          </w:tcPr>
          <w:p>
            <w:pPr>
              <w:spacing w:after="0"/>
              <w:rPr>
                <w:sz w:val="17"/>
                <w:szCs w:val="17"/>
                <w:color w:val="auto"/>
              </w:rPr>
            </w:pPr>
          </w:p>
        </w:tc>
        <w:tc>
          <w:tcPr>
            <w:tcW w:w="1660" w:type="dxa"/>
            <w:vAlign w:val="bottom"/>
            <w:shd w:val="clear" w:color="auto" w:fill="41659C"/>
          </w:tcPr>
          <w:p>
            <w:pPr>
              <w:jc w:val="right"/>
              <w:ind w:right="464"/>
              <w:spacing w:after="0"/>
              <w:rPr>
                <w:sz w:val="20"/>
                <w:szCs w:val="20"/>
                <w:color w:val="auto"/>
              </w:rPr>
            </w:pPr>
            <w:r>
              <w:rPr>
                <w:rFonts w:ascii="Arial" w:cs="Arial" w:eastAsia="Arial" w:hAnsi="Arial"/>
                <w:sz w:val="15"/>
                <w:szCs w:val="15"/>
                <w:b w:val="1"/>
                <w:bCs w:val="1"/>
                <w:color w:val="FFFFFF"/>
              </w:rPr>
              <w:t>Percentage</w:t>
            </w:r>
          </w:p>
        </w:tc>
        <w:tc>
          <w:tcPr>
            <w:tcW w:w="560" w:type="dxa"/>
            <w:vAlign w:val="bottom"/>
            <w:shd w:val="clear" w:color="auto" w:fill="41659C"/>
          </w:tcPr>
          <w:p>
            <w:pPr>
              <w:spacing w:after="0"/>
              <w:rPr>
                <w:sz w:val="17"/>
                <w:szCs w:val="17"/>
                <w:color w:val="auto"/>
              </w:rPr>
            </w:pPr>
          </w:p>
        </w:tc>
        <w:tc>
          <w:tcPr>
            <w:tcW w:w="1540" w:type="dxa"/>
            <w:vAlign w:val="bottom"/>
            <w:shd w:val="clear" w:color="auto" w:fill="41659C"/>
          </w:tcPr>
          <w:p>
            <w:pPr>
              <w:jc w:val="right"/>
              <w:ind w:right="464"/>
              <w:spacing w:after="0"/>
              <w:rPr>
                <w:sz w:val="20"/>
                <w:szCs w:val="20"/>
                <w:color w:val="auto"/>
              </w:rPr>
            </w:pPr>
            <w:r>
              <w:rPr>
                <w:rFonts w:ascii="Arial" w:cs="Arial" w:eastAsia="Arial" w:hAnsi="Arial"/>
                <w:sz w:val="15"/>
                <w:szCs w:val="15"/>
                <w:b w:val="1"/>
                <w:bCs w:val="1"/>
                <w:color w:val="FFFFFF"/>
              </w:rPr>
              <w:t>Salary ($)</w:t>
            </w:r>
          </w:p>
        </w:tc>
        <w:tc>
          <w:tcPr>
            <w:tcW w:w="600" w:type="dxa"/>
            <w:vAlign w:val="bottom"/>
            <w:shd w:val="clear" w:color="auto" w:fill="41659C"/>
          </w:tcPr>
          <w:p>
            <w:pPr>
              <w:spacing w:after="0"/>
              <w:rPr>
                <w:sz w:val="17"/>
                <w:szCs w:val="17"/>
                <w:color w:val="auto"/>
              </w:rPr>
            </w:pPr>
          </w:p>
        </w:tc>
        <w:tc>
          <w:tcPr>
            <w:tcW w:w="1620" w:type="dxa"/>
            <w:vAlign w:val="bottom"/>
            <w:shd w:val="clear" w:color="auto" w:fill="41659C"/>
          </w:tcPr>
          <w:p>
            <w:pPr>
              <w:jc w:val="center"/>
              <w:ind w:right="44"/>
              <w:spacing w:after="0"/>
              <w:rPr>
                <w:sz w:val="20"/>
                <w:szCs w:val="20"/>
                <w:color w:val="auto"/>
              </w:rPr>
            </w:pPr>
            <w:r>
              <w:rPr>
                <w:rFonts w:ascii="Arial" w:cs="Arial" w:eastAsia="Arial" w:hAnsi="Arial"/>
                <w:sz w:val="15"/>
                <w:szCs w:val="15"/>
                <w:b w:val="1"/>
                <w:bCs w:val="1"/>
                <w:color w:val="FFFFFF"/>
              </w:rPr>
              <w:t>Payment ($)</w:t>
            </w:r>
          </w:p>
        </w:tc>
      </w:tr>
      <w:tr>
        <w:trPr>
          <w:trHeight w:val="162"/>
        </w:trPr>
        <w:tc>
          <w:tcPr>
            <w:tcW w:w="248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Dennis Sadlowski</w:t>
            </w:r>
          </w:p>
        </w:tc>
        <w:tc>
          <w:tcPr>
            <w:tcW w:w="196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100%</w:t>
            </w:r>
          </w:p>
        </w:tc>
        <w:tc>
          <w:tcPr>
            <w:tcW w:w="580" w:type="dxa"/>
            <w:vAlign w:val="bottom"/>
            <w:shd w:val="clear" w:color="auto" w:fill="E8EED3"/>
          </w:tcPr>
          <w:p>
            <w:pPr>
              <w:ind w:left="200"/>
              <w:spacing w:after="0" w:line="162" w:lineRule="exact"/>
              <w:rPr>
                <w:sz w:val="20"/>
                <w:szCs w:val="20"/>
                <w:color w:val="auto"/>
              </w:rPr>
            </w:pPr>
            <w:r>
              <w:rPr>
                <w:rFonts w:ascii="Arial" w:cs="Arial" w:eastAsia="Arial" w:hAnsi="Arial"/>
                <w:sz w:val="15"/>
                <w:szCs w:val="15"/>
                <w:color w:val="auto"/>
              </w:rPr>
              <w:t>x</w:t>
            </w:r>
          </w:p>
        </w:tc>
        <w:tc>
          <w:tcPr>
            <w:tcW w:w="1660" w:type="dxa"/>
            <w:vAlign w:val="bottom"/>
            <w:shd w:val="clear" w:color="auto" w:fill="E8EED3"/>
          </w:tcPr>
          <w:p>
            <w:pPr>
              <w:jc w:val="right"/>
              <w:ind w:right="124"/>
              <w:spacing w:after="0" w:line="162" w:lineRule="exact"/>
              <w:rPr>
                <w:sz w:val="20"/>
                <w:szCs w:val="20"/>
                <w:color w:val="auto"/>
              </w:rPr>
            </w:pPr>
            <w:r>
              <w:rPr>
                <w:rFonts w:ascii="Arial" w:cs="Arial" w:eastAsia="Arial" w:hAnsi="Arial"/>
                <w:sz w:val="15"/>
                <w:szCs w:val="15"/>
                <w:color w:val="auto"/>
              </w:rPr>
              <w:t>124%</w:t>
            </w:r>
          </w:p>
        </w:tc>
        <w:tc>
          <w:tcPr>
            <w:tcW w:w="560" w:type="dxa"/>
            <w:vAlign w:val="bottom"/>
            <w:shd w:val="clear" w:color="auto" w:fill="E8EED3"/>
          </w:tcPr>
          <w:p>
            <w:pPr>
              <w:ind w:left="180"/>
              <w:spacing w:after="0" w:line="162" w:lineRule="exact"/>
              <w:rPr>
                <w:sz w:val="20"/>
                <w:szCs w:val="20"/>
                <w:color w:val="auto"/>
              </w:rPr>
            </w:pPr>
            <w:r>
              <w:rPr>
                <w:rFonts w:ascii="Arial" w:cs="Arial" w:eastAsia="Arial" w:hAnsi="Arial"/>
                <w:sz w:val="15"/>
                <w:szCs w:val="15"/>
                <w:color w:val="auto"/>
              </w:rPr>
              <w:t>x</w:t>
            </w:r>
          </w:p>
        </w:tc>
        <w:tc>
          <w:tcPr>
            <w:tcW w:w="154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575,000</w:t>
            </w:r>
          </w:p>
        </w:tc>
        <w:tc>
          <w:tcPr>
            <w:tcW w:w="600" w:type="dxa"/>
            <w:vAlign w:val="bottom"/>
            <w:shd w:val="clear" w:color="auto" w:fill="E8EED3"/>
          </w:tcPr>
          <w:p>
            <w:pPr>
              <w:jc w:val="right"/>
              <w:ind w:right="24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715,561</w:t>
            </w:r>
          </w:p>
        </w:tc>
      </w:tr>
      <w:tr>
        <w:trPr>
          <w:trHeight w:val="162"/>
        </w:trPr>
        <w:tc>
          <w:tcPr>
            <w:tcW w:w="248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Matthew Eckl</w:t>
            </w:r>
          </w:p>
        </w:tc>
        <w:tc>
          <w:tcPr>
            <w:tcW w:w="1960" w:type="dxa"/>
            <w:vAlign w:val="bottom"/>
            <w:shd w:val="clear" w:color="auto" w:fill="D2DEA7"/>
          </w:tcPr>
          <w:p>
            <w:pPr>
              <w:jc w:val="right"/>
              <w:ind w:right="104"/>
              <w:spacing w:after="0" w:line="162" w:lineRule="exact"/>
              <w:rPr>
                <w:sz w:val="20"/>
                <w:szCs w:val="20"/>
                <w:color w:val="auto"/>
              </w:rPr>
            </w:pPr>
            <w:r>
              <w:rPr>
                <w:rFonts w:ascii="Arial" w:cs="Arial" w:eastAsia="Arial" w:hAnsi="Arial"/>
                <w:sz w:val="15"/>
                <w:szCs w:val="15"/>
                <w:color w:val="auto"/>
              </w:rPr>
              <w:t>55%</w:t>
            </w:r>
          </w:p>
        </w:tc>
        <w:tc>
          <w:tcPr>
            <w:tcW w:w="580" w:type="dxa"/>
            <w:vAlign w:val="bottom"/>
            <w:shd w:val="clear" w:color="auto" w:fill="D2DEA7"/>
          </w:tcPr>
          <w:p>
            <w:pPr>
              <w:ind w:left="200"/>
              <w:spacing w:after="0" w:line="162" w:lineRule="exact"/>
              <w:rPr>
                <w:sz w:val="20"/>
                <w:szCs w:val="20"/>
                <w:color w:val="auto"/>
              </w:rPr>
            </w:pPr>
            <w:r>
              <w:rPr>
                <w:rFonts w:ascii="Arial" w:cs="Arial" w:eastAsia="Arial" w:hAnsi="Arial"/>
                <w:sz w:val="15"/>
                <w:szCs w:val="15"/>
                <w:color w:val="auto"/>
              </w:rPr>
              <w:t>x</w:t>
            </w:r>
          </w:p>
        </w:tc>
        <w:tc>
          <w:tcPr>
            <w:tcW w:w="1660" w:type="dxa"/>
            <w:vAlign w:val="bottom"/>
            <w:shd w:val="clear" w:color="auto" w:fill="D2DEA7"/>
          </w:tcPr>
          <w:p>
            <w:pPr>
              <w:jc w:val="right"/>
              <w:ind w:right="124"/>
              <w:spacing w:after="0" w:line="162" w:lineRule="exact"/>
              <w:rPr>
                <w:sz w:val="20"/>
                <w:szCs w:val="20"/>
                <w:color w:val="auto"/>
              </w:rPr>
            </w:pPr>
            <w:r>
              <w:rPr>
                <w:rFonts w:ascii="Arial" w:cs="Arial" w:eastAsia="Arial" w:hAnsi="Arial"/>
                <w:sz w:val="15"/>
                <w:szCs w:val="15"/>
                <w:color w:val="auto"/>
              </w:rPr>
              <w:t>124%</w:t>
            </w:r>
          </w:p>
        </w:tc>
        <w:tc>
          <w:tcPr>
            <w:tcW w:w="560" w:type="dxa"/>
            <w:vAlign w:val="bottom"/>
            <w:shd w:val="clear" w:color="auto" w:fill="D2DEA7"/>
          </w:tcPr>
          <w:p>
            <w:pPr>
              <w:ind w:left="180"/>
              <w:spacing w:after="0" w:line="162" w:lineRule="exact"/>
              <w:rPr>
                <w:sz w:val="20"/>
                <w:szCs w:val="20"/>
                <w:color w:val="auto"/>
              </w:rPr>
            </w:pPr>
            <w:r>
              <w:rPr>
                <w:rFonts w:ascii="Arial" w:cs="Arial" w:eastAsia="Arial" w:hAnsi="Arial"/>
                <w:sz w:val="15"/>
                <w:szCs w:val="15"/>
                <w:color w:val="auto"/>
              </w:rPr>
              <w:t>x</w:t>
            </w:r>
          </w:p>
        </w:tc>
        <w:tc>
          <w:tcPr>
            <w:tcW w:w="1540" w:type="dxa"/>
            <w:vAlign w:val="bottom"/>
            <w:shd w:val="clear" w:color="auto" w:fill="D2DEA7"/>
          </w:tcPr>
          <w:p>
            <w:pPr>
              <w:jc w:val="right"/>
              <w:ind w:right="104"/>
              <w:spacing w:after="0" w:line="162" w:lineRule="exact"/>
              <w:rPr>
                <w:sz w:val="20"/>
                <w:szCs w:val="20"/>
                <w:color w:val="auto"/>
              </w:rPr>
            </w:pPr>
            <w:r>
              <w:rPr>
                <w:rFonts w:ascii="Arial" w:cs="Arial" w:eastAsia="Arial" w:hAnsi="Arial"/>
                <w:sz w:val="15"/>
                <w:szCs w:val="15"/>
                <w:color w:val="auto"/>
              </w:rPr>
              <w:t>334,192</w:t>
            </w:r>
          </w:p>
        </w:tc>
        <w:tc>
          <w:tcPr>
            <w:tcW w:w="600" w:type="dxa"/>
            <w:vAlign w:val="bottom"/>
            <w:shd w:val="clear" w:color="auto" w:fill="D2DEA7"/>
          </w:tcPr>
          <w:p>
            <w:pPr>
              <w:jc w:val="right"/>
              <w:ind w:right="24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228,736</w:t>
            </w:r>
          </w:p>
        </w:tc>
      </w:tr>
      <w:tr>
        <w:trPr>
          <w:trHeight w:val="162"/>
        </w:trPr>
        <w:tc>
          <w:tcPr>
            <w:tcW w:w="248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Paul Gohr</w:t>
            </w:r>
          </w:p>
        </w:tc>
        <w:tc>
          <w:tcPr>
            <w:tcW w:w="196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35%</w:t>
            </w:r>
          </w:p>
        </w:tc>
        <w:tc>
          <w:tcPr>
            <w:tcW w:w="580" w:type="dxa"/>
            <w:vAlign w:val="bottom"/>
            <w:shd w:val="clear" w:color="auto" w:fill="E8EED3"/>
          </w:tcPr>
          <w:p>
            <w:pPr>
              <w:ind w:left="200"/>
              <w:spacing w:after="0" w:line="162" w:lineRule="exact"/>
              <w:rPr>
                <w:sz w:val="20"/>
                <w:szCs w:val="20"/>
                <w:color w:val="auto"/>
              </w:rPr>
            </w:pPr>
            <w:r>
              <w:rPr>
                <w:rFonts w:ascii="Arial" w:cs="Arial" w:eastAsia="Arial" w:hAnsi="Arial"/>
                <w:sz w:val="15"/>
                <w:szCs w:val="15"/>
                <w:color w:val="auto"/>
              </w:rPr>
              <w:t>x</w:t>
            </w:r>
          </w:p>
        </w:tc>
        <w:tc>
          <w:tcPr>
            <w:tcW w:w="1660" w:type="dxa"/>
            <w:vAlign w:val="bottom"/>
            <w:shd w:val="clear" w:color="auto" w:fill="E8EED3"/>
          </w:tcPr>
          <w:p>
            <w:pPr>
              <w:jc w:val="right"/>
              <w:ind w:right="124"/>
              <w:spacing w:after="0" w:line="162" w:lineRule="exact"/>
              <w:rPr>
                <w:sz w:val="20"/>
                <w:szCs w:val="20"/>
                <w:color w:val="auto"/>
              </w:rPr>
            </w:pPr>
            <w:r>
              <w:rPr>
                <w:rFonts w:ascii="Arial" w:cs="Arial" w:eastAsia="Arial" w:hAnsi="Arial"/>
                <w:sz w:val="15"/>
                <w:szCs w:val="15"/>
                <w:color w:val="auto"/>
              </w:rPr>
              <w:t>102%</w:t>
            </w:r>
          </w:p>
        </w:tc>
        <w:tc>
          <w:tcPr>
            <w:tcW w:w="560" w:type="dxa"/>
            <w:vAlign w:val="bottom"/>
            <w:shd w:val="clear" w:color="auto" w:fill="E8EED3"/>
          </w:tcPr>
          <w:p>
            <w:pPr>
              <w:ind w:left="180"/>
              <w:spacing w:after="0" w:line="162" w:lineRule="exact"/>
              <w:rPr>
                <w:sz w:val="20"/>
                <w:szCs w:val="20"/>
                <w:color w:val="auto"/>
              </w:rPr>
            </w:pPr>
            <w:r>
              <w:rPr>
                <w:rFonts w:ascii="Arial" w:cs="Arial" w:eastAsia="Arial" w:hAnsi="Arial"/>
                <w:sz w:val="15"/>
                <w:szCs w:val="15"/>
                <w:color w:val="auto"/>
              </w:rPr>
              <w:t>x</w:t>
            </w:r>
          </w:p>
        </w:tc>
        <w:tc>
          <w:tcPr>
            <w:tcW w:w="154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198,423</w:t>
            </w:r>
          </w:p>
        </w:tc>
        <w:tc>
          <w:tcPr>
            <w:tcW w:w="600" w:type="dxa"/>
            <w:vAlign w:val="bottom"/>
            <w:shd w:val="clear" w:color="auto" w:fill="E8EED3"/>
          </w:tcPr>
          <w:p>
            <w:pPr>
              <w:jc w:val="right"/>
              <w:ind w:right="244"/>
              <w:spacing w:after="0" w:line="162" w:lineRule="exact"/>
              <w:rPr>
                <w:sz w:val="20"/>
                <w:szCs w:val="20"/>
                <w:color w:val="auto"/>
              </w:rPr>
            </w:pPr>
            <w:r>
              <w:rPr>
                <w:rFonts w:ascii="Arial" w:cs="Arial" w:eastAsia="Arial" w:hAnsi="Arial"/>
                <w:sz w:val="15"/>
                <w:szCs w:val="15"/>
                <w:color w:val="auto"/>
              </w:rPr>
              <w:t>=</w:t>
            </w:r>
          </w:p>
        </w:tc>
        <w:tc>
          <w:tcPr>
            <w:tcW w:w="16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70,991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-727710</wp:posOffset>
            </wp:positionV>
            <wp:extent cx="8255" cy="7283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-727710</wp:posOffset>
            </wp:positionV>
            <wp:extent cx="8255" cy="7283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-727710</wp:posOffset>
            </wp:positionV>
            <wp:extent cx="8255" cy="7283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-727710</wp:posOffset>
            </wp:positionV>
            <wp:extent cx="8255" cy="7283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-727710</wp:posOffset>
            </wp:positionV>
            <wp:extent cx="8255" cy="7283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-727710</wp:posOffset>
            </wp:positionV>
            <wp:extent cx="8255" cy="7283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-727710</wp:posOffset>
            </wp:positionV>
            <wp:extent cx="8255" cy="7283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728345"/>
                    </a:xfrm>
                    <a:prstGeom prst="rect">
                      <a:avLst/>
                    </a:prstGeom>
                    <a:noFill/>
                  </pic:spPr>
                </pic:pic>
              </a:graphicData>
            </a:graphic>
          </wp:anchor>
        </w:drawing>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Other Bonus Payments</w:t>
      </w:r>
    </w:p>
    <w:p>
      <w:pPr>
        <w:spacing w:after="0" w:line="128"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No discretionary bonuses were paid to our named executive officers for 2018, although the Compensation Committee may from time to time approve the payment of a discretionary bonus if the circumstances warrant.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Long-Term Equity Compensation</w:t>
      </w:r>
    </w:p>
    <w:p>
      <w:pPr>
        <w:spacing w:after="0" w:line="128"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Our Compensation Committee believes that granting stock-based awards and options from time to time provides our executives with a strong economic interest in maximizing stockholder returns over the longer term and is important in retaining and recruiting the key talent necessary to ensure our Company’s continued success. As a result, our equity compensation plans have been designed to promote the long-term financial interests and growth of our Company by helping attract and retain management with the ability to contribute to the success of the business, by providing an opportunity for increased equity ownership by our executives and by maintaining competitive levels of total compensation.</w:t>
      </w:r>
    </w:p>
    <w:p>
      <w:pPr>
        <w:spacing w:after="0" w:line="206"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Under our 2017 Incentive Plan, awards may take the form of restricted stock grants, bonus stock grants without restrictions, non-qualified stock options, incentive stock options, RSUs, performance-based awards and certain other awards. Our Compensation Committee believes that the ability to grant various types of equity awards offers more flexibility in designing the overall compensation packages. Our Compensation Committee administers our equity compensation plans.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- 18 -</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2018 Equity Grant Detail</w:t>
      </w:r>
    </w:p>
    <w:p>
      <w:pPr>
        <w:spacing w:after="0" w:line="128"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In 2018, our Compensation Committee approved a change to our Company’s long-term equity incentive practices and provided for grants of long-term incentive awards that generally consist of RSUs that generally vest over time and PRSUs that generally vest only to the extent our Company attains the performance goal established by our Compensation Committee. To the extent stock units vest, the recipient receives one share of our common stock for each vested stock unit and an amount in cash equal to the dividends that would have been paid on the underlying common stock since the date of the stock unit grant.</w:t>
      </w:r>
    </w:p>
    <w:p>
      <w:pPr>
        <w:spacing w:after="0" w:line="206"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For 2018, the value of the total stock units awarded to each named executive officer was based on a fixed dollar amount determined by our Compensation Committee with Meridian’s guidance. To determine the number of stock units, we divided the value of the award by $5, which was higher than the per share price of our stock at the time of grant. Our Board determined that the higher value more appropriately reflected the value for purposes of the awards. For our CEO and CFO, our Compensation Committee allocated the stock units between RSUs and PRSUs. Because he serves as our CEO, our Compensation Committee determined that Mr. Sadlowski would be granted equity awards with an aggregate value of approximately $500,000, and that his awards would be more heavily allocated to PRSUs, 70% of the target long-term incentive award value with the remaining 30% allocated to RSUs. For Mr. Eckl, our Compensation Committee determined that his equity awards would have an aggregate value of approximately $250,000, with the target long-term incentive award value allocated evenly between RSUs and PRSUs. Our Compensation Committee determined that Mr. Gohr should receive RSUs valued at $50,000 and PRSUs valued at $37,500.</w:t>
      </w:r>
    </w:p>
    <w:p>
      <w:pPr>
        <w:spacing w:after="0" w:line="204"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The 2018 stock units that were designated as RSUs vest over time. Pursuant to his employment agreement, in early 2018 Mr. Eckl was granted 20,000 RSUs that generally vest in substantially equal annual installments over a five-year period. Our Compensation Committee took those RSUs into account and granted him an additional 5,000 RSUs, so that his combined RSUs would reflect the fixed dollar amount for RSUs established by our Compensation Committee. The additional RSUs granted to Mr. Eckl and the RSUs granted to the other named executive officers generally vest in four substantially equal annual installments. All of the 2018 RSU awards granted to all of our named executive officers are shown in the “2018 Grants of Plan-Based Awards Table” below in this Proxy Statement.</w:t>
      </w:r>
    </w:p>
    <w:p>
      <w:pPr>
        <w:spacing w:after="0" w:line="204" w:lineRule="exact"/>
        <w:rPr>
          <w:sz w:val="20"/>
          <w:szCs w:val="20"/>
          <w:color w:val="auto"/>
        </w:rPr>
      </w:pPr>
    </w:p>
    <w:p>
      <w:pPr>
        <w:ind w:left="220" w:right="300"/>
        <w:spacing w:after="0" w:line="250" w:lineRule="auto"/>
        <w:rPr>
          <w:sz w:val="20"/>
          <w:szCs w:val="20"/>
          <w:color w:val="auto"/>
        </w:rPr>
      </w:pPr>
      <w:r>
        <w:rPr>
          <w:rFonts w:ascii="Arial" w:cs="Arial" w:eastAsia="Arial" w:hAnsi="Arial"/>
          <w:sz w:val="16"/>
          <w:szCs w:val="16"/>
          <w:color w:val="auto"/>
        </w:rPr>
        <w:t>The 2018 stock units that were designated as PRSUs generally vest in three years on March 15, 2021 to the extent our Company attains the Adjusted EBITDA goals for the 2020 fiscal year established by our Compensation Committee. The Adjusted EBITDA metric was used to help align our named executive officers’ rewards with our stockholder interests and to help create a stronger and more direct connection to success drivers and stock price performance.</w:t>
      </w:r>
    </w:p>
    <w:p>
      <w:pPr>
        <w:spacing w:after="0" w:line="205" w:lineRule="exact"/>
        <w:rPr>
          <w:sz w:val="20"/>
          <w:szCs w:val="20"/>
          <w:color w:val="auto"/>
        </w:rPr>
      </w:pPr>
    </w:p>
    <w:p>
      <w:pPr>
        <w:ind w:left="220" w:right="640"/>
        <w:spacing w:after="0" w:line="260" w:lineRule="auto"/>
        <w:rPr>
          <w:sz w:val="20"/>
          <w:szCs w:val="20"/>
          <w:color w:val="auto"/>
        </w:rPr>
      </w:pPr>
      <w:r>
        <w:rPr>
          <w:rFonts w:ascii="Arial" w:cs="Arial" w:eastAsia="Arial" w:hAnsi="Arial"/>
          <w:sz w:val="16"/>
          <w:szCs w:val="16"/>
          <w:color w:val="auto"/>
        </w:rPr>
        <w:t>Based on Adjusted EBITDA achievement, our named executive officers are eligible to earn PRSUs in the following amounts, with no interpolation between the performance levels.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7700" w:type="dxa"/>
            <w:vAlign w:val="bottom"/>
            <w:shd w:val="clear" w:color="auto" w:fill="41659C"/>
          </w:tcPr>
          <w:p>
            <w:pPr>
              <w:spacing w:after="0"/>
              <w:rPr>
                <w:sz w:val="15"/>
                <w:szCs w:val="15"/>
                <w:color w:val="auto"/>
              </w:rPr>
            </w:pPr>
          </w:p>
        </w:tc>
        <w:tc>
          <w:tcPr>
            <w:tcW w:w="2440" w:type="dxa"/>
            <w:vAlign w:val="bottom"/>
            <w:gridSpan w:val="2"/>
            <w:shd w:val="clear" w:color="auto" w:fill="41659C"/>
          </w:tcPr>
          <w:p>
            <w:pPr>
              <w:jc w:val="right"/>
              <w:ind w:right="104"/>
              <w:spacing w:after="0"/>
              <w:rPr>
                <w:sz w:val="20"/>
                <w:szCs w:val="20"/>
                <w:color w:val="auto"/>
              </w:rPr>
            </w:pPr>
            <w:r>
              <w:rPr>
                <w:rFonts w:ascii="Arial" w:cs="Arial" w:eastAsia="Arial" w:hAnsi="Arial"/>
                <w:sz w:val="15"/>
                <w:szCs w:val="15"/>
                <w:b w:val="1"/>
                <w:bCs w:val="1"/>
                <w:color w:val="FFFFFF"/>
              </w:rPr>
              <w:t>PRSUs Granted (#)</w:t>
            </w:r>
          </w:p>
        </w:tc>
        <w:tc>
          <w:tcPr>
            <w:tcW w:w="860" w:type="dxa"/>
            <w:vAlign w:val="bottom"/>
            <w:vMerge w:val="restart"/>
            <w:shd w:val="clear" w:color="auto" w:fill="41659C"/>
          </w:tcPr>
          <w:p>
            <w:pPr>
              <w:jc w:val="right"/>
              <w:ind w:right="264"/>
              <w:spacing w:after="0"/>
              <w:rPr>
                <w:sz w:val="20"/>
                <w:szCs w:val="20"/>
                <w:color w:val="auto"/>
              </w:rPr>
            </w:pPr>
            <w:r>
              <w:rPr>
                <w:rFonts w:ascii="Arial" w:cs="Arial" w:eastAsia="Arial" w:hAnsi="Arial"/>
                <w:sz w:val="15"/>
                <w:szCs w:val="15"/>
                <w:b w:val="1"/>
                <w:bCs w:val="1"/>
                <w:color w:val="FFFFFF"/>
              </w:rPr>
              <w:t>Paul</w:t>
            </w:r>
          </w:p>
        </w:tc>
        <w:tc>
          <w:tcPr>
            <w:tcW w:w="0" w:type="dxa"/>
            <w:vAlign w:val="bottom"/>
          </w:tcPr>
          <w:p>
            <w:pPr>
              <w:spacing w:after="0"/>
              <w:rPr>
                <w:sz w:val="1"/>
                <w:szCs w:val="1"/>
                <w:color w:val="auto"/>
              </w:rPr>
            </w:pPr>
          </w:p>
        </w:tc>
      </w:tr>
      <w:tr>
        <w:trPr>
          <w:trHeight w:val="162"/>
        </w:trPr>
        <w:tc>
          <w:tcPr>
            <w:tcW w:w="7700" w:type="dxa"/>
            <w:vAlign w:val="bottom"/>
            <w:shd w:val="clear" w:color="auto" w:fill="41659C"/>
          </w:tcPr>
          <w:p>
            <w:pPr>
              <w:spacing w:after="0"/>
              <w:rPr>
                <w:sz w:val="14"/>
                <w:szCs w:val="14"/>
                <w:color w:val="auto"/>
              </w:rPr>
            </w:pPr>
          </w:p>
        </w:tc>
        <w:tc>
          <w:tcPr>
            <w:tcW w:w="1280" w:type="dxa"/>
            <w:vAlign w:val="bottom"/>
            <w:shd w:val="clear" w:color="auto" w:fill="41659C"/>
          </w:tcPr>
          <w:p>
            <w:pPr>
              <w:jc w:val="right"/>
              <w:ind w:right="344"/>
              <w:spacing w:after="0" w:line="162" w:lineRule="exact"/>
              <w:rPr>
                <w:sz w:val="20"/>
                <w:szCs w:val="20"/>
                <w:color w:val="auto"/>
              </w:rPr>
            </w:pPr>
            <w:r>
              <w:rPr>
                <w:rFonts w:ascii="Arial" w:cs="Arial" w:eastAsia="Arial" w:hAnsi="Arial"/>
                <w:sz w:val="15"/>
                <w:szCs w:val="15"/>
                <w:b w:val="1"/>
                <w:bCs w:val="1"/>
                <w:color w:val="FFFFFF"/>
              </w:rPr>
              <w:t>Dennis</w:t>
            </w:r>
          </w:p>
        </w:tc>
        <w:tc>
          <w:tcPr>
            <w:tcW w:w="1160" w:type="dxa"/>
            <w:vAlign w:val="bottom"/>
            <w:shd w:val="clear" w:color="auto" w:fill="41659C"/>
          </w:tcPr>
          <w:p>
            <w:pPr>
              <w:jc w:val="right"/>
              <w:ind w:right="304"/>
              <w:spacing w:after="0" w:line="162" w:lineRule="exact"/>
              <w:rPr>
                <w:sz w:val="20"/>
                <w:szCs w:val="20"/>
                <w:color w:val="auto"/>
              </w:rPr>
            </w:pPr>
            <w:r>
              <w:rPr>
                <w:rFonts w:ascii="Arial" w:cs="Arial" w:eastAsia="Arial" w:hAnsi="Arial"/>
                <w:sz w:val="15"/>
                <w:szCs w:val="15"/>
                <w:b w:val="1"/>
                <w:bCs w:val="1"/>
                <w:color w:val="FFFFFF"/>
              </w:rPr>
              <w:t>Matthew</w:t>
            </w:r>
          </w:p>
        </w:tc>
        <w:tc>
          <w:tcPr>
            <w:tcW w:w="860" w:type="dxa"/>
            <w:vAlign w:val="bottom"/>
            <w:vMerge w:val="continue"/>
            <w:shd w:val="clear" w:color="auto" w:fill="41659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00" w:type="dxa"/>
            <w:vAlign w:val="bottom"/>
            <w:shd w:val="clear" w:color="auto" w:fill="41659C"/>
          </w:tcPr>
          <w:p>
            <w:pPr>
              <w:ind w:left="80"/>
              <w:spacing w:after="0"/>
              <w:rPr>
                <w:sz w:val="20"/>
                <w:szCs w:val="20"/>
                <w:color w:val="auto"/>
              </w:rPr>
            </w:pPr>
            <w:r>
              <w:rPr>
                <w:rFonts w:ascii="Arial" w:cs="Arial" w:eastAsia="Arial" w:hAnsi="Arial"/>
                <w:sz w:val="15"/>
                <w:szCs w:val="15"/>
                <w:b w:val="1"/>
                <w:bCs w:val="1"/>
                <w:color w:val="FFFFFF"/>
              </w:rPr>
              <w:t>2020 Adjusted EBITDA Performance Level</w:t>
            </w:r>
          </w:p>
        </w:tc>
        <w:tc>
          <w:tcPr>
            <w:tcW w:w="1280" w:type="dxa"/>
            <w:vAlign w:val="bottom"/>
            <w:shd w:val="clear" w:color="auto" w:fill="41659C"/>
          </w:tcPr>
          <w:p>
            <w:pPr>
              <w:jc w:val="right"/>
              <w:ind w:right="224"/>
              <w:spacing w:after="0"/>
              <w:rPr>
                <w:sz w:val="20"/>
                <w:szCs w:val="20"/>
                <w:color w:val="auto"/>
              </w:rPr>
            </w:pPr>
            <w:r>
              <w:rPr>
                <w:rFonts w:ascii="Arial" w:cs="Arial" w:eastAsia="Arial" w:hAnsi="Arial"/>
                <w:sz w:val="15"/>
                <w:szCs w:val="15"/>
                <w:b w:val="1"/>
                <w:bCs w:val="1"/>
                <w:color w:val="FFFFFF"/>
              </w:rPr>
              <w:t>Sadlowski</w:t>
            </w:r>
          </w:p>
        </w:tc>
        <w:tc>
          <w:tcPr>
            <w:tcW w:w="1160" w:type="dxa"/>
            <w:vAlign w:val="bottom"/>
            <w:shd w:val="clear" w:color="auto" w:fill="41659C"/>
          </w:tcPr>
          <w:p>
            <w:pPr>
              <w:jc w:val="right"/>
              <w:ind w:right="464"/>
              <w:spacing w:after="0"/>
              <w:rPr>
                <w:sz w:val="20"/>
                <w:szCs w:val="20"/>
                <w:color w:val="auto"/>
              </w:rPr>
            </w:pPr>
            <w:r>
              <w:rPr>
                <w:rFonts w:ascii="Arial" w:cs="Arial" w:eastAsia="Arial" w:hAnsi="Arial"/>
                <w:sz w:val="15"/>
                <w:szCs w:val="15"/>
                <w:b w:val="1"/>
                <w:bCs w:val="1"/>
                <w:color w:val="FFFFFF"/>
              </w:rPr>
              <w:t>Eckl</w:t>
            </w:r>
          </w:p>
        </w:tc>
        <w:tc>
          <w:tcPr>
            <w:tcW w:w="860" w:type="dxa"/>
            <w:vAlign w:val="bottom"/>
            <w:shd w:val="clear" w:color="auto" w:fill="41659C"/>
          </w:tcPr>
          <w:p>
            <w:pPr>
              <w:jc w:val="right"/>
              <w:ind w:right="244"/>
              <w:spacing w:after="0"/>
              <w:rPr>
                <w:sz w:val="20"/>
                <w:szCs w:val="20"/>
                <w:color w:val="auto"/>
              </w:rPr>
            </w:pPr>
            <w:r>
              <w:rPr>
                <w:rFonts w:ascii="Arial" w:cs="Arial" w:eastAsia="Arial" w:hAnsi="Arial"/>
                <w:sz w:val="15"/>
                <w:szCs w:val="15"/>
                <w:b w:val="1"/>
                <w:bCs w:val="1"/>
                <w:color w:val="FFFFFF"/>
              </w:rPr>
              <w:t>Gohr</w:t>
            </w:r>
          </w:p>
        </w:tc>
        <w:tc>
          <w:tcPr>
            <w:tcW w:w="0" w:type="dxa"/>
            <w:vAlign w:val="bottom"/>
          </w:tcPr>
          <w:p>
            <w:pPr>
              <w:spacing w:after="0"/>
              <w:rPr>
                <w:sz w:val="1"/>
                <w:szCs w:val="1"/>
                <w:color w:val="auto"/>
              </w:rPr>
            </w:pPr>
          </w:p>
        </w:tc>
      </w:tr>
      <w:tr>
        <w:trPr>
          <w:trHeight w:val="162"/>
        </w:trPr>
        <w:tc>
          <w:tcPr>
            <w:tcW w:w="7700" w:type="dxa"/>
            <w:vAlign w:val="bottom"/>
            <w:shd w:val="clear" w:color="auto" w:fill="E8EED3"/>
          </w:tcPr>
          <w:p>
            <w:pPr>
              <w:ind w:left="80"/>
              <w:spacing w:after="0" w:line="162" w:lineRule="exact"/>
              <w:rPr>
                <w:sz w:val="20"/>
                <w:szCs w:val="20"/>
                <w:color w:val="auto"/>
              </w:rPr>
            </w:pPr>
            <w:r>
              <w:rPr>
                <w:rFonts w:ascii="Arial" w:cs="Arial" w:eastAsia="Arial" w:hAnsi="Arial"/>
                <w:sz w:val="15"/>
                <w:szCs w:val="15"/>
                <w:color w:val="auto"/>
              </w:rPr>
              <w:t>Target</w:t>
            </w:r>
          </w:p>
        </w:tc>
        <w:tc>
          <w:tcPr>
            <w:tcW w:w="1280" w:type="dxa"/>
            <w:vAlign w:val="bottom"/>
            <w:shd w:val="clear" w:color="auto" w:fill="E8EED3"/>
          </w:tcPr>
          <w:p>
            <w:pPr>
              <w:jc w:val="right"/>
              <w:ind w:right="104"/>
              <w:spacing w:after="0" w:line="162" w:lineRule="exact"/>
              <w:rPr>
                <w:sz w:val="20"/>
                <w:szCs w:val="20"/>
                <w:color w:val="auto"/>
              </w:rPr>
            </w:pPr>
            <w:r>
              <w:rPr>
                <w:rFonts w:ascii="Arial" w:cs="Arial" w:eastAsia="Arial" w:hAnsi="Arial"/>
                <w:sz w:val="15"/>
                <w:szCs w:val="15"/>
                <w:color w:val="auto"/>
              </w:rPr>
              <w:t>70,000</w:t>
            </w:r>
          </w:p>
        </w:tc>
        <w:tc>
          <w:tcPr>
            <w:tcW w:w="1160" w:type="dxa"/>
            <w:vAlign w:val="bottom"/>
            <w:shd w:val="clear" w:color="auto" w:fill="E8EED3"/>
          </w:tcPr>
          <w:p>
            <w:pPr>
              <w:jc w:val="right"/>
              <w:ind w:right="164"/>
              <w:spacing w:after="0" w:line="162" w:lineRule="exact"/>
              <w:rPr>
                <w:sz w:val="20"/>
                <w:szCs w:val="20"/>
                <w:color w:val="auto"/>
              </w:rPr>
            </w:pPr>
            <w:r>
              <w:rPr>
                <w:rFonts w:ascii="Arial" w:cs="Arial" w:eastAsia="Arial" w:hAnsi="Arial"/>
                <w:sz w:val="15"/>
                <w:szCs w:val="15"/>
                <w:color w:val="auto"/>
              </w:rPr>
              <w:t>25,000</w:t>
            </w:r>
          </w:p>
        </w:tc>
        <w:tc>
          <w:tcPr>
            <w:tcW w:w="86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162"/>
        </w:trPr>
        <w:tc>
          <w:tcPr>
            <w:tcW w:w="7700" w:type="dxa"/>
            <w:vAlign w:val="bottom"/>
            <w:shd w:val="clear" w:color="auto" w:fill="D2DEA7"/>
          </w:tcPr>
          <w:p>
            <w:pPr>
              <w:ind w:left="80"/>
              <w:spacing w:after="0" w:line="162" w:lineRule="exact"/>
              <w:rPr>
                <w:sz w:val="20"/>
                <w:szCs w:val="20"/>
                <w:color w:val="auto"/>
              </w:rPr>
            </w:pPr>
            <w:r>
              <w:rPr>
                <w:rFonts w:ascii="Arial" w:cs="Arial" w:eastAsia="Arial" w:hAnsi="Arial"/>
                <w:sz w:val="15"/>
                <w:szCs w:val="15"/>
                <w:color w:val="auto"/>
              </w:rPr>
              <w:t>Maximum</w:t>
            </w:r>
          </w:p>
        </w:tc>
        <w:tc>
          <w:tcPr>
            <w:tcW w:w="1280" w:type="dxa"/>
            <w:vAlign w:val="bottom"/>
            <w:shd w:val="clear" w:color="auto" w:fill="D2DEA7"/>
          </w:tcPr>
          <w:p>
            <w:pPr>
              <w:jc w:val="right"/>
              <w:ind w:right="104"/>
              <w:spacing w:after="0" w:line="162" w:lineRule="exact"/>
              <w:rPr>
                <w:sz w:val="20"/>
                <w:szCs w:val="20"/>
                <w:color w:val="auto"/>
              </w:rPr>
            </w:pPr>
            <w:r>
              <w:rPr>
                <w:rFonts w:ascii="Arial" w:cs="Arial" w:eastAsia="Arial" w:hAnsi="Arial"/>
                <w:sz w:val="15"/>
                <w:szCs w:val="15"/>
                <w:color w:val="auto"/>
              </w:rPr>
              <w:t>120,000</w:t>
            </w:r>
          </w:p>
        </w:tc>
        <w:tc>
          <w:tcPr>
            <w:tcW w:w="1160" w:type="dxa"/>
            <w:vAlign w:val="bottom"/>
            <w:shd w:val="clear" w:color="auto" w:fill="D2DEA7"/>
          </w:tcPr>
          <w:p>
            <w:pPr>
              <w:jc w:val="right"/>
              <w:ind w:right="164"/>
              <w:spacing w:after="0" w:line="162" w:lineRule="exact"/>
              <w:rPr>
                <w:sz w:val="20"/>
                <w:szCs w:val="20"/>
                <w:color w:val="auto"/>
              </w:rPr>
            </w:pPr>
            <w:r>
              <w:rPr>
                <w:rFonts w:ascii="Arial" w:cs="Arial" w:eastAsia="Arial" w:hAnsi="Arial"/>
                <w:sz w:val="15"/>
                <w:szCs w:val="15"/>
                <w:color w:val="auto"/>
              </w:rPr>
              <w:t>50,000</w:t>
            </w:r>
          </w:p>
        </w:tc>
        <w:tc>
          <w:tcPr>
            <w:tcW w:w="86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-530225</wp:posOffset>
            </wp:positionV>
            <wp:extent cx="2098675" cy="530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8675" cy="530860"/>
                    </a:xfrm>
                    <a:prstGeom prst="rect">
                      <a:avLst/>
                    </a:prstGeom>
                    <a:noFill/>
                  </pic:spPr>
                </pic:pic>
              </a:graphicData>
            </a:graphic>
          </wp:anchor>
        </w:drawing>
      </w:r>
    </w:p>
    <w:p>
      <w:pPr>
        <w:spacing w:after="0" w:line="198"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auto"/>
        </w:rPr>
        <w:t>If the “target” Adjusted EBITDA performance level is not achieved, then no PRSUs will be earned by any of the named executive officers. Messrs. Sadlowski and Eckl both have a significant portion of their annual equity opportunity tied to PRSUs due to their leadership positions and responsibilities for our financial performance, and their PRSUs have a target Adjusted EBITDA goal that would result in their earning the target number of PRSUs and a “stretch” level Adjusted EBITDA goal that would result in their earning the maximum number of PRSUs. In 2018, Mr. Gohr was granted a PRSU award in addition to his annual RSU grant</w:t>
      </w:r>
      <w:r>
        <w:rPr>
          <w:rFonts w:ascii="Arial" w:cs="Arial" w:eastAsia="Arial" w:hAnsi="Arial"/>
          <w:sz w:val="16"/>
          <w:szCs w:val="16"/>
          <w:i w:val="1"/>
          <w:iCs w:val="1"/>
          <w:color w:val="auto"/>
        </w:rPr>
        <w:t>.</w:t>
      </w:r>
      <w:r>
        <w:rPr>
          <w:rFonts w:ascii="Arial" w:cs="Arial" w:eastAsia="Arial" w:hAnsi="Arial"/>
          <w:sz w:val="16"/>
          <w:szCs w:val="16"/>
          <w:color w:val="auto"/>
        </w:rPr>
        <w:t xml:space="preserve"> The only goal or “target” Adjusted EBITDA level for Mr. Gohr’s PRSU award is equal to the “maximum” Adjusted EBITDA level under the PRSU awards of Messrs. Sadlowski and Eckl. Our Compensation Committee believed that if we achieved the stretch goal for Adjusted EBITDA so that Messrs. Sadlowski and Eckl earned the maximum PRSUs, then Mr. Gohr should also be rewarded with PRSUs vesting in addition to his annual RSUs grant.</w:t>
      </w:r>
    </w:p>
    <w:p>
      <w:pPr>
        <w:spacing w:after="0" w:line="206"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We do not disclose in this Proxy Statement the specific, forward-looking Adjusted EBITDA goals that we established for the PRSUs granted in 2018 because (i) these goals relate to executive compensation to be earned and/or paid in future years, and (ii) we believe that disclosure of such goals before the applicable performance period has commenced would cause us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- 19 -</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competitive harm. However, we expect to disclose such goals in a future Proxy Statement once the applicable performance period has ended as part of our discussion and analysis about the amounts earned by our named executive officers under these awards. In setting the applicable achievement levels, our Compensation Committee considered how achievement of the performance goals could be impacted by events expected to occur in the coming years. We believe that the target goals for Messrs. Sadlowski and Eckl will require considerable and increasing collective effort on the part of our employees, including our named executive officers, to achieve. Achievement of the maximum goal for Messrs. Sadlowski and Eckl (and the target goal for Mr. Gohr) is considered to be a stretch goal given current market conditions. The PRSU grants made in 2018 for our named executive officers are set forth in the “2018 Grants of Plan-Based Awards Table” below in this Proxy Statement.</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Options</w:t>
      </w:r>
    </w:p>
    <w:p>
      <w:pPr>
        <w:spacing w:after="0" w:line="128" w:lineRule="exact"/>
        <w:rPr>
          <w:sz w:val="20"/>
          <w:szCs w:val="20"/>
          <w:color w:val="auto"/>
        </w:rPr>
      </w:pPr>
    </w:p>
    <w:p>
      <w:pPr>
        <w:ind w:left="220" w:right="260"/>
        <w:spacing w:after="0" w:line="260" w:lineRule="auto"/>
        <w:rPr>
          <w:sz w:val="20"/>
          <w:szCs w:val="20"/>
          <w:color w:val="auto"/>
        </w:rPr>
      </w:pPr>
      <w:r>
        <w:rPr>
          <w:rFonts w:ascii="Arial" w:cs="Arial" w:eastAsia="Arial" w:hAnsi="Arial"/>
          <w:sz w:val="16"/>
          <w:szCs w:val="16"/>
          <w:color w:val="auto"/>
        </w:rPr>
        <w:t>We also issue options from time to time under our equity compensation plans to provide long-term equity compensation to our executives. None of the named executive officers received options in 2018.</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Personal Benefits and Perquisites</w:t>
      </w:r>
    </w:p>
    <w:p>
      <w:pPr>
        <w:spacing w:after="0" w:line="128"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We provide our named executive officers with a limited number of perquisites that we believe are reasonable and consistent with our overall compensation program and better enable us to attract and retain employees for key positions. These perquisites consist of car allowances and payment of life insurance premiums.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Retirement and Post-Employment Benefits</w:t>
      </w:r>
    </w:p>
    <w:p>
      <w:pPr>
        <w:spacing w:after="0" w:line="128" w:lineRule="exact"/>
        <w:rPr>
          <w:sz w:val="20"/>
          <w:szCs w:val="20"/>
          <w:color w:val="auto"/>
        </w:rPr>
      </w:pPr>
    </w:p>
    <w:p>
      <w:pPr>
        <w:jc w:val="both"/>
        <w:ind w:left="220"/>
        <w:spacing w:after="0" w:line="249" w:lineRule="auto"/>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match contributions each pay period at 100% of the employee’s contributions for the first 3% of eligible compensation, and 50% of the employee’s contribution on the next 3% of eligible compensation, for a maximum match of 4.5% of eligible compensation. Our named executive officers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Agreements with Individual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We have employment agreements with Messrs. Sadlowski and Eckl. We entered into the June 10, 2017 employment agreement with Mr. Sadlowski in connection with his appointment as our permanent CEO, having served as our interim CEO for the previous four months pursuant to an interim offer letter dated January 26, 2017. We entered into an employment agreement with Mr. Eckl effective as of January 9, 2017 when he joined our Company as our CFO. These employment agreements set forth the basic terms and conditions of employment for such named executive officers, including initial base salary, annual incentive opportunity, and long-term incentive opportunity, as well as certain sign-on equity and cash bonus compensation and certain perquisites and personal benefits. The employment agreements also include customary restrictive covenants and provide for certain severance compensation and benefits in the event of a qualifying termination of employment. The terms of these employment agreements reflect the product of arms’ length negotiations between the individual and the Company. We do not have an employment agreement with Mr. Gohr.</w:t>
      </w:r>
    </w:p>
    <w:p>
      <w:pPr>
        <w:spacing w:after="0" w:line="206"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For more information regarding these individual arrangements and the benefits provided thereunder, please see “Potential Payments Upon Termination or Change in Control” below.</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- 20 -</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To reinforce the alignment of our CEO’s long-term financial interest with the interests of our stockholders, we have required our CEO to own shares of our common stock having a value equal to at least five times his base salary. During 2018, our Compensation Committee revised our stock ownership guidelines to require our other executives to own shares of our common stock having values equal to the applicable multiple of base salary set forth in the table below:</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6680" w:type="dxa"/>
            <w:vAlign w:val="bottom"/>
            <w:shd w:val="clear" w:color="auto" w:fill="41659C"/>
          </w:tcPr>
          <w:p>
            <w:pPr>
              <w:spacing w:after="0"/>
              <w:rPr>
                <w:sz w:val="14"/>
                <w:szCs w:val="14"/>
                <w:color w:val="auto"/>
              </w:rPr>
            </w:pPr>
          </w:p>
        </w:tc>
        <w:tc>
          <w:tcPr>
            <w:tcW w:w="4320" w:type="dxa"/>
            <w:vAlign w:val="bottom"/>
            <w:shd w:val="clear" w:color="auto" w:fill="41659C"/>
          </w:tcPr>
          <w:p>
            <w:pPr>
              <w:jc w:val="right"/>
              <w:ind w:right="224"/>
              <w:spacing w:after="0"/>
              <w:rPr>
                <w:sz w:val="20"/>
                <w:szCs w:val="20"/>
                <w:color w:val="auto"/>
              </w:rPr>
            </w:pPr>
            <w:r>
              <w:rPr>
                <w:rFonts w:ascii="Arial" w:cs="Arial" w:eastAsia="Arial" w:hAnsi="Arial"/>
                <w:sz w:val="15"/>
                <w:szCs w:val="15"/>
                <w:b w:val="1"/>
                <w:bCs w:val="1"/>
                <w:color w:val="FFFFFF"/>
              </w:rPr>
              <w:t>Ownership Requirement</w:t>
            </w:r>
          </w:p>
        </w:tc>
      </w:tr>
      <w:tr>
        <w:trPr>
          <w:trHeight w:val="217"/>
        </w:trPr>
        <w:tc>
          <w:tcPr>
            <w:tcW w:w="6680" w:type="dxa"/>
            <w:vAlign w:val="bottom"/>
            <w:tcBorders>
              <w:bottom w:val="single" w:sz="8" w:color="41659C"/>
            </w:tcBorders>
            <w:shd w:val="clear" w:color="auto" w:fill="41659C"/>
          </w:tcPr>
          <w:p>
            <w:pPr>
              <w:ind w:left="220"/>
              <w:spacing w:after="0"/>
              <w:rPr>
                <w:sz w:val="20"/>
                <w:szCs w:val="20"/>
                <w:color w:val="auto"/>
              </w:rPr>
            </w:pPr>
            <w:r>
              <w:rPr>
                <w:rFonts w:ascii="Arial" w:cs="Arial" w:eastAsia="Arial" w:hAnsi="Arial"/>
                <w:sz w:val="15"/>
                <w:szCs w:val="15"/>
                <w:b w:val="1"/>
                <w:bCs w:val="1"/>
                <w:color w:val="FFFFFF"/>
              </w:rPr>
              <w:t>Named Executive Officer</w:t>
            </w:r>
          </w:p>
        </w:tc>
        <w:tc>
          <w:tcPr>
            <w:tcW w:w="4320" w:type="dxa"/>
            <w:vAlign w:val="bottom"/>
            <w:tcBorders>
              <w:bottom w:val="single" w:sz="8" w:color="41659C"/>
            </w:tcBorders>
            <w:shd w:val="clear" w:color="auto" w:fill="41659C"/>
          </w:tcPr>
          <w:p>
            <w:pPr>
              <w:jc w:val="right"/>
              <w:ind w:right="64"/>
              <w:spacing w:after="0"/>
              <w:rPr>
                <w:sz w:val="20"/>
                <w:szCs w:val="20"/>
                <w:color w:val="auto"/>
              </w:rPr>
            </w:pPr>
            <w:r>
              <w:rPr>
                <w:rFonts w:ascii="Arial" w:cs="Arial" w:eastAsia="Arial" w:hAnsi="Arial"/>
                <w:sz w:val="15"/>
                <w:szCs w:val="15"/>
                <w:b w:val="1"/>
                <w:bCs w:val="1"/>
                <w:color w:val="FFFFFF"/>
              </w:rPr>
              <w:t>(as a multiple of base salary)</w:t>
            </w:r>
          </w:p>
        </w:tc>
      </w:tr>
      <w:tr>
        <w:trPr>
          <w:trHeight w:val="162"/>
        </w:trPr>
        <w:tc>
          <w:tcPr>
            <w:tcW w:w="66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Chief Executive Officer</w:t>
            </w:r>
          </w:p>
        </w:tc>
        <w:tc>
          <w:tcPr>
            <w:tcW w:w="43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5X</w:t>
            </w:r>
          </w:p>
        </w:tc>
      </w:tr>
      <w:tr>
        <w:trPr>
          <w:trHeight w:val="162"/>
        </w:trPr>
        <w:tc>
          <w:tcPr>
            <w:tcW w:w="668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Chief Financial Officer</w:t>
            </w:r>
          </w:p>
        </w:tc>
        <w:tc>
          <w:tcPr>
            <w:tcW w:w="432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3X</w:t>
            </w:r>
          </w:p>
        </w:tc>
      </w:tr>
      <w:tr>
        <w:trPr>
          <w:trHeight w:val="162"/>
        </w:trPr>
        <w:tc>
          <w:tcPr>
            <w:tcW w:w="668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Other Executives, Including Our Other Named Executive Officers</w:t>
            </w:r>
          </w:p>
        </w:tc>
        <w:tc>
          <w:tcPr>
            <w:tcW w:w="432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-547370</wp:posOffset>
            </wp:positionV>
            <wp:extent cx="8255" cy="548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548005"/>
                    </a:xfrm>
                    <a:prstGeom prst="rect">
                      <a:avLst/>
                    </a:prstGeom>
                    <a:noFill/>
                  </pic:spPr>
                </pic:pic>
              </a:graphicData>
            </a:graphic>
          </wp:anchor>
        </w:drawing>
      </w:r>
    </w:p>
    <w:p>
      <w:pPr>
        <w:spacing w:after="0" w:line="198"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In April 2017, our Board adopted a clawback policy that provides if (1) our Company is required to prepare an accounting restatement due to its material noncompliance with any financial reporting requirement under the U.S. federal securities laws and (2) our Board reasonably in good faith determines that any current or former “Section 16 officer” of our Company willfully committed an act of fraud, dishonesty or recklessness that contributed to the noncompliance or benefitted materially from excessive incentive-based compensation, then our Board may direct the Company to use prompt and reasonable efforts to recover the excessive incentive-based compensation paid to the individual.</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executives are not pressured to focus exclusively on short-term gains, which may be detrimental to long-term stock price appreciation and other business metrics. The variable portions of compensation consist of cash incentives and long-term equity incentives (restricted stock units and performance-based restricted stock units). Incentive compensation is generally tied to the achievement of corporate performance goals based on metrics established by our Compensation Committee. For 2018, we used adjusted operating income, revenue and adjusted free cash flow for short-term cash incentives and Adjusted EBITDA for long-term equity incentives. We believe that the variable components of compensation motivate our executives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Although no new comprehensive review was conducted in 2018, based on our previous review in 2016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We recognize a charge to earnings for accounting purposes for equity awards over their requisite service period. With respect to the tax deductibility of compensation, although the “performance-based compensation” exception under Section 162(m) of the Internal Revenue Code was repealed as part of the late 2017 U.S. tax reform, generally effective as of January 1, 2018, our Compensation Committee still considers the tax deductibility of compensation. However, our Compensation Committee is fully authorized to approve compensation that may not be deductible when it believes that such payments are appropriate to attract and retain executive talent.</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- 21 -</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29"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r>
        <w:rPr>
          <w:rFonts w:ascii="Arial" w:cs="Arial" w:eastAsia="Arial" w:hAnsi="Arial"/>
          <w:sz w:val="16"/>
          <w:szCs w:val="16"/>
          <w:b w:val="1"/>
          <w:bCs w:val="1"/>
          <w:i w:val="1"/>
          <w:iCs w:val="1"/>
          <w:color w:val="auto"/>
        </w:rPr>
        <w:t>.</w:t>
      </w: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Compensation Committee Report</w:t>
      </w:r>
    </w:p>
    <w:p>
      <w:pPr>
        <w:spacing w:after="0" w:line="240" w:lineRule="exact"/>
        <w:rPr>
          <w:sz w:val="20"/>
          <w:szCs w:val="20"/>
          <w:color w:val="auto"/>
        </w:rPr>
      </w:pPr>
    </w:p>
    <w:p>
      <w:pPr>
        <w:jc w:val="both"/>
        <w:ind w:left="220" w:right="340"/>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2018.</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is submitted on behalf of the members of the Compensation Committee: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Valerie Gentile Sachs, Chair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Eric M. Goldberg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David B. Liner</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- 22 -</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2018 Summary Compensation Table</w:t>
      </w:r>
    </w:p>
    <w:p>
      <w:pPr>
        <w:spacing w:after="0" w:line="240" w:lineRule="exact"/>
        <w:rPr>
          <w:sz w:val="20"/>
          <w:szCs w:val="20"/>
          <w:color w:val="auto"/>
        </w:rPr>
      </w:pPr>
    </w:p>
    <w:p>
      <w:pPr>
        <w:jc w:val="both"/>
        <w:ind w:left="220" w:right="420"/>
        <w:spacing w:after="0" w:line="253" w:lineRule="auto"/>
        <w:rPr>
          <w:sz w:val="20"/>
          <w:szCs w:val="20"/>
          <w:color w:val="auto"/>
        </w:rPr>
      </w:pPr>
      <w:r>
        <w:rPr>
          <w:rFonts w:ascii="Arial" w:cs="Arial" w:eastAsia="Arial" w:hAnsi="Arial"/>
          <w:sz w:val="16"/>
          <w:szCs w:val="16"/>
          <w:color w:val="auto"/>
        </w:rPr>
        <w:t>The following table sets forth certain information with respect to the compensation earned during the years ended December 31, 2018 and 2017 by Mr. Sadlowski, our principal executive officer, Mr. Eckl, our principal financial officer, and Mr. Gohr, our other executive officer. All of these individuals became executive officers in 2017, and we refer to them collectively as “our named executive officers.”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8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86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132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Non-Equity</w:t>
            </w:r>
          </w:p>
        </w:tc>
        <w:tc>
          <w:tcPr>
            <w:tcW w:w="1500" w:type="dxa"/>
            <w:vAlign w:val="bottom"/>
            <w:shd w:val="clear" w:color="auto" w:fill="41659C"/>
          </w:tcPr>
          <w:p>
            <w:pPr>
              <w:spacing w:after="0"/>
              <w:rPr>
                <w:sz w:val="14"/>
                <w:szCs w:val="14"/>
                <w:color w:val="auto"/>
              </w:rPr>
            </w:pPr>
          </w:p>
        </w:tc>
        <w:tc>
          <w:tcPr>
            <w:tcW w:w="1060" w:type="dxa"/>
            <w:vAlign w:val="bottom"/>
            <w:shd w:val="clear" w:color="auto" w:fill="41659C"/>
          </w:tcPr>
          <w:p>
            <w:pPr>
              <w:spacing w:after="0"/>
              <w:rPr>
                <w:sz w:val="14"/>
                <w:szCs w:val="14"/>
                <w:color w:val="auto"/>
              </w:rPr>
            </w:pPr>
          </w:p>
        </w:tc>
      </w:tr>
      <w:tr>
        <w:trPr>
          <w:trHeight w:val="162"/>
        </w:trPr>
        <w:tc>
          <w:tcPr>
            <w:tcW w:w="38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860" w:type="dxa"/>
            <w:vAlign w:val="bottom"/>
            <w:shd w:val="clear" w:color="auto" w:fill="41659C"/>
          </w:tcPr>
          <w:p>
            <w:pPr>
              <w:spacing w:after="0"/>
              <w:rPr>
                <w:sz w:val="14"/>
                <w:szCs w:val="14"/>
                <w:color w:val="auto"/>
              </w:rPr>
            </w:pPr>
          </w:p>
        </w:tc>
        <w:tc>
          <w:tcPr>
            <w:tcW w:w="88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Stock</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Incentive Plan</w:t>
            </w:r>
          </w:p>
        </w:tc>
        <w:tc>
          <w:tcPr>
            <w:tcW w:w="1500" w:type="dxa"/>
            <w:vAlign w:val="bottom"/>
            <w:shd w:val="clear" w:color="auto" w:fill="41659C"/>
          </w:tcPr>
          <w:p>
            <w:pPr>
              <w:jc w:val="center"/>
              <w:ind w:right="124"/>
              <w:spacing w:after="0" w:line="162" w:lineRule="exact"/>
              <w:rPr>
                <w:sz w:val="20"/>
                <w:szCs w:val="20"/>
                <w:color w:val="auto"/>
              </w:rPr>
            </w:pPr>
            <w:r>
              <w:rPr>
                <w:rFonts w:ascii="Arial" w:cs="Arial" w:eastAsia="Arial" w:hAnsi="Arial"/>
                <w:sz w:val="15"/>
                <w:szCs w:val="15"/>
                <w:b w:val="1"/>
                <w:bCs w:val="1"/>
                <w:color w:val="FFFFFF"/>
              </w:rPr>
              <w:t>All Other</w:t>
            </w:r>
          </w:p>
        </w:tc>
        <w:tc>
          <w:tcPr>
            <w:tcW w:w="1060" w:type="dxa"/>
            <w:vAlign w:val="bottom"/>
            <w:shd w:val="clear" w:color="auto" w:fill="41659C"/>
          </w:tcPr>
          <w:p>
            <w:pPr>
              <w:spacing w:after="0"/>
              <w:rPr>
                <w:sz w:val="14"/>
                <w:szCs w:val="14"/>
                <w:color w:val="auto"/>
              </w:rPr>
            </w:pPr>
          </w:p>
        </w:tc>
      </w:tr>
      <w:tr>
        <w:trPr>
          <w:trHeight w:val="162"/>
        </w:trPr>
        <w:tc>
          <w:tcPr>
            <w:tcW w:w="3820" w:type="dxa"/>
            <w:vAlign w:val="bottom"/>
            <w:shd w:val="clear" w:color="auto" w:fill="41659C"/>
          </w:tcPr>
          <w:p>
            <w:pPr>
              <w:spacing w:after="0"/>
              <w:rPr>
                <w:sz w:val="14"/>
                <w:szCs w:val="14"/>
                <w:color w:val="auto"/>
              </w:rPr>
            </w:pPr>
          </w:p>
        </w:tc>
        <w:tc>
          <w:tcPr>
            <w:tcW w:w="680" w:type="dxa"/>
            <w:vAlign w:val="bottom"/>
            <w:shd w:val="clear" w:color="auto" w:fill="41659C"/>
          </w:tcPr>
          <w:p>
            <w:pPr>
              <w:spacing w:after="0"/>
              <w:rPr>
                <w:sz w:val="14"/>
                <w:szCs w:val="14"/>
                <w:color w:val="auto"/>
              </w:rPr>
            </w:pPr>
          </w:p>
        </w:tc>
        <w:tc>
          <w:tcPr>
            <w:tcW w:w="880" w:type="dxa"/>
            <w:vAlign w:val="bottom"/>
            <w:shd w:val="clear" w:color="auto" w:fill="41659C"/>
          </w:tcPr>
          <w:p>
            <w:pPr>
              <w:ind w:left="160"/>
              <w:spacing w:after="0" w:line="162" w:lineRule="exact"/>
              <w:rPr>
                <w:sz w:val="20"/>
                <w:szCs w:val="20"/>
                <w:color w:val="auto"/>
              </w:rPr>
            </w:pPr>
            <w:r>
              <w:rPr>
                <w:rFonts w:ascii="Arial" w:cs="Arial" w:eastAsia="Arial" w:hAnsi="Arial"/>
                <w:sz w:val="15"/>
                <w:szCs w:val="15"/>
                <w:b w:val="1"/>
                <w:bCs w:val="1"/>
                <w:color w:val="FFFFFF"/>
              </w:rPr>
              <w:t>Salary</w:t>
            </w:r>
          </w:p>
        </w:tc>
        <w:tc>
          <w:tcPr>
            <w:tcW w:w="860" w:type="dxa"/>
            <w:vAlign w:val="bottom"/>
            <w:shd w:val="clear" w:color="auto" w:fill="41659C"/>
          </w:tcPr>
          <w:p>
            <w:pPr>
              <w:ind w:left="120"/>
              <w:spacing w:after="0" w:line="162" w:lineRule="exact"/>
              <w:rPr>
                <w:sz w:val="20"/>
                <w:szCs w:val="20"/>
                <w:color w:val="auto"/>
              </w:rPr>
            </w:pPr>
            <w:r>
              <w:rPr>
                <w:rFonts w:ascii="Arial" w:cs="Arial" w:eastAsia="Arial" w:hAnsi="Arial"/>
                <w:sz w:val="15"/>
                <w:szCs w:val="15"/>
                <w:b w:val="1"/>
                <w:bCs w:val="1"/>
                <w:color w:val="FFFFFF"/>
              </w:rPr>
              <w:t>Bonus</w:t>
            </w:r>
          </w:p>
        </w:tc>
        <w:tc>
          <w:tcPr>
            <w:tcW w:w="88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Awards</w:t>
            </w:r>
          </w:p>
        </w:tc>
        <w:tc>
          <w:tcPr>
            <w:tcW w:w="132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Compensation</w:t>
            </w:r>
          </w:p>
        </w:tc>
        <w:tc>
          <w:tcPr>
            <w:tcW w:w="1500" w:type="dxa"/>
            <w:vAlign w:val="bottom"/>
            <w:shd w:val="clear" w:color="auto" w:fill="41659C"/>
          </w:tcPr>
          <w:p>
            <w:pPr>
              <w:jc w:val="center"/>
              <w:ind w:right="124"/>
              <w:spacing w:after="0" w:line="162" w:lineRule="exact"/>
              <w:rPr>
                <w:sz w:val="20"/>
                <w:szCs w:val="20"/>
                <w:color w:val="auto"/>
              </w:rPr>
            </w:pPr>
            <w:r>
              <w:rPr>
                <w:rFonts w:ascii="Arial" w:cs="Arial" w:eastAsia="Arial" w:hAnsi="Arial"/>
                <w:sz w:val="15"/>
                <w:szCs w:val="15"/>
                <w:b w:val="1"/>
                <w:bCs w:val="1"/>
                <w:color w:val="FFFFFF"/>
              </w:rPr>
              <w:t>Compensation</w:t>
            </w:r>
          </w:p>
        </w:tc>
        <w:tc>
          <w:tcPr>
            <w:tcW w:w="1060" w:type="dxa"/>
            <w:vAlign w:val="bottom"/>
            <w:shd w:val="clear" w:color="auto" w:fill="41659C"/>
          </w:tcPr>
          <w:p>
            <w:pPr>
              <w:jc w:val="right"/>
              <w:ind w:right="304"/>
              <w:spacing w:after="0" w:line="162" w:lineRule="exact"/>
              <w:rPr>
                <w:sz w:val="20"/>
                <w:szCs w:val="20"/>
                <w:color w:val="auto"/>
              </w:rPr>
            </w:pPr>
            <w:r>
              <w:rPr>
                <w:rFonts w:ascii="Arial" w:cs="Arial" w:eastAsia="Arial" w:hAnsi="Arial"/>
                <w:sz w:val="15"/>
                <w:szCs w:val="15"/>
                <w:b w:val="1"/>
                <w:bCs w:val="1"/>
                <w:color w:val="FFFFFF"/>
              </w:rPr>
              <w:t>Total</w:t>
            </w:r>
          </w:p>
        </w:tc>
      </w:tr>
      <w:tr>
        <w:trPr>
          <w:trHeight w:val="197"/>
        </w:trPr>
        <w:tc>
          <w:tcPr>
            <w:tcW w:w="382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and Principal Position</w:t>
            </w:r>
          </w:p>
        </w:tc>
        <w:tc>
          <w:tcPr>
            <w:tcW w:w="680" w:type="dxa"/>
            <w:vAlign w:val="bottom"/>
            <w:shd w:val="clear" w:color="auto" w:fill="41659C"/>
          </w:tcPr>
          <w:p>
            <w:pPr>
              <w:jc w:val="right"/>
              <w:ind w:right="164"/>
              <w:spacing w:after="0"/>
              <w:rPr>
                <w:sz w:val="20"/>
                <w:szCs w:val="20"/>
                <w:color w:val="auto"/>
              </w:rPr>
            </w:pPr>
            <w:r>
              <w:rPr>
                <w:rFonts w:ascii="Arial" w:cs="Arial" w:eastAsia="Arial" w:hAnsi="Arial"/>
                <w:sz w:val="15"/>
                <w:szCs w:val="15"/>
                <w:b w:val="1"/>
                <w:bCs w:val="1"/>
                <w:color w:val="FFFFFF"/>
              </w:rPr>
              <w:t>Year</w:t>
            </w:r>
          </w:p>
        </w:tc>
        <w:tc>
          <w:tcPr>
            <w:tcW w:w="880" w:type="dxa"/>
            <w:vAlign w:val="bottom"/>
            <w:shd w:val="clear" w:color="auto" w:fill="41659C"/>
          </w:tcPr>
          <w:p>
            <w:pPr>
              <w:ind w:left="300"/>
              <w:spacing w:after="0"/>
              <w:rPr>
                <w:sz w:val="20"/>
                <w:szCs w:val="20"/>
                <w:color w:val="auto"/>
              </w:rPr>
            </w:pPr>
            <w:r>
              <w:rPr>
                <w:rFonts w:ascii="Arial" w:cs="Arial" w:eastAsia="Arial" w:hAnsi="Arial"/>
                <w:sz w:val="15"/>
                <w:szCs w:val="15"/>
                <w:b w:val="1"/>
                <w:bCs w:val="1"/>
                <w:color w:val="FFFFFF"/>
              </w:rPr>
              <w:t>($)</w:t>
            </w:r>
          </w:p>
        </w:tc>
        <w:tc>
          <w:tcPr>
            <w:tcW w:w="860" w:type="dxa"/>
            <w:vAlign w:val="bottom"/>
            <w:shd w:val="clear" w:color="auto" w:fill="41659C"/>
          </w:tcPr>
          <w:p>
            <w:pPr>
              <w:ind w:left="260"/>
              <w:spacing w:after="0"/>
              <w:rPr>
                <w:sz w:val="20"/>
                <w:szCs w:val="20"/>
                <w:color w:val="auto"/>
              </w:rPr>
            </w:pPr>
            <w:r>
              <w:rPr>
                <w:rFonts w:ascii="Arial" w:cs="Arial" w:eastAsia="Arial" w:hAnsi="Arial"/>
                <w:sz w:val="15"/>
                <w:szCs w:val="15"/>
                <w:b w:val="1"/>
                <w:bCs w:val="1"/>
                <w:color w:val="FFFFFF"/>
              </w:rPr>
              <w:t>($)</w:t>
            </w:r>
          </w:p>
        </w:tc>
        <w:tc>
          <w:tcPr>
            <w:tcW w:w="88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(3)</w:t>
            </w:r>
          </w:p>
        </w:tc>
        <w:tc>
          <w:tcPr>
            <w:tcW w:w="132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500" w:type="dxa"/>
            <w:vAlign w:val="bottom"/>
            <w:shd w:val="clear" w:color="auto" w:fill="41659C"/>
          </w:tcPr>
          <w:p>
            <w:pPr>
              <w:jc w:val="center"/>
              <w:ind w:right="124"/>
              <w:spacing w:after="0"/>
              <w:rPr>
                <w:sz w:val="20"/>
                <w:szCs w:val="20"/>
                <w:color w:val="auto"/>
              </w:rPr>
            </w:pPr>
            <w:r>
              <w:rPr>
                <w:rFonts w:ascii="Arial" w:cs="Arial" w:eastAsia="Arial" w:hAnsi="Arial"/>
                <w:sz w:val="15"/>
                <w:szCs w:val="15"/>
                <w:b w:val="1"/>
                <w:bCs w:val="1"/>
                <w:color w:val="FFFFFF"/>
              </w:rPr>
              <w:t>($)</w:t>
            </w:r>
            <w:r>
              <w:rPr>
                <w:rFonts w:ascii="Arial" w:cs="Arial" w:eastAsia="Arial" w:hAnsi="Arial"/>
                <w:sz w:val="12"/>
                <w:szCs w:val="12"/>
                <w:b w:val="1"/>
                <w:bCs w:val="1"/>
                <w:color w:val="FFFFFF"/>
              </w:rPr>
              <w:t>(4)</w:t>
            </w:r>
          </w:p>
        </w:tc>
        <w:tc>
          <w:tcPr>
            <w:tcW w:w="1060" w:type="dxa"/>
            <w:vAlign w:val="bottom"/>
            <w:shd w:val="clear" w:color="auto" w:fill="41659C"/>
          </w:tcPr>
          <w:p>
            <w:pPr>
              <w:jc w:val="right"/>
              <w:ind w:right="384"/>
              <w:spacing w:after="0"/>
              <w:rPr>
                <w:sz w:val="20"/>
                <w:szCs w:val="20"/>
                <w:color w:val="auto"/>
              </w:rPr>
            </w:pPr>
            <w:r>
              <w:rPr>
                <w:rFonts w:ascii="Arial" w:cs="Arial" w:eastAsia="Arial" w:hAnsi="Arial"/>
                <w:sz w:val="15"/>
                <w:szCs w:val="15"/>
                <w:b w:val="1"/>
                <w:bCs w:val="1"/>
                <w:color w:val="FFFFFF"/>
              </w:rPr>
              <w:t>($)</w:t>
            </w:r>
          </w:p>
        </w:tc>
      </w:tr>
      <w:tr>
        <w:trPr>
          <w:trHeight w:val="158"/>
        </w:trPr>
        <w:tc>
          <w:tcPr>
            <w:tcW w:w="3820" w:type="dxa"/>
            <w:vAlign w:val="bottom"/>
            <w:shd w:val="clear" w:color="auto" w:fill="E8EED3"/>
          </w:tcPr>
          <w:p>
            <w:pPr>
              <w:ind w:left="220"/>
              <w:spacing w:after="0" w:line="159" w:lineRule="exact"/>
              <w:rPr>
                <w:sz w:val="20"/>
                <w:szCs w:val="20"/>
                <w:color w:val="auto"/>
              </w:rPr>
            </w:pPr>
            <w:r>
              <w:rPr>
                <w:rFonts w:ascii="Arial" w:cs="Arial" w:eastAsia="Arial" w:hAnsi="Arial"/>
                <w:sz w:val="15"/>
                <w:szCs w:val="15"/>
                <w:color w:val="auto"/>
              </w:rPr>
              <w:t>Dennis Sadlowski,</w:t>
            </w:r>
          </w:p>
        </w:tc>
        <w:tc>
          <w:tcPr>
            <w:tcW w:w="680" w:type="dxa"/>
            <w:vAlign w:val="bottom"/>
            <w:shd w:val="clear" w:color="auto" w:fill="E8EED3"/>
          </w:tcPr>
          <w:p>
            <w:pPr>
              <w:jc w:val="right"/>
              <w:ind w:right="84"/>
              <w:spacing w:after="0" w:line="159" w:lineRule="exact"/>
              <w:rPr>
                <w:sz w:val="20"/>
                <w:szCs w:val="20"/>
                <w:color w:val="auto"/>
              </w:rPr>
            </w:pPr>
            <w:r>
              <w:rPr>
                <w:rFonts w:ascii="Arial" w:cs="Arial" w:eastAsia="Arial" w:hAnsi="Arial"/>
                <w:sz w:val="15"/>
                <w:szCs w:val="15"/>
                <w:color w:val="auto"/>
              </w:rPr>
              <w:t>2018</w:t>
            </w:r>
          </w:p>
        </w:tc>
        <w:tc>
          <w:tcPr>
            <w:tcW w:w="880" w:type="dxa"/>
            <w:vAlign w:val="bottom"/>
            <w:shd w:val="clear" w:color="auto" w:fill="E8EED3"/>
          </w:tcPr>
          <w:p>
            <w:pPr>
              <w:ind w:left="140"/>
              <w:spacing w:after="0" w:line="159" w:lineRule="exact"/>
              <w:rPr>
                <w:sz w:val="20"/>
                <w:szCs w:val="20"/>
                <w:color w:val="auto"/>
              </w:rPr>
            </w:pPr>
            <w:r>
              <w:rPr>
                <w:rFonts w:ascii="Arial" w:cs="Arial" w:eastAsia="Arial" w:hAnsi="Arial"/>
                <w:sz w:val="15"/>
                <w:szCs w:val="15"/>
                <w:color w:val="auto"/>
              </w:rPr>
              <w:t>575,000</w:t>
            </w:r>
          </w:p>
        </w:tc>
        <w:tc>
          <w:tcPr>
            <w:tcW w:w="860" w:type="dxa"/>
            <w:vAlign w:val="bottom"/>
            <w:shd w:val="clear" w:color="auto" w:fill="E8EED3"/>
          </w:tcPr>
          <w:p>
            <w:pPr>
              <w:ind w:left="420"/>
              <w:spacing w:after="0" w:line="159" w:lineRule="exact"/>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jc w:val="right"/>
              <w:ind w:right="64"/>
              <w:spacing w:after="0" w:line="159" w:lineRule="exact"/>
              <w:rPr>
                <w:sz w:val="20"/>
                <w:szCs w:val="20"/>
                <w:color w:val="auto"/>
              </w:rPr>
            </w:pPr>
            <w:r>
              <w:rPr>
                <w:rFonts w:ascii="Arial" w:cs="Arial" w:eastAsia="Arial" w:hAnsi="Arial"/>
                <w:sz w:val="15"/>
                <w:szCs w:val="15"/>
                <w:color w:val="auto"/>
              </w:rPr>
              <w:t>742,500</w:t>
            </w:r>
          </w:p>
        </w:tc>
        <w:tc>
          <w:tcPr>
            <w:tcW w:w="1320" w:type="dxa"/>
            <w:vAlign w:val="bottom"/>
            <w:shd w:val="clear" w:color="auto" w:fill="E8EED3"/>
          </w:tcPr>
          <w:p>
            <w:pPr>
              <w:jc w:val="right"/>
              <w:ind w:right="24"/>
              <w:spacing w:after="0" w:line="159" w:lineRule="exact"/>
              <w:rPr>
                <w:sz w:val="20"/>
                <w:szCs w:val="20"/>
                <w:color w:val="auto"/>
              </w:rPr>
            </w:pPr>
            <w:r>
              <w:rPr>
                <w:rFonts w:ascii="Arial" w:cs="Arial" w:eastAsia="Arial" w:hAnsi="Arial"/>
                <w:sz w:val="15"/>
                <w:szCs w:val="15"/>
                <w:color w:val="auto"/>
              </w:rPr>
              <w:t>715,561</w:t>
            </w:r>
          </w:p>
        </w:tc>
        <w:tc>
          <w:tcPr>
            <w:tcW w:w="1500" w:type="dxa"/>
            <w:vAlign w:val="bottom"/>
            <w:shd w:val="clear" w:color="auto" w:fill="E8EED3"/>
          </w:tcPr>
          <w:p>
            <w:pPr>
              <w:jc w:val="center"/>
              <w:ind w:left="404"/>
              <w:spacing w:after="0" w:line="159" w:lineRule="exact"/>
              <w:rPr>
                <w:sz w:val="20"/>
                <w:szCs w:val="20"/>
                <w:color w:val="auto"/>
              </w:rPr>
            </w:pPr>
            <w:r>
              <w:rPr>
                <w:rFonts w:ascii="Arial" w:cs="Arial" w:eastAsia="Arial" w:hAnsi="Arial"/>
                <w:sz w:val="15"/>
                <w:szCs w:val="15"/>
                <w:color w:val="auto"/>
              </w:rPr>
              <w:t>29,692</w:t>
            </w:r>
          </w:p>
        </w:tc>
        <w:tc>
          <w:tcPr>
            <w:tcW w:w="1060" w:type="dxa"/>
            <w:vAlign w:val="bottom"/>
            <w:shd w:val="clear" w:color="auto" w:fill="E8EED3"/>
          </w:tcPr>
          <w:p>
            <w:pPr>
              <w:jc w:val="right"/>
              <w:ind w:right="84"/>
              <w:spacing w:after="0" w:line="159" w:lineRule="exact"/>
              <w:rPr>
                <w:sz w:val="20"/>
                <w:szCs w:val="20"/>
                <w:color w:val="auto"/>
              </w:rPr>
            </w:pPr>
            <w:r>
              <w:rPr>
                <w:rFonts w:ascii="Arial" w:cs="Arial" w:eastAsia="Arial" w:hAnsi="Arial"/>
                <w:sz w:val="15"/>
                <w:szCs w:val="15"/>
                <w:color w:val="auto"/>
              </w:rPr>
              <w:t>2,062,753</w:t>
            </w:r>
          </w:p>
        </w:tc>
      </w:tr>
      <w:tr>
        <w:trPr>
          <w:trHeight w:val="179"/>
        </w:trPr>
        <w:tc>
          <w:tcPr>
            <w:tcW w:w="3820" w:type="dxa"/>
            <w:vAlign w:val="bottom"/>
            <w:shd w:val="clear" w:color="auto" w:fill="E8EED3"/>
          </w:tcPr>
          <w:p>
            <w:pPr>
              <w:ind w:left="220"/>
              <w:spacing w:after="0"/>
              <w:rPr>
                <w:sz w:val="20"/>
                <w:szCs w:val="20"/>
                <w:color w:val="auto"/>
              </w:rPr>
            </w:pPr>
            <w:r>
              <w:rPr>
                <w:rFonts w:ascii="Arial" w:cs="Arial" w:eastAsia="Arial" w:hAnsi="Arial"/>
                <w:sz w:val="15"/>
                <w:szCs w:val="15"/>
                <w:color w:val="auto"/>
              </w:rPr>
              <w:t>Chief Executive Officer</w:t>
            </w:r>
          </w:p>
        </w:tc>
        <w:tc>
          <w:tcPr>
            <w:tcW w:w="68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2017</w:t>
            </w:r>
          </w:p>
        </w:tc>
        <w:tc>
          <w:tcPr>
            <w:tcW w:w="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531,629</w:t>
            </w:r>
            <w:r>
              <w:rPr>
                <w:rFonts w:ascii="Arial" w:cs="Arial" w:eastAsia="Arial" w:hAnsi="Arial"/>
                <w:sz w:val="12"/>
                <w:szCs w:val="12"/>
                <w:color w:val="auto"/>
              </w:rPr>
              <w:t>1</w:t>
            </w:r>
          </w:p>
        </w:tc>
        <w:tc>
          <w:tcPr>
            <w:tcW w:w="860" w:type="dxa"/>
            <w:vAlign w:val="bottom"/>
            <w:shd w:val="clear" w:color="auto" w:fill="E8EED3"/>
          </w:tcPr>
          <w:p>
            <w:pPr>
              <w:ind w:left="100"/>
              <w:spacing w:after="0"/>
              <w:rPr>
                <w:sz w:val="20"/>
                <w:szCs w:val="20"/>
                <w:color w:val="auto"/>
              </w:rPr>
            </w:pPr>
            <w:r>
              <w:rPr>
                <w:rFonts w:ascii="Arial" w:cs="Arial" w:eastAsia="Arial" w:hAnsi="Arial"/>
                <w:sz w:val="15"/>
                <w:szCs w:val="15"/>
                <w:color w:val="auto"/>
              </w:rPr>
              <w:t>201,644</w:t>
            </w:r>
            <w:r>
              <w:rPr>
                <w:rFonts w:ascii="Arial" w:cs="Arial" w:eastAsia="Arial" w:hAnsi="Arial"/>
                <w:sz w:val="12"/>
                <w:szCs w:val="12"/>
                <w:color w:val="auto"/>
              </w:rPr>
              <w:t>2</w:t>
            </w:r>
          </w:p>
        </w:tc>
        <w:tc>
          <w:tcPr>
            <w:tcW w:w="8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471,716</w:t>
            </w:r>
          </w:p>
        </w:tc>
        <w:tc>
          <w:tcPr>
            <w:tcW w:w="132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w:t>
            </w:r>
          </w:p>
        </w:tc>
        <w:tc>
          <w:tcPr>
            <w:tcW w:w="1500" w:type="dxa"/>
            <w:vAlign w:val="bottom"/>
            <w:shd w:val="clear" w:color="auto" w:fill="E8EED3"/>
          </w:tcPr>
          <w:p>
            <w:pPr>
              <w:jc w:val="center"/>
              <w:ind w:left="404"/>
              <w:spacing w:after="0"/>
              <w:rPr>
                <w:sz w:val="20"/>
                <w:szCs w:val="20"/>
                <w:color w:val="auto"/>
              </w:rPr>
            </w:pPr>
            <w:r>
              <w:rPr>
                <w:rFonts w:ascii="Arial" w:cs="Arial" w:eastAsia="Arial" w:hAnsi="Arial"/>
                <w:sz w:val="15"/>
                <w:szCs w:val="15"/>
                <w:color w:val="auto"/>
              </w:rPr>
              <w:t>27,526</w:t>
            </w:r>
          </w:p>
        </w:tc>
        <w:tc>
          <w:tcPr>
            <w:tcW w:w="106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1,232,515</w:t>
            </w:r>
          </w:p>
        </w:tc>
      </w:tr>
      <w:tr>
        <w:trPr>
          <w:trHeight w:val="226"/>
        </w:trPr>
        <w:tc>
          <w:tcPr>
            <w:tcW w:w="3820" w:type="dxa"/>
            <w:vAlign w:val="bottom"/>
            <w:shd w:val="clear" w:color="auto" w:fill="D2DEA7"/>
          </w:tcPr>
          <w:p>
            <w:pPr>
              <w:ind w:left="220"/>
              <w:spacing w:after="0"/>
              <w:rPr>
                <w:sz w:val="20"/>
                <w:szCs w:val="20"/>
                <w:color w:val="auto"/>
              </w:rPr>
            </w:pPr>
            <w:r>
              <w:rPr>
                <w:rFonts w:ascii="Arial" w:cs="Arial" w:eastAsia="Arial" w:hAnsi="Arial"/>
                <w:sz w:val="15"/>
                <w:szCs w:val="15"/>
                <w:color w:val="auto"/>
              </w:rPr>
              <w:t>Matthew Eckl,</w:t>
            </w:r>
          </w:p>
        </w:tc>
        <w:tc>
          <w:tcPr>
            <w:tcW w:w="68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2018</w:t>
            </w:r>
          </w:p>
        </w:tc>
        <w:tc>
          <w:tcPr>
            <w:tcW w:w="8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334,192</w:t>
            </w:r>
          </w:p>
        </w:tc>
        <w:tc>
          <w:tcPr>
            <w:tcW w:w="860" w:type="dxa"/>
            <w:vAlign w:val="bottom"/>
            <w:shd w:val="clear" w:color="auto" w:fill="D2DEA7"/>
          </w:tcPr>
          <w:p>
            <w:pPr>
              <w:ind w:left="420"/>
              <w:spacing w:after="0"/>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357,650</w:t>
            </w:r>
          </w:p>
        </w:tc>
        <w:tc>
          <w:tcPr>
            <w:tcW w:w="1320" w:type="dxa"/>
            <w:vAlign w:val="bottom"/>
            <w:shd w:val="clear" w:color="auto" w:fill="D2DEA7"/>
          </w:tcPr>
          <w:p>
            <w:pPr>
              <w:jc w:val="right"/>
              <w:ind w:right="24"/>
              <w:spacing w:after="0"/>
              <w:rPr>
                <w:sz w:val="20"/>
                <w:szCs w:val="20"/>
                <w:color w:val="auto"/>
              </w:rPr>
            </w:pPr>
            <w:r>
              <w:rPr>
                <w:rFonts w:ascii="Arial" w:cs="Arial" w:eastAsia="Arial" w:hAnsi="Arial"/>
                <w:sz w:val="15"/>
                <w:szCs w:val="15"/>
                <w:color w:val="auto"/>
              </w:rPr>
              <w:t>228,736</w:t>
            </w:r>
          </w:p>
        </w:tc>
        <w:tc>
          <w:tcPr>
            <w:tcW w:w="1500" w:type="dxa"/>
            <w:vAlign w:val="bottom"/>
            <w:shd w:val="clear" w:color="auto" w:fill="D2DEA7"/>
          </w:tcPr>
          <w:p>
            <w:pPr>
              <w:jc w:val="center"/>
              <w:ind w:left="404"/>
              <w:spacing w:after="0"/>
              <w:rPr>
                <w:sz w:val="20"/>
                <w:szCs w:val="20"/>
                <w:color w:val="auto"/>
              </w:rPr>
            </w:pPr>
            <w:r>
              <w:rPr>
                <w:rFonts w:ascii="Arial" w:cs="Arial" w:eastAsia="Arial" w:hAnsi="Arial"/>
                <w:sz w:val="15"/>
                <w:szCs w:val="15"/>
                <w:color w:val="auto"/>
              </w:rPr>
              <w:t>18,795</w:t>
            </w:r>
          </w:p>
        </w:tc>
        <w:tc>
          <w:tcPr>
            <w:tcW w:w="106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939,373</w:t>
            </w:r>
          </w:p>
        </w:tc>
      </w:tr>
      <w:tr>
        <w:trPr>
          <w:trHeight w:val="179"/>
        </w:trPr>
        <w:tc>
          <w:tcPr>
            <w:tcW w:w="3820" w:type="dxa"/>
            <w:vAlign w:val="bottom"/>
            <w:shd w:val="clear" w:color="auto" w:fill="D2DEA7"/>
          </w:tcPr>
          <w:p>
            <w:pPr>
              <w:ind w:left="220"/>
              <w:spacing w:after="0"/>
              <w:rPr>
                <w:sz w:val="20"/>
                <w:szCs w:val="20"/>
                <w:color w:val="auto"/>
              </w:rPr>
            </w:pPr>
            <w:r>
              <w:rPr>
                <w:rFonts w:ascii="Arial" w:cs="Arial" w:eastAsia="Arial" w:hAnsi="Arial"/>
                <w:sz w:val="15"/>
                <w:szCs w:val="15"/>
                <w:color w:val="auto"/>
              </w:rPr>
              <w:t>Chief Financial Officer</w:t>
            </w:r>
          </w:p>
        </w:tc>
        <w:tc>
          <w:tcPr>
            <w:tcW w:w="68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2017</w:t>
            </w:r>
          </w:p>
        </w:tc>
        <w:tc>
          <w:tcPr>
            <w:tcW w:w="880" w:type="dxa"/>
            <w:vAlign w:val="bottom"/>
            <w:shd w:val="clear" w:color="auto" w:fill="D2DEA7"/>
          </w:tcPr>
          <w:p>
            <w:pPr>
              <w:ind w:left="140"/>
              <w:spacing w:after="0"/>
              <w:rPr>
                <w:sz w:val="20"/>
                <w:szCs w:val="20"/>
                <w:color w:val="auto"/>
              </w:rPr>
            </w:pPr>
            <w:r>
              <w:rPr>
                <w:rFonts w:ascii="Arial" w:cs="Arial" w:eastAsia="Arial" w:hAnsi="Arial"/>
                <w:sz w:val="15"/>
                <w:szCs w:val="15"/>
                <w:color w:val="auto"/>
              </w:rPr>
              <w:t>282,693</w:t>
            </w:r>
          </w:p>
        </w:tc>
        <w:tc>
          <w:tcPr>
            <w:tcW w:w="860" w:type="dxa"/>
            <w:vAlign w:val="bottom"/>
            <w:shd w:val="clear" w:color="auto" w:fill="D2DEA7"/>
          </w:tcPr>
          <w:p>
            <w:pPr>
              <w:ind w:left="100"/>
              <w:spacing w:after="0"/>
              <w:rPr>
                <w:sz w:val="20"/>
                <w:szCs w:val="20"/>
                <w:color w:val="auto"/>
              </w:rPr>
            </w:pPr>
            <w:r>
              <w:rPr>
                <w:rFonts w:ascii="Arial" w:cs="Arial" w:eastAsia="Arial" w:hAnsi="Arial"/>
                <w:sz w:val="15"/>
                <w:szCs w:val="15"/>
                <w:color w:val="auto"/>
              </w:rPr>
              <w:t>115,000</w:t>
            </w:r>
            <w:r>
              <w:rPr>
                <w:rFonts w:ascii="Arial" w:cs="Arial" w:eastAsia="Arial" w:hAnsi="Arial"/>
                <w:sz w:val="12"/>
                <w:szCs w:val="12"/>
                <w:color w:val="auto"/>
              </w:rPr>
              <w:t>2</w:t>
            </w:r>
          </w:p>
        </w:tc>
        <w:tc>
          <w:tcPr>
            <w:tcW w:w="880" w:type="dxa"/>
            <w:vAlign w:val="bottom"/>
            <w:shd w:val="clear" w:color="auto" w:fill="D2DEA7"/>
          </w:tcPr>
          <w:p>
            <w:pPr>
              <w:jc w:val="right"/>
              <w:ind w:right="64"/>
              <w:spacing w:after="0"/>
              <w:rPr>
                <w:sz w:val="20"/>
                <w:szCs w:val="20"/>
                <w:color w:val="auto"/>
              </w:rPr>
            </w:pPr>
            <w:r>
              <w:rPr>
                <w:rFonts w:ascii="Arial" w:cs="Arial" w:eastAsia="Arial" w:hAnsi="Arial"/>
                <w:sz w:val="15"/>
                <w:szCs w:val="15"/>
                <w:color w:val="auto"/>
              </w:rPr>
              <w:t>368,940</w:t>
            </w:r>
          </w:p>
        </w:tc>
        <w:tc>
          <w:tcPr>
            <w:tcW w:w="1320" w:type="dxa"/>
            <w:vAlign w:val="bottom"/>
            <w:shd w:val="clear" w:color="auto" w:fill="D2DEA7"/>
          </w:tcPr>
          <w:p>
            <w:pPr>
              <w:jc w:val="right"/>
              <w:ind w:right="104"/>
              <w:spacing w:after="0"/>
              <w:rPr>
                <w:sz w:val="20"/>
                <w:szCs w:val="20"/>
                <w:color w:val="auto"/>
              </w:rPr>
            </w:pPr>
            <w:r>
              <w:rPr>
                <w:rFonts w:ascii="Arial" w:cs="Arial" w:eastAsia="Arial" w:hAnsi="Arial"/>
                <w:sz w:val="15"/>
                <w:szCs w:val="15"/>
                <w:color w:val="auto"/>
              </w:rPr>
              <w:t>—</w:t>
            </w:r>
          </w:p>
        </w:tc>
        <w:tc>
          <w:tcPr>
            <w:tcW w:w="1500" w:type="dxa"/>
            <w:vAlign w:val="bottom"/>
            <w:shd w:val="clear" w:color="auto" w:fill="D2DEA7"/>
          </w:tcPr>
          <w:p>
            <w:pPr>
              <w:jc w:val="center"/>
              <w:ind w:left="404"/>
              <w:spacing w:after="0"/>
              <w:rPr>
                <w:sz w:val="20"/>
                <w:szCs w:val="20"/>
                <w:color w:val="auto"/>
              </w:rPr>
            </w:pPr>
            <w:r>
              <w:rPr>
                <w:rFonts w:ascii="Arial" w:cs="Arial" w:eastAsia="Arial" w:hAnsi="Arial"/>
                <w:sz w:val="15"/>
                <w:szCs w:val="15"/>
                <w:color w:val="auto"/>
              </w:rPr>
              <w:t>199,636</w:t>
            </w:r>
            <w:r>
              <w:rPr>
                <w:rFonts w:ascii="Arial" w:cs="Arial" w:eastAsia="Arial" w:hAnsi="Arial"/>
                <w:sz w:val="12"/>
                <w:szCs w:val="12"/>
                <w:color w:val="auto"/>
              </w:rPr>
              <w:t>5</w:t>
            </w:r>
          </w:p>
        </w:tc>
        <w:tc>
          <w:tcPr>
            <w:tcW w:w="1060" w:type="dxa"/>
            <w:vAlign w:val="bottom"/>
            <w:shd w:val="clear" w:color="auto" w:fill="D2DEA7"/>
          </w:tcPr>
          <w:p>
            <w:pPr>
              <w:jc w:val="right"/>
              <w:ind w:right="84"/>
              <w:spacing w:after="0"/>
              <w:rPr>
                <w:sz w:val="20"/>
                <w:szCs w:val="20"/>
                <w:color w:val="auto"/>
              </w:rPr>
            </w:pPr>
            <w:r>
              <w:rPr>
                <w:rFonts w:ascii="Arial" w:cs="Arial" w:eastAsia="Arial" w:hAnsi="Arial"/>
                <w:sz w:val="15"/>
                <w:szCs w:val="15"/>
                <w:color w:val="auto"/>
              </w:rPr>
              <w:t>966,269</w:t>
            </w:r>
          </w:p>
        </w:tc>
      </w:tr>
      <w:tr>
        <w:trPr>
          <w:trHeight w:val="226"/>
        </w:trPr>
        <w:tc>
          <w:tcPr>
            <w:tcW w:w="3820" w:type="dxa"/>
            <w:vAlign w:val="bottom"/>
            <w:shd w:val="clear" w:color="auto" w:fill="E8EED3"/>
          </w:tcPr>
          <w:p>
            <w:pPr>
              <w:ind w:left="220"/>
              <w:spacing w:after="0"/>
              <w:rPr>
                <w:sz w:val="20"/>
                <w:szCs w:val="20"/>
                <w:color w:val="auto"/>
              </w:rPr>
            </w:pPr>
            <w:r>
              <w:rPr>
                <w:rFonts w:ascii="Arial" w:cs="Arial" w:eastAsia="Arial" w:hAnsi="Arial"/>
                <w:sz w:val="15"/>
                <w:szCs w:val="15"/>
                <w:color w:val="auto"/>
              </w:rPr>
              <w:t>Paul Gohr,</w:t>
            </w:r>
          </w:p>
        </w:tc>
        <w:tc>
          <w:tcPr>
            <w:tcW w:w="68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2018</w:t>
            </w:r>
          </w:p>
        </w:tc>
        <w:tc>
          <w:tcPr>
            <w:tcW w:w="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198,423</w:t>
            </w:r>
          </w:p>
        </w:tc>
        <w:tc>
          <w:tcPr>
            <w:tcW w:w="860" w:type="dxa"/>
            <w:vAlign w:val="bottom"/>
            <w:shd w:val="clear" w:color="auto" w:fill="E8EED3"/>
          </w:tcPr>
          <w:p>
            <w:pPr>
              <w:ind w:left="420"/>
              <w:spacing w:after="0"/>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86,625</w:t>
            </w:r>
          </w:p>
        </w:tc>
        <w:tc>
          <w:tcPr>
            <w:tcW w:w="1320" w:type="dxa"/>
            <w:vAlign w:val="bottom"/>
            <w:shd w:val="clear" w:color="auto" w:fill="E8EED3"/>
          </w:tcPr>
          <w:p>
            <w:pPr>
              <w:jc w:val="right"/>
              <w:ind w:right="24"/>
              <w:spacing w:after="0"/>
              <w:rPr>
                <w:sz w:val="20"/>
                <w:szCs w:val="20"/>
                <w:color w:val="auto"/>
              </w:rPr>
            </w:pPr>
            <w:r>
              <w:rPr>
                <w:rFonts w:ascii="Arial" w:cs="Arial" w:eastAsia="Arial" w:hAnsi="Arial"/>
                <w:sz w:val="15"/>
                <w:szCs w:val="15"/>
                <w:color w:val="auto"/>
              </w:rPr>
              <w:t>70,991</w:t>
            </w:r>
          </w:p>
        </w:tc>
        <w:tc>
          <w:tcPr>
            <w:tcW w:w="1500" w:type="dxa"/>
            <w:vAlign w:val="bottom"/>
            <w:shd w:val="clear" w:color="auto" w:fill="E8EED3"/>
          </w:tcPr>
          <w:p>
            <w:pPr>
              <w:jc w:val="center"/>
              <w:ind w:left="404"/>
              <w:spacing w:after="0"/>
              <w:rPr>
                <w:sz w:val="20"/>
                <w:szCs w:val="20"/>
                <w:color w:val="auto"/>
              </w:rPr>
            </w:pPr>
            <w:r>
              <w:rPr>
                <w:rFonts w:ascii="Arial" w:cs="Arial" w:eastAsia="Arial" w:hAnsi="Arial"/>
                <w:sz w:val="15"/>
                <w:szCs w:val="15"/>
                <w:color w:val="auto"/>
              </w:rPr>
              <w:t>18,347</w:t>
            </w:r>
          </w:p>
        </w:tc>
        <w:tc>
          <w:tcPr>
            <w:tcW w:w="106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374,386</w:t>
            </w:r>
          </w:p>
        </w:tc>
      </w:tr>
      <w:tr>
        <w:trPr>
          <w:trHeight w:val="179"/>
        </w:trPr>
        <w:tc>
          <w:tcPr>
            <w:tcW w:w="3820" w:type="dxa"/>
            <w:vAlign w:val="bottom"/>
            <w:shd w:val="clear" w:color="auto" w:fill="E8EED3"/>
          </w:tcPr>
          <w:p>
            <w:pPr>
              <w:ind w:left="220"/>
              <w:spacing w:after="0"/>
              <w:rPr>
                <w:sz w:val="20"/>
                <w:szCs w:val="20"/>
                <w:color w:val="auto"/>
              </w:rPr>
            </w:pPr>
            <w:r>
              <w:rPr>
                <w:rFonts w:ascii="Arial" w:cs="Arial" w:eastAsia="Arial" w:hAnsi="Arial"/>
                <w:sz w:val="15"/>
                <w:szCs w:val="15"/>
                <w:color w:val="auto"/>
              </w:rPr>
              <w:t>Chief Accounting Officer</w:t>
            </w:r>
          </w:p>
        </w:tc>
        <w:tc>
          <w:tcPr>
            <w:tcW w:w="68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2017</w:t>
            </w:r>
          </w:p>
        </w:tc>
        <w:tc>
          <w:tcPr>
            <w:tcW w:w="880" w:type="dxa"/>
            <w:vAlign w:val="bottom"/>
            <w:shd w:val="clear" w:color="auto" w:fill="E8EED3"/>
          </w:tcPr>
          <w:p>
            <w:pPr>
              <w:ind w:left="140"/>
              <w:spacing w:after="0"/>
              <w:rPr>
                <w:sz w:val="20"/>
                <w:szCs w:val="20"/>
                <w:color w:val="auto"/>
              </w:rPr>
            </w:pPr>
            <w:r>
              <w:rPr>
                <w:rFonts w:ascii="Arial" w:cs="Arial" w:eastAsia="Arial" w:hAnsi="Arial"/>
                <w:sz w:val="15"/>
                <w:szCs w:val="15"/>
                <w:color w:val="auto"/>
              </w:rPr>
              <w:t>176,137</w:t>
            </w:r>
          </w:p>
        </w:tc>
        <w:tc>
          <w:tcPr>
            <w:tcW w:w="860" w:type="dxa"/>
            <w:vAlign w:val="bottom"/>
            <w:shd w:val="clear" w:color="auto" w:fill="E8EED3"/>
          </w:tcPr>
          <w:p>
            <w:pPr>
              <w:ind w:left="180"/>
              <w:spacing w:after="0"/>
              <w:rPr>
                <w:sz w:val="20"/>
                <w:szCs w:val="20"/>
                <w:color w:val="auto"/>
              </w:rPr>
            </w:pPr>
            <w:r>
              <w:rPr>
                <w:rFonts w:ascii="Arial" w:cs="Arial" w:eastAsia="Arial" w:hAnsi="Arial"/>
                <w:sz w:val="15"/>
                <w:szCs w:val="15"/>
                <w:color w:val="auto"/>
              </w:rPr>
              <w:t>30,000</w:t>
            </w:r>
          </w:p>
        </w:tc>
        <w:tc>
          <w:tcPr>
            <w:tcW w:w="880" w:type="dxa"/>
            <w:vAlign w:val="bottom"/>
            <w:shd w:val="clear" w:color="auto" w:fill="E8EED3"/>
          </w:tcPr>
          <w:p>
            <w:pPr>
              <w:jc w:val="right"/>
              <w:ind w:right="64"/>
              <w:spacing w:after="0"/>
              <w:rPr>
                <w:sz w:val="20"/>
                <w:szCs w:val="20"/>
                <w:color w:val="auto"/>
              </w:rPr>
            </w:pPr>
            <w:r>
              <w:rPr>
                <w:rFonts w:ascii="Arial" w:cs="Arial" w:eastAsia="Arial" w:hAnsi="Arial"/>
                <w:sz w:val="15"/>
                <w:szCs w:val="15"/>
                <w:color w:val="auto"/>
              </w:rPr>
              <w:t>50,004</w:t>
            </w:r>
          </w:p>
        </w:tc>
        <w:tc>
          <w:tcPr>
            <w:tcW w:w="1320" w:type="dxa"/>
            <w:vAlign w:val="bottom"/>
            <w:shd w:val="clear" w:color="auto" w:fill="E8EED3"/>
          </w:tcPr>
          <w:p>
            <w:pPr>
              <w:jc w:val="right"/>
              <w:ind w:right="104"/>
              <w:spacing w:after="0"/>
              <w:rPr>
                <w:sz w:val="20"/>
                <w:szCs w:val="20"/>
                <w:color w:val="auto"/>
              </w:rPr>
            </w:pPr>
            <w:r>
              <w:rPr>
                <w:rFonts w:ascii="Arial" w:cs="Arial" w:eastAsia="Arial" w:hAnsi="Arial"/>
                <w:sz w:val="15"/>
                <w:szCs w:val="15"/>
                <w:color w:val="auto"/>
              </w:rPr>
              <w:t>—</w:t>
            </w:r>
          </w:p>
        </w:tc>
        <w:tc>
          <w:tcPr>
            <w:tcW w:w="1500" w:type="dxa"/>
            <w:vAlign w:val="bottom"/>
            <w:shd w:val="clear" w:color="auto" w:fill="E8EED3"/>
          </w:tcPr>
          <w:p>
            <w:pPr>
              <w:jc w:val="center"/>
              <w:ind w:left="404"/>
              <w:spacing w:after="0"/>
              <w:rPr>
                <w:sz w:val="20"/>
                <w:szCs w:val="20"/>
                <w:color w:val="auto"/>
              </w:rPr>
            </w:pPr>
            <w:r>
              <w:rPr>
                <w:rFonts w:ascii="Arial" w:cs="Arial" w:eastAsia="Arial" w:hAnsi="Arial"/>
                <w:sz w:val="15"/>
                <w:szCs w:val="15"/>
                <w:color w:val="auto"/>
              </w:rPr>
              <w:t>12,727</w:t>
            </w:r>
          </w:p>
        </w:tc>
        <w:tc>
          <w:tcPr>
            <w:tcW w:w="1060" w:type="dxa"/>
            <w:vAlign w:val="bottom"/>
            <w:shd w:val="clear" w:color="auto" w:fill="E8EED3"/>
          </w:tcPr>
          <w:p>
            <w:pPr>
              <w:jc w:val="right"/>
              <w:ind w:right="84"/>
              <w:spacing w:after="0"/>
              <w:rPr>
                <w:sz w:val="20"/>
                <w:szCs w:val="20"/>
                <w:color w:val="auto"/>
              </w:rPr>
            </w:pPr>
            <w:r>
              <w:rPr>
                <w:rFonts w:ascii="Arial" w:cs="Arial" w:eastAsia="Arial" w:hAnsi="Arial"/>
                <w:sz w:val="15"/>
                <w:szCs w:val="15"/>
                <w:color w:val="auto"/>
              </w:rPr>
              <w:t>268,868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6412230</wp:posOffset>
            </wp:positionH>
            <wp:positionV relativeFrom="paragraph">
              <wp:posOffset>-1147445</wp:posOffset>
            </wp:positionV>
            <wp:extent cx="8255" cy="1148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-1147445</wp:posOffset>
            </wp:positionV>
            <wp:extent cx="8255" cy="1148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-1147445</wp:posOffset>
            </wp:positionV>
            <wp:extent cx="8255" cy="1148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-1147445</wp:posOffset>
            </wp:positionV>
            <wp:extent cx="8255" cy="1148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-1147445</wp:posOffset>
            </wp:positionV>
            <wp:extent cx="8255" cy="1148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-1147445</wp:posOffset>
            </wp:positionV>
            <wp:extent cx="8255" cy="1148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14808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-1147445</wp:posOffset>
            </wp:positionV>
            <wp:extent cx="8255" cy="1148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148080"/>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Sadlowski’s salary in 2017 includes a cash retainer of $14,125 for his service on our Board prior to being appointed as our CEO in June of that year.</w:t>
      </w:r>
    </w:p>
    <w:p>
      <w:pPr>
        <w:spacing w:after="0" w:line="122" w:lineRule="exact"/>
        <w:rPr>
          <w:rFonts w:ascii="Arial" w:cs="Arial" w:eastAsia="Arial" w:hAnsi="Arial"/>
          <w:sz w:val="14"/>
          <w:szCs w:val="14"/>
          <w:color w:val="auto"/>
        </w:rPr>
      </w:pPr>
    </w:p>
    <w:p>
      <w:pPr>
        <w:ind w:left="540" w:right="80" w:hanging="330"/>
        <w:spacing w:after="0" w:line="249"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Sadlowski’s 2017 bonus was paid for the period from January 1, 2017 through May 31, 2017 while he served as our interim chief executive officer pursuant to the terms of a written agreement with him. The amount for Mr. Eckl includes a $65,000 “sign-on” cash bonus when he joined our Company in 2017 pursuant to the terms of his employment agreement.</w:t>
      </w:r>
    </w:p>
    <w:p>
      <w:pPr>
        <w:spacing w:after="0" w:line="105" w:lineRule="exact"/>
        <w:rPr>
          <w:rFonts w:ascii="Arial" w:cs="Arial" w:eastAsia="Arial" w:hAnsi="Arial"/>
          <w:sz w:val="14"/>
          <w:szCs w:val="14"/>
          <w:color w:val="auto"/>
        </w:rPr>
      </w:pPr>
    </w:p>
    <w:p>
      <w:pPr>
        <w:ind w:left="540" w:hanging="330"/>
        <w:spacing w:after="0" w:line="244"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This column reflects the aggregate grant date fair value of stock awards calculated in accordance with FASB ASC Topic 718, disregarding estimated forfeitures. There is no assurance that the named executive officers will realize these amounts. Assumptions used in calculating these amounts are included in Note 10 to the Company’s audited financial statements included in the Company’s Annual Report on Form 10-K for the year ended December 31, 2018. The 2017 amount for Mr. Sadlowski includes $70,001 for RSUs he received for services as a director while serving as our interim CEO. For PRSU awards, the grant date fair value represents the probable outcome of the applicable performance conditions. Assuming maximum achievement with respect to the performance conditions, the grant date value of the PRSUs would be $594,000 for Mr. Sadlowski, $247,500 for Mr. Eckl, and $37,125 for Mr. Gohr.</w:t>
      </w:r>
    </w:p>
    <w:p>
      <w:pPr>
        <w:spacing w:after="0" w:line="110" w:lineRule="exact"/>
        <w:rPr>
          <w:rFonts w:ascii="Arial" w:cs="Arial" w:eastAsia="Arial" w:hAnsi="Arial"/>
          <w:sz w:val="14"/>
          <w:szCs w:val="14"/>
          <w:color w:val="auto"/>
        </w:rPr>
      </w:pPr>
    </w:p>
    <w:p>
      <w:pPr>
        <w:ind w:left="540" w:hanging="330"/>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reported in this column for 2018 include the following:</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3360" w:type="dxa"/>
            <w:vAlign w:val="bottom"/>
            <w:shd w:val="clear" w:color="auto" w:fill="41659C"/>
          </w:tcPr>
          <w:p>
            <w:pPr>
              <w:spacing w:after="0"/>
              <w:rPr>
                <w:sz w:val="15"/>
                <w:szCs w:val="15"/>
                <w:color w:val="auto"/>
              </w:rPr>
            </w:pPr>
          </w:p>
        </w:tc>
        <w:tc>
          <w:tcPr>
            <w:tcW w:w="2800" w:type="dxa"/>
            <w:vAlign w:val="bottom"/>
            <w:shd w:val="clear" w:color="auto" w:fill="41659C"/>
          </w:tcPr>
          <w:p>
            <w:pPr>
              <w:jc w:val="center"/>
              <w:ind w:left="804"/>
              <w:spacing w:after="0"/>
              <w:rPr>
                <w:sz w:val="20"/>
                <w:szCs w:val="20"/>
                <w:color w:val="auto"/>
              </w:rPr>
            </w:pPr>
            <w:r>
              <w:rPr>
                <w:rFonts w:ascii="Arial" w:cs="Arial" w:eastAsia="Arial" w:hAnsi="Arial"/>
                <w:sz w:val="15"/>
                <w:szCs w:val="15"/>
                <w:b w:val="1"/>
                <w:bCs w:val="1"/>
                <w:color w:val="FFFFFF"/>
              </w:rPr>
              <w:t>401 (k)</w:t>
            </w:r>
          </w:p>
        </w:tc>
        <w:tc>
          <w:tcPr>
            <w:tcW w:w="158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Term Life</w:t>
            </w:r>
          </w:p>
        </w:tc>
        <w:tc>
          <w:tcPr>
            <w:tcW w:w="1640" w:type="dxa"/>
            <w:vAlign w:val="bottom"/>
            <w:shd w:val="clear" w:color="auto" w:fill="41659C"/>
          </w:tcPr>
          <w:p>
            <w:pPr>
              <w:spacing w:after="0"/>
              <w:rPr>
                <w:sz w:val="15"/>
                <w:szCs w:val="15"/>
                <w:color w:val="auto"/>
              </w:rPr>
            </w:pPr>
          </w:p>
        </w:tc>
        <w:tc>
          <w:tcPr>
            <w:tcW w:w="1300" w:type="dxa"/>
            <w:vAlign w:val="bottom"/>
            <w:shd w:val="clear" w:color="auto" w:fill="41659C"/>
          </w:tcPr>
          <w:p>
            <w:pPr>
              <w:spacing w:after="0"/>
              <w:rPr>
                <w:sz w:val="15"/>
                <w:szCs w:val="15"/>
                <w:color w:val="auto"/>
              </w:rPr>
            </w:pPr>
          </w:p>
        </w:tc>
      </w:tr>
      <w:tr>
        <w:trPr>
          <w:trHeight w:val="162"/>
        </w:trPr>
        <w:tc>
          <w:tcPr>
            <w:tcW w:w="3360" w:type="dxa"/>
            <w:vAlign w:val="bottom"/>
            <w:shd w:val="clear" w:color="auto" w:fill="41659C"/>
          </w:tcPr>
          <w:p>
            <w:pPr>
              <w:spacing w:after="0"/>
              <w:rPr>
                <w:sz w:val="14"/>
                <w:szCs w:val="14"/>
                <w:color w:val="auto"/>
              </w:rPr>
            </w:pPr>
          </w:p>
        </w:tc>
        <w:tc>
          <w:tcPr>
            <w:tcW w:w="2800" w:type="dxa"/>
            <w:vAlign w:val="bottom"/>
            <w:shd w:val="clear" w:color="auto" w:fill="41659C"/>
          </w:tcPr>
          <w:p>
            <w:pPr>
              <w:jc w:val="center"/>
              <w:ind w:left="784"/>
              <w:spacing w:after="0" w:line="162" w:lineRule="exact"/>
              <w:rPr>
                <w:sz w:val="20"/>
                <w:szCs w:val="20"/>
                <w:color w:val="auto"/>
              </w:rPr>
            </w:pPr>
            <w:r>
              <w:rPr>
                <w:rFonts w:ascii="Arial" w:cs="Arial" w:eastAsia="Arial" w:hAnsi="Arial"/>
                <w:sz w:val="15"/>
                <w:szCs w:val="15"/>
                <w:b w:val="1"/>
                <w:bCs w:val="1"/>
                <w:color w:val="FFFFFF"/>
              </w:rPr>
              <w:t>Matching</w:t>
            </w:r>
          </w:p>
        </w:tc>
        <w:tc>
          <w:tcPr>
            <w:tcW w:w="158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Insurance</w:t>
            </w:r>
          </w:p>
        </w:tc>
        <w:tc>
          <w:tcPr>
            <w:tcW w:w="16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w w:val="95"/>
              </w:rPr>
              <w:t>Car</w:t>
            </w:r>
          </w:p>
        </w:tc>
        <w:tc>
          <w:tcPr>
            <w:tcW w:w="1300" w:type="dxa"/>
            <w:vAlign w:val="bottom"/>
            <w:shd w:val="clear" w:color="auto" w:fill="41659C"/>
          </w:tcPr>
          <w:p>
            <w:pPr>
              <w:spacing w:after="0"/>
              <w:rPr>
                <w:sz w:val="14"/>
                <w:szCs w:val="14"/>
                <w:color w:val="auto"/>
              </w:rPr>
            </w:pPr>
          </w:p>
        </w:tc>
      </w:tr>
      <w:tr>
        <w:trPr>
          <w:trHeight w:val="162"/>
        </w:trPr>
        <w:tc>
          <w:tcPr>
            <w:tcW w:w="3360" w:type="dxa"/>
            <w:vAlign w:val="bottom"/>
            <w:shd w:val="clear" w:color="auto" w:fill="41659C"/>
          </w:tcPr>
          <w:p>
            <w:pPr>
              <w:spacing w:after="0"/>
              <w:rPr>
                <w:sz w:val="14"/>
                <w:szCs w:val="14"/>
                <w:color w:val="auto"/>
              </w:rPr>
            </w:pPr>
          </w:p>
        </w:tc>
        <w:tc>
          <w:tcPr>
            <w:tcW w:w="2800" w:type="dxa"/>
            <w:vAlign w:val="bottom"/>
            <w:shd w:val="clear" w:color="auto" w:fill="41659C"/>
          </w:tcPr>
          <w:p>
            <w:pPr>
              <w:jc w:val="center"/>
              <w:ind w:left="804"/>
              <w:spacing w:after="0" w:line="162" w:lineRule="exact"/>
              <w:rPr>
                <w:sz w:val="20"/>
                <w:szCs w:val="20"/>
                <w:color w:val="auto"/>
              </w:rPr>
            </w:pPr>
            <w:r>
              <w:rPr>
                <w:rFonts w:ascii="Arial" w:cs="Arial" w:eastAsia="Arial" w:hAnsi="Arial"/>
                <w:sz w:val="15"/>
                <w:szCs w:val="15"/>
                <w:b w:val="1"/>
                <w:bCs w:val="1"/>
                <w:color w:val="FFFFFF"/>
              </w:rPr>
              <w:t>Contributions</w:t>
            </w:r>
          </w:p>
        </w:tc>
        <w:tc>
          <w:tcPr>
            <w:tcW w:w="158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Premiums</w:t>
            </w:r>
          </w:p>
        </w:tc>
        <w:tc>
          <w:tcPr>
            <w:tcW w:w="1640" w:type="dxa"/>
            <w:vAlign w:val="bottom"/>
            <w:shd w:val="clear" w:color="auto" w:fill="41659C"/>
          </w:tcPr>
          <w:p>
            <w:pPr>
              <w:jc w:val="center"/>
              <w:spacing w:after="0" w:line="162" w:lineRule="exact"/>
              <w:rPr>
                <w:sz w:val="20"/>
                <w:szCs w:val="20"/>
                <w:color w:val="auto"/>
              </w:rPr>
            </w:pPr>
            <w:r>
              <w:rPr>
                <w:rFonts w:ascii="Arial" w:cs="Arial" w:eastAsia="Arial" w:hAnsi="Arial"/>
                <w:sz w:val="15"/>
                <w:szCs w:val="15"/>
                <w:b w:val="1"/>
                <w:bCs w:val="1"/>
                <w:color w:val="FFFFFF"/>
              </w:rPr>
              <w:t>Allowance</w:t>
            </w:r>
          </w:p>
        </w:tc>
        <w:tc>
          <w:tcPr>
            <w:tcW w:w="1300" w:type="dxa"/>
            <w:vAlign w:val="bottom"/>
            <w:shd w:val="clear" w:color="auto" w:fill="41659C"/>
          </w:tcPr>
          <w:p>
            <w:pPr>
              <w:jc w:val="right"/>
              <w:ind w:right="384"/>
              <w:spacing w:after="0" w:line="162" w:lineRule="exact"/>
              <w:rPr>
                <w:sz w:val="20"/>
                <w:szCs w:val="20"/>
                <w:color w:val="auto"/>
              </w:rPr>
            </w:pPr>
            <w:r>
              <w:rPr>
                <w:rFonts w:ascii="Arial" w:cs="Arial" w:eastAsia="Arial" w:hAnsi="Arial"/>
                <w:sz w:val="15"/>
                <w:szCs w:val="15"/>
                <w:b w:val="1"/>
                <w:bCs w:val="1"/>
                <w:color w:val="FFFFFF"/>
              </w:rPr>
              <w:t>Total</w:t>
            </w:r>
          </w:p>
        </w:tc>
      </w:tr>
      <w:tr>
        <w:trPr>
          <w:trHeight w:val="197"/>
        </w:trPr>
        <w:tc>
          <w:tcPr>
            <w:tcW w:w="3360" w:type="dxa"/>
            <w:vAlign w:val="bottom"/>
            <w:shd w:val="clear" w:color="auto" w:fill="41659C"/>
          </w:tcPr>
          <w:p>
            <w:pPr>
              <w:ind w:left="240"/>
              <w:spacing w:after="0"/>
              <w:rPr>
                <w:sz w:val="20"/>
                <w:szCs w:val="20"/>
                <w:color w:val="auto"/>
              </w:rPr>
            </w:pPr>
            <w:r>
              <w:rPr>
                <w:rFonts w:ascii="Arial" w:cs="Arial" w:eastAsia="Arial" w:hAnsi="Arial"/>
                <w:sz w:val="15"/>
                <w:szCs w:val="15"/>
                <w:b w:val="1"/>
                <w:bCs w:val="1"/>
                <w:color w:val="FFFFFF"/>
              </w:rPr>
              <w:t>Named Executive Officer</w:t>
            </w:r>
          </w:p>
        </w:tc>
        <w:tc>
          <w:tcPr>
            <w:tcW w:w="2800" w:type="dxa"/>
            <w:vAlign w:val="bottom"/>
            <w:shd w:val="clear" w:color="auto" w:fill="41659C"/>
          </w:tcPr>
          <w:p>
            <w:pPr>
              <w:jc w:val="center"/>
              <w:ind w:left="784"/>
              <w:spacing w:after="0"/>
              <w:rPr>
                <w:sz w:val="20"/>
                <w:szCs w:val="20"/>
                <w:color w:val="auto"/>
              </w:rPr>
            </w:pPr>
            <w:r>
              <w:rPr>
                <w:rFonts w:ascii="Arial" w:cs="Arial" w:eastAsia="Arial" w:hAnsi="Arial"/>
                <w:sz w:val="15"/>
                <w:szCs w:val="15"/>
                <w:b w:val="1"/>
                <w:bCs w:val="1"/>
                <w:color w:val="FFFFFF"/>
                <w:w w:val="97"/>
              </w:rPr>
              <w:t>($)</w:t>
            </w:r>
          </w:p>
        </w:tc>
        <w:tc>
          <w:tcPr>
            <w:tcW w:w="158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w w:val="97"/>
              </w:rPr>
              <w:t>($)</w:t>
            </w:r>
          </w:p>
        </w:tc>
        <w:tc>
          <w:tcPr>
            <w:tcW w:w="1640" w:type="dxa"/>
            <w:vAlign w:val="bottom"/>
            <w:shd w:val="clear" w:color="auto" w:fill="41659C"/>
          </w:tcPr>
          <w:p>
            <w:pPr>
              <w:jc w:val="center"/>
              <w:spacing w:after="0"/>
              <w:rPr>
                <w:sz w:val="20"/>
                <w:szCs w:val="20"/>
                <w:color w:val="auto"/>
              </w:rPr>
            </w:pPr>
            <w:r>
              <w:rPr>
                <w:rFonts w:ascii="Arial" w:cs="Arial" w:eastAsia="Arial" w:hAnsi="Arial"/>
                <w:sz w:val="15"/>
                <w:szCs w:val="15"/>
                <w:b w:val="1"/>
                <w:bCs w:val="1"/>
                <w:color w:val="FFFFFF"/>
              </w:rPr>
              <w:t>($)</w:t>
            </w:r>
          </w:p>
        </w:tc>
        <w:tc>
          <w:tcPr>
            <w:tcW w:w="1300" w:type="dxa"/>
            <w:vAlign w:val="bottom"/>
            <w:shd w:val="clear" w:color="auto" w:fill="41659C"/>
          </w:tcPr>
          <w:p>
            <w:pPr>
              <w:jc w:val="right"/>
              <w:ind w:right="464"/>
              <w:spacing w:after="0"/>
              <w:rPr>
                <w:sz w:val="20"/>
                <w:szCs w:val="20"/>
                <w:color w:val="auto"/>
              </w:rPr>
            </w:pPr>
            <w:r>
              <w:rPr>
                <w:rFonts w:ascii="Arial" w:cs="Arial" w:eastAsia="Arial" w:hAnsi="Arial"/>
                <w:sz w:val="15"/>
                <w:szCs w:val="15"/>
                <w:b w:val="1"/>
                <w:bCs w:val="1"/>
                <w:color w:val="FFFFFF"/>
              </w:rPr>
              <w:t>($)</w:t>
            </w:r>
          </w:p>
        </w:tc>
      </w:tr>
      <w:tr>
        <w:trPr>
          <w:trHeight w:val="162"/>
        </w:trPr>
        <w:tc>
          <w:tcPr>
            <w:tcW w:w="3360" w:type="dxa"/>
            <w:vAlign w:val="bottom"/>
            <w:shd w:val="clear" w:color="auto" w:fill="E8EED3"/>
          </w:tcPr>
          <w:p>
            <w:pPr>
              <w:ind w:left="240"/>
              <w:spacing w:after="0" w:line="162" w:lineRule="exact"/>
              <w:rPr>
                <w:sz w:val="20"/>
                <w:szCs w:val="20"/>
                <w:color w:val="auto"/>
              </w:rPr>
            </w:pPr>
            <w:r>
              <w:rPr>
                <w:rFonts w:ascii="Arial" w:cs="Arial" w:eastAsia="Arial" w:hAnsi="Arial"/>
                <w:sz w:val="15"/>
                <w:szCs w:val="15"/>
                <w:color w:val="auto"/>
              </w:rPr>
              <w:t>Dennis Sadlowski</w:t>
            </w:r>
          </w:p>
        </w:tc>
        <w:tc>
          <w:tcPr>
            <w:tcW w:w="2800" w:type="dxa"/>
            <w:vAlign w:val="bottom"/>
            <w:shd w:val="clear" w:color="auto" w:fill="E8EED3"/>
          </w:tcPr>
          <w:p>
            <w:pPr>
              <w:jc w:val="right"/>
              <w:ind w:right="344"/>
              <w:spacing w:after="0" w:line="162" w:lineRule="exact"/>
              <w:rPr>
                <w:sz w:val="20"/>
                <w:szCs w:val="20"/>
                <w:color w:val="auto"/>
              </w:rPr>
            </w:pPr>
            <w:r>
              <w:rPr>
                <w:rFonts w:ascii="Arial" w:cs="Arial" w:eastAsia="Arial" w:hAnsi="Arial"/>
                <w:sz w:val="15"/>
                <w:szCs w:val="15"/>
                <w:color w:val="auto"/>
              </w:rPr>
              <w:t>15,170</w:t>
            </w:r>
          </w:p>
        </w:tc>
        <w:tc>
          <w:tcPr>
            <w:tcW w:w="1580" w:type="dxa"/>
            <w:vAlign w:val="bottom"/>
            <w:shd w:val="clear" w:color="auto" w:fill="E8EED3"/>
          </w:tcPr>
          <w:p>
            <w:pPr>
              <w:jc w:val="right"/>
              <w:ind w:right="344"/>
              <w:spacing w:after="0" w:line="162" w:lineRule="exact"/>
              <w:rPr>
                <w:sz w:val="20"/>
                <w:szCs w:val="20"/>
                <w:color w:val="auto"/>
              </w:rPr>
            </w:pPr>
            <w:r>
              <w:rPr>
                <w:rFonts w:ascii="Arial" w:cs="Arial" w:eastAsia="Arial" w:hAnsi="Arial"/>
                <w:sz w:val="15"/>
                <w:szCs w:val="15"/>
                <w:color w:val="auto"/>
              </w:rPr>
              <w:t>2,522</w:t>
            </w:r>
          </w:p>
        </w:tc>
        <w:tc>
          <w:tcPr>
            <w:tcW w:w="1640" w:type="dxa"/>
            <w:vAlign w:val="bottom"/>
            <w:shd w:val="clear" w:color="auto" w:fill="E8EED3"/>
          </w:tcPr>
          <w:p>
            <w:pPr>
              <w:jc w:val="right"/>
              <w:ind w:right="384"/>
              <w:spacing w:after="0" w:line="162" w:lineRule="exact"/>
              <w:rPr>
                <w:sz w:val="20"/>
                <w:szCs w:val="20"/>
                <w:color w:val="auto"/>
              </w:rPr>
            </w:pPr>
            <w:r>
              <w:rPr>
                <w:rFonts w:ascii="Arial" w:cs="Arial" w:eastAsia="Arial" w:hAnsi="Arial"/>
                <w:sz w:val="15"/>
                <w:szCs w:val="15"/>
                <w:color w:val="auto"/>
              </w:rPr>
              <w:t>12,000</w:t>
            </w:r>
          </w:p>
        </w:tc>
        <w:tc>
          <w:tcPr>
            <w:tcW w:w="130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29,692</w:t>
            </w:r>
          </w:p>
        </w:tc>
      </w:tr>
      <w:tr>
        <w:trPr>
          <w:trHeight w:val="162"/>
        </w:trPr>
        <w:tc>
          <w:tcPr>
            <w:tcW w:w="3360" w:type="dxa"/>
            <w:vAlign w:val="bottom"/>
            <w:shd w:val="clear" w:color="auto" w:fill="D2DEA7"/>
          </w:tcPr>
          <w:p>
            <w:pPr>
              <w:ind w:left="240"/>
              <w:spacing w:after="0" w:line="162" w:lineRule="exact"/>
              <w:rPr>
                <w:sz w:val="20"/>
                <w:szCs w:val="20"/>
                <w:color w:val="auto"/>
              </w:rPr>
            </w:pPr>
            <w:r>
              <w:rPr>
                <w:rFonts w:ascii="Arial" w:cs="Arial" w:eastAsia="Arial" w:hAnsi="Arial"/>
                <w:sz w:val="15"/>
                <w:szCs w:val="15"/>
                <w:color w:val="auto"/>
              </w:rPr>
              <w:t>Matthew Eckl</w:t>
            </w:r>
          </w:p>
        </w:tc>
        <w:tc>
          <w:tcPr>
            <w:tcW w:w="2800" w:type="dxa"/>
            <w:vAlign w:val="bottom"/>
            <w:shd w:val="clear" w:color="auto" w:fill="D2DEA7"/>
          </w:tcPr>
          <w:p>
            <w:pPr>
              <w:jc w:val="right"/>
              <w:ind w:right="344"/>
              <w:spacing w:after="0" w:line="162" w:lineRule="exact"/>
              <w:rPr>
                <w:sz w:val="20"/>
                <w:szCs w:val="20"/>
                <w:color w:val="auto"/>
              </w:rPr>
            </w:pPr>
            <w:r>
              <w:rPr>
                <w:rFonts w:ascii="Arial" w:cs="Arial" w:eastAsia="Arial" w:hAnsi="Arial"/>
                <w:sz w:val="15"/>
                <w:szCs w:val="15"/>
                <w:color w:val="auto"/>
              </w:rPr>
              <w:t>6,504</w:t>
            </w:r>
          </w:p>
        </w:tc>
        <w:tc>
          <w:tcPr>
            <w:tcW w:w="1580" w:type="dxa"/>
            <w:vAlign w:val="bottom"/>
            <w:shd w:val="clear" w:color="auto" w:fill="D2DEA7"/>
          </w:tcPr>
          <w:p>
            <w:pPr>
              <w:jc w:val="right"/>
              <w:ind w:right="344"/>
              <w:spacing w:after="0" w:line="162" w:lineRule="exact"/>
              <w:rPr>
                <w:sz w:val="20"/>
                <w:szCs w:val="20"/>
                <w:color w:val="auto"/>
              </w:rPr>
            </w:pPr>
            <w:r>
              <w:rPr>
                <w:rFonts w:ascii="Arial" w:cs="Arial" w:eastAsia="Arial" w:hAnsi="Arial"/>
                <w:sz w:val="15"/>
                <w:szCs w:val="15"/>
                <w:color w:val="auto"/>
              </w:rPr>
              <w:t>291</w:t>
            </w:r>
          </w:p>
        </w:tc>
        <w:tc>
          <w:tcPr>
            <w:tcW w:w="1640" w:type="dxa"/>
            <w:vAlign w:val="bottom"/>
            <w:shd w:val="clear" w:color="auto" w:fill="D2DEA7"/>
          </w:tcPr>
          <w:p>
            <w:pPr>
              <w:jc w:val="right"/>
              <w:ind w:right="384"/>
              <w:spacing w:after="0" w:line="162" w:lineRule="exact"/>
              <w:rPr>
                <w:sz w:val="20"/>
                <w:szCs w:val="20"/>
                <w:color w:val="auto"/>
              </w:rPr>
            </w:pPr>
            <w:r>
              <w:rPr>
                <w:rFonts w:ascii="Arial" w:cs="Arial" w:eastAsia="Arial" w:hAnsi="Arial"/>
                <w:sz w:val="15"/>
                <w:szCs w:val="15"/>
                <w:color w:val="auto"/>
              </w:rPr>
              <w:t>12,000</w:t>
            </w:r>
          </w:p>
        </w:tc>
        <w:tc>
          <w:tcPr>
            <w:tcW w:w="1300" w:type="dxa"/>
            <w:vAlign w:val="bottom"/>
            <w:shd w:val="clear" w:color="auto" w:fill="D2DEA7"/>
          </w:tcPr>
          <w:p>
            <w:pPr>
              <w:jc w:val="right"/>
              <w:ind w:right="304"/>
              <w:spacing w:after="0" w:line="162" w:lineRule="exact"/>
              <w:rPr>
                <w:sz w:val="20"/>
                <w:szCs w:val="20"/>
                <w:color w:val="auto"/>
              </w:rPr>
            </w:pPr>
            <w:r>
              <w:rPr>
                <w:rFonts w:ascii="Arial" w:cs="Arial" w:eastAsia="Arial" w:hAnsi="Arial"/>
                <w:sz w:val="15"/>
                <w:szCs w:val="15"/>
                <w:color w:val="auto"/>
              </w:rPr>
              <w:t>18,795</w:t>
            </w:r>
          </w:p>
        </w:tc>
      </w:tr>
      <w:tr>
        <w:trPr>
          <w:trHeight w:val="162"/>
        </w:trPr>
        <w:tc>
          <w:tcPr>
            <w:tcW w:w="3360" w:type="dxa"/>
            <w:vAlign w:val="bottom"/>
            <w:shd w:val="clear" w:color="auto" w:fill="E8EED3"/>
          </w:tcPr>
          <w:p>
            <w:pPr>
              <w:ind w:left="240"/>
              <w:spacing w:after="0" w:line="162" w:lineRule="exact"/>
              <w:rPr>
                <w:sz w:val="20"/>
                <w:szCs w:val="20"/>
                <w:color w:val="auto"/>
              </w:rPr>
            </w:pPr>
            <w:r>
              <w:rPr>
                <w:rFonts w:ascii="Arial" w:cs="Arial" w:eastAsia="Arial" w:hAnsi="Arial"/>
                <w:sz w:val="15"/>
                <w:szCs w:val="15"/>
                <w:color w:val="auto"/>
              </w:rPr>
              <w:t>Paul Gohr</w:t>
            </w:r>
          </w:p>
        </w:tc>
        <w:tc>
          <w:tcPr>
            <w:tcW w:w="2800" w:type="dxa"/>
            <w:vAlign w:val="bottom"/>
            <w:shd w:val="clear" w:color="auto" w:fill="E8EED3"/>
          </w:tcPr>
          <w:p>
            <w:pPr>
              <w:jc w:val="right"/>
              <w:ind w:right="344"/>
              <w:spacing w:after="0" w:line="162" w:lineRule="exact"/>
              <w:rPr>
                <w:sz w:val="20"/>
                <w:szCs w:val="20"/>
                <w:color w:val="auto"/>
              </w:rPr>
            </w:pPr>
            <w:r>
              <w:rPr>
                <w:rFonts w:ascii="Arial" w:cs="Arial" w:eastAsia="Arial" w:hAnsi="Arial"/>
                <w:sz w:val="15"/>
                <w:szCs w:val="15"/>
                <w:color w:val="auto"/>
              </w:rPr>
              <w:t>8,565</w:t>
            </w:r>
          </w:p>
        </w:tc>
        <w:tc>
          <w:tcPr>
            <w:tcW w:w="1580" w:type="dxa"/>
            <w:vAlign w:val="bottom"/>
            <w:shd w:val="clear" w:color="auto" w:fill="E8EED3"/>
          </w:tcPr>
          <w:p>
            <w:pPr>
              <w:jc w:val="right"/>
              <w:ind w:right="344"/>
              <w:spacing w:after="0" w:line="162" w:lineRule="exact"/>
              <w:rPr>
                <w:sz w:val="20"/>
                <w:szCs w:val="20"/>
                <w:color w:val="auto"/>
              </w:rPr>
            </w:pPr>
            <w:r>
              <w:rPr>
                <w:rFonts w:ascii="Arial" w:cs="Arial" w:eastAsia="Arial" w:hAnsi="Arial"/>
                <w:sz w:val="15"/>
                <w:szCs w:val="15"/>
                <w:color w:val="auto"/>
              </w:rPr>
              <w:t>182</w:t>
            </w:r>
          </w:p>
        </w:tc>
        <w:tc>
          <w:tcPr>
            <w:tcW w:w="1640" w:type="dxa"/>
            <w:vAlign w:val="bottom"/>
            <w:shd w:val="clear" w:color="auto" w:fill="E8EED3"/>
          </w:tcPr>
          <w:p>
            <w:pPr>
              <w:jc w:val="right"/>
              <w:ind w:right="384"/>
              <w:spacing w:after="0" w:line="162" w:lineRule="exact"/>
              <w:rPr>
                <w:sz w:val="20"/>
                <w:szCs w:val="20"/>
                <w:color w:val="auto"/>
              </w:rPr>
            </w:pPr>
            <w:r>
              <w:rPr>
                <w:rFonts w:ascii="Arial" w:cs="Arial" w:eastAsia="Arial" w:hAnsi="Arial"/>
                <w:sz w:val="15"/>
                <w:szCs w:val="15"/>
                <w:color w:val="auto"/>
              </w:rPr>
              <w:t>9,600</w:t>
            </w:r>
          </w:p>
        </w:tc>
        <w:tc>
          <w:tcPr>
            <w:tcW w:w="1300" w:type="dxa"/>
            <w:vAlign w:val="bottom"/>
            <w:shd w:val="clear" w:color="auto" w:fill="E8EED3"/>
          </w:tcPr>
          <w:p>
            <w:pPr>
              <w:jc w:val="right"/>
              <w:ind w:right="304"/>
              <w:spacing w:after="0" w:line="162" w:lineRule="exact"/>
              <w:rPr>
                <w:sz w:val="20"/>
                <w:szCs w:val="20"/>
                <w:color w:val="auto"/>
              </w:rPr>
            </w:pPr>
            <w:r>
              <w:rPr>
                <w:rFonts w:ascii="Arial" w:cs="Arial" w:eastAsia="Arial" w:hAnsi="Arial"/>
                <w:sz w:val="15"/>
                <w:szCs w:val="15"/>
                <w:color w:val="auto"/>
              </w:rPr>
              <w:t>18,347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6249670</wp:posOffset>
            </wp:positionH>
            <wp:positionV relativeFrom="paragraph">
              <wp:posOffset>-727710</wp:posOffset>
            </wp:positionV>
            <wp:extent cx="8255" cy="7283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-727710</wp:posOffset>
            </wp:positionV>
            <wp:extent cx="8255" cy="7283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-727710</wp:posOffset>
            </wp:positionV>
            <wp:extent cx="8255" cy="7283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7283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-727710</wp:posOffset>
            </wp:positionV>
            <wp:extent cx="8255" cy="7283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728345"/>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one-time payment of $181,472 related to relocation expenses in conjunction with Mr. Eckl’s hiring.</w:t>
      </w:r>
    </w:p>
    <w:p>
      <w:pPr>
        <w:spacing w:after="0" w:line="138" w:lineRule="exact"/>
        <w:rPr>
          <w:rFonts w:ascii="Arial" w:cs="Arial" w:eastAsia="Arial" w:hAnsi="Arial"/>
          <w:sz w:val="14"/>
          <w:szCs w:val="14"/>
          <w:color w:val="auto"/>
        </w:rPr>
      </w:pPr>
    </w:p>
    <w:p>
      <w:pPr>
        <w:ind w:left="5620" w:hanging="105"/>
        <w:spacing w:after="0"/>
        <w:tabs>
          <w:tab w:leader="none" w:pos="5620" w:val="left"/>
        </w:tabs>
        <w:numPr>
          <w:ilvl w:val="1"/>
          <w:numId w:val="18"/>
        </w:numPr>
        <w:rPr>
          <w:rFonts w:ascii="Arial" w:cs="Arial" w:eastAsia="Arial" w:hAnsi="Arial"/>
          <w:sz w:val="17"/>
          <w:szCs w:val="17"/>
          <w:color w:val="41659C"/>
        </w:rPr>
      </w:pPr>
      <w:r>
        <w:rPr>
          <w:rFonts w:ascii="Arial" w:cs="Arial" w:eastAsia="Arial" w:hAnsi="Arial"/>
          <w:sz w:val="17"/>
          <w:szCs w:val="17"/>
          <w:color w:val="41659C"/>
        </w:rPr>
        <w:t>23 -</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2018 Grants of Plan-Based Awards Table</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020" w:type="dxa"/>
            <w:vAlign w:val="bottom"/>
            <w:shd w:val="clear" w:color="auto" w:fill="41659C"/>
          </w:tcPr>
          <w:p>
            <w:pPr>
              <w:spacing w:after="0"/>
              <w:rPr>
                <w:sz w:val="13"/>
                <w:szCs w:val="13"/>
                <w:color w:val="auto"/>
              </w:rPr>
            </w:pPr>
          </w:p>
        </w:tc>
        <w:tc>
          <w:tcPr>
            <w:tcW w:w="820" w:type="dxa"/>
            <w:vAlign w:val="bottom"/>
            <w:shd w:val="clear" w:color="auto" w:fill="41659C"/>
          </w:tcPr>
          <w:p>
            <w:pPr>
              <w:spacing w:after="0"/>
              <w:rPr>
                <w:sz w:val="13"/>
                <w:szCs w:val="13"/>
                <w:color w:val="auto"/>
              </w:rPr>
            </w:pPr>
          </w:p>
        </w:tc>
        <w:tc>
          <w:tcPr>
            <w:tcW w:w="900" w:type="dxa"/>
            <w:vAlign w:val="bottom"/>
            <w:shd w:val="clear" w:color="auto" w:fill="41659C"/>
          </w:tcPr>
          <w:p>
            <w:pPr>
              <w:spacing w:after="0"/>
              <w:rPr>
                <w:sz w:val="13"/>
                <w:szCs w:val="13"/>
                <w:color w:val="auto"/>
              </w:rPr>
            </w:pPr>
          </w:p>
        </w:tc>
        <w:tc>
          <w:tcPr>
            <w:tcW w:w="880" w:type="dxa"/>
            <w:vAlign w:val="bottom"/>
            <w:shd w:val="clear" w:color="auto" w:fill="41659C"/>
          </w:tcPr>
          <w:p>
            <w:pPr>
              <w:spacing w:after="0"/>
              <w:rPr>
                <w:sz w:val="13"/>
                <w:szCs w:val="13"/>
                <w:color w:val="auto"/>
              </w:rPr>
            </w:pPr>
          </w:p>
        </w:tc>
        <w:tc>
          <w:tcPr>
            <w:tcW w:w="940" w:type="dxa"/>
            <w:vAlign w:val="bottom"/>
            <w:shd w:val="clear" w:color="auto" w:fill="41659C"/>
          </w:tcPr>
          <w:p>
            <w:pPr>
              <w:spacing w:after="0"/>
              <w:rPr>
                <w:sz w:val="13"/>
                <w:szCs w:val="13"/>
                <w:color w:val="auto"/>
              </w:rPr>
            </w:pPr>
          </w:p>
        </w:tc>
        <w:tc>
          <w:tcPr>
            <w:tcW w:w="880" w:type="dxa"/>
            <w:vAlign w:val="bottom"/>
            <w:shd w:val="clear" w:color="auto" w:fill="41659C"/>
          </w:tcPr>
          <w:p>
            <w:pPr>
              <w:spacing w:after="0"/>
              <w:rPr>
                <w:sz w:val="13"/>
                <w:szCs w:val="13"/>
                <w:color w:val="auto"/>
              </w:rPr>
            </w:pPr>
          </w:p>
        </w:tc>
        <w:tc>
          <w:tcPr>
            <w:tcW w:w="840" w:type="dxa"/>
            <w:vAlign w:val="bottom"/>
            <w:shd w:val="clear" w:color="auto" w:fill="41659C"/>
          </w:tcPr>
          <w:p>
            <w:pPr>
              <w:spacing w:after="0"/>
              <w:rPr>
                <w:sz w:val="13"/>
                <w:szCs w:val="13"/>
                <w:color w:val="auto"/>
              </w:rPr>
            </w:pPr>
          </w:p>
        </w:tc>
        <w:tc>
          <w:tcPr>
            <w:tcW w:w="920" w:type="dxa"/>
            <w:vAlign w:val="bottom"/>
            <w:shd w:val="clear" w:color="auto" w:fill="41659C"/>
          </w:tcPr>
          <w:p>
            <w:pPr>
              <w:spacing w:after="0"/>
              <w:rPr>
                <w:sz w:val="13"/>
                <w:szCs w:val="13"/>
                <w:color w:val="auto"/>
              </w:rPr>
            </w:pPr>
          </w:p>
        </w:tc>
        <w:tc>
          <w:tcPr>
            <w:tcW w:w="8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940" w:type="dxa"/>
            <w:vAlign w:val="bottom"/>
            <w:shd w:val="clear" w:color="auto" w:fill="41659C"/>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302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94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840" w:type="dxa"/>
            <w:vAlign w:val="bottom"/>
            <w:shd w:val="clear" w:color="auto" w:fill="41659C"/>
          </w:tcPr>
          <w:p>
            <w:pPr>
              <w:spacing w:after="0"/>
              <w:rPr>
                <w:sz w:val="11"/>
                <w:szCs w:val="11"/>
                <w:color w:val="auto"/>
              </w:rPr>
            </w:pPr>
          </w:p>
        </w:tc>
        <w:tc>
          <w:tcPr>
            <w:tcW w:w="920" w:type="dxa"/>
            <w:vAlign w:val="bottom"/>
            <w:shd w:val="clear" w:color="auto" w:fill="41659C"/>
          </w:tcPr>
          <w:p>
            <w:pPr>
              <w:spacing w:after="0"/>
              <w:rPr>
                <w:sz w:val="11"/>
                <w:szCs w:val="11"/>
                <w:color w:val="auto"/>
              </w:rPr>
            </w:pPr>
          </w:p>
        </w:tc>
        <w:tc>
          <w:tcPr>
            <w:tcW w:w="8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9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Grant</w:t>
            </w:r>
          </w:p>
        </w:tc>
        <w:tc>
          <w:tcPr>
            <w:tcW w:w="20" w:type="dxa"/>
            <w:vAlign w:val="bottom"/>
          </w:tcPr>
          <w:p>
            <w:pPr>
              <w:spacing w:after="0"/>
              <w:rPr>
                <w:sz w:val="11"/>
                <w:szCs w:val="11"/>
                <w:color w:val="auto"/>
              </w:rPr>
            </w:pPr>
          </w:p>
        </w:tc>
      </w:tr>
      <w:tr>
        <w:trPr>
          <w:trHeight w:val="143"/>
        </w:trPr>
        <w:tc>
          <w:tcPr>
            <w:tcW w:w="3020" w:type="dxa"/>
            <w:vAlign w:val="bottom"/>
            <w:shd w:val="clear" w:color="auto" w:fill="41659C"/>
          </w:tcPr>
          <w:p>
            <w:pPr>
              <w:spacing w:after="0"/>
              <w:rPr>
                <w:sz w:val="12"/>
                <w:szCs w:val="12"/>
                <w:color w:val="auto"/>
              </w:rPr>
            </w:pPr>
          </w:p>
        </w:tc>
        <w:tc>
          <w:tcPr>
            <w:tcW w:w="820" w:type="dxa"/>
            <w:vAlign w:val="bottom"/>
            <w:shd w:val="clear" w:color="auto" w:fill="41659C"/>
          </w:tcPr>
          <w:p>
            <w:pPr>
              <w:spacing w:after="0"/>
              <w:rPr>
                <w:sz w:val="12"/>
                <w:szCs w:val="12"/>
                <w:color w:val="auto"/>
              </w:rPr>
            </w:pPr>
          </w:p>
        </w:tc>
        <w:tc>
          <w:tcPr>
            <w:tcW w:w="2720" w:type="dxa"/>
            <w:vAlign w:val="bottom"/>
            <w:gridSpan w:val="3"/>
            <w:shd w:val="clear" w:color="auto" w:fill="41659C"/>
          </w:tcPr>
          <w:p>
            <w:pPr>
              <w:jc w:val="center"/>
              <w:ind w:right="40"/>
              <w:spacing w:after="0" w:line="144" w:lineRule="exact"/>
              <w:rPr>
                <w:sz w:val="20"/>
                <w:szCs w:val="20"/>
                <w:color w:val="auto"/>
              </w:rPr>
            </w:pPr>
            <w:r>
              <w:rPr>
                <w:rFonts w:ascii="Arial" w:cs="Arial" w:eastAsia="Arial" w:hAnsi="Arial"/>
                <w:sz w:val="13"/>
                <w:szCs w:val="13"/>
                <w:b w:val="1"/>
                <w:bCs w:val="1"/>
                <w:color w:val="FFFFFF"/>
                <w:w w:val="95"/>
              </w:rPr>
              <w:t>Estimated Possible Payouts</w:t>
            </w:r>
          </w:p>
        </w:tc>
        <w:tc>
          <w:tcPr>
            <w:tcW w:w="2640" w:type="dxa"/>
            <w:vAlign w:val="bottom"/>
            <w:gridSpan w:val="3"/>
            <w:shd w:val="clear" w:color="auto" w:fill="41659C"/>
          </w:tcPr>
          <w:p>
            <w:pPr>
              <w:jc w:val="center"/>
              <w:ind w:right="20"/>
              <w:spacing w:after="0" w:line="144" w:lineRule="exact"/>
              <w:rPr>
                <w:sz w:val="20"/>
                <w:szCs w:val="20"/>
                <w:color w:val="auto"/>
              </w:rPr>
            </w:pPr>
            <w:r>
              <w:rPr>
                <w:rFonts w:ascii="Arial" w:cs="Arial" w:eastAsia="Arial" w:hAnsi="Arial"/>
                <w:sz w:val="13"/>
                <w:szCs w:val="13"/>
                <w:b w:val="1"/>
                <w:bCs w:val="1"/>
                <w:color w:val="FFFFFF"/>
                <w:w w:val="97"/>
              </w:rPr>
              <w:t>Estimated Future Payouts</w:t>
            </w:r>
          </w:p>
        </w:tc>
        <w:tc>
          <w:tcPr>
            <w:tcW w:w="86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7"/>
              </w:rPr>
              <w:t>Awards:</w:t>
            </w:r>
          </w:p>
        </w:tc>
        <w:tc>
          <w:tcPr>
            <w:tcW w:w="94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Date Fair</w:t>
            </w:r>
          </w:p>
        </w:tc>
        <w:tc>
          <w:tcPr>
            <w:tcW w:w="20" w:type="dxa"/>
            <w:vAlign w:val="bottom"/>
          </w:tcPr>
          <w:p>
            <w:pPr>
              <w:spacing w:after="0"/>
              <w:rPr>
                <w:sz w:val="12"/>
                <w:szCs w:val="12"/>
                <w:color w:val="auto"/>
              </w:rPr>
            </w:pPr>
          </w:p>
        </w:tc>
      </w:tr>
      <w:tr>
        <w:trPr>
          <w:trHeight w:val="135"/>
        </w:trPr>
        <w:tc>
          <w:tcPr>
            <w:tcW w:w="302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00" w:type="dxa"/>
            <w:vAlign w:val="bottom"/>
            <w:shd w:val="clear" w:color="auto" w:fill="41659C"/>
          </w:tcPr>
          <w:p>
            <w:pPr>
              <w:spacing w:after="0"/>
              <w:rPr>
                <w:sz w:val="11"/>
                <w:szCs w:val="11"/>
                <w:color w:val="auto"/>
              </w:rPr>
            </w:pPr>
          </w:p>
        </w:tc>
        <w:tc>
          <w:tcPr>
            <w:tcW w:w="8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rPr>
              <w:t>Under</w:t>
            </w:r>
          </w:p>
        </w:tc>
        <w:tc>
          <w:tcPr>
            <w:tcW w:w="94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8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Under</w:t>
            </w:r>
          </w:p>
        </w:tc>
        <w:tc>
          <w:tcPr>
            <w:tcW w:w="920" w:type="dxa"/>
            <w:vAlign w:val="bottom"/>
            <w:shd w:val="clear" w:color="auto" w:fill="41659C"/>
          </w:tcPr>
          <w:p>
            <w:pPr>
              <w:spacing w:after="0"/>
              <w:rPr>
                <w:sz w:val="11"/>
                <w:szCs w:val="11"/>
                <w:color w:val="auto"/>
              </w:rPr>
            </w:pPr>
          </w:p>
        </w:tc>
        <w:tc>
          <w:tcPr>
            <w:tcW w:w="8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Number</w:t>
            </w:r>
          </w:p>
        </w:tc>
        <w:tc>
          <w:tcPr>
            <w:tcW w:w="9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20" w:type="dxa"/>
            <w:vAlign w:val="bottom"/>
          </w:tcPr>
          <w:p>
            <w:pPr>
              <w:spacing w:after="0"/>
              <w:rPr>
                <w:sz w:val="11"/>
                <w:szCs w:val="11"/>
                <w:color w:val="auto"/>
              </w:rPr>
            </w:pPr>
          </w:p>
        </w:tc>
      </w:tr>
      <w:tr>
        <w:trPr>
          <w:trHeight w:val="135"/>
        </w:trPr>
        <w:tc>
          <w:tcPr>
            <w:tcW w:w="302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2720" w:type="dxa"/>
            <w:vAlign w:val="bottom"/>
            <w:gridSpan w:val="3"/>
            <w:shd w:val="clear" w:color="auto" w:fill="41659C"/>
          </w:tcPr>
          <w:p>
            <w:pPr>
              <w:jc w:val="center"/>
              <w:ind w:right="40"/>
              <w:spacing w:after="0" w:line="135" w:lineRule="exact"/>
              <w:rPr>
                <w:sz w:val="20"/>
                <w:szCs w:val="20"/>
                <w:color w:val="auto"/>
              </w:rPr>
            </w:pPr>
            <w:r>
              <w:rPr>
                <w:rFonts w:ascii="Arial" w:cs="Arial" w:eastAsia="Arial" w:hAnsi="Arial"/>
                <w:sz w:val="13"/>
                <w:szCs w:val="13"/>
                <w:b w:val="1"/>
                <w:bCs w:val="1"/>
                <w:color w:val="FFFFFF"/>
                <w:w w:val="96"/>
              </w:rPr>
              <w:t>Non-Equity Incentive Plan</w:t>
            </w:r>
          </w:p>
        </w:tc>
        <w:tc>
          <w:tcPr>
            <w:tcW w:w="2640" w:type="dxa"/>
            <w:vAlign w:val="bottom"/>
            <w:gridSpan w:val="3"/>
            <w:shd w:val="clear" w:color="auto" w:fill="41659C"/>
          </w:tcPr>
          <w:p>
            <w:pPr>
              <w:jc w:val="center"/>
              <w:ind w:right="40"/>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8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of Shares</w:t>
            </w:r>
          </w:p>
        </w:tc>
        <w:tc>
          <w:tcPr>
            <w:tcW w:w="94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and</w:t>
            </w:r>
          </w:p>
        </w:tc>
        <w:tc>
          <w:tcPr>
            <w:tcW w:w="20" w:type="dxa"/>
            <w:vAlign w:val="bottom"/>
          </w:tcPr>
          <w:p>
            <w:pPr>
              <w:spacing w:after="0"/>
              <w:rPr>
                <w:sz w:val="11"/>
                <w:szCs w:val="11"/>
                <w:color w:val="auto"/>
              </w:rPr>
            </w:pPr>
          </w:p>
        </w:tc>
      </w:tr>
      <w:tr>
        <w:trPr>
          <w:trHeight w:val="162"/>
        </w:trPr>
        <w:tc>
          <w:tcPr>
            <w:tcW w:w="3020" w:type="dxa"/>
            <w:vAlign w:val="bottom"/>
            <w:tcBorders>
              <w:bottom w:val="single" w:sz="8" w:color="41659C"/>
            </w:tcBorders>
            <w:shd w:val="clear" w:color="auto" w:fill="41659C"/>
          </w:tcPr>
          <w:p>
            <w:pPr>
              <w:spacing w:after="0"/>
              <w:rPr>
                <w:sz w:val="14"/>
                <w:szCs w:val="14"/>
                <w:color w:val="auto"/>
              </w:rPr>
            </w:pPr>
          </w:p>
        </w:tc>
        <w:tc>
          <w:tcPr>
            <w:tcW w:w="820" w:type="dxa"/>
            <w:vAlign w:val="bottom"/>
            <w:tcBorders>
              <w:bottom w:val="single" w:sz="8" w:color="41659C"/>
            </w:tcBorders>
            <w:shd w:val="clear" w:color="auto" w:fill="41659C"/>
          </w:tcPr>
          <w:p>
            <w:pPr>
              <w:spacing w:after="0"/>
              <w:rPr>
                <w:sz w:val="14"/>
                <w:szCs w:val="14"/>
                <w:color w:val="auto"/>
              </w:rPr>
            </w:pPr>
          </w:p>
        </w:tc>
        <w:tc>
          <w:tcPr>
            <w:tcW w:w="900" w:type="dxa"/>
            <w:vAlign w:val="bottom"/>
            <w:tcBorders>
              <w:bottom w:val="single" w:sz="8" w:color="41659C"/>
            </w:tcBorders>
            <w:shd w:val="clear" w:color="auto" w:fill="41659C"/>
          </w:tcPr>
          <w:p>
            <w:pPr>
              <w:spacing w:after="0"/>
              <w:rPr>
                <w:sz w:val="14"/>
                <w:szCs w:val="14"/>
                <w:color w:val="auto"/>
              </w:rPr>
            </w:pPr>
          </w:p>
        </w:tc>
        <w:tc>
          <w:tcPr>
            <w:tcW w:w="88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0"/>
                <w:szCs w:val="10"/>
                <w:b w:val="1"/>
                <w:bCs w:val="1"/>
                <w:color w:val="FFFFFF"/>
                <w:w w:val="97"/>
              </w:rPr>
              <w:t>(1)</w:t>
            </w:r>
          </w:p>
        </w:tc>
        <w:tc>
          <w:tcPr>
            <w:tcW w:w="940" w:type="dxa"/>
            <w:vAlign w:val="bottom"/>
            <w:tcBorders>
              <w:bottom w:val="single" w:sz="8" w:color="41659C"/>
            </w:tcBorders>
            <w:shd w:val="clear" w:color="auto" w:fill="41659C"/>
          </w:tcPr>
          <w:p>
            <w:pPr>
              <w:spacing w:after="0"/>
              <w:rPr>
                <w:sz w:val="14"/>
                <w:szCs w:val="14"/>
                <w:color w:val="auto"/>
              </w:rPr>
            </w:pPr>
          </w:p>
        </w:tc>
        <w:tc>
          <w:tcPr>
            <w:tcW w:w="880" w:type="dxa"/>
            <w:vAlign w:val="bottom"/>
            <w:tcBorders>
              <w:bottom w:val="single" w:sz="8" w:color="41659C"/>
            </w:tcBorders>
            <w:shd w:val="clear" w:color="auto" w:fill="41659C"/>
          </w:tcPr>
          <w:p>
            <w:pPr>
              <w:spacing w:after="0"/>
              <w:rPr>
                <w:sz w:val="14"/>
                <w:szCs w:val="14"/>
                <w:color w:val="auto"/>
              </w:rPr>
            </w:pPr>
          </w:p>
        </w:tc>
        <w:tc>
          <w:tcPr>
            <w:tcW w:w="84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Awards</w:t>
            </w:r>
            <w:r>
              <w:rPr>
                <w:rFonts w:ascii="Arial" w:cs="Arial" w:eastAsia="Arial" w:hAnsi="Arial"/>
                <w:sz w:val="10"/>
                <w:szCs w:val="10"/>
                <w:b w:val="1"/>
                <w:bCs w:val="1"/>
                <w:color w:val="FFFFFF"/>
                <w:w w:val="97"/>
              </w:rPr>
              <w:t>(2)</w:t>
            </w:r>
          </w:p>
        </w:tc>
        <w:tc>
          <w:tcPr>
            <w:tcW w:w="920" w:type="dxa"/>
            <w:vAlign w:val="bottom"/>
            <w:tcBorders>
              <w:bottom w:val="single" w:sz="8" w:color="41659C"/>
            </w:tcBorders>
            <w:shd w:val="clear" w:color="auto" w:fill="41659C"/>
          </w:tcPr>
          <w:p>
            <w:pPr>
              <w:spacing w:after="0"/>
              <w:rPr>
                <w:sz w:val="14"/>
                <w:szCs w:val="14"/>
                <w:color w:val="auto"/>
              </w:rPr>
            </w:pPr>
          </w:p>
        </w:tc>
        <w:tc>
          <w:tcPr>
            <w:tcW w:w="86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of Stock</w:t>
            </w:r>
          </w:p>
        </w:tc>
        <w:tc>
          <w:tcPr>
            <w:tcW w:w="940" w:type="dxa"/>
            <w:vAlign w:val="bottom"/>
            <w:tcBorders>
              <w:bottom w:val="single" w:sz="8" w:color="41659C"/>
            </w:tcBorders>
            <w:shd w:val="clear" w:color="auto" w:fill="41659C"/>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20" w:type="dxa"/>
            <w:vAlign w:val="bottom"/>
            <w:tcBorders>
              <w:bottom w:val="single" w:sz="8" w:color="41659C"/>
            </w:tcBorders>
          </w:tcPr>
          <w:p>
            <w:pPr>
              <w:spacing w:after="0"/>
              <w:rPr>
                <w:sz w:val="14"/>
                <w:szCs w:val="14"/>
                <w:color w:val="auto"/>
              </w:rPr>
            </w:pPr>
          </w:p>
        </w:tc>
      </w:tr>
      <w:tr>
        <w:trPr>
          <w:trHeight w:val="106"/>
        </w:trPr>
        <w:tc>
          <w:tcPr>
            <w:tcW w:w="3020" w:type="dxa"/>
            <w:vAlign w:val="bottom"/>
            <w:shd w:val="clear" w:color="auto" w:fill="41659C"/>
          </w:tcPr>
          <w:p>
            <w:pPr>
              <w:spacing w:after="0"/>
              <w:rPr>
                <w:sz w:val="9"/>
                <w:szCs w:val="9"/>
                <w:color w:val="auto"/>
              </w:rPr>
            </w:pPr>
          </w:p>
        </w:tc>
        <w:tc>
          <w:tcPr>
            <w:tcW w:w="82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Grant</w:t>
            </w:r>
          </w:p>
        </w:tc>
        <w:tc>
          <w:tcPr>
            <w:tcW w:w="90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Threshold</w:t>
            </w:r>
          </w:p>
        </w:tc>
        <w:tc>
          <w:tcPr>
            <w:tcW w:w="88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Target</w:t>
            </w:r>
          </w:p>
        </w:tc>
        <w:tc>
          <w:tcPr>
            <w:tcW w:w="94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Maximum</w:t>
            </w:r>
          </w:p>
        </w:tc>
        <w:tc>
          <w:tcPr>
            <w:tcW w:w="880" w:type="dxa"/>
            <w:vAlign w:val="bottom"/>
            <w:shd w:val="clear" w:color="auto" w:fill="41659C"/>
          </w:tcPr>
          <w:p>
            <w:pPr>
              <w:jc w:val="center"/>
              <w:ind w:left="38"/>
              <w:spacing w:after="0" w:line="107" w:lineRule="exact"/>
              <w:rPr>
                <w:sz w:val="20"/>
                <w:szCs w:val="20"/>
                <w:color w:val="auto"/>
              </w:rPr>
            </w:pPr>
            <w:r>
              <w:rPr>
                <w:rFonts w:ascii="Arial" w:cs="Arial" w:eastAsia="Arial" w:hAnsi="Arial"/>
                <w:sz w:val="12"/>
                <w:szCs w:val="12"/>
                <w:b w:val="1"/>
                <w:bCs w:val="1"/>
                <w:color w:val="FFFFFF"/>
              </w:rPr>
              <w:t>Threshold</w:t>
            </w:r>
          </w:p>
        </w:tc>
        <w:tc>
          <w:tcPr>
            <w:tcW w:w="840" w:type="dxa"/>
            <w:vAlign w:val="bottom"/>
            <w:shd w:val="clear" w:color="auto" w:fill="41659C"/>
          </w:tcPr>
          <w:p>
            <w:pPr>
              <w:jc w:val="center"/>
              <w:ind w:left="18"/>
              <w:spacing w:after="0" w:line="107" w:lineRule="exact"/>
              <w:rPr>
                <w:sz w:val="20"/>
                <w:szCs w:val="20"/>
                <w:color w:val="auto"/>
              </w:rPr>
            </w:pPr>
            <w:r>
              <w:rPr>
                <w:rFonts w:ascii="Arial" w:cs="Arial" w:eastAsia="Arial" w:hAnsi="Arial"/>
                <w:sz w:val="12"/>
                <w:szCs w:val="12"/>
                <w:b w:val="1"/>
                <w:bCs w:val="1"/>
                <w:color w:val="FFFFFF"/>
                <w:w w:val="98"/>
              </w:rPr>
              <w:t>Target</w:t>
            </w:r>
          </w:p>
        </w:tc>
        <w:tc>
          <w:tcPr>
            <w:tcW w:w="92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Maximum</w:t>
            </w:r>
          </w:p>
        </w:tc>
        <w:tc>
          <w:tcPr>
            <w:tcW w:w="86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or Units</w:t>
            </w:r>
          </w:p>
        </w:tc>
        <w:tc>
          <w:tcPr>
            <w:tcW w:w="940" w:type="dxa"/>
            <w:vAlign w:val="bottom"/>
            <w:shd w:val="clear" w:color="auto" w:fill="41659C"/>
          </w:tcPr>
          <w:p>
            <w:pPr>
              <w:jc w:val="center"/>
              <w:spacing w:after="0" w:line="107" w:lineRule="exact"/>
              <w:rPr>
                <w:sz w:val="20"/>
                <w:szCs w:val="20"/>
                <w:color w:val="auto"/>
              </w:rPr>
            </w:pPr>
            <w:r>
              <w:rPr>
                <w:rFonts w:ascii="Arial" w:cs="Arial" w:eastAsia="Arial" w:hAnsi="Arial"/>
                <w:sz w:val="12"/>
                <w:szCs w:val="12"/>
                <w:b w:val="1"/>
                <w:bCs w:val="1"/>
                <w:color w:val="FFFFFF"/>
              </w:rPr>
              <w:t>Awards</w:t>
            </w:r>
          </w:p>
        </w:tc>
        <w:tc>
          <w:tcPr>
            <w:tcW w:w="20" w:type="dxa"/>
            <w:vAlign w:val="bottom"/>
          </w:tcPr>
          <w:p>
            <w:pPr>
              <w:spacing w:after="0"/>
              <w:rPr>
                <w:sz w:val="9"/>
                <w:szCs w:val="9"/>
                <w:color w:val="auto"/>
              </w:rPr>
            </w:pPr>
          </w:p>
        </w:tc>
      </w:tr>
      <w:tr>
        <w:trPr>
          <w:trHeight w:val="170"/>
        </w:trPr>
        <w:tc>
          <w:tcPr>
            <w:tcW w:w="3020" w:type="dxa"/>
            <w:vAlign w:val="bottom"/>
            <w:shd w:val="clear" w:color="auto" w:fill="41659C"/>
          </w:tcPr>
          <w:p>
            <w:pPr>
              <w:ind w:left="16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2"/>
              </w:rPr>
              <w:t>Date</w:t>
            </w:r>
          </w:p>
        </w:tc>
        <w:tc>
          <w:tcPr>
            <w:tcW w:w="900" w:type="dxa"/>
            <w:vAlign w:val="bottom"/>
            <w:shd w:val="clear" w:color="auto" w:fill="41659C"/>
          </w:tcPr>
          <w:p>
            <w:pPr>
              <w:jc w:val="right"/>
              <w:ind w:right="298"/>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41659C"/>
          </w:tcPr>
          <w:p>
            <w:pPr>
              <w:jc w:val="right"/>
              <w:ind w:right="298"/>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41659C"/>
          </w:tcPr>
          <w:p>
            <w:pPr>
              <w:jc w:val="right"/>
              <w:ind w:right="340"/>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41659C"/>
          </w:tcPr>
          <w:p>
            <w:pPr>
              <w:jc w:val="right"/>
              <w:ind w:right="258"/>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41659C"/>
          </w:tcPr>
          <w:p>
            <w:pPr>
              <w:jc w:val="right"/>
              <w:ind w:right="238"/>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41659C"/>
          </w:tcPr>
          <w:p>
            <w:pPr>
              <w:jc w:val="right"/>
              <w:ind w:right="320"/>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(3)</w:t>
            </w:r>
          </w:p>
        </w:tc>
        <w:tc>
          <w:tcPr>
            <w:tcW w:w="94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w:t>
            </w:r>
            <w:r>
              <w:rPr>
                <w:rFonts w:ascii="Arial" w:cs="Arial" w:eastAsia="Arial" w:hAnsi="Arial"/>
                <w:sz w:val="10"/>
                <w:szCs w:val="10"/>
                <w:b w:val="1"/>
                <w:bCs w:val="1"/>
                <w:color w:val="FFFFFF"/>
                <w:w w:val="99"/>
              </w:rPr>
              <w:t>(4)</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-710565</wp:posOffset>
            </wp:positionV>
            <wp:extent cx="5071110" cy="17475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71110" cy="17475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52"/>
        </w:trPr>
        <w:tc>
          <w:tcPr>
            <w:tcW w:w="3040" w:type="dxa"/>
            <w:vAlign w:val="bottom"/>
            <w:tcBorders>
              <w:top w:val="single" w:sz="8" w:color="41659C"/>
            </w:tcBorders>
            <w:shd w:val="clear" w:color="auto" w:fill="E8EED3"/>
          </w:tcPr>
          <w:p>
            <w:pPr>
              <w:ind w:left="180"/>
              <w:spacing w:after="0" w:line="152" w:lineRule="exact"/>
              <w:rPr>
                <w:sz w:val="20"/>
                <w:szCs w:val="20"/>
                <w:color w:val="auto"/>
              </w:rPr>
            </w:pPr>
            <w:r>
              <w:rPr>
                <w:rFonts w:ascii="Arial" w:cs="Arial" w:eastAsia="Arial" w:hAnsi="Arial"/>
                <w:sz w:val="15"/>
                <w:szCs w:val="15"/>
                <w:color w:val="auto"/>
              </w:rPr>
              <w:t>Dennis Sadlowski</w:t>
            </w:r>
          </w:p>
        </w:tc>
        <w:tc>
          <w:tcPr>
            <w:tcW w:w="60" w:type="dxa"/>
            <w:vAlign w:val="bottom"/>
            <w:tcBorders>
              <w:top w:val="single" w:sz="8" w:color="E8EED3"/>
            </w:tcBorders>
            <w:shd w:val="clear" w:color="auto" w:fill="E8EED3"/>
          </w:tcPr>
          <w:p>
            <w:pPr>
              <w:spacing w:after="0"/>
              <w:rPr>
                <w:sz w:val="13"/>
                <w:szCs w:val="13"/>
                <w:color w:val="auto"/>
              </w:rPr>
            </w:pPr>
          </w:p>
        </w:tc>
        <w:tc>
          <w:tcPr>
            <w:tcW w:w="920" w:type="dxa"/>
            <w:vAlign w:val="bottom"/>
            <w:tcBorders>
              <w:top w:val="single" w:sz="8" w:color="41659C"/>
            </w:tcBorders>
            <w:shd w:val="clear" w:color="auto" w:fill="E8EED3"/>
          </w:tcPr>
          <w:p>
            <w:pPr>
              <w:spacing w:after="0"/>
              <w:rPr>
                <w:sz w:val="13"/>
                <w:szCs w:val="13"/>
                <w:color w:val="auto"/>
              </w:rPr>
            </w:pPr>
          </w:p>
        </w:tc>
        <w:tc>
          <w:tcPr>
            <w:tcW w:w="680" w:type="dxa"/>
            <w:vAlign w:val="bottom"/>
            <w:tcBorders>
              <w:top w:val="single" w:sz="8" w:color="41659C"/>
            </w:tcBorders>
            <w:shd w:val="clear" w:color="auto" w:fill="E8EED3"/>
          </w:tcPr>
          <w:p>
            <w:pPr>
              <w:ind w:left="340"/>
              <w:spacing w:after="0" w:line="152"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41659C"/>
            </w:tcBorders>
            <w:shd w:val="clear" w:color="auto" w:fill="E8EED3"/>
          </w:tcPr>
          <w:p>
            <w:pPr>
              <w:jc w:val="right"/>
              <w:ind w:right="85"/>
              <w:spacing w:after="0" w:line="152" w:lineRule="exact"/>
              <w:rPr>
                <w:sz w:val="20"/>
                <w:szCs w:val="20"/>
                <w:color w:val="auto"/>
              </w:rPr>
            </w:pPr>
            <w:r>
              <w:rPr>
                <w:rFonts w:ascii="Arial" w:cs="Arial" w:eastAsia="Arial" w:hAnsi="Arial"/>
                <w:sz w:val="15"/>
                <w:szCs w:val="15"/>
                <w:color w:val="auto"/>
              </w:rPr>
              <w:t>575,000</w:t>
            </w:r>
          </w:p>
        </w:tc>
        <w:tc>
          <w:tcPr>
            <w:tcW w:w="1180" w:type="dxa"/>
            <w:vAlign w:val="bottom"/>
            <w:tcBorders>
              <w:top w:val="single" w:sz="8" w:color="41659C"/>
            </w:tcBorders>
            <w:shd w:val="clear" w:color="auto" w:fill="E8EED3"/>
          </w:tcPr>
          <w:p>
            <w:pPr>
              <w:jc w:val="right"/>
              <w:ind w:right="285"/>
              <w:spacing w:after="0" w:line="152" w:lineRule="exact"/>
              <w:rPr>
                <w:sz w:val="20"/>
                <w:szCs w:val="20"/>
                <w:color w:val="auto"/>
              </w:rPr>
            </w:pPr>
            <w:r>
              <w:rPr>
                <w:rFonts w:ascii="Arial" w:cs="Arial" w:eastAsia="Arial" w:hAnsi="Arial"/>
                <w:sz w:val="15"/>
                <w:szCs w:val="15"/>
                <w:color w:val="auto"/>
              </w:rPr>
              <w:t>1,150,000</w:t>
            </w:r>
          </w:p>
        </w:tc>
        <w:tc>
          <w:tcPr>
            <w:tcW w:w="700" w:type="dxa"/>
            <w:vAlign w:val="bottom"/>
            <w:tcBorders>
              <w:top w:val="single" w:sz="8" w:color="41659C"/>
            </w:tcBorders>
            <w:shd w:val="clear" w:color="auto" w:fill="E8EED3"/>
          </w:tcPr>
          <w:p>
            <w:pPr>
              <w:ind w:left="360"/>
              <w:spacing w:after="0" w:line="152"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41659C"/>
            </w:tcBorders>
            <w:shd w:val="clear" w:color="auto" w:fill="E8EED3"/>
          </w:tcPr>
          <w:p>
            <w:pPr>
              <w:jc w:val="right"/>
              <w:ind w:right="225"/>
              <w:spacing w:after="0" w:line="152" w:lineRule="exact"/>
              <w:rPr>
                <w:sz w:val="20"/>
                <w:szCs w:val="20"/>
                <w:color w:val="auto"/>
              </w:rPr>
            </w:pPr>
            <w:r>
              <w:rPr>
                <w:rFonts w:ascii="Arial" w:cs="Arial" w:eastAsia="Arial" w:hAnsi="Arial"/>
                <w:sz w:val="15"/>
                <w:szCs w:val="15"/>
                <w:color w:val="auto"/>
              </w:rPr>
              <w:t>—</w:t>
            </w:r>
          </w:p>
        </w:tc>
        <w:tc>
          <w:tcPr>
            <w:tcW w:w="940" w:type="dxa"/>
            <w:vAlign w:val="bottom"/>
            <w:tcBorders>
              <w:top w:val="single" w:sz="8" w:color="41659C"/>
            </w:tcBorders>
            <w:shd w:val="clear" w:color="auto" w:fill="E8EED3"/>
          </w:tcPr>
          <w:p>
            <w:pPr>
              <w:jc w:val="right"/>
              <w:ind w:right="245"/>
              <w:spacing w:after="0" w:line="152" w:lineRule="exact"/>
              <w:rPr>
                <w:sz w:val="20"/>
                <w:szCs w:val="20"/>
                <w:color w:val="auto"/>
              </w:rPr>
            </w:pPr>
            <w:r>
              <w:rPr>
                <w:rFonts w:ascii="Arial" w:cs="Arial" w:eastAsia="Arial" w:hAnsi="Arial"/>
                <w:sz w:val="15"/>
                <w:szCs w:val="15"/>
                <w:color w:val="auto"/>
              </w:rPr>
              <w:t>—</w:t>
            </w:r>
          </w:p>
        </w:tc>
        <w:tc>
          <w:tcPr>
            <w:tcW w:w="860" w:type="dxa"/>
            <w:vAlign w:val="bottom"/>
            <w:tcBorders>
              <w:top w:val="single" w:sz="8" w:color="41659C"/>
            </w:tcBorders>
            <w:shd w:val="clear" w:color="auto" w:fill="E8EED3"/>
          </w:tcPr>
          <w:p>
            <w:pPr>
              <w:jc w:val="right"/>
              <w:ind w:right="225"/>
              <w:spacing w:after="0" w:line="152"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41659C"/>
            </w:tcBorders>
            <w:shd w:val="clear" w:color="auto" w:fill="E8EED3"/>
          </w:tcPr>
          <w:p>
            <w:pPr>
              <w:jc w:val="right"/>
              <w:ind w:right="183"/>
              <w:spacing w:after="0" w:line="152" w:lineRule="exact"/>
              <w:rPr>
                <w:sz w:val="20"/>
                <w:szCs w:val="20"/>
                <w:color w:val="auto"/>
              </w:rPr>
            </w:pPr>
            <w:r>
              <w:rPr>
                <w:rFonts w:ascii="Arial" w:cs="Arial" w:eastAsia="Arial" w:hAnsi="Arial"/>
                <w:sz w:val="15"/>
                <w:szCs w:val="15"/>
                <w:color w:val="auto"/>
              </w:rPr>
              <w:t>—</w:t>
            </w:r>
          </w:p>
        </w:tc>
        <w:tc>
          <w:tcPr>
            <w:tcW w:w="20" w:type="dxa"/>
            <w:vAlign w:val="bottom"/>
            <w:tcBorders>
              <w:top w:val="single" w:sz="8" w:color="41659C"/>
            </w:tcBorders>
          </w:tcPr>
          <w:p>
            <w:pPr>
              <w:spacing w:after="0"/>
              <w:rPr>
                <w:sz w:val="13"/>
                <w:szCs w:val="13"/>
                <w:color w:val="auto"/>
              </w:rPr>
            </w:pPr>
          </w:p>
        </w:tc>
      </w:tr>
      <w:tr>
        <w:trPr>
          <w:trHeight w:val="162"/>
        </w:trPr>
        <w:tc>
          <w:tcPr>
            <w:tcW w:w="3040" w:type="dxa"/>
            <w:vAlign w:val="bottom"/>
            <w:shd w:val="clear" w:color="auto" w:fill="E8EED3"/>
          </w:tcPr>
          <w:p>
            <w:pPr>
              <w:spacing w:after="0"/>
              <w:rPr>
                <w:sz w:val="14"/>
                <w:szCs w:val="14"/>
                <w:color w:val="auto"/>
              </w:rPr>
            </w:pPr>
          </w:p>
        </w:tc>
        <w:tc>
          <w:tcPr>
            <w:tcW w:w="60" w:type="dxa"/>
            <w:vAlign w:val="bottom"/>
            <w:shd w:val="clear" w:color="auto" w:fill="E8EED3"/>
          </w:tcPr>
          <w:p>
            <w:pPr>
              <w:spacing w:after="0"/>
              <w:rPr>
                <w:sz w:val="14"/>
                <w:szCs w:val="14"/>
                <w:color w:val="auto"/>
              </w:rPr>
            </w:pPr>
          </w:p>
        </w:tc>
        <w:tc>
          <w:tcPr>
            <w:tcW w:w="920" w:type="dxa"/>
            <w:vAlign w:val="bottom"/>
            <w:shd w:val="clear" w:color="auto" w:fill="E8EED3"/>
          </w:tcPr>
          <w:p>
            <w:pPr>
              <w:jc w:val="right"/>
              <w:ind w:right="314"/>
              <w:spacing w:after="0" w:line="162" w:lineRule="exact"/>
              <w:rPr>
                <w:sz w:val="20"/>
                <w:szCs w:val="20"/>
                <w:color w:val="auto"/>
              </w:rPr>
            </w:pPr>
            <w:r>
              <w:rPr>
                <w:rFonts w:ascii="Arial" w:cs="Arial" w:eastAsia="Arial" w:hAnsi="Arial"/>
                <w:sz w:val="15"/>
                <w:szCs w:val="15"/>
                <w:color w:val="auto"/>
              </w:rPr>
              <w:t>4/19/18</w:t>
            </w:r>
          </w:p>
        </w:tc>
        <w:tc>
          <w:tcPr>
            <w:tcW w:w="680" w:type="dxa"/>
            <w:vAlign w:val="bottom"/>
            <w:shd w:val="clear" w:color="auto" w:fill="E8EED3"/>
          </w:tcPr>
          <w:p>
            <w:pPr>
              <w:ind w:left="34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jc w:val="right"/>
              <w:ind w:right="165"/>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E8EED3"/>
          </w:tcPr>
          <w:p>
            <w:pPr>
              <w:jc w:val="right"/>
              <w:ind w:right="385"/>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ind w:left="36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E8EED3"/>
          </w:tcPr>
          <w:p>
            <w:pPr>
              <w:jc w:val="right"/>
              <w:ind w:right="225"/>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jc w:val="right"/>
              <w:ind w:right="245"/>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E8EED3"/>
          </w:tcPr>
          <w:p>
            <w:pPr>
              <w:jc w:val="right"/>
              <w:ind w:right="145"/>
              <w:spacing w:after="0" w:line="162" w:lineRule="exact"/>
              <w:rPr>
                <w:sz w:val="20"/>
                <w:szCs w:val="20"/>
                <w:color w:val="auto"/>
              </w:rPr>
            </w:pPr>
            <w:r>
              <w:rPr>
                <w:rFonts w:ascii="Arial" w:cs="Arial" w:eastAsia="Arial" w:hAnsi="Arial"/>
                <w:sz w:val="15"/>
                <w:szCs w:val="15"/>
                <w:color w:val="auto"/>
              </w:rPr>
              <w:t>30,000</w:t>
            </w:r>
          </w:p>
        </w:tc>
        <w:tc>
          <w:tcPr>
            <w:tcW w:w="900" w:type="dxa"/>
            <w:vAlign w:val="bottom"/>
            <w:shd w:val="clear" w:color="auto" w:fill="E8EED3"/>
          </w:tcPr>
          <w:p>
            <w:pPr>
              <w:jc w:val="right"/>
              <w:ind w:right="103"/>
              <w:spacing w:after="0" w:line="162" w:lineRule="exact"/>
              <w:rPr>
                <w:sz w:val="20"/>
                <w:szCs w:val="20"/>
                <w:color w:val="auto"/>
              </w:rPr>
            </w:pPr>
            <w:r>
              <w:rPr>
                <w:rFonts w:ascii="Arial" w:cs="Arial" w:eastAsia="Arial" w:hAnsi="Arial"/>
                <w:sz w:val="15"/>
                <w:szCs w:val="15"/>
                <w:color w:val="auto"/>
              </w:rPr>
              <w:t>148,500</w:t>
            </w:r>
          </w:p>
        </w:tc>
        <w:tc>
          <w:tcPr>
            <w:tcW w:w="20" w:type="dxa"/>
            <w:vAlign w:val="bottom"/>
          </w:tcPr>
          <w:p>
            <w:pPr>
              <w:spacing w:after="0"/>
              <w:rPr>
                <w:sz w:val="14"/>
                <w:szCs w:val="14"/>
                <w:color w:val="auto"/>
              </w:rPr>
            </w:pPr>
          </w:p>
        </w:tc>
      </w:tr>
      <w:tr>
        <w:trPr>
          <w:trHeight w:val="7"/>
        </w:trPr>
        <w:tc>
          <w:tcPr>
            <w:tcW w:w="3040" w:type="dxa"/>
            <w:vAlign w:val="bottom"/>
            <w:shd w:val="clear" w:color="auto" w:fill="E8EED3"/>
          </w:tcPr>
          <w:p>
            <w:pPr>
              <w:spacing w:after="0" w:line="20" w:lineRule="exact"/>
              <w:rPr>
                <w:sz w:val="1"/>
                <w:szCs w:val="1"/>
                <w:color w:val="auto"/>
              </w:rPr>
            </w:pPr>
          </w:p>
        </w:tc>
        <w:tc>
          <w:tcPr>
            <w:tcW w:w="60" w:type="dxa"/>
            <w:vAlign w:val="bottom"/>
            <w:shd w:val="clear" w:color="auto" w:fill="E8EED3"/>
          </w:tcPr>
          <w:p>
            <w:pPr>
              <w:spacing w:after="0" w:line="20" w:lineRule="exact"/>
              <w:rPr>
                <w:sz w:val="1"/>
                <w:szCs w:val="1"/>
                <w:color w:val="auto"/>
              </w:rPr>
            </w:pPr>
          </w:p>
        </w:tc>
        <w:tc>
          <w:tcPr>
            <w:tcW w:w="920" w:type="dxa"/>
            <w:vAlign w:val="bottom"/>
            <w:shd w:val="clear" w:color="auto" w:fill="E8EED3"/>
          </w:tcPr>
          <w:p>
            <w:pPr>
              <w:jc w:val="right"/>
              <w:ind w:right="314"/>
              <w:spacing w:after="0" w:line="8" w:lineRule="exact"/>
              <w:rPr>
                <w:sz w:val="20"/>
                <w:szCs w:val="20"/>
                <w:color w:val="auto"/>
              </w:rPr>
            </w:pPr>
            <w:r>
              <w:rPr>
                <w:rFonts w:ascii="Arial" w:cs="Arial" w:eastAsia="Arial" w:hAnsi="Arial"/>
                <w:sz w:val="1"/>
                <w:szCs w:val="1"/>
                <w:color w:val="auto"/>
              </w:rPr>
              <w:t>4/19/18</w:t>
            </w:r>
          </w:p>
        </w:tc>
        <w:tc>
          <w:tcPr>
            <w:tcW w:w="680" w:type="dxa"/>
            <w:vAlign w:val="bottom"/>
            <w:shd w:val="clear" w:color="auto" w:fill="E8EED3"/>
          </w:tcPr>
          <w:p>
            <w:pPr>
              <w:ind w:left="340"/>
              <w:spacing w:after="0" w:line="8" w:lineRule="exact"/>
              <w:rPr>
                <w:sz w:val="20"/>
                <w:szCs w:val="20"/>
                <w:color w:val="auto"/>
              </w:rPr>
            </w:pPr>
            <w:r>
              <w:rPr>
                <w:rFonts w:ascii="Arial" w:cs="Arial" w:eastAsia="Arial" w:hAnsi="Arial"/>
                <w:sz w:val="1"/>
                <w:szCs w:val="1"/>
                <w:color w:val="auto"/>
              </w:rPr>
              <w:t>—</w:t>
            </w:r>
          </w:p>
        </w:tc>
        <w:tc>
          <w:tcPr>
            <w:tcW w:w="880" w:type="dxa"/>
            <w:vAlign w:val="bottom"/>
            <w:shd w:val="clear" w:color="auto" w:fill="E8EED3"/>
          </w:tcPr>
          <w:p>
            <w:pPr>
              <w:jc w:val="right"/>
              <w:ind w:right="165"/>
              <w:spacing w:after="0" w:line="8" w:lineRule="exact"/>
              <w:rPr>
                <w:sz w:val="20"/>
                <w:szCs w:val="20"/>
                <w:color w:val="auto"/>
              </w:rPr>
            </w:pPr>
            <w:r>
              <w:rPr>
                <w:rFonts w:ascii="Arial" w:cs="Arial" w:eastAsia="Arial" w:hAnsi="Arial"/>
                <w:sz w:val="1"/>
                <w:szCs w:val="1"/>
                <w:color w:val="auto"/>
              </w:rPr>
              <w:t>—</w:t>
            </w:r>
          </w:p>
        </w:tc>
        <w:tc>
          <w:tcPr>
            <w:tcW w:w="1180" w:type="dxa"/>
            <w:vAlign w:val="bottom"/>
            <w:shd w:val="clear" w:color="auto" w:fill="E8EED3"/>
          </w:tcPr>
          <w:p>
            <w:pPr>
              <w:jc w:val="right"/>
              <w:ind w:right="385"/>
              <w:spacing w:after="0" w:line="8" w:lineRule="exact"/>
              <w:rPr>
                <w:sz w:val="20"/>
                <w:szCs w:val="20"/>
                <w:color w:val="auto"/>
              </w:rPr>
            </w:pPr>
            <w:r>
              <w:rPr>
                <w:rFonts w:ascii="Arial" w:cs="Arial" w:eastAsia="Arial" w:hAnsi="Arial"/>
                <w:sz w:val="1"/>
                <w:szCs w:val="1"/>
                <w:color w:val="auto"/>
              </w:rPr>
              <w:t>—</w:t>
            </w:r>
          </w:p>
        </w:tc>
        <w:tc>
          <w:tcPr>
            <w:tcW w:w="700" w:type="dxa"/>
            <w:vAlign w:val="bottom"/>
            <w:shd w:val="clear" w:color="auto" w:fill="E8EED3"/>
          </w:tcPr>
          <w:p>
            <w:pPr>
              <w:ind w:left="360"/>
              <w:spacing w:after="0" w:line="8" w:lineRule="exact"/>
              <w:rPr>
                <w:sz w:val="20"/>
                <w:szCs w:val="20"/>
                <w:color w:val="auto"/>
              </w:rPr>
            </w:pPr>
            <w:r>
              <w:rPr>
                <w:rFonts w:ascii="Arial" w:cs="Arial" w:eastAsia="Arial" w:hAnsi="Arial"/>
                <w:sz w:val="1"/>
                <w:szCs w:val="1"/>
                <w:color w:val="auto"/>
              </w:rPr>
              <w:t>—</w:t>
            </w:r>
          </w:p>
        </w:tc>
        <w:tc>
          <w:tcPr>
            <w:tcW w:w="840" w:type="dxa"/>
            <w:vAlign w:val="bottom"/>
            <w:shd w:val="clear" w:color="auto" w:fill="E8EED3"/>
          </w:tcPr>
          <w:p>
            <w:pPr>
              <w:jc w:val="right"/>
              <w:ind w:right="125"/>
              <w:spacing w:after="0" w:line="8" w:lineRule="exact"/>
              <w:rPr>
                <w:sz w:val="20"/>
                <w:szCs w:val="20"/>
                <w:color w:val="auto"/>
              </w:rPr>
            </w:pPr>
            <w:r>
              <w:rPr>
                <w:rFonts w:ascii="Arial" w:cs="Arial" w:eastAsia="Arial" w:hAnsi="Arial"/>
                <w:sz w:val="1"/>
                <w:szCs w:val="1"/>
                <w:color w:val="auto"/>
              </w:rPr>
              <w:t>70,000</w:t>
            </w:r>
          </w:p>
        </w:tc>
        <w:tc>
          <w:tcPr>
            <w:tcW w:w="940" w:type="dxa"/>
            <w:vAlign w:val="bottom"/>
            <w:shd w:val="clear" w:color="auto" w:fill="E8EED3"/>
          </w:tcPr>
          <w:p>
            <w:pPr>
              <w:jc w:val="right"/>
              <w:ind w:right="165"/>
              <w:spacing w:after="0" w:line="8" w:lineRule="exact"/>
              <w:rPr>
                <w:sz w:val="20"/>
                <w:szCs w:val="20"/>
                <w:color w:val="auto"/>
              </w:rPr>
            </w:pPr>
            <w:r>
              <w:rPr>
                <w:rFonts w:ascii="Arial" w:cs="Arial" w:eastAsia="Arial" w:hAnsi="Arial"/>
                <w:sz w:val="1"/>
                <w:szCs w:val="1"/>
                <w:color w:val="auto"/>
              </w:rPr>
              <w:t>120,000</w:t>
            </w:r>
          </w:p>
        </w:tc>
        <w:tc>
          <w:tcPr>
            <w:tcW w:w="860" w:type="dxa"/>
            <w:vAlign w:val="bottom"/>
            <w:shd w:val="clear" w:color="auto" w:fill="E8EED3"/>
          </w:tcPr>
          <w:p>
            <w:pPr>
              <w:jc w:val="right"/>
              <w:ind w:right="225"/>
              <w:spacing w:after="0" w:line="8" w:lineRule="exact"/>
              <w:rPr>
                <w:sz w:val="20"/>
                <w:szCs w:val="20"/>
                <w:color w:val="auto"/>
              </w:rPr>
            </w:pPr>
            <w:r>
              <w:rPr>
                <w:rFonts w:ascii="Arial" w:cs="Arial" w:eastAsia="Arial" w:hAnsi="Arial"/>
                <w:sz w:val="1"/>
                <w:szCs w:val="1"/>
                <w:color w:val="auto"/>
              </w:rPr>
              <w:t>—</w:t>
            </w:r>
          </w:p>
        </w:tc>
        <w:tc>
          <w:tcPr>
            <w:tcW w:w="900" w:type="dxa"/>
            <w:vAlign w:val="bottom"/>
            <w:shd w:val="clear" w:color="auto" w:fill="E8EED3"/>
          </w:tcPr>
          <w:p>
            <w:pPr>
              <w:jc w:val="right"/>
              <w:ind w:right="103"/>
              <w:spacing w:after="0" w:line="8" w:lineRule="exact"/>
              <w:rPr>
                <w:sz w:val="20"/>
                <w:szCs w:val="20"/>
                <w:color w:val="auto"/>
              </w:rPr>
            </w:pPr>
            <w:r>
              <w:rPr>
                <w:rFonts w:ascii="Arial" w:cs="Arial" w:eastAsia="Arial" w:hAnsi="Arial"/>
                <w:sz w:val="1"/>
                <w:szCs w:val="1"/>
                <w:color w:val="auto"/>
              </w:rPr>
              <w:t>594,000</w:t>
            </w:r>
          </w:p>
        </w:tc>
        <w:tc>
          <w:tcPr>
            <w:tcW w:w="20" w:type="dxa"/>
            <w:vAlign w:val="bottom"/>
          </w:tcPr>
          <w:p>
            <w:pPr>
              <w:spacing w:after="0" w:line="20" w:lineRule="exact"/>
              <w:rPr>
                <w:sz w:val="1"/>
                <w:szCs w:val="1"/>
                <w:color w:val="auto"/>
              </w:rPr>
            </w:pPr>
          </w:p>
        </w:tc>
      </w:tr>
      <w:tr>
        <w:trPr>
          <w:trHeight w:val="157"/>
        </w:trPr>
        <w:tc>
          <w:tcPr>
            <w:tcW w:w="3040" w:type="dxa"/>
            <w:vAlign w:val="bottom"/>
            <w:shd w:val="clear" w:color="auto" w:fill="E8EED3"/>
          </w:tcPr>
          <w:p>
            <w:pPr>
              <w:spacing w:after="0"/>
              <w:rPr>
                <w:sz w:val="13"/>
                <w:szCs w:val="13"/>
                <w:color w:val="auto"/>
              </w:rPr>
            </w:pPr>
          </w:p>
        </w:tc>
        <w:tc>
          <w:tcPr>
            <w:tcW w:w="60" w:type="dxa"/>
            <w:vAlign w:val="bottom"/>
            <w:shd w:val="clear" w:color="auto" w:fill="E8EED3"/>
          </w:tcPr>
          <w:p>
            <w:pPr>
              <w:spacing w:after="0"/>
              <w:rPr>
                <w:sz w:val="13"/>
                <w:szCs w:val="13"/>
                <w:color w:val="auto"/>
              </w:rPr>
            </w:pPr>
          </w:p>
        </w:tc>
        <w:tc>
          <w:tcPr>
            <w:tcW w:w="920" w:type="dxa"/>
            <w:vAlign w:val="bottom"/>
            <w:shd w:val="clear" w:color="auto" w:fill="E8EED3"/>
          </w:tcPr>
          <w:p>
            <w:pPr>
              <w:spacing w:after="0"/>
              <w:rPr>
                <w:sz w:val="13"/>
                <w:szCs w:val="13"/>
                <w:color w:val="auto"/>
              </w:rPr>
            </w:pPr>
          </w:p>
        </w:tc>
        <w:tc>
          <w:tcPr>
            <w:tcW w:w="680" w:type="dxa"/>
            <w:vAlign w:val="bottom"/>
            <w:shd w:val="clear" w:color="auto" w:fill="E8EED3"/>
          </w:tcPr>
          <w:p>
            <w:pPr>
              <w:spacing w:after="0"/>
              <w:rPr>
                <w:sz w:val="13"/>
                <w:szCs w:val="13"/>
                <w:color w:val="auto"/>
              </w:rPr>
            </w:pPr>
          </w:p>
        </w:tc>
        <w:tc>
          <w:tcPr>
            <w:tcW w:w="880" w:type="dxa"/>
            <w:vAlign w:val="bottom"/>
            <w:shd w:val="clear" w:color="auto" w:fill="E8EED3"/>
          </w:tcPr>
          <w:p>
            <w:pPr>
              <w:spacing w:after="0"/>
              <w:rPr>
                <w:sz w:val="13"/>
                <w:szCs w:val="13"/>
                <w:color w:val="auto"/>
              </w:rPr>
            </w:pPr>
          </w:p>
        </w:tc>
        <w:tc>
          <w:tcPr>
            <w:tcW w:w="1180" w:type="dxa"/>
            <w:vAlign w:val="bottom"/>
            <w:shd w:val="clear" w:color="auto" w:fill="E8EED3"/>
          </w:tcPr>
          <w:p>
            <w:pPr>
              <w:spacing w:after="0"/>
              <w:rPr>
                <w:sz w:val="13"/>
                <w:szCs w:val="13"/>
                <w:color w:val="auto"/>
              </w:rPr>
            </w:pPr>
          </w:p>
        </w:tc>
        <w:tc>
          <w:tcPr>
            <w:tcW w:w="700" w:type="dxa"/>
            <w:vAlign w:val="bottom"/>
            <w:shd w:val="clear" w:color="auto" w:fill="E8EED3"/>
          </w:tcPr>
          <w:p>
            <w:pPr>
              <w:spacing w:after="0"/>
              <w:rPr>
                <w:sz w:val="13"/>
                <w:szCs w:val="13"/>
                <w:color w:val="auto"/>
              </w:rPr>
            </w:pPr>
          </w:p>
        </w:tc>
        <w:tc>
          <w:tcPr>
            <w:tcW w:w="840" w:type="dxa"/>
            <w:vAlign w:val="bottom"/>
            <w:shd w:val="clear" w:color="auto" w:fill="E8EED3"/>
          </w:tcPr>
          <w:p>
            <w:pPr>
              <w:spacing w:after="0"/>
              <w:rPr>
                <w:sz w:val="13"/>
                <w:szCs w:val="13"/>
                <w:color w:val="auto"/>
              </w:rPr>
            </w:pPr>
          </w:p>
        </w:tc>
        <w:tc>
          <w:tcPr>
            <w:tcW w:w="940" w:type="dxa"/>
            <w:vAlign w:val="bottom"/>
            <w:shd w:val="clear" w:color="auto" w:fill="E8EED3"/>
          </w:tcPr>
          <w:p>
            <w:pPr>
              <w:spacing w:after="0"/>
              <w:rPr>
                <w:sz w:val="13"/>
                <w:szCs w:val="13"/>
                <w:color w:val="auto"/>
              </w:rPr>
            </w:pPr>
          </w:p>
        </w:tc>
        <w:tc>
          <w:tcPr>
            <w:tcW w:w="860" w:type="dxa"/>
            <w:vAlign w:val="bottom"/>
            <w:shd w:val="clear" w:color="auto" w:fill="E8EED3"/>
          </w:tcPr>
          <w:p>
            <w:pPr>
              <w:spacing w:after="0"/>
              <w:rPr>
                <w:sz w:val="13"/>
                <w:szCs w:val="13"/>
                <w:color w:val="auto"/>
              </w:rPr>
            </w:pPr>
          </w:p>
        </w:tc>
        <w:tc>
          <w:tcPr>
            <w:tcW w:w="900" w:type="dxa"/>
            <w:vAlign w:val="bottom"/>
            <w:shd w:val="clear" w:color="auto" w:fill="E8EED3"/>
          </w:tcPr>
          <w:p>
            <w:pPr>
              <w:jc w:val="right"/>
              <w:ind w:right="4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r>
      <w:tr>
        <w:trPr>
          <w:trHeight w:val="160"/>
        </w:trPr>
        <w:tc>
          <w:tcPr>
            <w:tcW w:w="3040" w:type="dxa"/>
            <w:vAlign w:val="bottom"/>
            <w:shd w:val="clear" w:color="auto" w:fill="D2DEA7"/>
          </w:tcPr>
          <w:p>
            <w:pPr>
              <w:ind w:left="180"/>
              <w:spacing w:after="0" w:line="160" w:lineRule="exact"/>
              <w:rPr>
                <w:sz w:val="20"/>
                <w:szCs w:val="20"/>
                <w:color w:val="auto"/>
              </w:rPr>
            </w:pPr>
            <w:r>
              <w:rPr>
                <w:rFonts w:ascii="Arial" w:cs="Arial" w:eastAsia="Arial" w:hAnsi="Arial"/>
                <w:sz w:val="15"/>
                <w:szCs w:val="15"/>
                <w:color w:val="auto"/>
              </w:rPr>
              <w:t>Matthew Eckl</w:t>
            </w:r>
          </w:p>
        </w:tc>
        <w:tc>
          <w:tcPr>
            <w:tcW w:w="60" w:type="dxa"/>
            <w:vAlign w:val="bottom"/>
            <w:shd w:val="clear" w:color="auto" w:fill="D2DEA7"/>
          </w:tcPr>
          <w:p>
            <w:pPr>
              <w:spacing w:after="0"/>
              <w:rPr>
                <w:sz w:val="13"/>
                <w:szCs w:val="13"/>
                <w:color w:val="auto"/>
              </w:rPr>
            </w:pPr>
          </w:p>
        </w:tc>
        <w:tc>
          <w:tcPr>
            <w:tcW w:w="920" w:type="dxa"/>
            <w:vAlign w:val="bottom"/>
            <w:shd w:val="clear" w:color="auto" w:fill="D2DEA7"/>
          </w:tcPr>
          <w:p>
            <w:pPr>
              <w:spacing w:after="0"/>
              <w:rPr>
                <w:sz w:val="13"/>
                <w:szCs w:val="13"/>
                <w:color w:val="auto"/>
              </w:rPr>
            </w:pPr>
          </w:p>
        </w:tc>
        <w:tc>
          <w:tcPr>
            <w:tcW w:w="680" w:type="dxa"/>
            <w:vAlign w:val="bottom"/>
            <w:shd w:val="clear" w:color="auto" w:fill="D2DEA7"/>
          </w:tcPr>
          <w:p>
            <w:pPr>
              <w:ind w:left="340"/>
              <w:spacing w:after="0" w:line="160" w:lineRule="exact"/>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jc w:val="right"/>
              <w:ind w:right="85"/>
              <w:spacing w:after="0" w:line="160" w:lineRule="exact"/>
              <w:rPr>
                <w:sz w:val="20"/>
                <w:szCs w:val="20"/>
                <w:color w:val="auto"/>
              </w:rPr>
            </w:pPr>
            <w:r>
              <w:rPr>
                <w:rFonts w:ascii="Arial" w:cs="Arial" w:eastAsia="Arial" w:hAnsi="Arial"/>
                <w:sz w:val="15"/>
                <w:szCs w:val="15"/>
                <w:color w:val="auto"/>
              </w:rPr>
              <w:t>184,000</w:t>
            </w:r>
          </w:p>
        </w:tc>
        <w:tc>
          <w:tcPr>
            <w:tcW w:w="1180" w:type="dxa"/>
            <w:vAlign w:val="bottom"/>
            <w:shd w:val="clear" w:color="auto" w:fill="D2DEA7"/>
          </w:tcPr>
          <w:p>
            <w:pPr>
              <w:jc w:val="right"/>
              <w:ind w:right="285"/>
              <w:spacing w:after="0" w:line="160" w:lineRule="exact"/>
              <w:rPr>
                <w:sz w:val="20"/>
                <w:szCs w:val="20"/>
                <w:color w:val="auto"/>
              </w:rPr>
            </w:pPr>
            <w:r>
              <w:rPr>
                <w:rFonts w:ascii="Arial" w:cs="Arial" w:eastAsia="Arial" w:hAnsi="Arial"/>
                <w:sz w:val="15"/>
                <w:szCs w:val="15"/>
                <w:color w:val="auto"/>
              </w:rPr>
              <w:t>368,000</w:t>
            </w:r>
          </w:p>
        </w:tc>
        <w:tc>
          <w:tcPr>
            <w:tcW w:w="700" w:type="dxa"/>
            <w:vAlign w:val="bottom"/>
            <w:shd w:val="clear" w:color="auto" w:fill="D2DEA7"/>
          </w:tcPr>
          <w:p>
            <w:pPr>
              <w:ind w:left="360"/>
              <w:spacing w:after="0" w:line="160" w:lineRule="exact"/>
              <w:rPr>
                <w:sz w:val="20"/>
                <w:szCs w:val="20"/>
                <w:color w:val="auto"/>
              </w:rPr>
            </w:pPr>
            <w:r>
              <w:rPr>
                <w:rFonts w:ascii="Arial" w:cs="Arial" w:eastAsia="Arial" w:hAnsi="Arial"/>
                <w:sz w:val="15"/>
                <w:szCs w:val="15"/>
                <w:color w:val="auto"/>
              </w:rPr>
              <w:t>—</w:t>
            </w:r>
          </w:p>
        </w:tc>
        <w:tc>
          <w:tcPr>
            <w:tcW w:w="840" w:type="dxa"/>
            <w:vAlign w:val="bottom"/>
            <w:shd w:val="clear" w:color="auto" w:fill="D2DEA7"/>
          </w:tcPr>
          <w:p>
            <w:pPr>
              <w:jc w:val="right"/>
              <w:ind w:right="225"/>
              <w:spacing w:after="0" w:line="160" w:lineRule="exact"/>
              <w:rPr>
                <w:sz w:val="20"/>
                <w:szCs w:val="20"/>
                <w:color w:val="auto"/>
              </w:rPr>
            </w:pPr>
            <w:r>
              <w:rPr>
                <w:rFonts w:ascii="Arial" w:cs="Arial" w:eastAsia="Arial" w:hAnsi="Arial"/>
                <w:sz w:val="15"/>
                <w:szCs w:val="15"/>
                <w:color w:val="auto"/>
              </w:rPr>
              <w:t>—</w:t>
            </w:r>
          </w:p>
        </w:tc>
        <w:tc>
          <w:tcPr>
            <w:tcW w:w="940" w:type="dxa"/>
            <w:vAlign w:val="bottom"/>
            <w:shd w:val="clear" w:color="auto" w:fill="D2DEA7"/>
          </w:tcPr>
          <w:p>
            <w:pPr>
              <w:jc w:val="right"/>
              <w:ind w:right="245"/>
              <w:spacing w:after="0" w:line="160" w:lineRule="exact"/>
              <w:rPr>
                <w:sz w:val="20"/>
                <w:szCs w:val="20"/>
                <w:color w:val="auto"/>
              </w:rPr>
            </w:pPr>
            <w:r>
              <w:rPr>
                <w:rFonts w:ascii="Arial" w:cs="Arial" w:eastAsia="Arial" w:hAnsi="Arial"/>
                <w:sz w:val="15"/>
                <w:szCs w:val="15"/>
                <w:color w:val="auto"/>
              </w:rPr>
              <w:t>—</w:t>
            </w:r>
          </w:p>
        </w:tc>
        <w:tc>
          <w:tcPr>
            <w:tcW w:w="860" w:type="dxa"/>
            <w:vAlign w:val="bottom"/>
            <w:shd w:val="clear" w:color="auto" w:fill="D2DEA7"/>
          </w:tcPr>
          <w:p>
            <w:pPr>
              <w:jc w:val="right"/>
              <w:ind w:right="225"/>
              <w:spacing w:after="0" w:line="160" w:lineRule="exact"/>
              <w:rPr>
                <w:sz w:val="20"/>
                <w:szCs w:val="20"/>
                <w:color w:val="auto"/>
              </w:rPr>
            </w:pPr>
            <w:r>
              <w:rPr>
                <w:rFonts w:ascii="Arial" w:cs="Arial" w:eastAsia="Arial" w:hAnsi="Arial"/>
                <w:sz w:val="15"/>
                <w:szCs w:val="15"/>
                <w:color w:val="auto"/>
              </w:rPr>
              <w:t>—</w:t>
            </w:r>
          </w:p>
        </w:tc>
        <w:tc>
          <w:tcPr>
            <w:tcW w:w="900" w:type="dxa"/>
            <w:vAlign w:val="bottom"/>
            <w:shd w:val="clear" w:color="auto" w:fill="D2DEA7"/>
          </w:tcPr>
          <w:p>
            <w:pPr>
              <w:jc w:val="right"/>
              <w:ind w:right="183"/>
              <w:spacing w:after="0" w:line="160"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62"/>
        </w:trPr>
        <w:tc>
          <w:tcPr>
            <w:tcW w:w="3040" w:type="dxa"/>
            <w:vAlign w:val="bottom"/>
            <w:shd w:val="clear" w:color="auto" w:fill="D2DEA7"/>
          </w:tcPr>
          <w:p>
            <w:pPr>
              <w:spacing w:after="0"/>
              <w:rPr>
                <w:sz w:val="14"/>
                <w:szCs w:val="14"/>
                <w:color w:val="auto"/>
              </w:rPr>
            </w:pPr>
          </w:p>
        </w:tc>
        <w:tc>
          <w:tcPr>
            <w:tcW w:w="60" w:type="dxa"/>
            <w:vAlign w:val="bottom"/>
            <w:shd w:val="clear" w:color="auto" w:fill="D2DEA7"/>
          </w:tcPr>
          <w:p>
            <w:pPr>
              <w:spacing w:after="0"/>
              <w:rPr>
                <w:sz w:val="14"/>
                <w:szCs w:val="14"/>
                <w:color w:val="auto"/>
              </w:rPr>
            </w:pPr>
          </w:p>
        </w:tc>
        <w:tc>
          <w:tcPr>
            <w:tcW w:w="920" w:type="dxa"/>
            <w:vAlign w:val="bottom"/>
            <w:shd w:val="clear" w:color="auto" w:fill="D2DEA7"/>
          </w:tcPr>
          <w:p>
            <w:pPr>
              <w:jc w:val="right"/>
              <w:ind w:right="314"/>
              <w:spacing w:after="0" w:line="162" w:lineRule="exact"/>
              <w:rPr>
                <w:sz w:val="20"/>
                <w:szCs w:val="20"/>
                <w:color w:val="auto"/>
              </w:rPr>
            </w:pPr>
            <w:r>
              <w:rPr>
                <w:rFonts w:ascii="Arial" w:cs="Arial" w:eastAsia="Arial" w:hAnsi="Arial"/>
                <w:sz w:val="15"/>
                <w:szCs w:val="15"/>
                <w:color w:val="auto"/>
              </w:rPr>
              <w:t>2/12/18</w:t>
            </w:r>
          </w:p>
        </w:tc>
        <w:tc>
          <w:tcPr>
            <w:tcW w:w="680" w:type="dxa"/>
            <w:vAlign w:val="bottom"/>
            <w:shd w:val="clear" w:color="auto" w:fill="D2DEA7"/>
          </w:tcPr>
          <w:p>
            <w:pPr>
              <w:ind w:left="34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jc w:val="right"/>
              <w:ind w:right="165"/>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D2DEA7"/>
          </w:tcPr>
          <w:p>
            <w:pPr>
              <w:jc w:val="right"/>
              <w:ind w:right="385"/>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D2DEA7"/>
          </w:tcPr>
          <w:p>
            <w:pPr>
              <w:ind w:left="36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D2DEA7"/>
          </w:tcPr>
          <w:p>
            <w:pPr>
              <w:jc w:val="right"/>
              <w:ind w:right="225"/>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D2DEA7"/>
          </w:tcPr>
          <w:p>
            <w:pPr>
              <w:jc w:val="right"/>
              <w:ind w:right="245"/>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D2DEA7"/>
          </w:tcPr>
          <w:p>
            <w:pPr>
              <w:jc w:val="right"/>
              <w:ind w:right="145"/>
              <w:spacing w:after="0" w:line="162" w:lineRule="exact"/>
              <w:rPr>
                <w:sz w:val="20"/>
                <w:szCs w:val="20"/>
                <w:color w:val="auto"/>
              </w:rPr>
            </w:pPr>
            <w:r>
              <w:rPr>
                <w:rFonts w:ascii="Arial" w:cs="Arial" w:eastAsia="Arial" w:hAnsi="Arial"/>
                <w:sz w:val="15"/>
                <w:szCs w:val="15"/>
                <w:color w:val="auto"/>
              </w:rPr>
              <w:t>20,000</w:t>
            </w:r>
          </w:p>
        </w:tc>
        <w:tc>
          <w:tcPr>
            <w:tcW w:w="900" w:type="dxa"/>
            <w:vAlign w:val="bottom"/>
            <w:shd w:val="clear" w:color="auto" w:fill="D2DEA7"/>
          </w:tcPr>
          <w:p>
            <w:pPr>
              <w:jc w:val="right"/>
              <w:ind w:right="103"/>
              <w:spacing w:after="0" w:line="162" w:lineRule="exact"/>
              <w:rPr>
                <w:sz w:val="20"/>
                <w:szCs w:val="20"/>
                <w:color w:val="auto"/>
              </w:rPr>
            </w:pPr>
            <w:r>
              <w:rPr>
                <w:rFonts w:ascii="Arial" w:cs="Arial" w:eastAsia="Arial" w:hAnsi="Arial"/>
                <w:sz w:val="15"/>
                <w:szCs w:val="15"/>
                <w:color w:val="auto"/>
              </w:rPr>
              <w:t>85,400</w:t>
            </w:r>
          </w:p>
        </w:tc>
        <w:tc>
          <w:tcPr>
            <w:tcW w:w="20" w:type="dxa"/>
            <w:vAlign w:val="bottom"/>
          </w:tcPr>
          <w:p>
            <w:pPr>
              <w:spacing w:after="0"/>
              <w:rPr>
                <w:sz w:val="14"/>
                <w:szCs w:val="14"/>
                <w:color w:val="auto"/>
              </w:rPr>
            </w:pPr>
          </w:p>
        </w:tc>
      </w:tr>
      <w:tr>
        <w:trPr>
          <w:trHeight w:val="162"/>
        </w:trPr>
        <w:tc>
          <w:tcPr>
            <w:tcW w:w="3040" w:type="dxa"/>
            <w:vAlign w:val="bottom"/>
            <w:shd w:val="clear" w:color="auto" w:fill="D2DEA7"/>
          </w:tcPr>
          <w:p>
            <w:pPr>
              <w:spacing w:after="0"/>
              <w:rPr>
                <w:sz w:val="14"/>
                <w:szCs w:val="14"/>
                <w:color w:val="auto"/>
              </w:rPr>
            </w:pPr>
          </w:p>
        </w:tc>
        <w:tc>
          <w:tcPr>
            <w:tcW w:w="60" w:type="dxa"/>
            <w:vAlign w:val="bottom"/>
            <w:shd w:val="clear" w:color="auto" w:fill="D2DEA7"/>
          </w:tcPr>
          <w:p>
            <w:pPr>
              <w:spacing w:after="0"/>
              <w:rPr>
                <w:sz w:val="14"/>
                <w:szCs w:val="14"/>
                <w:color w:val="auto"/>
              </w:rPr>
            </w:pPr>
          </w:p>
        </w:tc>
        <w:tc>
          <w:tcPr>
            <w:tcW w:w="920" w:type="dxa"/>
            <w:vAlign w:val="bottom"/>
            <w:shd w:val="clear" w:color="auto" w:fill="D2DEA7"/>
          </w:tcPr>
          <w:p>
            <w:pPr>
              <w:jc w:val="right"/>
              <w:ind w:right="314"/>
              <w:spacing w:after="0" w:line="162" w:lineRule="exact"/>
              <w:rPr>
                <w:sz w:val="20"/>
                <w:szCs w:val="20"/>
                <w:color w:val="auto"/>
              </w:rPr>
            </w:pPr>
            <w:r>
              <w:rPr>
                <w:rFonts w:ascii="Arial" w:cs="Arial" w:eastAsia="Arial" w:hAnsi="Arial"/>
                <w:sz w:val="15"/>
                <w:szCs w:val="15"/>
                <w:color w:val="auto"/>
              </w:rPr>
              <w:t>4/19/18</w:t>
            </w:r>
          </w:p>
        </w:tc>
        <w:tc>
          <w:tcPr>
            <w:tcW w:w="680" w:type="dxa"/>
            <w:vAlign w:val="bottom"/>
            <w:shd w:val="clear" w:color="auto" w:fill="D2DEA7"/>
          </w:tcPr>
          <w:p>
            <w:pPr>
              <w:ind w:left="34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D2DEA7"/>
          </w:tcPr>
          <w:p>
            <w:pPr>
              <w:jc w:val="right"/>
              <w:ind w:right="165"/>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D2DEA7"/>
          </w:tcPr>
          <w:p>
            <w:pPr>
              <w:jc w:val="right"/>
              <w:ind w:right="385"/>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D2DEA7"/>
          </w:tcPr>
          <w:p>
            <w:pPr>
              <w:ind w:left="36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D2DEA7"/>
          </w:tcPr>
          <w:p>
            <w:pPr>
              <w:jc w:val="right"/>
              <w:ind w:right="225"/>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D2DEA7"/>
          </w:tcPr>
          <w:p>
            <w:pPr>
              <w:jc w:val="right"/>
              <w:ind w:right="245"/>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D2DEA7"/>
          </w:tcPr>
          <w:p>
            <w:pPr>
              <w:jc w:val="right"/>
              <w:ind w:right="145"/>
              <w:spacing w:after="0" w:line="162" w:lineRule="exact"/>
              <w:rPr>
                <w:sz w:val="20"/>
                <w:szCs w:val="20"/>
                <w:color w:val="auto"/>
              </w:rPr>
            </w:pPr>
            <w:r>
              <w:rPr>
                <w:rFonts w:ascii="Arial" w:cs="Arial" w:eastAsia="Arial" w:hAnsi="Arial"/>
                <w:sz w:val="15"/>
                <w:szCs w:val="15"/>
                <w:color w:val="auto"/>
              </w:rPr>
              <w:t>5,000</w:t>
            </w:r>
          </w:p>
        </w:tc>
        <w:tc>
          <w:tcPr>
            <w:tcW w:w="900" w:type="dxa"/>
            <w:vAlign w:val="bottom"/>
            <w:shd w:val="clear" w:color="auto" w:fill="D2DEA7"/>
          </w:tcPr>
          <w:p>
            <w:pPr>
              <w:jc w:val="right"/>
              <w:ind w:right="103"/>
              <w:spacing w:after="0" w:line="162" w:lineRule="exact"/>
              <w:rPr>
                <w:sz w:val="20"/>
                <w:szCs w:val="20"/>
                <w:color w:val="auto"/>
              </w:rPr>
            </w:pPr>
            <w:r>
              <w:rPr>
                <w:rFonts w:ascii="Arial" w:cs="Arial" w:eastAsia="Arial" w:hAnsi="Arial"/>
                <w:sz w:val="15"/>
                <w:szCs w:val="15"/>
                <w:color w:val="auto"/>
              </w:rPr>
              <w:t>24,750</w:t>
            </w:r>
          </w:p>
        </w:tc>
        <w:tc>
          <w:tcPr>
            <w:tcW w:w="20" w:type="dxa"/>
            <w:vAlign w:val="bottom"/>
          </w:tcPr>
          <w:p>
            <w:pPr>
              <w:spacing w:after="0"/>
              <w:rPr>
                <w:sz w:val="14"/>
                <w:szCs w:val="14"/>
                <w:color w:val="auto"/>
              </w:rPr>
            </w:pPr>
          </w:p>
        </w:tc>
      </w:tr>
      <w:tr>
        <w:trPr>
          <w:trHeight w:val="7"/>
        </w:trPr>
        <w:tc>
          <w:tcPr>
            <w:tcW w:w="3040" w:type="dxa"/>
            <w:vAlign w:val="bottom"/>
            <w:shd w:val="clear" w:color="auto" w:fill="D2DEA7"/>
          </w:tcPr>
          <w:p>
            <w:pPr>
              <w:spacing w:after="0" w:line="20" w:lineRule="exact"/>
              <w:rPr>
                <w:sz w:val="1"/>
                <w:szCs w:val="1"/>
                <w:color w:val="auto"/>
              </w:rPr>
            </w:pPr>
          </w:p>
        </w:tc>
        <w:tc>
          <w:tcPr>
            <w:tcW w:w="60" w:type="dxa"/>
            <w:vAlign w:val="bottom"/>
            <w:shd w:val="clear" w:color="auto" w:fill="D2DEA7"/>
          </w:tcPr>
          <w:p>
            <w:pPr>
              <w:spacing w:after="0" w:line="20" w:lineRule="exact"/>
              <w:rPr>
                <w:sz w:val="1"/>
                <w:szCs w:val="1"/>
                <w:color w:val="auto"/>
              </w:rPr>
            </w:pPr>
          </w:p>
        </w:tc>
        <w:tc>
          <w:tcPr>
            <w:tcW w:w="920" w:type="dxa"/>
            <w:vAlign w:val="bottom"/>
            <w:shd w:val="clear" w:color="auto" w:fill="D2DEA7"/>
          </w:tcPr>
          <w:p>
            <w:pPr>
              <w:jc w:val="right"/>
              <w:ind w:right="314"/>
              <w:spacing w:after="0" w:line="8" w:lineRule="exact"/>
              <w:rPr>
                <w:sz w:val="20"/>
                <w:szCs w:val="20"/>
                <w:color w:val="auto"/>
              </w:rPr>
            </w:pPr>
            <w:r>
              <w:rPr>
                <w:rFonts w:ascii="Arial" w:cs="Arial" w:eastAsia="Arial" w:hAnsi="Arial"/>
                <w:sz w:val="1"/>
                <w:szCs w:val="1"/>
                <w:color w:val="auto"/>
              </w:rPr>
              <w:t>4/19/18</w:t>
            </w:r>
          </w:p>
        </w:tc>
        <w:tc>
          <w:tcPr>
            <w:tcW w:w="680" w:type="dxa"/>
            <w:vAlign w:val="bottom"/>
            <w:shd w:val="clear" w:color="auto" w:fill="D2DEA7"/>
          </w:tcPr>
          <w:p>
            <w:pPr>
              <w:ind w:left="340"/>
              <w:spacing w:after="0" w:line="8" w:lineRule="exact"/>
              <w:rPr>
                <w:sz w:val="20"/>
                <w:szCs w:val="20"/>
                <w:color w:val="auto"/>
              </w:rPr>
            </w:pPr>
            <w:r>
              <w:rPr>
                <w:rFonts w:ascii="Arial" w:cs="Arial" w:eastAsia="Arial" w:hAnsi="Arial"/>
                <w:sz w:val="1"/>
                <w:szCs w:val="1"/>
                <w:color w:val="auto"/>
              </w:rPr>
              <w:t>—</w:t>
            </w:r>
          </w:p>
        </w:tc>
        <w:tc>
          <w:tcPr>
            <w:tcW w:w="880" w:type="dxa"/>
            <w:vAlign w:val="bottom"/>
            <w:shd w:val="clear" w:color="auto" w:fill="D2DEA7"/>
          </w:tcPr>
          <w:p>
            <w:pPr>
              <w:jc w:val="right"/>
              <w:ind w:right="165"/>
              <w:spacing w:after="0" w:line="8" w:lineRule="exact"/>
              <w:rPr>
                <w:sz w:val="20"/>
                <w:szCs w:val="20"/>
                <w:color w:val="auto"/>
              </w:rPr>
            </w:pPr>
            <w:r>
              <w:rPr>
                <w:rFonts w:ascii="Arial" w:cs="Arial" w:eastAsia="Arial" w:hAnsi="Arial"/>
                <w:sz w:val="1"/>
                <w:szCs w:val="1"/>
                <w:color w:val="auto"/>
              </w:rPr>
              <w:t>—</w:t>
            </w:r>
          </w:p>
        </w:tc>
        <w:tc>
          <w:tcPr>
            <w:tcW w:w="1180" w:type="dxa"/>
            <w:vAlign w:val="bottom"/>
            <w:shd w:val="clear" w:color="auto" w:fill="D2DEA7"/>
          </w:tcPr>
          <w:p>
            <w:pPr>
              <w:jc w:val="right"/>
              <w:ind w:right="385"/>
              <w:spacing w:after="0" w:line="8" w:lineRule="exact"/>
              <w:rPr>
                <w:sz w:val="20"/>
                <w:szCs w:val="20"/>
                <w:color w:val="auto"/>
              </w:rPr>
            </w:pPr>
            <w:r>
              <w:rPr>
                <w:rFonts w:ascii="Arial" w:cs="Arial" w:eastAsia="Arial" w:hAnsi="Arial"/>
                <w:sz w:val="1"/>
                <w:szCs w:val="1"/>
                <w:color w:val="auto"/>
              </w:rPr>
              <w:t>—</w:t>
            </w:r>
          </w:p>
        </w:tc>
        <w:tc>
          <w:tcPr>
            <w:tcW w:w="700" w:type="dxa"/>
            <w:vAlign w:val="bottom"/>
            <w:shd w:val="clear" w:color="auto" w:fill="D2DEA7"/>
          </w:tcPr>
          <w:p>
            <w:pPr>
              <w:ind w:left="360"/>
              <w:spacing w:after="0" w:line="8" w:lineRule="exact"/>
              <w:rPr>
                <w:sz w:val="20"/>
                <w:szCs w:val="20"/>
                <w:color w:val="auto"/>
              </w:rPr>
            </w:pPr>
            <w:r>
              <w:rPr>
                <w:rFonts w:ascii="Arial" w:cs="Arial" w:eastAsia="Arial" w:hAnsi="Arial"/>
                <w:sz w:val="1"/>
                <w:szCs w:val="1"/>
                <w:color w:val="auto"/>
              </w:rPr>
              <w:t>—</w:t>
            </w:r>
          </w:p>
        </w:tc>
        <w:tc>
          <w:tcPr>
            <w:tcW w:w="840" w:type="dxa"/>
            <w:vAlign w:val="bottom"/>
            <w:shd w:val="clear" w:color="auto" w:fill="D2DEA7"/>
          </w:tcPr>
          <w:p>
            <w:pPr>
              <w:jc w:val="right"/>
              <w:ind w:right="125"/>
              <w:spacing w:after="0" w:line="8" w:lineRule="exact"/>
              <w:rPr>
                <w:sz w:val="20"/>
                <w:szCs w:val="20"/>
                <w:color w:val="auto"/>
              </w:rPr>
            </w:pPr>
            <w:r>
              <w:rPr>
                <w:rFonts w:ascii="Arial" w:cs="Arial" w:eastAsia="Arial" w:hAnsi="Arial"/>
                <w:sz w:val="1"/>
                <w:szCs w:val="1"/>
                <w:color w:val="auto"/>
              </w:rPr>
              <w:t>25,000</w:t>
            </w:r>
          </w:p>
        </w:tc>
        <w:tc>
          <w:tcPr>
            <w:tcW w:w="940" w:type="dxa"/>
            <w:vAlign w:val="bottom"/>
            <w:shd w:val="clear" w:color="auto" w:fill="D2DEA7"/>
          </w:tcPr>
          <w:p>
            <w:pPr>
              <w:jc w:val="right"/>
              <w:ind w:right="165"/>
              <w:spacing w:after="0" w:line="8" w:lineRule="exact"/>
              <w:rPr>
                <w:sz w:val="20"/>
                <w:szCs w:val="20"/>
                <w:color w:val="auto"/>
              </w:rPr>
            </w:pPr>
            <w:r>
              <w:rPr>
                <w:rFonts w:ascii="Arial" w:cs="Arial" w:eastAsia="Arial" w:hAnsi="Arial"/>
                <w:sz w:val="1"/>
                <w:szCs w:val="1"/>
                <w:color w:val="auto"/>
              </w:rPr>
              <w:t>50,000</w:t>
            </w:r>
          </w:p>
        </w:tc>
        <w:tc>
          <w:tcPr>
            <w:tcW w:w="860" w:type="dxa"/>
            <w:vAlign w:val="bottom"/>
            <w:shd w:val="clear" w:color="auto" w:fill="D2DEA7"/>
          </w:tcPr>
          <w:p>
            <w:pPr>
              <w:jc w:val="right"/>
              <w:ind w:right="225"/>
              <w:spacing w:after="0" w:line="8" w:lineRule="exact"/>
              <w:rPr>
                <w:sz w:val="20"/>
                <w:szCs w:val="20"/>
                <w:color w:val="auto"/>
              </w:rPr>
            </w:pPr>
            <w:r>
              <w:rPr>
                <w:rFonts w:ascii="Arial" w:cs="Arial" w:eastAsia="Arial" w:hAnsi="Arial"/>
                <w:sz w:val="1"/>
                <w:szCs w:val="1"/>
                <w:color w:val="auto"/>
              </w:rPr>
              <w:t>—</w:t>
            </w:r>
          </w:p>
        </w:tc>
        <w:tc>
          <w:tcPr>
            <w:tcW w:w="900" w:type="dxa"/>
            <w:vAlign w:val="bottom"/>
            <w:shd w:val="clear" w:color="auto" w:fill="D2DEA7"/>
          </w:tcPr>
          <w:p>
            <w:pPr>
              <w:jc w:val="right"/>
              <w:ind w:right="103"/>
              <w:spacing w:after="0" w:line="8" w:lineRule="exact"/>
              <w:rPr>
                <w:sz w:val="20"/>
                <w:szCs w:val="20"/>
                <w:color w:val="auto"/>
              </w:rPr>
            </w:pPr>
            <w:r>
              <w:rPr>
                <w:rFonts w:ascii="Arial" w:cs="Arial" w:eastAsia="Arial" w:hAnsi="Arial"/>
                <w:sz w:val="1"/>
                <w:szCs w:val="1"/>
                <w:color w:val="auto"/>
              </w:rPr>
              <w:t>247,500</w:t>
            </w:r>
          </w:p>
        </w:tc>
        <w:tc>
          <w:tcPr>
            <w:tcW w:w="20" w:type="dxa"/>
            <w:vAlign w:val="bottom"/>
          </w:tcPr>
          <w:p>
            <w:pPr>
              <w:spacing w:after="0" w:line="20" w:lineRule="exact"/>
              <w:rPr>
                <w:sz w:val="1"/>
                <w:szCs w:val="1"/>
                <w:color w:val="auto"/>
              </w:rPr>
            </w:pPr>
          </w:p>
        </w:tc>
      </w:tr>
      <w:tr>
        <w:trPr>
          <w:trHeight w:val="158"/>
        </w:trPr>
        <w:tc>
          <w:tcPr>
            <w:tcW w:w="3040" w:type="dxa"/>
            <w:vAlign w:val="bottom"/>
            <w:shd w:val="clear" w:color="auto" w:fill="D2DEA7"/>
          </w:tcPr>
          <w:p>
            <w:pPr>
              <w:spacing w:after="0"/>
              <w:rPr>
                <w:sz w:val="13"/>
                <w:szCs w:val="13"/>
                <w:color w:val="auto"/>
              </w:rPr>
            </w:pPr>
          </w:p>
        </w:tc>
        <w:tc>
          <w:tcPr>
            <w:tcW w:w="60" w:type="dxa"/>
            <w:vAlign w:val="bottom"/>
            <w:shd w:val="clear" w:color="auto" w:fill="D2DEA7"/>
          </w:tcPr>
          <w:p>
            <w:pPr>
              <w:spacing w:after="0"/>
              <w:rPr>
                <w:sz w:val="13"/>
                <w:szCs w:val="13"/>
                <w:color w:val="auto"/>
              </w:rPr>
            </w:pPr>
          </w:p>
        </w:tc>
        <w:tc>
          <w:tcPr>
            <w:tcW w:w="920" w:type="dxa"/>
            <w:vAlign w:val="bottom"/>
            <w:shd w:val="clear" w:color="auto" w:fill="D2DEA7"/>
          </w:tcPr>
          <w:p>
            <w:pPr>
              <w:spacing w:after="0"/>
              <w:rPr>
                <w:sz w:val="13"/>
                <w:szCs w:val="13"/>
                <w:color w:val="auto"/>
              </w:rPr>
            </w:pPr>
          </w:p>
        </w:tc>
        <w:tc>
          <w:tcPr>
            <w:tcW w:w="680" w:type="dxa"/>
            <w:vAlign w:val="bottom"/>
            <w:shd w:val="clear" w:color="auto" w:fill="D2DEA7"/>
          </w:tcPr>
          <w:p>
            <w:pPr>
              <w:spacing w:after="0"/>
              <w:rPr>
                <w:sz w:val="13"/>
                <w:szCs w:val="13"/>
                <w:color w:val="auto"/>
              </w:rPr>
            </w:pPr>
          </w:p>
        </w:tc>
        <w:tc>
          <w:tcPr>
            <w:tcW w:w="880" w:type="dxa"/>
            <w:vAlign w:val="bottom"/>
            <w:shd w:val="clear" w:color="auto" w:fill="D2DEA7"/>
          </w:tcPr>
          <w:p>
            <w:pPr>
              <w:spacing w:after="0"/>
              <w:rPr>
                <w:sz w:val="13"/>
                <w:szCs w:val="13"/>
                <w:color w:val="auto"/>
              </w:rPr>
            </w:pPr>
          </w:p>
        </w:tc>
        <w:tc>
          <w:tcPr>
            <w:tcW w:w="1180" w:type="dxa"/>
            <w:vAlign w:val="bottom"/>
            <w:shd w:val="clear" w:color="auto" w:fill="D2DEA7"/>
          </w:tcPr>
          <w:p>
            <w:pPr>
              <w:spacing w:after="0"/>
              <w:rPr>
                <w:sz w:val="13"/>
                <w:szCs w:val="13"/>
                <w:color w:val="auto"/>
              </w:rPr>
            </w:pPr>
          </w:p>
        </w:tc>
        <w:tc>
          <w:tcPr>
            <w:tcW w:w="700" w:type="dxa"/>
            <w:vAlign w:val="bottom"/>
            <w:shd w:val="clear" w:color="auto" w:fill="D2DEA7"/>
          </w:tcPr>
          <w:p>
            <w:pPr>
              <w:spacing w:after="0"/>
              <w:rPr>
                <w:sz w:val="13"/>
                <w:szCs w:val="13"/>
                <w:color w:val="auto"/>
              </w:rPr>
            </w:pPr>
          </w:p>
        </w:tc>
        <w:tc>
          <w:tcPr>
            <w:tcW w:w="840" w:type="dxa"/>
            <w:vAlign w:val="bottom"/>
            <w:shd w:val="clear" w:color="auto" w:fill="D2DEA7"/>
          </w:tcPr>
          <w:p>
            <w:pPr>
              <w:spacing w:after="0"/>
              <w:rPr>
                <w:sz w:val="13"/>
                <w:szCs w:val="13"/>
                <w:color w:val="auto"/>
              </w:rPr>
            </w:pPr>
          </w:p>
        </w:tc>
        <w:tc>
          <w:tcPr>
            <w:tcW w:w="940" w:type="dxa"/>
            <w:vAlign w:val="bottom"/>
            <w:shd w:val="clear" w:color="auto" w:fill="D2DEA7"/>
          </w:tcPr>
          <w:p>
            <w:pPr>
              <w:spacing w:after="0"/>
              <w:rPr>
                <w:sz w:val="13"/>
                <w:szCs w:val="13"/>
                <w:color w:val="auto"/>
              </w:rPr>
            </w:pPr>
          </w:p>
        </w:tc>
        <w:tc>
          <w:tcPr>
            <w:tcW w:w="860" w:type="dxa"/>
            <w:vAlign w:val="bottom"/>
            <w:shd w:val="clear" w:color="auto" w:fill="D2DEA7"/>
          </w:tcPr>
          <w:p>
            <w:pPr>
              <w:spacing w:after="0"/>
              <w:rPr>
                <w:sz w:val="13"/>
                <w:szCs w:val="13"/>
                <w:color w:val="auto"/>
              </w:rPr>
            </w:pPr>
          </w:p>
        </w:tc>
        <w:tc>
          <w:tcPr>
            <w:tcW w:w="900" w:type="dxa"/>
            <w:vAlign w:val="bottom"/>
            <w:shd w:val="clear" w:color="auto" w:fill="D2DEA7"/>
          </w:tcPr>
          <w:p>
            <w:pPr>
              <w:jc w:val="right"/>
              <w:ind w:right="4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r>
      <w:tr>
        <w:trPr>
          <w:trHeight w:val="158"/>
        </w:trPr>
        <w:tc>
          <w:tcPr>
            <w:tcW w:w="3040" w:type="dxa"/>
            <w:vAlign w:val="bottom"/>
            <w:shd w:val="clear" w:color="auto" w:fill="E8EED3"/>
          </w:tcPr>
          <w:p>
            <w:pPr>
              <w:ind w:left="180"/>
              <w:spacing w:after="0" w:line="159" w:lineRule="exact"/>
              <w:rPr>
                <w:sz w:val="20"/>
                <w:szCs w:val="20"/>
                <w:color w:val="auto"/>
              </w:rPr>
            </w:pPr>
            <w:r>
              <w:rPr>
                <w:rFonts w:ascii="Arial" w:cs="Arial" w:eastAsia="Arial" w:hAnsi="Arial"/>
                <w:sz w:val="15"/>
                <w:szCs w:val="15"/>
                <w:color w:val="auto"/>
              </w:rPr>
              <w:t>Paul Gohr</w:t>
            </w:r>
          </w:p>
        </w:tc>
        <w:tc>
          <w:tcPr>
            <w:tcW w:w="60" w:type="dxa"/>
            <w:vAlign w:val="bottom"/>
            <w:shd w:val="clear" w:color="auto" w:fill="E8EED3"/>
          </w:tcPr>
          <w:p>
            <w:pPr>
              <w:spacing w:after="0"/>
              <w:rPr>
                <w:sz w:val="13"/>
                <w:szCs w:val="13"/>
                <w:color w:val="auto"/>
              </w:rPr>
            </w:pPr>
          </w:p>
        </w:tc>
        <w:tc>
          <w:tcPr>
            <w:tcW w:w="920" w:type="dxa"/>
            <w:vAlign w:val="bottom"/>
            <w:shd w:val="clear" w:color="auto" w:fill="E8EED3"/>
          </w:tcPr>
          <w:p>
            <w:pPr>
              <w:spacing w:after="0"/>
              <w:rPr>
                <w:sz w:val="13"/>
                <w:szCs w:val="13"/>
                <w:color w:val="auto"/>
              </w:rPr>
            </w:pPr>
          </w:p>
        </w:tc>
        <w:tc>
          <w:tcPr>
            <w:tcW w:w="680" w:type="dxa"/>
            <w:vAlign w:val="bottom"/>
            <w:shd w:val="clear" w:color="auto" w:fill="E8EED3"/>
          </w:tcPr>
          <w:p>
            <w:pPr>
              <w:ind w:left="340"/>
              <w:spacing w:after="0" w:line="159" w:lineRule="exact"/>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jc w:val="right"/>
              <w:ind w:right="85"/>
              <w:spacing w:after="0" w:line="159" w:lineRule="exact"/>
              <w:rPr>
                <w:sz w:val="20"/>
                <w:szCs w:val="20"/>
                <w:color w:val="auto"/>
              </w:rPr>
            </w:pPr>
            <w:r>
              <w:rPr>
                <w:rFonts w:ascii="Arial" w:cs="Arial" w:eastAsia="Arial" w:hAnsi="Arial"/>
                <w:sz w:val="15"/>
                <w:szCs w:val="15"/>
                <w:color w:val="auto"/>
              </w:rPr>
              <w:t>69,500</w:t>
            </w:r>
          </w:p>
        </w:tc>
        <w:tc>
          <w:tcPr>
            <w:tcW w:w="1180" w:type="dxa"/>
            <w:vAlign w:val="bottom"/>
            <w:shd w:val="clear" w:color="auto" w:fill="E8EED3"/>
          </w:tcPr>
          <w:p>
            <w:pPr>
              <w:jc w:val="right"/>
              <w:ind w:right="285"/>
              <w:spacing w:after="0" w:line="159" w:lineRule="exact"/>
              <w:rPr>
                <w:sz w:val="20"/>
                <w:szCs w:val="20"/>
                <w:color w:val="auto"/>
              </w:rPr>
            </w:pPr>
            <w:r>
              <w:rPr>
                <w:rFonts w:ascii="Arial" w:cs="Arial" w:eastAsia="Arial" w:hAnsi="Arial"/>
                <w:sz w:val="15"/>
                <w:szCs w:val="15"/>
                <w:color w:val="auto"/>
              </w:rPr>
              <w:t>83,400</w:t>
            </w:r>
          </w:p>
        </w:tc>
        <w:tc>
          <w:tcPr>
            <w:tcW w:w="700" w:type="dxa"/>
            <w:vAlign w:val="bottom"/>
            <w:shd w:val="clear" w:color="auto" w:fill="E8EED3"/>
          </w:tcPr>
          <w:p>
            <w:pPr>
              <w:ind w:left="360"/>
              <w:spacing w:after="0" w:line="159" w:lineRule="exact"/>
              <w:rPr>
                <w:sz w:val="20"/>
                <w:szCs w:val="20"/>
                <w:color w:val="auto"/>
              </w:rPr>
            </w:pPr>
            <w:r>
              <w:rPr>
                <w:rFonts w:ascii="Arial" w:cs="Arial" w:eastAsia="Arial" w:hAnsi="Arial"/>
                <w:sz w:val="15"/>
                <w:szCs w:val="15"/>
                <w:color w:val="auto"/>
              </w:rPr>
              <w:t>—</w:t>
            </w:r>
          </w:p>
        </w:tc>
        <w:tc>
          <w:tcPr>
            <w:tcW w:w="840" w:type="dxa"/>
            <w:vAlign w:val="bottom"/>
            <w:shd w:val="clear" w:color="auto" w:fill="E8EED3"/>
          </w:tcPr>
          <w:p>
            <w:pPr>
              <w:jc w:val="right"/>
              <w:ind w:right="225"/>
              <w:spacing w:after="0" w:line="159" w:lineRule="exact"/>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jc w:val="right"/>
              <w:ind w:right="245"/>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E8EED3"/>
          </w:tcPr>
          <w:p>
            <w:pPr>
              <w:jc w:val="right"/>
              <w:ind w:right="225"/>
              <w:spacing w:after="0" w:line="159" w:lineRule="exact"/>
              <w:rPr>
                <w:sz w:val="20"/>
                <w:szCs w:val="20"/>
                <w:color w:val="auto"/>
              </w:rPr>
            </w:pPr>
            <w:r>
              <w:rPr>
                <w:rFonts w:ascii="Arial" w:cs="Arial" w:eastAsia="Arial" w:hAnsi="Arial"/>
                <w:sz w:val="15"/>
                <w:szCs w:val="15"/>
                <w:color w:val="auto"/>
              </w:rPr>
              <w:t>—</w:t>
            </w:r>
          </w:p>
        </w:tc>
        <w:tc>
          <w:tcPr>
            <w:tcW w:w="900" w:type="dxa"/>
            <w:vAlign w:val="bottom"/>
            <w:shd w:val="clear" w:color="auto" w:fill="E8EED3"/>
          </w:tcPr>
          <w:p>
            <w:pPr>
              <w:jc w:val="right"/>
              <w:ind w:right="183"/>
              <w:spacing w:after="0" w:line="15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62"/>
        </w:trPr>
        <w:tc>
          <w:tcPr>
            <w:tcW w:w="3040" w:type="dxa"/>
            <w:vAlign w:val="bottom"/>
            <w:shd w:val="clear" w:color="auto" w:fill="E8EED3"/>
          </w:tcPr>
          <w:p>
            <w:pPr>
              <w:spacing w:after="0"/>
              <w:rPr>
                <w:sz w:val="14"/>
                <w:szCs w:val="14"/>
                <w:color w:val="auto"/>
              </w:rPr>
            </w:pPr>
          </w:p>
        </w:tc>
        <w:tc>
          <w:tcPr>
            <w:tcW w:w="60" w:type="dxa"/>
            <w:vAlign w:val="bottom"/>
            <w:shd w:val="clear" w:color="auto" w:fill="E8EED3"/>
          </w:tcPr>
          <w:p>
            <w:pPr>
              <w:spacing w:after="0"/>
              <w:rPr>
                <w:sz w:val="14"/>
                <w:szCs w:val="14"/>
                <w:color w:val="auto"/>
              </w:rPr>
            </w:pPr>
          </w:p>
        </w:tc>
        <w:tc>
          <w:tcPr>
            <w:tcW w:w="920" w:type="dxa"/>
            <w:vAlign w:val="bottom"/>
            <w:shd w:val="clear" w:color="auto" w:fill="E8EED3"/>
          </w:tcPr>
          <w:p>
            <w:pPr>
              <w:jc w:val="right"/>
              <w:ind w:right="314"/>
              <w:spacing w:after="0" w:line="162" w:lineRule="exact"/>
              <w:rPr>
                <w:sz w:val="20"/>
                <w:szCs w:val="20"/>
                <w:color w:val="auto"/>
              </w:rPr>
            </w:pPr>
            <w:r>
              <w:rPr>
                <w:rFonts w:ascii="Arial" w:cs="Arial" w:eastAsia="Arial" w:hAnsi="Arial"/>
                <w:sz w:val="15"/>
                <w:szCs w:val="15"/>
                <w:color w:val="auto"/>
              </w:rPr>
              <w:t>4/19/18</w:t>
            </w:r>
          </w:p>
        </w:tc>
        <w:tc>
          <w:tcPr>
            <w:tcW w:w="680" w:type="dxa"/>
            <w:vAlign w:val="bottom"/>
            <w:shd w:val="clear" w:color="auto" w:fill="E8EED3"/>
          </w:tcPr>
          <w:p>
            <w:pPr>
              <w:ind w:left="34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E8EED3"/>
          </w:tcPr>
          <w:p>
            <w:pPr>
              <w:jc w:val="right"/>
              <w:ind w:right="165"/>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E8EED3"/>
          </w:tcPr>
          <w:p>
            <w:pPr>
              <w:jc w:val="right"/>
              <w:ind w:right="385"/>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E8EED3"/>
          </w:tcPr>
          <w:p>
            <w:pPr>
              <w:ind w:left="360"/>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E8EED3"/>
          </w:tcPr>
          <w:p>
            <w:pPr>
              <w:jc w:val="right"/>
              <w:ind w:right="225"/>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8EED3"/>
          </w:tcPr>
          <w:p>
            <w:pPr>
              <w:jc w:val="right"/>
              <w:ind w:right="245"/>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E8EED3"/>
          </w:tcPr>
          <w:p>
            <w:pPr>
              <w:jc w:val="right"/>
              <w:ind w:right="145"/>
              <w:spacing w:after="0" w:line="162" w:lineRule="exact"/>
              <w:rPr>
                <w:sz w:val="20"/>
                <w:szCs w:val="20"/>
                <w:color w:val="auto"/>
              </w:rPr>
            </w:pPr>
            <w:r>
              <w:rPr>
                <w:rFonts w:ascii="Arial" w:cs="Arial" w:eastAsia="Arial" w:hAnsi="Arial"/>
                <w:sz w:val="15"/>
                <w:szCs w:val="15"/>
                <w:color w:val="auto"/>
              </w:rPr>
              <w:t>10,000</w:t>
            </w:r>
          </w:p>
        </w:tc>
        <w:tc>
          <w:tcPr>
            <w:tcW w:w="900" w:type="dxa"/>
            <w:vAlign w:val="bottom"/>
            <w:shd w:val="clear" w:color="auto" w:fill="E8EED3"/>
          </w:tcPr>
          <w:p>
            <w:pPr>
              <w:jc w:val="right"/>
              <w:ind w:right="103"/>
              <w:spacing w:after="0" w:line="162" w:lineRule="exact"/>
              <w:rPr>
                <w:sz w:val="20"/>
                <w:szCs w:val="20"/>
                <w:color w:val="auto"/>
              </w:rPr>
            </w:pPr>
            <w:r>
              <w:rPr>
                <w:rFonts w:ascii="Arial" w:cs="Arial" w:eastAsia="Arial" w:hAnsi="Arial"/>
                <w:sz w:val="15"/>
                <w:szCs w:val="15"/>
                <w:color w:val="auto"/>
              </w:rPr>
              <w:t>49,500</w:t>
            </w:r>
          </w:p>
        </w:tc>
        <w:tc>
          <w:tcPr>
            <w:tcW w:w="20" w:type="dxa"/>
            <w:vAlign w:val="bottom"/>
          </w:tcPr>
          <w:p>
            <w:pPr>
              <w:spacing w:after="0"/>
              <w:rPr>
                <w:sz w:val="14"/>
                <w:szCs w:val="14"/>
                <w:color w:val="auto"/>
              </w:rPr>
            </w:pPr>
          </w:p>
        </w:tc>
      </w:tr>
      <w:tr>
        <w:trPr>
          <w:trHeight w:val="7"/>
        </w:trPr>
        <w:tc>
          <w:tcPr>
            <w:tcW w:w="3040" w:type="dxa"/>
            <w:vAlign w:val="bottom"/>
            <w:shd w:val="clear" w:color="auto" w:fill="E8EED3"/>
          </w:tcPr>
          <w:p>
            <w:pPr>
              <w:spacing w:after="0" w:line="20" w:lineRule="exact"/>
              <w:rPr>
                <w:sz w:val="1"/>
                <w:szCs w:val="1"/>
                <w:color w:val="auto"/>
              </w:rPr>
            </w:pPr>
          </w:p>
        </w:tc>
        <w:tc>
          <w:tcPr>
            <w:tcW w:w="60" w:type="dxa"/>
            <w:vAlign w:val="bottom"/>
            <w:shd w:val="clear" w:color="auto" w:fill="E8EED3"/>
          </w:tcPr>
          <w:p>
            <w:pPr>
              <w:spacing w:after="0" w:line="20" w:lineRule="exact"/>
              <w:rPr>
                <w:sz w:val="1"/>
                <w:szCs w:val="1"/>
                <w:color w:val="auto"/>
              </w:rPr>
            </w:pPr>
          </w:p>
        </w:tc>
        <w:tc>
          <w:tcPr>
            <w:tcW w:w="920" w:type="dxa"/>
            <w:vAlign w:val="bottom"/>
            <w:shd w:val="clear" w:color="auto" w:fill="E8EED3"/>
          </w:tcPr>
          <w:p>
            <w:pPr>
              <w:jc w:val="right"/>
              <w:ind w:right="314"/>
              <w:spacing w:after="0" w:line="8" w:lineRule="exact"/>
              <w:rPr>
                <w:sz w:val="20"/>
                <w:szCs w:val="20"/>
                <w:color w:val="auto"/>
              </w:rPr>
            </w:pPr>
            <w:r>
              <w:rPr>
                <w:rFonts w:ascii="Arial" w:cs="Arial" w:eastAsia="Arial" w:hAnsi="Arial"/>
                <w:sz w:val="1"/>
                <w:szCs w:val="1"/>
                <w:color w:val="auto"/>
              </w:rPr>
              <w:t>4/19/18</w:t>
            </w:r>
          </w:p>
        </w:tc>
        <w:tc>
          <w:tcPr>
            <w:tcW w:w="680" w:type="dxa"/>
            <w:vAlign w:val="bottom"/>
            <w:shd w:val="clear" w:color="auto" w:fill="E8EED3"/>
          </w:tcPr>
          <w:p>
            <w:pPr>
              <w:ind w:left="340"/>
              <w:spacing w:after="0" w:line="8" w:lineRule="exact"/>
              <w:rPr>
                <w:sz w:val="20"/>
                <w:szCs w:val="20"/>
                <w:color w:val="auto"/>
              </w:rPr>
            </w:pPr>
            <w:r>
              <w:rPr>
                <w:rFonts w:ascii="Arial" w:cs="Arial" w:eastAsia="Arial" w:hAnsi="Arial"/>
                <w:sz w:val="1"/>
                <w:szCs w:val="1"/>
                <w:color w:val="auto"/>
              </w:rPr>
              <w:t>—</w:t>
            </w:r>
          </w:p>
        </w:tc>
        <w:tc>
          <w:tcPr>
            <w:tcW w:w="880" w:type="dxa"/>
            <w:vAlign w:val="bottom"/>
            <w:shd w:val="clear" w:color="auto" w:fill="E8EED3"/>
          </w:tcPr>
          <w:p>
            <w:pPr>
              <w:jc w:val="right"/>
              <w:ind w:right="165"/>
              <w:spacing w:after="0" w:line="8" w:lineRule="exact"/>
              <w:rPr>
                <w:sz w:val="20"/>
                <w:szCs w:val="20"/>
                <w:color w:val="auto"/>
              </w:rPr>
            </w:pPr>
            <w:r>
              <w:rPr>
                <w:rFonts w:ascii="Arial" w:cs="Arial" w:eastAsia="Arial" w:hAnsi="Arial"/>
                <w:sz w:val="1"/>
                <w:szCs w:val="1"/>
                <w:color w:val="auto"/>
              </w:rPr>
              <w:t>—</w:t>
            </w:r>
          </w:p>
        </w:tc>
        <w:tc>
          <w:tcPr>
            <w:tcW w:w="1180" w:type="dxa"/>
            <w:vAlign w:val="bottom"/>
            <w:shd w:val="clear" w:color="auto" w:fill="E8EED3"/>
          </w:tcPr>
          <w:p>
            <w:pPr>
              <w:jc w:val="right"/>
              <w:ind w:right="385"/>
              <w:spacing w:after="0" w:line="8" w:lineRule="exact"/>
              <w:rPr>
                <w:sz w:val="20"/>
                <w:szCs w:val="20"/>
                <w:color w:val="auto"/>
              </w:rPr>
            </w:pPr>
            <w:r>
              <w:rPr>
                <w:rFonts w:ascii="Arial" w:cs="Arial" w:eastAsia="Arial" w:hAnsi="Arial"/>
                <w:sz w:val="1"/>
                <w:szCs w:val="1"/>
                <w:color w:val="auto"/>
              </w:rPr>
              <w:t>—</w:t>
            </w:r>
          </w:p>
        </w:tc>
        <w:tc>
          <w:tcPr>
            <w:tcW w:w="700" w:type="dxa"/>
            <w:vAlign w:val="bottom"/>
            <w:shd w:val="clear" w:color="auto" w:fill="E8EED3"/>
          </w:tcPr>
          <w:p>
            <w:pPr>
              <w:ind w:left="360"/>
              <w:spacing w:after="0" w:line="8" w:lineRule="exact"/>
              <w:rPr>
                <w:sz w:val="20"/>
                <w:szCs w:val="20"/>
                <w:color w:val="auto"/>
              </w:rPr>
            </w:pPr>
            <w:r>
              <w:rPr>
                <w:rFonts w:ascii="Arial" w:cs="Arial" w:eastAsia="Arial" w:hAnsi="Arial"/>
                <w:sz w:val="1"/>
                <w:szCs w:val="1"/>
                <w:color w:val="auto"/>
              </w:rPr>
              <w:t>—</w:t>
            </w:r>
          </w:p>
        </w:tc>
        <w:tc>
          <w:tcPr>
            <w:tcW w:w="840" w:type="dxa"/>
            <w:vAlign w:val="bottom"/>
            <w:shd w:val="clear" w:color="auto" w:fill="E8EED3"/>
          </w:tcPr>
          <w:p>
            <w:pPr>
              <w:jc w:val="right"/>
              <w:ind w:right="125"/>
              <w:spacing w:after="0" w:line="8" w:lineRule="exact"/>
              <w:rPr>
                <w:sz w:val="20"/>
                <w:szCs w:val="20"/>
                <w:color w:val="auto"/>
              </w:rPr>
            </w:pPr>
            <w:r>
              <w:rPr>
                <w:rFonts w:ascii="Arial" w:cs="Arial" w:eastAsia="Arial" w:hAnsi="Arial"/>
                <w:sz w:val="1"/>
                <w:szCs w:val="1"/>
                <w:color w:val="auto"/>
              </w:rPr>
              <w:t>7,500</w:t>
            </w:r>
          </w:p>
        </w:tc>
        <w:tc>
          <w:tcPr>
            <w:tcW w:w="940" w:type="dxa"/>
            <w:vAlign w:val="bottom"/>
            <w:shd w:val="clear" w:color="auto" w:fill="E8EED3"/>
          </w:tcPr>
          <w:p>
            <w:pPr>
              <w:jc w:val="right"/>
              <w:ind w:right="245"/>
              <w:spacing w:after="0" w:line="8" w:lineRule="exact"/>
              <w:rPr>
                <w:sz w:val="20"/>
                <w:szCs w:val="20"/>
                <w:color w:val="auto"/>
              </w:rPr>
            </w:pPr>
            <w:r>
              <w:rPr>
                <w:rFonts w:ascii="Arial" w:cs="Arial" w:eastAsia="Arial" w:hAnsi="Arial"/>
                <w:sz w:val="1"/>
                <w:szCs w:val="1"/>
                <w:color w:val="auto"/>
              </w:rPr>
              <w:t>—</w:t>
            </w:r>
          </w:p>
        </w:tc>
        <w:tc>
          <w:tcPr>
            <w:tcW w:w="860" w:type="dxa"/>
            <w:vAlign w:val="bottom"/>
            <w:shd w:val="clear" w:color="auto" w:fill="E8EED3"/>
          </w:tcPr>
          <w:p>
            <w:pPr>
              <w:jc w:val="right"/>
              <w:ind w:right="225"/>
              <w:spacing w:after="0" w:line="8" w:lineRule="exact"/>
              <w:rPr>
                <w:sz w:val="20"/>
                <w:szCs w:val="20"/>
                <w:color w:val="auto"/>
              </w:rPr>
            </w:pPr>
            <w:r>
              <w:rPr>
                <w:rFonts w:ascii="Arial" w:cs="Arial" w:eastAsia="Arial" w:hAnsi="Arial"/>
                <w:sz w:val="1"/>
                <w:szCs w:val="1"/>
                <w:color w:val="auto"/>
              </w:rPr>
              <w:t>—</w:t>
            </w:r>
          </w:p>
        </w:tc>
        <w:tc>
          <w:tcPr>
            <w:tcW w:w="900" w:type="dxa"/>
            <w:vAlign w:val="bottom"/>
            <w:shd w:val="clear" w:color="auto" w:fill="E8EED3"/>
          </w:tcPr>
          <w:p>
            <w:pPr>
              <w:jc w:val="right"/>
              <w:ind w:right="103"/>
              <w:spacing w:after="0" w:line="8" w:lineRule="exact"/>
              <w:rPr>
                <w:sz w:val="20"/>
                <w:szCs w:val="20"/>
                <w:color w:val="auto"/>
              </w:rPr>
            </w:pPr>
            <w:r>
              <w:rPr>
                <w:rFonts w:ascii="Arial" w:cs="Arial" w:eastAsia="Arial" w:hAnsi="Arial"/>
                <w:sz w:val="1"/>
                <w:szCs w:val="1"/>
                <w:color w:val="auto"/>
              </w:rPr>
              <w:t>37,125</w:t>
            </w:r>
          </w:p>
        </w:tc>
        <w:tc>
          <w:tcPr>
            <w:tcW w:w="20" w:type="dxa"/>
            <w:vAlign w:val="bottom"/>
          </w:tcPr>
          <w:p>
            <w:pPr>
              <w:spacing w:after="0" w:line="20" w:lineRule="exact"/>
              <w:rPr>
                <w:sz w:val="1"/>
                <w:szCs w:val="1"/>
                <w:color w:val="auto"/>
              </w:rPr>
            </w:pPr>
          </w:p>
        </w:tc>
      </w:tr>
      <w:tr>
        <w:trPr>
          <w:trHeight w:val="158"/>
        </w:trPr>
        <w:tc>
          <w:tcPr>
            <w:tcW w:w="3040" w:type="dxa"/>
            <w:vAlign w:val="bottom"/>
            <w:shd w:val="clear" w:color="auto" w:fill="E8EED3"/>
          </w:tcPr>
          <w:p>
            <w:pPr>
              <w:spacing w:after="0"/>
              <w:rPr>
                <w:sz w:val="13"/>
                <w:szCs w:val="13"/>
                <w:color w:val="auto"/>
              </w:rPr>
            </w:pPr>
          </w:p>
        </w:tc>
        <w:tc>
          <w:tcPr>
            <w:tcW w:w="60" w:type="dxa"/>
            <w:vAlign w:val="bottom"/>
            <w:shd w:val="clear" w:color="auto" w:fill="E8EED3"/>
          </w:tcPr>
          <w:p>
            <w:pPr>
              <w:spacing w:after="0"/>
              <w:rPr>
                <w:sz w:val="13"/>
                <w:szCs w:val="13"/>
                <w:color w:val="auto"/>
              </w:rPr>
            </w:pPr>
          </w:p>
        </w:tc>
        <w:tc>
          <w:tcPr>
            <w:tcW w:w="920" w:type="dxa"/>
            <w:vAlign w:val="bottom"/>
            <w:shd w:val="clear" w:color="auto" w:fill="E8EED3"/>
          </w:tcPr>
          <w:p>
            <w:pPr>
              <w:spacing w:after="0"/>
              <w:rPr>
                <w:sz w:val="13"/>
                <w:szCs w:val="13"/>
                <w:color w:val="auto"/>
              </w:rPr>
            </w:pPr>
          </w:p>
        </w:tc>
        <w:tc>
          <w:tcPr>
            <w:tcW w:w="680" w:type="dxa"/>
            <w:vAlign w:val="bottom"/>
            <w:shd w:val="clear" w:color="auto" w:fill="E8EED3"/>
          </w:tcPr>
          <w:p>
            <w:pPr>
              <w:spacing w:after="0"/>
              <w:rPr>
                <w:sz w:val="13"/>
                <w:szCs w:val="13"/>
                <w:color w:val="auto"/>
              </w:rPr>
            </w:pPr>
          </w:p>
        </w:tc>
        <w:tc>
          <w:tcPr>
            <w:tcW w:w="880" w:type="dxa"/>
            <w:vAlign w:val="bottom"/>
            <w:shd w:val="clear" w:color="auto" w:fill="E8EED3"/>
          </w:tcPr>
          <w:p>
            <w:pPr>
              <w:spacing w:after="0"/>
              <w:rPr>
                <w:sz w:val="13"/>
                <w:szCs w:val="13"/>
                <w:color w:val="auto"/>
              </w:rPr>
            </w:pPr>
          </w:p>
        </w:tc>
        <w:tc>
          <w:tcPr>
            <w:tcW w:w="1180" w:type="dxa"/>
            <w:vAlign w:val="bottom"/>
            <w:shd w:val="clear" w:color="auto" w:fill="E8EED3"/>
          </w:tcPr>
          <w:p>
            <w:pPr>
              <w:spacing w:after="0"/>
              <w:rPr>
                <w:sz w:val="13"/>
                <w:szCs w:val="13"/>
                <w:color w:val="auto"/>
              </w:rPr>
            </w:pPr>
          </w:p>
        </w:tc>
        <w:tc>
          <w:tcPr>
            <w:tcW w:w="700" w:type="dxa"/>
            <w:vAlign w:val="bottom"/>
            <w:shd w:val="clear" w:color="auto" w:fill="E8EED3"/>
          </w:tcPr>
          <w:p>
            <w:pPr>
              <w:spacing w:after="0"/>
              <w:rPr>
                <w:sz w:val="13"/>
                <w:szCs w:val="13"/>
                <w:color w:val="auto"/>
              </w:rPr>
            </w:pPr>
          </w:p>
        </w:tc>
        <w:tc>
          <w:tcPr>
            <w:tcW w:w="840" w:type="dxa"/>
            <w:vAlign w:val="bottom"/>
            <w:shd w:val="clear" w:color="auto" w:fill="E8EED3"/>
          </w:tcPr>
          <w:p>
            <w:pPr>
              <w:spacing w:after="0"/>
              <w:rPr>
                <w:sz w:val="13"/>
                <w:szCs w:val="13"/>
                <w:color w:val="auto"/>
              </w:rPr>
            </w:pPr>
          </w:p>
        </w:tc>
        <w:tc>
          <w:tcPr>
            <w:tcW w:w="940" w:type="dxa"/>
            <w:vAlign w:val="bottom"/>
            <w:shd w:val="clear" w:color="auto" w:fill="E8EED3"/>
          </w:tcPr>
          <w:p>
            <w:pPr>
              <w:spacing w:after="0"/>
              <w:rPr>
                <w:sz w:val="13"/>
                <w:szCs w:val="13"/>
                <w:color w:val="auto"/>
              </w:rPr>
            </w:pPr>
          </w:p>
        </w:tc>
        <w:tc>
          <w:tcPr>
            <w:tcW w:w="860" w:type="dxa"/>
            <w:vAlign w:val="bottom"/>
            <w:shd w:val="clear" w:color="auto" w:fill="E8EED3"/>
          </w:tcPr>
          <w:p>
            <w:pPr>
              <w:spacing w:after="0"/>
              <w:rPr>
                <w:sz w:val="13"/>
                <w:szCs w:val="13"/>
                <w:color w:val="auto"/>
              </w:rPr>
            </w:pPr>
          </w:p>
        </w:tc>
        <w:tc>
          <w:tcPr>
            <w:tcW w:w="900" w:type="dxa"/>
            <w:vAlign w:val="bottom"/>
            <w:shd w:val="clear" w:color="auto" w:fill="E8EED3"/>
          </w:tcPr>
          <w:p>
            <w:pPr>
              <w:jc w:val="right"/>
              <w:ind w:right="43"/>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3"/>
                <w:szCs w:val="13"/>
                <w:color w:val="auto"/>
              </w:rPr>
            </w:pPr>
          </w:p>
        </w:tc>
      </w:tr>
    </w:tbl>
    <w:p>
      <w:pPr>
        <w:spacing w:after="0" w:line="126" w:lineRule="exact"/>
        <w:rPr>
          <w:sz w:val="20"/>
          <w:szCs w:val="20"/>
          <w:color w:val="auto"/>
        </w:rPr>
      </w:pPr>
    </w:p>
    <w:p>
      <w:pPr>
        <w:ind w:left="540" w:right="120" w:hanging="330"/>
        <w:spacing w:after="0" w:line="246"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in the “Target” and “Maximum” columns consist of annual performance-based cash compensation opportunities for 2018 provided to the named executive officers and further described in the Compensation Discussion and Analysis above. The “Threshold” column shows dashes because the ultimate value of the performance-based compensation opportunities could be reduced to essentially zero. Please see the “2018 Summary Compensation Table” for information about cash incentives actually paid to these named executive officers.</w:t>
      </w:r>
    </w:p>
    <w:p>
      <w:pPr>
        <w:spacing w:after="0" w:line="108" w:lineRule="exact"/>
        <w:rPr>
          <w:rFonts w:ascii="Arial" w:cs="Arial" w:eastAsia="Arial" w:hAnsi="Arial"/>
          <w:sz w:val="14"/>
          <w:szCs w:val="14"/>
          <w:color w:val="auto"/>
        </w:rPr>
      </w:pPr>
    </w:p>
    <w:p>
      <w:pPr>
        <w:ind w:left="540" w:right="160" w:hanging="330"/>
        <w:spacing w:after="0" w:line="246"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in the “Target” and “Maximum” columns for Messrs. Sadlowski and Eckl, and the amount shown in the “Target” column for Mr. Gohr, represent the potential payout levels with respect to PRSU awards granted to such officers in 2018, which amounts may be earned based on Adjusted EBITDA performance during the 2020 fiscal year and will generally vest, subject to continued employment, on March 15, 2021. Please see the “Compensation Discussion and Analysis” above for more information about these PRSU awards.</w:t>
      </w:r>
    </w:p>
    <w:p>
      <w:pPr>
        <w:spacing w:after="0" w:line="108" w:lineRule="exact"/>
        <w:rPr>
          <w:rFonts w:ascii="Arial" w:cs="Arial" w:eastAsia="Arial" w:hAnsi="Arial"/>
          <w:sz w:val="14"/>
          <w:szCs w:val="14"/>
          <w:color w:val="auto"/>
        </w:rPr>
      </w:pPr>
    </w:p>
    <w:p>
      <w:pPr>
        <w:ind w:left="540" w:right="40" w:hanging="330"/>
        <w:spacing w:after="0" w:line="257"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in this column consist of RSU awards to Messrs. Sadlowski, Eckl and Gohr. Please see the Compensation Discussion and Analysis above for more information about these awards.</w:t>
      </w:r>
    </w:p>
    <w:p>
      <w:pPr>
        <w:spacing w:after="0" w:line="100" w:lineRule="exact"/>
        <w:rPr>
          <w:rFonts w:ascii="Arial" w:cs="Arial" w:eastAsia="Arial" w:hAnsi="Arial"/>
          <w:sz w:val="14"/>
          <w:szCs w:val="14"/>
          <w:color w:val="auto"/>
        </w:rPr>
      </w:pPr>
    </w:p>
    <w:p>
      <w:pPr>
        <w:ind w:left="540" w:right="480" w:hanging="330"/>
        <w:spacing w:after="0" w:line="249"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grant date fair value of stock awards calculated in accordance with FASB ASC Topic 718, disregarding estimated forfeitures, rather than amounts realized by the named executive officers. Assumptions used in calculating these amounts are included in Note 10 to the Company’s audited financial statements included in the Company’s Annual Report on Form 10-K for the year ended December 31, 2018.</w:t>
      </w:r>
    </w:p>
    <w:p>
      <w:pPr>
        <w:spacing w:after="0" w:line="105" w:lineRule="exact"/>
        <w:rPr>
          <w:rFonts w:ascii="Arial" w:cs="Arial" w:eastAsia="Arial" w:hAnsi="Arial"/>
          <w:sz w:val="14"/>
          <w:szCs w:val="14"/>
          <w:color w:val="auto"/>
        </w:rPr>
      </w:pPr>
    </w:p>
    <w:p>
      <w:pPr>
        <w:ind w:left="540" w:hanging="330"/>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the maximum PRSUs awarded to Messrs. Sadlowski and Eckl and the targeted PRSUs for Mr. Gohr.</w:t>
      </w:r>
    </w:p>
    <w:p>
      <w:pPr>
        <w:spacing w:after="0" w:line="214" w:lineRule="exact"/>
        <w:rPr>
          <w:sz w:val="20"/>
          <w:szCs w:val="20"/>
          <w:color w:val="auto"/>
        </w:rPr>
      </w:pPr>
    </w:p>
    <w:p>
      <w:pPr>
        <w:ind w:left="220" w:right="660"/>
        <w:spacing w:after="0" w:line="253" w:lineRule="auto"/>
        <w:rPr>
          <w:sz w:val="20"/>
          <w:szCs w:val="20"/>
          <w:color w:val="auto"/>
        </w:rPr>
      </w:pPr>
      <w:r>
        <w:rPr>
          <w:rFonts w:ascii="Arial" w:cs="Arial" w:eastAsia="Arial" w:hAnsi="Arial"/>
          <w:sz w:val="16"/>
          <w:szCs w:val="16"/>
          <w:color w:val="auto"/>
        </w:rPr>
        <w:t>For information regarding the terms of the employment agreements in effect with our named executive officers during 2018, please see “Potential Payments Upon Termination or Change in Control.” For information regarding the terms of the awards described in the table above, please see “Compensation Discussion and Analysis.”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41659C"/>
        </w:rPr>
        <w:t>- 24 -</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Outstanding Equity Awards at 2018 Fiscal Year-End</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information regarding outstanding equity awards for each named executive officer as December 31, 2018.</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400" w:type="dxa"/>
            <w:vAlign w:val="bottom"/>
            <w:shd w:val="clear" w:color="auto" w:fill="41659C"/>
          </w:tcPr>
          <w:p>
            <w:pPr>
              <w:spacing w:after="0"/>
              <w:rPr>
                <w:sz w:val="13"/>
                <w:szCs w:val="13"/>
                <w:color w:val="auto"/>
              </w:rPr>
            </w:pPr>
          </w:p>
        </w:tc>
        <w:tc>
          <w:tcPr>
            <w:tcW w:w="820" w:type="dxa"/>
            <w:vAlign w:val="bottom"/>
            <w:shd w:val="clear" w:color="auto" w:fill="41659C"/>
          </w:tcPr>
          <w:p>
            <w:pPr>
              <w:spacing w:after="0"/>
              <w:rPr>
                <w:sz w:val="13"/>
                <w:szCs w:val="13"/>
                <w:color w:val="auto"/>
              </w:rPr>
            </w:pPr>
          </w:p>
        </w:tc>
        <w:tc>
          <w:tcPr>
            <w:tcW w:w="980" w:type="dxa"/>
            <w:vAlign w:val="bottom"/>
            <w:shd w:val="clear" w:color="auto" w:fill="41659C"/>
          </w:tcPr>
          <w:p>
            <w:pPr>
              <w:spacing w:after="0"/>
              <w:rPr>
                <w:sz w:val="13"/>
                <w:szCs w:val="13"/>
                <w:color w:val="auto"/>
              </w:rPr>
            </w:pPr>
          </w:p>
        </w:tc>
        <w:tc>
          <w:tcPr>
            <w:tcW w:w="1920" w:type="dxa"/>
            <w:vAlign w:val="bottom"/>
            <w:gridSpan w:val="2"/>
            <w:shd w:val="clear" w:color="auto" w:fill="41659C"/>
          </w:tcPr>
          <w:p>
            <w:pPr>
              <w:jc w:val="right"/>
              <w:ind w:right="521"/>
              <w:spacing w:after="0"/>
              <w:rPr>
                <w:sz w:val="20"/>
                <w:szCs w:val="20"/>
                <w:color w:val="auto"/>
              </w:rPr>
            </w:pPr>
            <w:r>
              <w:rPr>
                <w:rFonts w:ascii="Arial" w:cs="Arial" w:eastAsia="Arial" w:hAnsi="Arial"/>
                <w:sz w:val="13"/>
                <w:szCs w:val="13"/>
                <w:b w:val="1"/>
                <w:bCs w:val="1"/>
                <w:color w:val="FFFFFF"/>
              </w:rPr>
              <w:t>Option Awards</w:t>
            </w:r>
          </w:p>
        </w:tc>
        <w:tc>
          <w:tcPr>
            <w:tcW w:w="880" w:type="dxa"/>
            <w:vAlign w:val="bottom"/>
            <w:shd w:val="clear" w:color="auto" w:fill="41659C"/>
          </w:tcPr>
          <w:p>
            <w:pPr>
              <w:spacing w:after="0"/>
              <w:rPr>
                <w:sz w:val="13"/>
                <w:szCs w:val="13"/>
                <w:color w:val="auto"/>
              </w:rPr>
            </w:pPr>
          </w:p>
        </w:tc>
        <w:tc>
          <w:tcPr>
            <w:tcW w:w="1020" w:type="dxa"/>
            <w:vAlign w:val="bottom"/>
            <w:shd w:val="clear" w:color="auto" w:fill="41659C"/>
          </w:tcPr>
          <w:p>
            <w:pPr>
              <w:spacing w:after="0"/>
              <w:rPr>
                <w:sz w:val="13"/>
                <w:szCs w:val="13"/>
                <w:color w:val="auto"/>
              </w:rPr>
            </w:pPr>
          </w:p>
        </w:tc>
        <w:tc>
          <w:tcPr>
            <w:tcW w:w="1980" w:type="dxa"/>
            <w:vAlign w:val="bottom"/>
            <w:gridSpan w:val="2"/>
            <w:shd w:val="clear" w:color="auto" w:fill="41659C"/>
          </w:tcPr>
          <w:p>
            <w:pPr>
              <w:jc w:val="right"/>
              <w:ind w:right="540"/>
              <w:spacing w:after="0"/>
              <w:rPr>
                <w:sz w:val="20"/>
                <w:szCs w:val="20"/>
                <w:color w:val="auto"/>
              </w:rPr>
            </w:pPr>
            <w:r>
              <w:rPr>
                <w:rFonts w:ascii="Arial" w:cs="Arial" w:eastAsia="Arial" w:hAnsi="Arial"/>
                <w:sz w:val="13"/>
                <w:szCs w:val="13"/>
                <w:b w:val="1"/>
                <w:bCs w:val="1"/>
                <w:color w:val="FFFFFF"/>
              </w:rPr>
              <w:t>Stock Awards</w:t>
            </w:r>
          </w:p>
        </w:tc>
        <w:tc>
          <w:tcPr>
            <w:tcW w:w="1000" w:type="dxa"/>
            <w:vAlign w:val="bottom"/>
            <w:vMerge w:val="restart"/>
            <w:shd w:val="clear" w:color="auto" w:fill="41659C"/>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26"/>
        </w:trPr>
        <w:tc>
          <w:tcPr>
            <w:tcW w:w="2400" w:type="dxa"/>
            <w:vAlign w:val="bottom"/>
            <w:shd w:val="clear" w:color="auto" w:fill="41659C"/>
          </w:tcPr>
          <w:p>
            <w:pPr>
              <w:spacing w:after="0"/>
              <w:rPr>
                <w:sz w:val="10"/>
                <w:szCs w:val="10"/>
                <w:color w:val="auto"/>
              </w:rPr>
            </w:pPr>
          </w:p>
        </w:tc>
        <w:tc>
          <w:tcPr>
            <w:tcW w:w="820" w:type="dxa"/>
            <w:vAlign w:val="bottom"/>
            <w:shd w:val="clear" w:color="auto" w:fill="41659C"/>
          </w:tcPr>
          <w:p>
            <w:pPr>
              <w:spacing w:after="0"/>
              <w:rPr>
                <w:sz w:val="10"/>
                <w:szCs w:val="10"/>
                <w:color w:val="auto"/>
              </w:rPr>
            </w:pPr>
          </w:p>
        </w:tc>
        <w:tc>
          <w:tcPr>
            <w:tcW w:w="980" w:type="dxa"/>
            <w:vAlign w:val="bottom"/>
            <w:shd w:val="clear" w:color="auto" w:fill="41659C"/>
          </w:tcPr>
          <w:p>
            <w:pPr>
              <w:spacing w:after="0"/>
              <w:rPr>
                <w:sz w:val="10"/>
                <w:szCs w:val="10"/>
                <w:color w:val="auto"/>
              </w:rPr>
            </w:pPr>
          </w:p>
        </w:tc>
        <w:tc>
          <w:tcPr>
            <w:tcW w:w="1160" w:type="dxa"/>
            <w:vAlign w:val="bottom"/>
            <w:shd w:val="clear" w:color="auto" w:fill="41659C"/>
          </w:tcPr>
          <w:p>
            <w:pPr>
              <w:spacing w:after="0"/>
              <w:rPr>
                <w:sz w:val="10"/>
                <w:szCs w:val="10"/>
                <w:color w:val="auto"/>
              </w:rPr>
            </w:pPr>
          </w:p>
        </w:tc>
        <w:tc>
          <w:tcPr>
            <w:tcW w:w="760" w:type="dxa"/>
            <w:vAlign w:val="bottom"/>
            <w:shd w:val="clear" w:color="auto" w:fill="41659C"/>
          </w:tcPr>
          <w:p>
            <w:pPr>
              <w:spacing w:after="0"/>
              <w:rPr>
                <w:sz w:val="10"/>
                <w:szCs w:val="10"/>
                <w:color w:val="auto"/>
              </w:rPr>
            </w:pPr>
          </w:p>
        </w:tc>
        <w:tc>
          <w:tcPr>
            <w:tcW w:w="880" w:type="dxa"/>
            <w:vAlign w:val="bottom"/>
            <w:shd w:val="clear" w:color="auto" w:fill="41659C"/>
          </w:tcPr>
          <w:p>
            <w:pPr>
              <w:spacing w:after="0"/>
              <w:rPr>
                <w:sz w:val="10"/>
                <w:szCs w:val="10"/>
                <w:color w:val="auto"/>
              </w:rPr>
            </w:pPr>
          </w:p>
        </w:tc>
        <w:tc>
          <w:tcPr>
            <w:tcW w:w="1020" w:type="dxa"/>
            <w:vAlign w:val="bottom"/>
            <w:shd w:val="clear" w:color="auto" w:fill="41659C"/>
          </w:tcPr>
          <w:p>
            <w:pPr>
              <w:spacing w:after="0"/>
              <w:rPr>
                <w:sz w:val="10"/>
                <w:szCs w:val="10"/>
                <w:color w:val="auto"/>
              </w:rPr>
            </w:pPr>
          </w:p>
        </w:tc>
        <w:tc>
          <w:tcPr>
            <w:tcW w:w="980" w:type="dxa"/>
            <w:vAlign w:val="bottom"/>
            <w:shd w:val="clear" w:color="auto" w:fill="41659C"/>
          </w:tcPr>
          <w:p>
            <w:pPr>
              <w:spacing w:after="0"/>
              <w:rPr>
                <w:sz w:val="10"/>
                <w:szCs w:val="10"/>
                <w:color w:val="auto"/>
              </w:rPr>
            </w:pPr>
          </w:p>
        </w:tc>
        <w:tc>
          <w:tcPr>
            <w:tcW w:w="1000" w:type="dxa"/>
            <w:vAlign w:val="bottom"/>
            <w:shd w:val="clear" w:color="auto" w:fill="41659C"/>
          </w:tcPr>
          <w:p>
            <w:pPr>
              <w:spacing w:after="0"/>
              <w:rPr>
                <w:sz w:val="10"/>
                <w:szCs w:val="10"/>
                <w:color w:val="auto"/>
              </w:rPr>
            </w:pPr>
          </w:p>
        </w:tc>
        <w:tc>
          <w:tcPr>
            <w:tcW w:w="1000" w:type="dxa"/>
            <w:vAlign w:val="bottom"/>
            <w:vMerge w:val="continue"/>
            <w:shd w:val="clear" w:color="auto" w:fill="41659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Market or</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spacing w:after="0"/>
              <w:rPr>
                <w:sz w:val="11"/>
                <w:szCs w:val="11"/>
                <w:color w:val="auto"/>
              </w:rPr>
            </w:pPr>
          </w:p>
        </w:tc>
        <w:tc>
          <w:tcPr>
            <w:tcW w:w="1160" w:type="dxa"/>
            <w:vAlign w:val="bottom"/>
            <w:shd w:val="clear" w:color="auto" w:fill="41659C"/>
          </w:tcPr>
          <w:p>
            <w:pPr>
              <w:spacing w:after="0"/>
              <w:rPr>
                <w:sz w:val="11"/>
                <w:szCs w:val="11"/>
                <w:color w:val="auto"/>
              </w:rPr>
            </w:pP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spacing w:after="0"/>
              <w:rPr>
                <w:sz w:val="11"/>
                <w:szCs w:val="11"/>
                <w:color w:val="auto"/>
              </w:rPr>
            </w:pP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1000" w:type="dxa"/>
            <w:vAlign w:val="bottom"/>
            <w:shd w:val="clear" w:color="auto" w:fill="41659C"/>
          </w:tcPr>
          <w:p>
            <w:pPr>
              <w:jc w:val="right"/>
              <w:ind w:right="180"/>
              <w:spacing w:after="0" w:line="135" w:lineRule="exact"/>
              <w:rPr>
                <w:sz w:val="20"/>
                <w:szCs w:val="20"/>
                <w:color w:val="auto"/>
              </w:rPr>
            </w:pPr>
            <w:r>
              <w:rPr>
                <w:rFonts w:ascii="Arial" w:cs="Arial" w:eastAsia="Arial" w:hAnsi="Arial"/>
                <w:sz w:val="13"/>
                <w:szCs w:val="13"/>
                <w:b w:val="1"/>
                <w:bCs w:val="1"/>
                <w:color w:val="FFFFFF"/>
              </w:rPr>
              <w:t>Unearned</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jc w:val="right"/>
              <w:ind w:right="120"/>
              <w:spacing w:after="0" w:line="135" w:lineRule="exact"/>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jc w:val="right"/>
              <w:ind w:right="140"/>
              <w:spacing w:after="0" w:line="135" w:lineRule="exact"/>
              <w:rPr>
                <w:sz w:val="20"/>
                <w:szCs w:val="20"/>
                <w:color w:val="auto"/>
              </w:rPr>
            </w:pPr>
            <w:r>
              <w:rPr>
                <w:rFonts w:ascii="Arial" w:cs="Arial" w:eastAsia="Arial" w:hAnsi="Arial"/>
                <w:sz w:val="13"/>
                <w:szCs w:val="13"/>
                <w:b w:val="1"/>
                <w:bCs w:val="1"/>
                <w:color w:val="FFFFFF"/>
              </w:rPr>
              <w:t>Securities</w:t>
            </w:r>
          </w:p>
        </w:tc>
        <w:tc>
          <w:tcPr>
            <w:tcW w:w="11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Units or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3"/>
              </w:rPr>
              <w:t>Units or</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jc w:val="right"/>
              <w:ind w:right="120"/>
              <w:spacing w:after="0" w:line="135" w:lineRule="exact"/>
              <w:rPr>
                <w:sz w:val="20"/>
                <w:szCs w:val="20"/>
                <w:color w:val="auto"/>
              </w:rPr>
            </w:pPr>
            <w:r>
              <w:rPr>
                <w:rFonts w:ascii="Arial" w:cs="Arial" w:eastAsia="Arial" w:hAnsi="Arial"/>
                <w:sz w:val="13"/>
                <w:szCs w:val="13"/>
                <w:b w:val="1"/>
                <w:bCs w:val="1"/>
                <w:color w:val="FFFFFF"/>
              </w:rPr>
              <w:t>Underlying</w:t>
            </w:r>
          </w:p>
        </w:tc>
        <w:tc>
          <w:tcPr>
            <w:tcW w:w="11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60" w:type="dxa"/>
            <w:vAlign w:val="bottom"/>
            <w:shd w:val="clear" w:color="auto" w:fill="41659C"/>
          </w:tcPr>
          <w:p>
            <w:pPr>
              <w:spacing w:after="0"/>
              <w:rPr>
                <w:sz w:val="11"/>
                <w:szCs w:val="11"/>
                <w:color w:val="auto"/>
              </w:rPr>
            </w:pPr>
          </w:p>
        </w:tc>
        <w:tc>
          <w:tcPr>
            <w:tcW w:w="880" w:type="dxa"/>
            <w:vAlign w:val="bottom"/>
            <w:shd w:val="clear" w:color="auto" w:fill="41659C"/>
          </w:tcPr>
          <w:p>
            <w:pPr>
              <w:spacing w:after="0"/>
              <w:rPr>
                <w:sz w:val="11"/>
                <w:szCs w:val="11"/>
                <w:color w:val="auto"/>
              </w:rPr>
            </w:pP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Units of</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2400" w:type="dxa"/>
            <w:vAlign w:val="bottom"/>
            <w:shd w:val="clear" w:color="auto" w:fill="41659C"/>
          </w:tcPr>
          <w:p>
            <w:pPr>
              <w:spacing w:after="0"/>
              <w:rPr>
                <w:sz w:val="11"/>
                <w:szCs w:val="11"/>
                <w:color w:val="auto"/>
              </w:rPr>
            </w:pPr>
          </w:p>
        </w:tc>
        <w:tc>
          <w:tcPr>
            <w:tcW w:w="820" w:type="dxa"/>
            <w:vAlign w:val="bottom"/>
            <w:shd w:val="clear" w:color="auto" w:fill="41659C"/>
          </w:tcPr>
          <w:p>
            <w:pPr>
              <w:spacing w:after="0"/>
              <w:rPr>
                <w:sz w:val="11"/>
                <w:szCs w:val="11"/>
                <w:color w:val="auto"/>
              </w:rPr>
            </w:pPr>
          </w:p>
        </w:tc>
        <w:tc>
          <w:tcPr>
            <w:tcW w:w="980" w:type="dxa"/>
            <w:vAlign w:val="bottom"/>
            <w:shd w:val="clear" w:color="auto" w:fill="41659C"/>
          </w:tcPr>
          <w:p>
            <w:pPr>
              <w:jc w:val="right"/>
              <w:ind w:right="60"/>
              <w:spacing w:after="0" w:line="135" w:lineRule="exact"/>
              <w:rPr>
                <w:sz w:val="20"/>
                <w:szCs w:val="20"/>
                <w:color w:val="auto"/>
              </w:rPr>
            </w:pPr>
            <w:r>
              <w:rPr>
                <w:rFonts w:ascii="Arial" w:cs="Arial" w:eastAsia="Arial" w:hAnsi="Arial"/>
                <w:sz w:val="13"/>
                <w:szCs w:val="13"/>
                <w:b w:val="1"/>
                <w:bCs w:val="1"/>
                <w:color w:val="FFFFFF"/>
              </w:rPr>
              <w:t>Unexercised</w:t>
            </w:r>
          </w:p>
        </w:tc>
        <w:tc>
          <w:tcPr>
            <w:tcW w:w="116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760" w:type="dxa"/>
            <w:vAlign w:val="bottom"/>
            <w:shd w:val="clear" w:color="auto" w:fill="41659C"/>
          </w:tcPr>
          <w:p>
            <w:pPr>
              <w:jc w:val="right"/>
              <w:ind w:right="121"/>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02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9"/>
              </w:rPr>
              <w:t>Stock That</w:t>
            </w:r>
          </w:p>
        </w:tc>
        <w:tc>
          <w:tcPr>
            <w:tcW w:w="98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w:t>
            </w:r>
          </w:p>
        </w:tc>
        <w:tc>
          <w:tcPr>
            <w:tcW w:w="1000" w:type="dxa"/>
            <w:vAlign w:val="bottom"/>
            <w:shd w:val="clear" w:color="auto" w:fill="41659C"/>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w:t>
            </w:r>
          </w:p>
        </w:tc>
        <w:tc>
          <w:tcPr>
            <w:tcW w:w="0" w:type="dxa"/>
            <w:vAlign w:val="bottom"/>
          </w:tcPr>
          <w:p>
            <w:pPr>
              <w:spacing w:after="0"/>
              <w:rPr>
                <w:sz w:val="1"/>
                <w:szCs w:val="1"/>
                <w:color w:val="auto"/>
              </w:rPr>
            </w:pPr>
          </w:p>
        </w:tc>
      </w:tr>
      <w:tr>
        <w:trPr>
          <w:trHeight w:val="143"/>
        </w:trPr>
        <w:tc>
          <w:tcPr>
            <w:tcW w:w="2400" w:type="dxa"/>
            <w:vAlign w:val="bottom"/>
            <w:shd w:val="clear" w:color="auto" w:fill="41659C"/>
          </w:tcPr>
          <w:p>
            <w:pPr>
              <w:spacing w:after="0"/>
              <w:rPr>
                <w:sz w:val="12"/>
                <w:szCs w:val="12"/>
                <w:color w:val="auto"/>
              </w:rPr>
            </w:pPr>
          </w:p>
        </w:tc>
        <w:tc>
          <w:tcPr>
            <w:tcW w:w="820" w:type="dxa"/>
            <w:vAlign w:val="bottom"/>
            <w:shd w:val="clear" w:color="auto" w:fill="41659C"/>
          </w:tcPr>
          <w:p>
            <w:pPr>
              <w:jc w:val="right"/>
              <w:ind w:right="201"/>
              <w:spacing w:after="0" w:line="144" w:lineRule="exact"/>
              <w:rPr>
                <w:sz w:val="20"/>
                <w:szCs w:val="20"/>
                <w:color w:val="auto"/>
              </w:rPr>
            </w:pPr>
            <w:r>
              <w:rPr>
                <w:rFonts w:ascii="Arial" w:cs="Arial" w:eastAsia="Arial" w:hAnsi="Arial"/>
                <w:sz w:val="13"/>
                <w:szCs w:val="13"/>
                <w:b w:val="1"/>
                <w:bCs w:val="1"/>
                <w:color w:val="FFFFFF"/>
              </w:rPr>
              <w:t>Grant</w:t>
            </w:r>
          </w:p>
        </w:tc>
        <w:tc>
          <w:tcPr>
            <w:tcW w:w="980" w:type="dxa"/>
            <w:vAlign w:val="bottom"/>
            <w:shd w:val="clear" w:color="auto" w:fill="41659C"/>
          </w:tcPr>
          <w:p>
            <w:pPr>
              <w:jc w:val="right"/>
              <w:ind w:right="100"/>
              <w:spacing w:after="0" w:line="144" w:lineRule="exact"/>
              <w:rPr>
                <w:sz w:val="20"/>
                <w:szCs w:val="20"/>
                <w:color w:val="auto"/>
              </w:rPr>
            </w:pPr>
            <w:r>
              <w:rPr>
                <w:rFonts w:ascii="Arial" w:cs="Arial" w:eastAsia="Arial" w:hAnsi="Arial"/>
                <w:sz w:val="13"/>
                <w:szCs w:val="13"/>
                <w:b w:val="1"/>
                <w:bCs w:val="1"/>
                <w:color w:val="FFFFFF"/>
              </w:rPr>
              <w:t>Options (#)</w:t>
            </w:r>
          </w:p>
        </w:tc>
        <w:tc>
          <w:tcPr>
            <w:tcW w:w="116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6"/>
              </w:rPr>
              <w:t>Options (#)</w:t>
            </w:r>
          </w:p>
        </w:tc>
        <w:tc>
          <w:tcPr>
            <w:tcW w:w="760" w:type="dxa"/>
            <w:vAlign w:val="bottom"/>
            <w:shd w:val="clear" w:color="auto" w:fill="41659C"/>
          </w:tcPr>
          <w:p>
            <w:pPr>
              <w:jc w:val="right"/>
              <w:ind w:right="81"/>
              <w:spacing w:after="0" w:line="144" w:lineRule="exact"/>
              <w:rPr>
                <w:sz w:val="20"/>
                <w:szCs w:val="20"/>
                <w:color w:val="auto"/>
              </w:rPr>
            </w:pPr>
            <w:r>
              <w:rPr>
                <w:rFonts w:ascii="Arial" w:cs="Arial" w:eastAsia="Arial" w:hAnsi="Arial"/>
                <w:sz w:val="13"/>
                <w:szCs w:val="13"/>
                <w:b w:val="1"/>
                <w:bCs w:val="1"/>
                <w:color w:val="FFFFFF"/>
              </w:rPr>
              <w:t>Exercise</w:t>
            </w:r>
          </w:p>
        </w:tc>
        <w:tc>
          <w:tcPr>
            <w:tcW w:w="88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4"/>
              </w:rPr>
              <w:t>Expiration</w:t>
            </w:r>
          </w:p>
        </w:tc>
        <w:tc>
          <w:tcPr>
            <w:tcW w:w="102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5"/>
              </w:rPr>
              <w:t>Have Not</w:t>
            </w:r>
          </w:p>
        </w:tc>
        <w:tc>
          <w:tcPr>
            <w:tcW w:w="98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9"/>
              </w:rPr>
              <w:t>Have Not</w:t>
            </w:r>
          </w:p>
        </w:tc>
        <w:tc>
          <w:tcPr>
            <w:tcW w:w="1000" w:type="dxa"/>
            <w:vAlign w:val="bottom"/>
            <w:shd w:val="clear" w:color="auto" w:fill="41659C"/>
          </w:tcPr>
          <w:p>
            <w:pPr>
              <w:jc w:val="right"/>
              <w:ind w:right="200"/>
              <w:spacing w:after="0" w:line="144" w:lineRule="exact"/>
              <w:rPr>
                <w:sz w:val="20"/>
                <w:szCs w:val="20"/>
                <w:color w:val="auto"/>
              </w:rPr>
            </w:pPr>
            <w:r>
              <w:rPr>
                <w:rFonts w:ascii="Arial" w:cs="Arial" w:eastAsia="Arial" w:hAnsi="Arial"/>
                <w:sz w:val="13"/>
                <w:szCs w:val="13"/>
                <w:b w:val="1"/>
                <w:bCs w:val="1"/>
                <w:color w:val="FFFFFF"/>
              </w:rPr>
              <w:t>Have Not</w:t>
            </w:r>
          </w:p>
        </w:tc>
        <w:tc>
          <w:tcPr>
            <w:tcW w:w="1000" w:type="dxa"/>
            <w:vAlign w:val="bottom"/>
            <w:shd w:val="clear" w:color="auto" w:fill="41659C"/>
          </w:tcPr>
          <w:p>
            <w:pPr>
              <w:jc w:val="center"/>
              <w:spacing w:after="0" w:line="144" w:lineRule="exact"/>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62"/>
        </w:trPr>
        <w:tc>
          <w:tcPr>
            <w:tcW w:w="2400" w:type="dxa"/>
            <w:vAlign w:val="bottom"/>
            <w:shd w:val="clear" w:color="auto" w:fill="41659C"/>
          </w:tcPr>
          <w:p>
            <w:pPr>
              <w:ind w:left="20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41659C"/>
          </w:tcPr>
          <w:p>
            <w:pPr>
              <w:jc w:val="right"/>
              <w:ind w:right="241"/>
              <w:spacing w:after="0"/>
              <w:rPr>
                <w:sz w:val="20"/>
                <w:szCs w:val="20"/>
                <w:color w:val="auto"/>
              </w:rPr>
            </w:pPr>
            <w:r>
              <w:rPr>
                <w:rFonts w:ascii="Arial" w:cs="Arial" w:eastAsia="Arial" w:hAnsi="Arial"/>
                <w:sz w:val="13"/>
                <w:szCs w:val="13"/>
                <w:b w:val="1"/>
                <w:bCs w:val="1"/>
                <w:color w:val="FFFFFF"/>
              </w:rPr>
              <w:t>Date</w:t>
            </w:r>
          </w:p>
        </w:tc>
        <w:tc>
          <w:tcPr>
            <w:tcW w:w="980" w:type="dxa"/>
            <w:vAlign w:val="bottom"/>
            <w:shd w:val="clear" w:color="auto" w:fill="41659C"/>
          </w:tcPr>
          <w:p>
            <w:pPr>
              <w:jc w:val="right"/>
              <w:ind w:right="100"/>
              <w:spacing w:after="0"/>
              <w:rPr>
                <w:sz w:val="20"/>
                <w:szCs w:val="20"/>
                <w:color w:val="auto"/>
              </w:rPr>
            </w:pPr>
            <w:r>
              <w:rPr>
                <w:rFonts w:ascii="Arial" w:cs="Arial" w:eastAsia="Arial" w:hAnsi="Arial"/>
                <w:sz w:val="13"/>
                <w:szCs w:val="13"/>
                <w:b w:val="1"/>
                <w:bCs w:val="1"/>
                <w:color w:val="FFFFFF"/>
              </w:rPr>
              <w:t>Exercisable</w:t>
            </w:r>
          </w:p>
        </w:tc>
        <w:tc>
          <w:tcPr>
            <w:tcW w:w="116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760" w:type="dxa"/>
            <w:vAlign w:val="bottom"/>
            <w:shd w:val="clear" w:color="auto" w:fill="41659C"/>
          </w:tcPr>
          <w:p>
            <w:pPr>
              <w:jc w:val="right"/>
              <w:ind w:right="81"/>
              <w:spacing w:after="0"/>
              <w:rPr>
                <w:sz w:val="20"/>
                <w:szCs w:val="20"/>
                <w:color w:val="auto"/>
              </w:rPr>
            </w:pPr>
            <w:r>
              <w:rPr>
                <w:rFonts w:ascii="Arial" w:cs="Arial" w:eastAsia="Arial" w:hAnsi="Arial"/>
                <w:sz w:val="13"/>
                <w:szCs w:val="13"/>
                <w:b w:val="1"/>
                <w:bCs w:val="1"/>
                <w:color w:val="FFFFFF"/>
              </w:rPr>
              <w:t>Price ($)</w:t>
            </w:r>
          </w:p>
        </w:tc>
        <w:tc>
          <w:tcPr>
            <w:tcW w:w="8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2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Vested (#)</w:t>
            </w:r>
            <w:r>
              <w:rPr>
                <w:rFonts w:ascii="Arial" w:cs="Arial" w:eastAsia="Arial" w:hAnsi="Arial"/>
                <w:sz w:val="10"/>
                <w:szCs w:val="10"/>
                <w:b w:val="1"/>
                <w:bCs w:val="1"/>
                <w:color w:val="FFFFFF"/>
                <w:w w:val="99"/>
              </w:rPr>
              <w:t>(1)</w:t>
            </w:r>
          </w:p>
        </w:tc>
        <w:tc>
          <w:tcPr>
            <w:tcW w:w="98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6"/>
              </w:rPr>
              <w:t>Vested ($)</w:t>
            </w:r>
            <w:r>
              <w:rPr>
                <w:rFonts w:ascii="Arial" w:cs="Arial" w:eastAsia="Arial" w:hAnsi="Arial"/>
                <w:sz w:val="10"/>
                <w:szCs w:val="10"/>
                <w:b w:val="1"/>
                <w:bCs w:val="1"/>
                <w:color w:val="FFFFFF"/>
                <w:w w:val="96"/>
              </w:rPr>
              <w:t>(5)</w:t>
            </w:r>
          </w:p>
        </w:tc>
        <w:tc>
          <w:tcPr>
            <w:tcW w:w="1000" w:type="dxa"/>
            <w:vAlign w:val="bottom"/>
            <w:shd w:val="clear" w:color="auto" w:fill="41659C"/>
          </w:tcPr>
          <w:p>
            <w:pPr>
              <w:jc w:val="right"/>
              <w:ind w:right="160"/>
              <w:spacing w:after="0"/>
              <w:rPr>
                <w:sz w:val="20"/>
                <w:szCs w:val="20"/>
                <w:color w:val="auto"/>
              </w:rPr>
            </w:pPr>
            <w:r>
              <w:rPr>
                <w:rFonts w:ascii="Arial" w:cs="Arial" w:eastAsia="Arial" w:hAnsi="Arial"/>
                <w:sz w:val="13"/>
                <w:szCs w:val="13"/>
                <w:b w:val="1"/>
                <w:bCs w:val="1"/>
                <w:color w:val="FFFFFF"/>
              </w:rPr>
              <w:t>Vested (#)</w:t>
            </w:r>
          </w:p>
        </w:tc>
        <w:tc>
          <w:tcPr>
            <w:tcW w:w="10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99"/>
              </w:rPr>
              <w:t>Vested ($)</w:t>
            </w:r>
            <w:r>
              <w:rPr>
                <w:rFonts w:ascii="Arial" w:cs="Arial" w:eastAsia="Arial" w:hAnsi="Arial"/>
                <w:sz w:val="10"/>
                <w:szCs w:val="10"/>
                <w:b w:val="1"/>
                <w:bCs w:val="1"/>
                <w:color w:val="FFFFFF"/>
                <w:w w:val="99"/>
              </w:rPr>
              <w:t>(5)</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ind w:left="200"/>
              <w:spacing w:after="0" w:line="135" w:lineRule="exact"/>
              <w:rPr>
                <w:sz w:val="20"/>
                <w:szCs w:val="20"/>
                <w:color w:val="auto"/>
              </w:rPr>
            </w:pPr>
            <w:r>
              <w:rPr>
                <w:rFonts w:ascii="Arial" w:cs="Arial" w:eastAsia="Arial" w:hAnsi="Arial"/>
                <w:sz w:val="12"/>
                <w:szCs w:val="12"/>
                <w:color w:val="auto"/>
              </w:rPr>
              <w:t>Dennis Sadlowski</w:t>
            </w: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5/12/2016</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4,414</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29,795</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6/10/2017</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15,674</w:t>
            </w:r>
            <w:r>
              <w:rPr>
                <w:rFonts w:ascii="Arial" w:cs="Arial" w:eastAsia="Arial" w:hAnsi="Arial"/>
                <w:sz w:val="9"/>
                <w:szCs w:val="9"/>
                <w:color w:val="auto"/>
              </w:rPr>
              <w:t>2</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105,800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30,000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202,500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70,000</w:t>
            </w:r>
            <w:r>
              <w:rPr>
                <w:rFonts w:ascii="Arial" w:cs="Arial" w:eastAsia="Arial" w:hAnsi="Arial"/>
                <w:sz w:val="9"/>
                <w:szCs w:val="9"/>
                <w:color w:val="auto"/>
              </w:rPr>
              <w:t>6</w:t>
            </w:r>
          </w:p>
        </w:tc>
        <w:tc>
          <w:tcPr>
            <w:tcW w:w="100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472,500</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6/10/2017</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29,167</w:t>
            </w:r>
            <w:r>
              <w:rPr>
                <w:rFonts w:ascii="Arial" w:cs="Arial" w:eastAsia="Arial" w:hAnsi="Arial"/>
                <w:sz w:val="9"/>
                <w:szCs w:val="9"/>
                <w:color w:val="auto"/>
              </w:rPr>
              <w:t>7</w:t>
            </w:r>
          </w:p>
        </w:tc>
        <w:tc>
          <w:tcPr>
            <w:tcW w:w="100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196,877</w:t>
            </w:r>
          </w:p>
        </w:tc>
        <w:tc>
          <w:tcPr>
            <w:tcW w:w="0" w:type="dxa"/>
            <w:vAlign w:val="bottom"/>
          </w:tcPr>
          <w:p>
            <w:pPr>
              <w:spacing w:after="0"/>
              <w:rPr>
                <w:sz w:val="1"/>
                <w:szCs w:val="1"/>
                <w:color w:val="auto"/>
              </w:rPr>
            </w:pPr>
          </w:p>
        </w:tc>
      </w:tr>
      <w:tr>
        <w:trPr>
          <w:trHeight w:val="135"/>
        </w:trPr>
        <w:tc>
          <w:tcPr>
            <w:tcW w:w="2400" w:type="dxa"/>
            <w:vAlign w:val="bottom"/>
            <w:shd w:val="clear" w:color="auto" w:fill="D2DEA7"/>
          </w:tcPr>
          <w:p>
            <w:pPr>
              <w:ind w:left="200"/>
              <w:spacing w:after="0" w:line="135" w:lineRule="exact"/>
              <w:rPr>
                <w:sz w:val="20"/>
                <w:szCs w:val="20"/>
                <w:color w:val="auto"/>
              </w:rPr>
            </w:pPr>
            <w:r>
              <w:rPr>
                <w:rFonts w:ascii="Arial" w:cs="Arial" w:eastAsia="Arial" w:hAnsi="Arial"/>
                <w:sz w:val="12"/>
                <w:szCs w:val="12"/>
                <w:color w:val="auto"/>
              </w:rPr>
              <w:t>Matthew Eckl</w:t>
            </w:r>
          </w:p>
        </w:tc>
        <w:tc>
          <w:tcPr>
            <w:tcW w:w="820" w:type="dxa"/>
            <w:vAlign w:val="bottom"/>
            <w:shd w:val="clear" w:color="auto" w:fill="D2DEA7"/>
          </w:tcPr>
          <w:p>
            <w:pPr>
              <w:jc w:val="right"/>
              <w:ind w:right="101"/>
              <w:spacing w:after="0" w:line="135" w:lineRule="exact"/>
              <w:rPr>
                <w:sz w:val="20"/>
                <w:szCs w:val="20"/>
                <w:color w:val="auto"/>
              </w:rPr>
            </w:pPr>
            <w:r>
              <w:rPr>
                <w:rFonts w:ascii="Arial" w:cs="Arial" w:eastAsia="Arial" w:hAnsi="Arial"/>
                <w:sz w:val="12"/>
                <w:szCs w:val="12"/>
                <w:color w:val="auto"/>
              </w:rPr>
              <w:t>1/11/2017</w:t>
            </w:r>
          </w:p>
        </w:tc>
        <w:tc>
          <w:tcPr>
            <w:tcW w:w="98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12,000</w:t>
            </w:r>
            <w:r>
              <w:rPr>
                <w:rFonts w:ascii="Arial" w:cs="Arial" w:eastAsia="Arial" w:hAnsi="Arial"/>
                <w:sz w:val="9"/>
                <w:szCs w:val="9"/>
                <w:color w:val="auto"/>
              </w:rPr>
              <w:t>3</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81,000</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D2DEA7"/>
          </w:tcPr>
          <w:p>
            <w:pPr>
              <w:spacing w:after="0"/>
              <w:rPr>
                <w:sz w:val="11"/>
                <w:szCs w:val="11"/>
                <w:color w:val="auto"/>
              </w:rPr>
            </w:pPr>
          </w:p>
        </w:tc>
        <w:tc>
          <w:tcPr>
            <w:tcW w:w="820" w:type="dxa"/>
            <w:vAlign w:val="bottom"/>
            <w:shd w:val="clear" w:color="auto" w:fill="D2DEA7"/>
          </w:tcPr>
          <w:p>
            <w:pPr>
              <w:jc w:val="right"/>
              <w:ind w:right="101"/>
              <w:spacing w:after="0" w:line="135" w:lineRule="exact"/>
              <w:rPr>
                <w:sz w:val="20"/>
                <w:szCs w:val="20"/>
                <w:color w:val="auto"/>
              </w:rPr>
            </w:pPr>
            <w:r>
              <w:rPr>
                <w:rFonts w:ascii="Arial" w:cs="Arial" w:eastAsia="Arial" w:hAnsi="Arial"/>
                <w:sz w:val="12"/>
                <w:szCs w:val="12"/>
                <w:color w:val="auto"/>
              </w:rPr>
              <w:t>1/11/2017</w:t>
            </w:r>
          </w:p>
        </w:tc>
        <w:tc>
          <w:tcPr>
            <w:tcW w:w="98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5,500</w:t>
            </w:r>
            <w:r>
              <w:rPr>
                <w:rFonts w:ascii="Arial" w:cs="Arial" w:eastAsia="Arial" w:hAnsi="Arial"/>
                <w:sz w:val="9"/>
                <w:szCs w:val="9"/>
                <w:color w:val="auto"/>
              </w:rPr>
              <w:t>4</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37,125</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D2DEA7"/>
          </w:tcPr>
          <w:p>
            <w:pPr>
              <w:spacing w:after="0"/>
              <w:rPr>
                <w:sz w:val="11"/>
                <w:szCs w:val="11"/>
                <w:color w:val="auto"/>
              </w:rPr>
            </w:pPr>
          </w:p>
        </w:tc>
        <w:tc>
          <w:tcPr>
            <w:tcW w:w="820" w:type="dxa"/>
            <w:vAlign w:val="bottom"/>
            <w:shd w:val="clear" w:color="auto" w:fill="D2DEA7"/>
          </w:tcPr>
          <w:p>
            <w:pPr>
              <w:jc w:val="right"/>
              <w:ind w:right="101"/>
              <w:spacing w:after="0" w:line="135" w:lineRule="exact"/>
              <w:rPr>
                <w:sz w:val="20"/>
                <w:szCs w:val="20"/>
                <w:color w:val="auto"/>
              </w:rPr>
            </w:pPr>
            <w:r>
              <w:rPr>
                <w:rFonts w:ascii="Arial" w:cs="Arial" w:eastAsia="Arial" w:hAnsi="Arial"/>
                <w:sz w:val="12"/>
                <w:szCs w:val="12"/>
                <w:color w:val="auto"/>
              </w:rPr>
              <w:t>2/12/2018</w:t>
            </w:r>
          </w:p>
        </w:tc>
        <w:tc>
          <w:tcPr>
            <w:tcW w:w="98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20,000</w:t>
            </w:r>
            <w:r>
              <w:rPr>
                <w:rFonts w:ascii="Arial" w:cs="Arial" w:eastAsia="Arial" w:hAnsi="Arial"/>
                <w:sz w:val="9"/>
                <w:szCs w:val="9"/>
                <w:color w:val="auto"/>
              </w:rPr>
              <w:t>3</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135,000</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D2DEA7"/>
          </w:tcPr>
          <w:p>
            <w:pPr>
              <w:spacing w:after="0"/>
              <w:rPr>
                <w:sz w:val="11"/>
                <w:szCs w:val="11"/>
                <w:color w:val="auto"/>
              </w:rPr>
            </w:pPr>
          </w:p>
        </w:tc>
        <w:tc>
          <w:tcPr>
            <w:tcW w:w="820" w:type="dxa"/>
            <w:vAlign w:val="bottom"/>
            <w:shd w:val="clear" w:color="auto" w:fill="D2DEA7"/>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100"/>
              <w:spacing w:after="0" w:line="135" w:lineRule="exact"/>
              <w:rPr>
                <w:sz w:val="20"/>
                <w:szCs w:val="20"/>
                <w:color w:val="auto"/>
              </w:rPr>
            </w:pPr>
            <w:r>
              <w:rPr>
                <w:rFonts w:ascii="Arial" w:cs="Arial" w:eastAsia="Arial" w:hAnsi="Arial"/>
                <w:sz w:val="12"/>
                <w:szCs w:val="12"/>
                <w:color w:val="auto"/>
              </w:rPr>
              <w:t>5,000</w:t>
            </w:r>
          </w:p>
        </w:tc>
        <w:tc>
          <w:tcPr>
            <w:tcW w:w="980" w:type="dxa"/>
            <w:vAlign w:val="bottom"/>
            <w:shd w:val="clear" w:color="auto" w:fill="D2DEA7"/>
          </w:tcPr>
          <w:p>
            <w:pPr>
              <w:jc w:val="right"/>
              <w:ind w:right="80"/>
              <w:spacing w:after="0" w:line="135" w:lineRule="exact"/>
              <w:rPr>
                <w:sz w:val="20"/>
                <w:szCs w:val="20"/>
                <w:color w:val="auto"/>
              </w:rPr>
            </w:pPr>
            <w:r>
              <w:rPr>
                <w:rFonts w:ascii="Arial" w:cs="Arial" w:eastAsia="Arial" w:hAnsi="Arial"/>
                <w:sz w:val="12"/>
                <w:szCs w:val="12"/>
                <w:color w:val="auto"/>
              </w:rPr>
              <w:t>33,750</w:t>
            </w:r>
          </w:p>
        </w:tc>
        <w:tc>
          <w:tcPr>
            <w:tcW w:w="1000" w:type="dxa"/>
            <w:vAlign w:val="bottom"/>
            <w:shd w:val="clear" w:color="auto" w:fill="D2DEA7"/>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D2DEA7"/>
          </w:tcPr>
          <w:p>
            <w:pPr>
              <w:spacing w:after="0"/>
              <w:rPr>
                <w:sz w:val="11"/>
                <w:szCs w:val="11"/>
                <w:color w:val="auto"/>
              </w:rPr>
            </w:pPr>
          </w:p>
        </w:tc>
        <w:tc>
          <w:tcPr>
            <w:tcW w:w="820" w:type="dxa"/>
            <w:vAlign w:val="bottom"/>
            <w:shd w:val="clear" w:color="auto" w:fill="D2DEA7"/>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D2DEA7"/>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D2DEA7"/>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D2DEA7"/>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D2DEA7"/>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D2DEA7"/>
          </w:tcPr>
          <w:p>
            <w:pPr>
              <w:jc w:val="right"/>
              <w:ind w:right="60"/>
              <w:spacing w:after="0" w:line="135" w:lineRule="exact"/>
              <w:rPr>
                <w:sz w:val="20"/>
                <w:szCs w:val="20"/>
                <w:color w:val="auto"/>
              </w:rPr>
            </w:pPr>
            <w:r>
              <w:rPr>
                <w:rFonts w:ascii="Arial" w:cs="Arial" w:eastAsia="Arial" w:hAnsi="Arial"/>
                <w:sz w:val="12"/>
                <w:szCs w:val="12"/>
                <w:color w:val="auto"/>
              </w:rPr>
              <w:t>25,000</w:t>
            </w:r>
            <w:r>
              <w:rPr>
                <w:rFonts w:ascii="Arial" w:cs="Arial" w:eastAsia="Arial" w:hAnsi="Arial"/>
                <w:sz w:val="9"/>
                <w:szCs w:val="9"/>
                <w:color w:val="auto"/>
              </w:rPr>
              <w:t>6</w:t>
            </w:r>
          </w:p>
        </w:tc>
        <w:tc>
          <w:tcPr>
            <w:tcW w:w="1000" w:type="dxa"/>
            <w:vAlign w:val="bottom"/>
            <w:shd w:val="clear" w:color="auto" w:fill="D2DEA7"/>
          </w:tcPr>
          <w:p>
            <w:pPr>
              <w:jc w:val="right"/>
              <w:ind w:right="100"/>
              <w:spacing w:after="0" w:line="135" w:lineRule="exact"/>
              <w:rPr>
                <w:sz w:val="20"/>
                <w:szCs w:val="20"/>
                <w:color w:val="auto"/>
              </w:rPr>
            </w:pPr>
            <w:r>
              <w:rPr>
                <w:rFonts w:ascii="Arial" w:cs="Arial" w:eastAsia="Arial" w:hAnsi="Arial"/>
                <w:sz w:val="12"/>
                <w:szCs w:val="12"/>
                <w:color w:val="auto"/>
              </w:rPr>
              <w:t>168,750</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ind w:left="200"/>
              <w:spacing w:after="0" w:line="135" w:lineRule="exact"/>
              <w:rPr>
                <w:sz w:val="20"/>
                <w:szCs w:val="20"/>
                <w:color w:val="auto"/>
              </w:rPr>
            </w:pPr>
            <w:r>
              <w:rPr>
                <w:rFonts w:ascii="Arial" w:cs="Arial" w:eastAsia="Arial" w:hAnsi="Arial"/>
                <w:sz w:val="12"/>
                <w:szCs w:val="12"/>
                <w:color w:val="auto"/>
              </w:rPr>
              <w:t>Paul Gohr</w:t>
            </w: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10/1/2014</w:t>
            </w:r>
          </w:p>
        </w:tc>
        <w:tc>
          <w:tcPr>
            <w:tcW w:w="98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2,000</w:t>
            </w:r>
          </w:p>
        </w:tc>
        <w:tc>
          <w:tcPr>
            <w:tcW w:w="1160" w:type="dxa"/>
            <w:vAlign w:val="bottom"/>
            <w:shd w:val="clear" w:color="auto" w:fill="E8EED3"/>
          </w:tcPr>
          <w:p>
            <w:pPr>
              <w:jc w:val="right"/>
              <w:ind w:right="40"/>
              <w:spacing w:after="0" w:line="135" w:lineRule="exact"/>
              <w:rPr>
                <w:sz w:val="20"/>
                <w:szCs w:val="20"/>
                <w:color w:val="auto"/>
              </w:rPr>
            </w:pPr>
            <w:r>
              <w:rPr>
                <w:rFonts w:ascii="Arial" w:cs="Arial" w:eastAsia="Arial" w:hAnsi="Arial"/>
                <w:sz w:val="12"/>
                <w:szCs w:val="12"/>
                <w:color w:val="auto"/>
              </w:rPr>
              <w:t>500</w:t>
            </w:r>
            <w:r>
              <w:rPr>
                <w:rFonts w:ascii="Arial" w:cs="Arial" w:eastAsia="Arial" w:hAnsi="Arial"/>
                <w:sz w:val="9"/>
                <w:szCs w:val="9"/>
                <w:color w:val="auto"/>
              </w:rPr>
              <w:t>8</w:t>
            </w:r>
          </w:p>
        </w:tc>
        <w:tc>
          <w:tcPr>
            <w:tcW w:w="76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13.08</w:t>
            </w:r>
          </w:p>
        </w:tc>
        <w:tc>
          <w:tcPr>
            <w:tcW w:w="88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10/1/19</w:t>
            </w:r>
          </w:p>
        </w:tc>
        <w:tc>
          <w:tcPr>
            <w:tcW w:w="102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9/4/2015</w:t>
            </w:r>
          </w:p>
        </w:tc>
        <w:tc>
          <w:tcPr>
            <w:tcW w:w="98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3,000</w:t>
            </w:r>
          </w:p>
        </w:tc>
        <w:tc>
          <w:tcPr>
            <w:tcW w:w="1160" w:type="dxa"/>
            <w:vAlign w:val="bottom"/>
            <w:shd w:val="clear" w:color="auto" w:fill="E8EED3"/>
          </w:tcPr>
          <w:p>
            <w:pPr>
              <w:jc w:val="right"/>
              <w:ind w:right="40"/>
              <w:spacing w:after="0" w:line="135" w:lineRule="exact"/>
              <w:rPr>
                <w:sz w:val="20"/>
                <w:szCs w:val="20"/>
                <w:color w:val="auto"/>
              </w:rPr>
            </w:pPr>
            <w:r>
              <w:rPr>
                <w:rFonts w:ascii="Arial" w:cs="Arial" w:eastAsia="Arial" w:hAnsi="Arial"/>
                <w:sz w:val="12"/>
                <w:szCs w:val="12"/>
                <w:color w:val="auto"/>
              </w:rPr>
              <w:t>1,000</w:t>
            </w:r>
            <w:r>
              <w:rPr>
                <w:rFonts w:ascii="Arial" w:cs="Arial" w:eastAsia="Arial" w:hAnsi="Arial"/>
                <w:sz w:val="9"/>
                <w:szCs w:val="9"/>
                <w:color w:val="auto"/>
              </w:rPr>
              <w:t>9</w:t>
            </w:r>
          </w:p>
        </w:tc>
        <w:tc>
          <w:tcPr>
            <w:tcW w:w="76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9.44</w:t>
            </w:r>
          </w:p>
        </w:tc>
        <w:tc>
          <w:tcPr>
            <w:tcW w:w="880" w:type="dxa"/>
            <w:vAlign w:val="bottom"/>
            <w:shd w:val="clear" w:color="auto" w:fill="E8EED3"/>
          </w:tcPr>
          <w:p>
            <w:pPr>
              <w:jc w:val="right"/>
              <w:ind w:right="61"/>
              <w:spacing w:after="0" w:line="135" w:lineRule="exact"/>
              <w:rPr>
                <w:sz w:val="20"/>
                <w:szCs w:val="20"/>
                <w:color w:val="auto"/>
              </w:rPr>
            </w:pPr>
            <w:r>
              <w:rPr>
                <w:rFonts w:ascii="Arial" w:cs="Arial" w:eastAsia="Arial" w:hAnsi="Arial"/>
                <w:sz w:val="12"/>
                <w:szCs w:val="12"/>
                <w:color w:val="auto"/>
              </w:rPr>
              <w:t>9/4/19</w:t>
            </w:r>
          </w:p>
        </w:tc>
        <w:tc>
          <w:tcPr>
            <w:tcW w:w="102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9/4/2015</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1,000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6,750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9/8/2016</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1,800</w:t>
            </w:r>
            <w:r>
              <w:rPr>
                <w:rFonts w:ascii="Arial" w:cs="Arial" w:eastAsia="Arial" w:hAnsi="Arial"/>
                <w:sz w:val="9"/>
                <w:szCs w:val="9"/>
                <w:color w:val="auto"/>
              </w:rPr>
              <w:t>3</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12,150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5/16/2017</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4,095</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27,641</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10,000</w:t>
            </w:r>
          </w:p>
        </w:tc>
        <w:tc>
          <w:tcPr>
            <w:tcW w:w="980" w:type="dxa"/>
            <w:vAlign w:val="bottom"/>
            <w:shd w:val="clear" w:color="auto" w:fill="E8EED3"/>
          </w:tcPr>
          <w:p>
            <w:pPr>
              <w:jc w:val="right"/>
              <w:ind w:right="80"/>
              <w:spacing w:after="0" w:line="135" w:lineRule="exact"/>
              <w:rPr>
                <w:sz w:val="20"/>
                <w:szCs w:val="20"/>
                <w:color w:val="auto"/>
              </w:rPr>
            </w:pPr>
            <w:r>
              <w:rPr>
                <w:rFonts w:ascii="Arial" w:cs="Arial" w:eastAsia="Arial" w:hAnsi="Arial"/>
                <w:sz w:val="12"/>
                <w:szCs w:val="12"/>
                <w:color w:val="auto"/>
              </w:rPr>
              <w:t>67,500</w:t>
            </w:r>
          </w:p>
        </w:tc>
        <w:tc>
          <w:tcPr>
            <w:tcW w:w="1000" w:type="dxa"/>
            <w:vAlign w:val="bottom"/>
            <w:shd w:val="clear" w:color="auto" w:fill="E8EED3"/>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E8EED3"/>
          </w:tcPr>
          <w:p>
            <w:pPr>
              <w:spacing w:after="0"/>
              <w:rPr>
                <w:sz w:val="11"/>
                <w:szCs w:val="11"/>
                <w:color w:val="auto"/>
              </w:rPr>
            </w:pPr>
          </w:p>
        </w:tc>
        <w:tc>
          <w:tcPr>
            <w:tcW w:w="820" w:type="dxa"/>
            <w:vAlign w:val="bottom"/>
            <w:shd w:val="clear" w:color="auto" w:fill="E8EED3"/>
          </w:tcPr>
          <w:p>
            <w:pPr>
              <w:jc w:val="right"/>
              <w:ind w:right="101"/>
              <w:spacing w:after="0" w:line="135" w:lineRule="exact"/>
              <w:rPr>
                <w:sz w:val="20"/>
                <w:szCs w:val="20"/>
                <w:color w:val="auto"/>
              </w:rPr>
            </w:pPr>
            <w:r>
              <w:rPr>
                <w:rFonts w:ascii="Arial" w:cs="Arial" w:eastAsia="Arial" w:hAnsi="Arial"/>
                <w:sz w:val="12"/>
                <w:szCs w:val="12"/>
                <w:color w:val="auto"/>
              </w:rPr>
              <w:t>4/19/2018</w:t>
            </w:r>
          </w:p>
        </w:tc>
        <w:tc>
          <w:tcPr>
            <w:tcW w:w="980" w:type="dxa"/>
            <w:vAlign w:val="bottom"/>
            <w:shd w:val="clear" w:color="auto" w:fill="E8EED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880" w:type="dxa"/>
            <w:vAlign w:val="bottom"/>
            <w:shd w:val="clear" w:color="auto" w:fill="E8EED3"/>
          </w:tcPr>
          <w:p>
            <w:pPr>
              <w:jc w:val="right"/>
              <w:ind w:right="141"/>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E8EED3"/>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80" w:type="dxa"/>
            <w:vAlign w:val="bottom"/>
            <w:shd w:val="clear" w:color="auto" w:fill="E8EED3"/>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0" w:type="dxa"/>
            <w:vAlign w:val="bottom"/>
            <w:shd w:val="clear" w:color="auto" w:fill="E8EED3"/>
          </w:tcPr>
          <w:p>
            <w:pPr>
              <w:jc w:val="right"/>
              <w:ind w:right="60"/>
              <w:spacing w:after="0" w:line="135" w:lineRule="exact"/>
              <w:rPr>
                <w:sz w:val="20"/>
                <w:szCs w:val="20"/>
                <w:color w:val="auto"/>
              </w:rPr>
            </w:pPr>
            <w:r>
              <w:rPr>
                <w:rFonts w:ascii="Arial" w:cs="Arial" w:eastAsia="Arial" w:hAnsi="Arial"/>
                <w:sz w:val="12"/>
                <w:szCs w:val="12"/>
                <w:color w:val="auto"/>
              </w:rPr>
              <w:t>7,500</w:t>
            </w:r>
            <w:r>
              <w:rPr>
                <w:rFonts w:ascii="Arial" w:cs="Arial" w:eastAsia="Arial" w:hAnsi="Arial"/>
                <w:sz w:val="9"/>
                <w:szCs w:val="9"/>
                <w:color w:val="auto"/>
              </w:rPr>
              <w:t>6</w:t>
            </w:r>
          </w:p>
        </w:tc>
        <w:tc>
          <w:tcPr>
            <w:tcW w:w="1000" w:type="dxa"/>
            <w:vAlign w:val="bottom"/>
            <w:shd w:val="clear" w:color="auto" w:fill="E8EED3"/>
          </w:tcPr>
          <w:p>
            <w:pPr>
              <w:jc w:val="right"/>
              <w:ind w:right="100"/>
              <w:spacing w:after="0" w:line="135" w:lineRule="exact"/>
              <w:rPr>
                <w:sz w:val="20"/>
                <w:szCs w:val="20"/>
                <w:color w:val="auto"/>
              </w:rPr>
            </w:pPr>
            <w:r>
              <w:rPr>
                <w:rFonts w:ascii="Arial" w:cs="Arial" w:eastAsia="Arial" w:hAnsi="Arial"/>
                <w:sz w:val="12"/>
                <w:szCs w:val="12"/>
                <w:color w:val="auto"/>
              </w:rPr>
              <w:t>50,625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-2757805</wp:posOffset>
            </wp:positionV>
            <wp:extent cx="5456555" cy="2758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56555" cy="2758440"/>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unvested RSUs, which RSUs generally vest in four equal annual installments commencing one year after the grant date, except as otherwise indicated.</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RSUs generally vest in three equal annual installments commencing one year after the grant date.</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RSUs generally vest in five equal annual installments commencing one year after the grant date.</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RSUs generally vest in two equal annual installments commencing one year after the grant date.</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market value of the awards based on the closing share price of our common stock on December 31, 2018 of $6.75.</w:t>
      </w:r>
    </w:p>
    <w:p>
      <w:pPr>
        <w:spacing w:after="0" w:line="122" w:lineRule="exact"/>
        <w:rPr>
          <w:rFonts w:ascii="Arial" w:cs="Arial" w:eastAsia="Arial" w:hAnsi="Arial"/>
          <w:sz w:val="14"/>
          <w:szCs w:val="14"/>
          <w:color w:val="auto"/>
        </w:rPr>
      </w:pPr>
    </w:p>
    <w:p>
      <w:pPr>
        <w:ind w:left="540" w:right="140" w:hanging="330"/>
        <w:spacing w:after="0" w:line="257"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PRSUs generally vest on March 15, 2021 based on the extent to which the applicable performance target is met. See “Compensation Discussion and Analysis” above for more information about these awards.</w:t>
      </w:r>
    </w:p>
    <w:p>
      <w:pPr>
        <w:spacing w:after="0" w:line="100" w:lineRule="exact"/>
        <w:rPr>
          <w:rFonts w:ascii="Arial" w:cs="Arial" w:eastAsia="Arial" w:hAnsi="Arial"/>
          <w:sz w:val="14"/>
          <w:szCs w:val="14"/>
          <w:color w:val="auto"/>
        </w:rPr>
      </w:pPr>
    </w:p>
    <w:p>
      <w:pPr>
        <w:ind w:left="540" w:right="340" w:hanging="330"/>
        <w:spacing w:after="0" w:line="257"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threshold number of performance units that could be earned to the extent stock price goals for a two-year period ending June 10, 2020 are met. To the extent earned, the performance units generally vest on the third anniversary of the grant date.</w:t>
      </w:r>
    </w:p>
    <w:p>
      <w:pPr>
        <w:spacing w:after="0" w:line="100"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Options generally vest in five equal installments commencing one year after the grant date.</w:t>
      </w:r>
    </w:p>
    <w:p>
      <w:pPr>
        <w:spacing w:after="0" w:line="122" w:lineRule="exact"/>
        <w:rPr>
          <w:rFonts w:ascii="Arial" w:cs="Arial" w:eastAsia="Arial" w:hAnsi="Arial"/>
          <w:sz w:val="14"/>
          <w:szCs w:val="14"/>
          <w:color w:val="auto"/>
        </w:rPr>
      </w:pPr>
    </w:p>
    <w:p>
      <w:pPr>
        <w:ind w:left="540" w:hanging="330"/>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Options generally vest in four equal installments commencing one year after the grant date.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2018 Option Exercises and Stock Vested</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920" w:type="dxa"/>
            <w:vAlign w:val="bottom"/>
            <w:shd w:val="clear" w:color="auto" w:fill="41659C"/>
          </w:tcPr>
          <w:p>
            <w:pPr>
              <w:spacing w:after="0"/>
              <w:rPr>
                <w:sz w:val="12"/>
                <w:szCs w:val="12"/>
                <w:color w:val="auto"/>
              </w:rPr>
            </w:pPr>
          </w:p>
        </w:tc>
        <w:tc>
          <w:tcPr>
            <w:tcW w:w="3300" w:type="dxa"/>
            <w:vAlign w:val="bottom"/>
            <w:gridSpan w:val="2"/>
            <w:shd w:val="clear" w:color="auto" w:fill="41659C"/>
          </w:tcPr>
          <w:p>
            <w:pPr>
              <w:ind w:left="1120"/>
              <w:spacing w:after="0"/>
              <w:rPr>
                <w:sz w:val="20"/>
                <w:szCs w:val="20"/>
                <w:color w:val="auto"/>
              </w:rPr>
            </w:pPr>
            <w:r>
              <w:rPr>
                <w:rFonts w:ascii="Arial" w:cs="Arial" w:eastAsia="Arial" w:hAnsi="Arial"/>
                <w:sz w:val="13"/>
                <w:szCs w:val="13"/>
                <w:b w:val="1"/>
                <w:bCs w:val="1"/>
                <w:color w:val="FFFFFF"/>
              </w:rPr>
              <w:t xml:space="preserve">Option Awards </w:t>
            </w:r>
            <w:r>
              <w:rPr>
                <w:rFonts w:ascii="Arial" w:cs="Arial" w:eastAsia="Arial" w:hAnsi="Arial"/>
                <w:sz w:val="10"/>
                <w:szCs w:val="10"/>
                <w:b w:val="1"/>
                <w:bCs w:val="1"/>
                <w:color w:val="FFFFFF"/>
              </w:rPr>
              <w:t>(1)</w:t>
            </w:r>
          </w:p>
        </w:tc>
        <w:tc>
          <w:tcPr>
            <w:tcW w:w="3780" w:type="dxa"/>
            <w:vAlign w:val="bottom"/>
            <w:gridSpan w:val="2"/>
            <w:shd w:val="clear" w:color="auto" w:fill="41659C"/>
          </w:tcPr>
          <w:p>
            <w:pPr>
              <w:jc w:val="right"/>
              <w:ind w:right="1389"/>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126"/>
        </w:trPr>
        <w:tc>
          <w:tcPr>
            <w:tcW w:w="3920" w:type="dxa"/>
            <w:vAlign w:val="bottom"/>
            <w:shd w:val="clear" w:color="auto" w:fill="41659C"/>
          </w:tcPr>
          <w:p>
            <w:pPr>
              <w:spacing w:after="0"/>
              <w:rPr>
                <w:sz w:val="10"/>
                <w:szCs w:val="10"/>
                <w:color w:val="auto"/>
              </w:rPr>
            </w:pPr>
          </w:p>
        </w:tc>
        <w:tc>
          <w:tcPr>
            <w:tcW w:w="1500" w:type="dxa"/>
            <w:vAlign w:val="bottom"/>
            <w:shd w:val="clear" w:color="auto" w:fill="41659C"/>
          </w:tcPr>
          <w:p>
            <w:pPr>
              <w:jc w:val="center"/>
              <w:spacing w:after="0" w:line="126" w:lineRule="exact"/>
              <w:rPr>
                <w:sz w:val="20"/>
                <w:szCs w:val="20"/>
                <w:color w:val="auto"/>
              </w:rPr>
            </w:pPr>
            <w:r>
              <w:rPr>
                <w:rFonts w:ascii="Arial" w:cs="Arial" w:eastAsia="Arial" w:hAnsi="Arial"/>
                <w:sz w:val="13"/>
                <w:szCs w:val="13"/>
                <w:b w:val="1"/>
                <w:bCs w:val="1"/>
                <w:color w:val="FFFFFF"/>
                <w:w w:val="98"/>
              </w:rPr>
              <w:t>Number of Shares</w:t>
            </w:r>
          </w:p>
        </w:tc>
        <w:tc>
          <w:tcPr>
            <w:tcW w:w="1800" w:type="dxa"/>
            <w:vAlign w:val="bottom"/>
            <w:shd w:val="clear" w:color="auto" w:fill="41659C"/>
          </w:tcPr>
          <w:p>
            <w:pPr>
              <w:spacing w:after="0"/>
              <w:rPr>
                <w:sz w:val="10"/>
                <w:szCs w:val="10"/>
                <w:color w:val="auto"/>
              </w:rPr>
            </w:pPr>
          </w:p>
        </w:tc>
        <w:tc>
          <w:tcPr>
            <w:tcW w:w="2060" w:type="dxa"/>
            <w:vAlign w:val="bottom"/>
            <w:vMerge w:val="restart"/>
            <w:shd w:val="clear" w:color="auto" w:fill="41659C"/>
          </w:tcPr>
          <w:p>
            <w:pPr>
              <w:jc w:val="right"/>
              <w:ind w:right="30"/>
              <w:spacing w:after="0"/>
              <w:rPr>
                <w:sz w:val="20"/>
                <w:szCs w:val="20"/>
                <w:color w:val="auto"/>
              </w:rPr>
            </w:pPr>
            <w:r>
              <w:rPr>
                <w:rFonts w:ascii="Arial" w:cs="Arial" w:eastAsia="Arial" w:hAnsi="Arial"/>
                <w:sz w:val="13"/>
                <w:szCs w:val="13"/>
                <w:b w:val="1"/>
                <w:bCs w:val="1"/>
                <w:color w:val="FFFFFF"/>
              </w:rPr>
              <w:t>Number of Shares Acquired on</w:t>
            </w:r>
          </w:p>
        </w:tc>
        <w:tc>
          <w:tcPr>
            <w:tcW w:w="1720" w:type="dxa"/>
            <w:vAlign w:val="bottom"/>
            <w:shd w:val="clear" w:color="auto" w:fill="41659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920" w:type="dxa"/>
            <w:vAlign w:val="bottom"/>
            <w:shd w:val="clear" w:color="auto" w:fill="41659C"/>
          </w:tcPr>
          <w:p>
            <w:pPr>
              <w:spacing w:after="0"/>
              <w:rPr>
                <w:sz w:val="11"/>
                <w:szCs w:val="11"/>
                <w:color w:val="auto"/>
              </w:rPr>
            </w:pPr>
          </w:p>
        </w:tc>
        <w:tc>
          <w:tcPr>
            <w:tcW w:w="1500" w:type="dxa"/>
            <w:vAlign w:val="bottom"/>
            <w:shd w:val="clear" w:color="auto" w:fill="41659C"/>
          </w:tcPr>
          <w:p>
            <w:pPr>
              <w:jc w:val="center"/>
              <w:spacing w:after="0" w:line="130" w:lineRule="exact"/>
              <w:rPr>
                <w:sz w:val="20"/>
                <w:szCs w:val="20"/>
                <w:color w:val="auto"/>
              </w:rPr>
            </w:pPr>
            <w:r>
              <w:rPr>
                <w:rFonts w:ascii="Arial" w:cs="Arial" w:eastAsia="Arial" w:hAnsi="Arial"/>
                <w:sz w:val="13"/>
                <w:szCs w:val="13"/>
                <w:b w:val="1"/>
                <w:bCs w:val="1"/>
                <w:color w:val="FFFFFF"/>
                <w:w w:val="97"/>
              </w:rPr>
              <w:t>Acquired on Exercise</w:t>
            </w:r>
          </w:p>
        </w:tc>
        <w:tc>
          <w:tcPr>
            <w:tcW w:w="1800" w:type="dxa"/>
            <w:vAlign w:val="bottom"/>
            <w:shd w:val="clear" w:color="auto" w:fill="41659C"/>
          </w:tcPr>
          <w:p>
            <w:pPr>
              <w:jc w:val="center"/>
              <w:spacing w:after="0" w:line="130" w:lineRule="exact"/>
              <w:rPr>
                <w:sz w:val="20"/>
                <w:szCs w:val="20"/>
                <w:color w:val="auto"/>
              </w:rPr>
            </w:pPr>
            <w:r>
              <w:rPr>
                <w:rFonts w:ascii="Arial" w:cs="Arial" w:eastAsia="Arial" w:hAnsi="Arial"/>
                <w:sz w:val="13"/>
                <w:szCs w:val="13"/>
                <w:b w:val="1"/>
                <w:bCs w:val="1"/>
                <w:color w:val="FFFFFF"/>
                <w:w w:val="96"/>
              </w:rPr>
              <w:t>Value Realized on Exercise</w:t>
            </w:r>
          </w:p>
        </w:tc>
        <w:tc>
          <w:tcPr>
            <w:tcW w:w="2060" w:type="dxa"/>
            <w:vAlign w:val="bottom"/>
            <w:vMerge w:val="continue"/>
            <w:shd w:val="clear" w:color="auto" w:fill="41659C"/>
          </w:tcPr>
          <w:p>
            <w:pPr>
              <w:spacing w:after="0"/>
              <w:rPr>
                <w:sz w:val="11"/>
                <w:szCs w:val="11"/>
                <w:color w:val="auto"/>
              </w:rPr>
            </w:pPr>
          </w:p>
        </w:tc>
        <w:tc>
          <w:tcPr>
            <w:tcW w:w="1720" w:type="dxa"/>
            <w:vAlign w:val="bottom"/>
            <w:shd w:val="clear" w:color="auto" w:fill="41659C"/>
          </w:tcPr>
          <w:p>
            <w:pPr>
              <w:jc w:val="right"/>
              <w:ind w:right="9"/>
              <w:spacing w:after="0" w:line="130" w:lineRule="exact"/>
              <w:rPr>
                <w:sz w:val="20"/>
                <w:szCs w:val="20"/>
                <w:color w:val="auto"/>
              </w:rPr>
            </w:pPr>
            <w:r>
              <w:rPr>
                <w:rFonts w:ascii="Arial" w:cs="Arial" w:eastAsia="Arial" w:hAnsi="Arial"/>
                <w:sz w:val="13"/>
                <w:szCs w:val="13"/>
                <w:b w:val="1"/>
                <w:bCs w:val="1"/>
                <w:color w:val="FFFFFF"/>
              </w:rPr>
              <w:t>Value Realized on Vesting</w:t>
            </w:r>
          </w:p>
        </w:tc>
        <w:tc>
          <w:tcPr>
            <w:tcW w:w="0" w:type="dxa"/>
            <w:vAlign w:val="bottom"/>
          </w:tcPr>
          <w:p>
            <w:pPr>
              <w:spacing w:after="0"/>
              <w:rPr>
                <w:sz w:val="1"/>
                <w:szCs w:val="1"/>
                <w:color w:val="auto"/>
              </w:rPr>
            </w:pPr>
          </w:p>
        </w:tc>
      </w:tr>
      <w:tr>
        <w:trPr>
          <w:trHeight w:val="162"/>
        </w:trPr>
        <w:tc>
          <w:tcPr>
            <w:tcW w:w="3920" w:type="dxa"/>
            <w:vAlign w:val="bottom"/>
            <w:shd w:val="clear" w:color="auto" w:fill="41659C"/>
          </w:tcPr>
          <w:p>
            <w:pPr>
              <w:ind w:left="200"/>
              <w:spacing w:after="0"/>
              <w:rPr>
                <w:sz w:val="20"/>
                <w:szCs w:val="20"/>
                <w:color w:val="auto"/>
              </w:rPr>
            </w:pPr>
            <w:r>
              <w:rPr>
                <w:rFonts w:ascii="Arial" w:cs="Arial" w:eastAsia="Arial" w:hAnsi="Arial"/>
                <w:sz w:val="13"/>
                <w:szCs w:val="13"/>
                <w:b w:val="1"/>
                <w:bCs w:val="1"/>
                <w:color w:val="FFFFFF"/>
              </w:rPr>
              <w:t>Name</w:t>
            </w:r>
          </w:p>
        </w:tc>
        <w:tc>
          <w:tcPr>
            <w:tcW w:w="1500" w:type="dxa"/>
            <w:vAlign w:val="bottom"/>
            <w:shd w:val="clear" w:color="auto" w:fill="41659C"/>
          </w:tcPr>
          <w:p>
            <w:pPr>
              <w:jc w:val="center"/>
              <w:spacing w:after="0"/>
              <w:rPr>
                <w:sz w:val="20"/>
                <w:szCs w:val="20"/>
                <w:color w:val="auto"/>
              </w:rPr>
            </w:pPr>
            <w:r>
              <w:rPr>
                <w:rFonts w:ascii="Arial" w:cs="Arial" w:eastAsia="Arial" w:hAnsi="Arial"/>
                <w:sz w:val="13"/>
                <w:szCs w:val="13"/>
                <w:b w:val="1"/>
                <w:bCs w:val="1"/>
                <w:color w:val="FFFFFF"/>
                <w:w w:val="87"/>
              </w:rPr>
              <w:t>(#)</w:t>
            </w:r>
          </w:p>
        </w:tc>
        <w:tc>
          <w:tcPr>
            <w:tcW w:w="1800" w:type="dxa"/>
            <w:vAlign w:val="bottom"/>
            <w:shd w:val="clear" w:color="auto" w:fill="41659C"/>
          </w:tcPr>
          <w:p>
            <w:pPr>
              <w:jc w:val="right"/>
              <w:ind w:right="749"/>
              <w:spacing w:after="0"/>
              <w:rPr>
                <w:sz w:val="20"/>
                <w:szCs w:val="20"/>
                <w:color w:val="auto"/>
              </w:rPr>
            </w:pPr>
            <w:r>
              <w:rPr>
                <w:rFonts w:ascii="Arial" w:cs="Arial" w:eastAsia="Arial" w:hAnsi="Arial"/>
                <w:sz w:val="13"/>
                <w:szCs w:val="13"/>
                <w:b w:val="1"/>
                <w:bCs w:val="1"/>
                <w:color w:val="FFFFFF"/>
              </w:rPr>
              <w:t>($)</w:t>
            </w:r>
          </w:p>
        </w:tc>
        <w:tc>
          <w:tcPr>
            <w:tcW w:w="2060" w:type="dxa"/>
            <w:vAlign w:val="bottom"/>
            <w:shd w:val="clear" w:color="auto" w:fill="41659C"/>
          </w:tcPr>
          <w:p>
            <w:pPr>
              <w:jc w:val="right"/>
              <w:ind w:right="650"/>
              <w:spacing w:after="0"/>
              <w:rPr>
                <w:sz w:val="20"/>
                <w:szCs w:val="20"/>
                <w:color w:val="auto"/>
              </w:rPr>
            </w:pPr>
            <w:r>
              <w:rPr>
                <w:rFonts w:ascii="Arial" w:cs="Arial" w:eastAsia="Arial" w:hAnsi="Arial"/>
                <w:sz w:val="13"/>
                <w:szCs w:val="13"/>
                <w:b w:val="1"/>
                <w:bCs w:val="1"/>
                <w:color w:val="FFFFFF"/>
              </w:rPr>
              <w:t>Vesting (#)</w:t>
            </w:r>
          </w:p>
        </w:tc>
        <w:tc>
          <w:tcPr>
            <w:tcW w:w="1720" w:type="dxa"/>
            <w:vAlign w:val="bottom"/>
            <w:shd w:val="clear" w:color="auto" w:fill="41659C"/>
          </w:tcPr>
          <w:p>
            <w:pPr>
              <w:jc w:val="right"/>
              <w:ind w:right="649"/>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0"/>
                <w:szCs w:val="10"/>
                <w:b w:val="1"/>
                <w:bCs w:val="1"/>
                <w:color w:val="FFFFFF"/>
              </w:rPr>
              <w:t>(2)</w:t>
            </w: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1500" w:type="dxa"/>
            <w:vAlign w:val="bottom"/>
            <w:shd w:val="clear" w:color="auto" w:fill="E8EED3"/>
          </w:tcPr>
          <w:p>
            <w:pPr>
              <w:ind w:left="1160"/>
              <w:spacing w:after="0" w:line="162" w:lineRule="exact"/>
              <w:rPr>
                <w:sz w:val="20"/>
                <w:szCs w:val="20"/>
                <w:color w:val="auto"/>
              </w:rPr>
            </w:pPr>
            <w:r>
              <w:rPr>
                <w:rFonts w:ascii="Arial" w:cs="Arial" w:eastAsia="Arial" w:hAnsi="Arial"/>
                <w:sz w:val="15"/>
                <w:szCs w:val="15"/>
                <w:color w:val="auto"/>
              </w:rPr>
              <w:t>—</w:t>
            </w:r>
          </w:p>
        </w:tc>
        <w:tc>
          <w:tcPr>
            <w:tcW w:w="1800" w:type="dxa"/>
            <w:vAlign w:val="bottom"/>
            <w:shd w:val="clear" w:color="auto" w:fill="E8EED3"/>
          </w:tcPr>
          <w:p>
            <w:pPr>
              <w:ind w:left="1460"/>
              <w:spacing w:after="0" w:line="162" w:lineRule="exact"/>
              <w:rPr>
                <w:sz w:val="20"/>
                <w:szCs w:val="20"/>
                <w:color w:val="auto"/>
              </w:rPr>
            </w:pPr>
            <w:r>
              <w:rPr>
                <w:rFonts w:ascii="Arial" w:cs="Arial" w:eastAsia="Arial" w:hAnsi="Arial"/>
                <w:sz w:val="15"/>
                <w:szCs w:val="15"/>
                <w:color w:val="auto"/>
              </w:rPr>
              <w:t>—</w:t>
            </w:r>
          </w:p>
        </w:tc>
        <w:tc>
          <w:tcPr>
            <w:tcW w:w="2060" w:type="dxa"/>
            <w:vAlign w:val="bottom"/>
            <w:shd w:val="clear" w:color="auto" w:fill="E8EED3"/>
          </w:tcPr>
          <w:p>
            <w:pPr>
              <w:jc w:val="right"/>
              <w:ind w:right="30"/>
              <w:spacing w:after="0" w:line="162" w:lineRule="exact"/>
              <w:rPr>
                <w:sz w:val="20"/>
                <w:szCs w:val="20"/>
                <w:color w:val="auto"/>
              </w:rPr>
            </w:pPr>
            <w:r>
              <w:rPr>
                <w:rFonts w:ascii="Arial" w:cs="Arial" w:eastAsia="Arial" w:hAnsi="Arial"/>
                <w:sz w:val="15"/>
                <w:szCs w:val="15"/>
                <w:color w:val="auto"/>
              </w:rPr>
              <w:t>17,686</w:t>
            </w:r>
          </w:p>
        </w:tc>
        <w:tc>
          <w:tcPr>
            <w:tcW w:w="1720" w:type="dxa"/>
            <w:vAlign w:val="bottom"/>
            <w:shd w:val="clear" w:color="auto" w:fill="E8EED3"/>
          </w:tcPr>
          <w:p>
            <w:pPr>
              <w:jc w:val="right"/>
              <w:ind w:right="9"/>
              <w:spacing w:after="0" w:line="162" w:lineRule="exact"/>
              <w:rPr>
                <w:sz w:val="20"/>
                <w:szCs w:val="20"/>
                <w:color w:val="auto"/>
              </w:rPr>
            </w:pPr>
            <w:r>
              <w:rPr>
                <w:rFonts w:ascii="Arial" w:cs="Arial" w:eastAsia="Arial" w:hAnsi="Arial"/>
                <w:sz w:val="15"/>
                <w:szCs w:val="15"/>
                <w:color w:val="auto"/>
              </w:rPr>
              <w:t>110,317</w:t>
            </w:r>
          </w:p>
        </w:tc>
        <w:tc>
          <w:tcPr>
            <w:tcW w:w="0" w:type="dxa"/>
            <w:vAlign w:val="bottom"/>
          </w:tcPr>
          <w:p>
            <w:pPr>
              <w:spacing w:after="0"/>
              <w:rPr>
                <w:sz w:val="1"/>
                <w:szCs w:val="1"/>
                <w:color w:val="auto"/>
              </w:rPr>
            </w:pPr>
          </w:p>
        </w:tc>
      </w:tr>
      <w:tr>
        <w:trPr>
          <w:trHeight w:val="162"/>
        </w:trPr>
        <w:tc>
          <w:tcPr>
            <w:tcW w:w="392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1500" w:type="dxa"/>
            <w:vAlign w:val="bottom"/>
            <w:shd w:val="clear" w:color="auto" w:fill="D2DEA7"/>
          </w:tcPr>
          <w:p>
            <w:pPr>
              <w:ind w:left="1160"/>
              <w:spacing w:after="0" w:line="162" w:lineRule="exact"/>
              <w:rPr>
                <w:sz w:val="20"/>
                <w:szCs w:val="20"/>
                <w:color w:val="auto"/>
              </w:rPr>
            </w:pPr>
            <w:r>
              <w:rPr>
                <w:rFonts w:ascii="Arial" w:cs="Arial" w:eastAsia="Arial" w:hAnsi="Arial"/>
                <w:sz w:val="15"/>
                <w:szCs w:val="15"/>
                <w:color w:val="auto"/>
              </w:rPr>
              <w:t>—</w:t>
            </w:r>
          </w:p>
        </w:tc>
        <w:tc>
          <w:tcPr>
            <w:tcW w:w="1800" w:type="dxa"/>
            <w:vAlign w:val="bottom"/>
            <w:shd w:val="clear" w:color="auto" w:fill="D2DEA7"/>
          </w:tcPr>
          <w:p>
            <w:pPr>
              <w:ind w:left="1460"/>
              <w:spacing w:after="0" w:line="162" w:lineRule="exact"/>
              <w:rPr>
                <w:sz w:val="20"/>
                <w:szCs w:val="20"/>
                <w:color w:val="auto"/>
              </w:rPr>
            </w:pPr>
            <w:r>
              <w:rPr>
                <w:rFonts w:ascii="Arial" w:cs="Arial" w:eastAsia="Arial" w:hAnsi="Arial"/>
                <w:sz w:val="15"/>
                <w:szCs w:val="15"/>
                <w:color w:val="auto"/>
              </w:rPr>
              <w:t>—</w:t>
            </w:r>
          </w:p>
        </w:tc>
        <w:tc>
          <w:tcPr>
            <w:tcW w:w="2060" w:type="dxa"/>
            <w:vAlign w:val="bottom"/>
            <w:shd w:val="clear" w:color="auto" w:fill="D2DEA7"/>
          </w:tcPr>
          <w:p>
            <w:pPr>
              <w:jc w:val="right"/>
              <w:ind w:right="30"/>
              <w:spacing w:after="0" w:line="162" w:lineRule="exact"/>
              <w:rPr>
                <w:sz w:val="20"/>
                <w:szCs w:val="20"/>
                <w:color w:val="auto"/>
              </w:rPr>
            </w:pPr>
            <w:r>
              <w:rPr>
                <w:rFonts w:ascii="Arial" w:cs="Arial" w:eastAsia="Arial" w:hAnsi="Arial"/>
                <w:sz w:val="15"/>
                <w:szCs w:val="15"/>
                <w:color w:val="auto"/>
              </w:rPr>
              <w:t>8,500</w:t>
            </w:r>
          </w:p>
        </w:tc>
        <w:tc>
          <w:tcPr>
            <w:tcW w:w="1720" w:type="dxa"/>
            <w:vAlign w:val="bottom"/>
            <w:shd w:val="clear" w:color="auto" w:fill="D2DEA7"/>
          </w:tcPr>
          <w:p>
            <w:pPr>
              <w:jc w:val="right"/>
              <w:ind w:right="9"/>
              <w:spacing w:after="0" w:line="162" w:lineRule="exact"/>
              <w:rPr>
                <w:sz w:val="20"/>
                <w:szCs w:val="20"/>
                <w:color w:val="auto"/>
              </w:rPr>
            </w:pPr>
            <w:r>
              <w:rPr>
                <w:rFonts w:ascii="Arial" w:cs="Arial" w:eastAsia="Arial" w:hAnsi="Arial"/>
                <w:sz w:val="15"/>
                <w:szCs w:val="15"/>
                <w:color w:val="auto"/>
              </w:rPr>
              <w:t>44,965</w:t>
            </w:r>
          </w:p>
        </w:tc>
        <w:tc>
          <w:tcPr>
            <w:tcW w:w="0" w:type="dxa"/>
            <w:vAlign w:val="bottom"/>
          </w:tcPr>
          <w:p>
            <w:pPr>
              <w:spacing w:after="0"/>
              <w:rPr>
                <w:sz w:val="1"/>
                <w:szCs w:val="1"/>
                <w:color w:val="auto"/>
              </w:rPr>
            </w:pPr>
          </w:p>
        </w:tc>
      </w:tr>
      <w:tr>
        <w:trPr>
          <w:trHeight w:val="162"/>
        </w:trPr>
        <w:tc>
          <w:tcPr>
            <w:tcW w:w="392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1500" w:type="dxa"/>
            <w:vAlign w:val="bottom"/>
            <w:shd w:val="clear" w:color="auto" w:fill="E8EED3"/>
          </w:tcPr>
          <w:p>
            <w:pPr>
              <w:ind w:left="1160"/>
              <w:spacing w:after="0" w:line="162" w:lineRule="exact"/>
              <w:rPr>
                <w:sz w:val="20"/>
                <w:szCs w:val="20"/>
                <w:color w:val="auto"/>
              </w:rPr>
            </w:pPr>
            <w:r>
              <w:rPr>
                <w:rFonts w:ascii="Arial" w:cs="Arial" w:eastAsia="Arial" w:hAnsi="Arial"/>
                <w:sz w:val="15"/>
                <w:szCs w:val="15"/>
                <w:color w:val="auto"/>
              </w:rPr>
              <w:t>—</w:t>
            </w:r>
          </w:p>
        </w:tc>
        <w:tc>
          <w:tcPr>
            <w:tcW w:w="1800" w:type="dxa"/>
            <w:vAlign w:val="bottom"/>
            <w:shd w:val="clear" w:color="auto" w:fill="E8EED3"/>
          </w:tcPr>
          <w:p>
            <w:pPr>
              <w:ind w:left="1460"/>
              <w:spacing w:after="0" w:line="162" w:lineRule="exact"/>
              <w:rPr>
                <w:sz w:val="20"/>
                <w:szCs w:val="20"/>
                <w:color w:val="auto"/>
              </w:rPr>
            </w:pPr>
            <w:r>
              <w:rPr>
                <w:rFonts w:ascii="Arial" w:cs="Arial" w:eastAsia="Arial" w:hAnsi="Arial"/>
                <w:sz w:val="15"/>
                <w:szCs w:val="15"/>
                <w:color w:val="auto"/>
              </w:rPr>
              <w:t>—</w:t>
            </w:r>
          </w:p>
        </w:tc>
        <w:tc>
          <w:tcPr>
            <w:tcW w:w="2060" w:type="dxa"/>
            <w:vAlign w:val="bottom"/>
            <w:shd w:val="clear" w:color="auto" w:fill="E8EED3"/>
          </w:tcPr>
          <w:p>
            <w:pPr>
              <w:jc w:val="right"/>
              <w:ind w:right="30"/>
              <w:spacing w:after="0" w:line="162" w:lineRule="exact"/>
              <w:rPr>
                <w:sz w:val="20"/>
                <w:szCs w:val="20"/>
                <w:color w:val="auto"/>
              </w:rPr>
            </w:pPr>
            <w:r>
              <w:rPr>
                <w:rFonts w:ascii="Arial" w:cs="Arial" w:eastAsia="Arial" w:hAnsi="Arial"/>
                <w:sz w:val="15"/>
                <w:szCs w:val="15"/>
                <w:color w:val="auto"/>
              </w:rPr>
              <w:t>2,464</w:t>
            </w:r>
          </w:p>
        </w:tc>
        <w:tc>
          <w:tcPr>
            <w:tcW w:w="1720" w:type="dxa"/>
            <w:vAlign w:val="bottom"/>
            <w:shd w:val="clear" w:color="auto" w:fill="E8EED3"/>
          </w:tcPr>
          <w:p>
            <w:pPr>
              <w:jc w:val="right"/>
              <w:ind w:right="9"/>
              <w:spacing w:after="0" w:line="162" w:lineRule="exact"/>
              <w:rPr>
                <w:sz w:val="20"/>
                <w:szCs w:val="20"/>
                <w:color w:val="auto"/>
              </w:rPr>
            </w:pPr>
            <w:r>
              <w:rPr>
                <w:rFonts w:ascii="Arial" w:cs="Arial" w:eastAsia="Arial" w:hAnsi="Arial"/>
                <w:sz w:val="15"/>
                <w:szCs w:val="15"/>
                <w:color w:val="auto"/>
              </w:rPr>
              <w:t>17,803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-659130</wp:posOffset>
            </wp:positionV>
            <wp:extent cx="4445635" cy="659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45635" cy="659765"/>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stock options were exercised by any named executive officers in 2018.</w:t>
      </w:r>
    </w:p>
    <w:p>
      <w:pPr>
        <w:spacing w:after="0" w:line="122" w:lineRule="exact"/>
        <w:rPr>
          <w:rFonts w:ascii="Arial" w:cs="Arial" w:eastAsia="Arial" w:hAnsi="Arial"/>
          <w:sz w:val="14"/>
          <w:szCs w:val="14"/>
          <w:color w:val="auto"/>
        </w:rPr>
      </w:pPr>
    </w:p>
    <w:p>
      <w:pPr>
        <w:ind w:left="540" w:right="420" w:hanging="330"/>
        <w:spacing w:after="0" w:line="257"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reflect the number of shares acquired on vesting valued at the closing price of our common stock on the business day immediately preceding the date of vesting.</w:t>
      </w:r>
    </w:p>
    <w:p>
      <w:pPr>
        <w:spacing w:after="0" w:line="116" w:lineRule="exact"/>
        <w:rPr>
          <w:rFonts w:ascii="Arial" w:cs="Arial" w:eastAsia="Arial" w:hAnsi="Arial"/>
          <w:sz w:val="14"/>
          <w:szCs w:val="14"/>
          <w:color w:val="auto"/>
        </w:rPr>
      </w:pPr>
    </w:p>
    <w:p>
      <w:pPr>
        <w:ind w:left="5620" w:hanging="105"/>
        <w:spacing w:after="0"/>
        <w:tabs>
          <w:tab w:leader="none" w:pos="5620" w:val="left"/>
        </w:tabs>
        <w:numPr>
          <w:ilvl w:val="1"/>
          <w:numId w:val="21"/>
        </w:numPr>
        <w:rPr>
          <w:rFonts w:ascii="Arial" w:cs="Arial" w:eastAsia="Arial" w:hAnsi="Arial"/>
          <w:sz w:val="17"/>
          <w:szCs w:val="17"/>
          <w:color w:val="41659C"/>
        </w:rPr>
      </w:pPr>
      <w:r>
        <w:rPr>
          <w:rFonts w:ascii="Arial" w:cs="Arial" w:eastAsia="Arial" w:hAnsi="Arial"/>
          <w:sz w:val="17"/>
          <w:szCs w:val="17"/>
          <w:color w:val="41659C"/>
        </w:rPr>
        <w:t>25 -</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Potential Payments Upon Termination or Change in Control</w:t>
      </w:r>
    </w:p>
    <w:p>
      <w:pPr>
        <w:spacing w:after="0" w:line="240" w:lineRule="exact"/>
        <w:rPr>
          <w:sz w:val="20"/>
          <w:szCs w:val="20"/>
          <w:color w:val="auto"/>
        </w:rPr>
      </w:pPr>
    </w:p>
    <w:p>
      <w:pPr>
        <w:jc w:val="both"/>
        <w:ind w:left="220" w:right="240"/>
        <w:spacing w:after="0" w:line="253" w:lineRule="auto"/>
        <w:rPr>
          <w:sz w:val="20"/>
          <w:szCs w:val="20"/>
          <w:color w:val="auto"/>
        </w:rPr>
      </w:pPr>
      <w:r>
        <w:rPr>
          <w:rFonts w:ascii="Arial" w:cs="Arial" w:eastAsia="Arial" w:hAnsi="Arial"/>
          <w:sz w:val="16"/>
          <w:szCs w:val="16"/>
          <w:color w:val="auto"/>
        </w:rPr>
        <w:t>Our named executive officers may be entitled to certain payments upon voluntary or involuntary termination, retirement, death or disability or change in control. We have no formal policy regarding severance payments or retirement payments. We maintain disability and life insurance policies that would provide for certain benefits upon the death or disability of a named executive officer then serving as one of our employees.</w:t>
      </w:r>
    </w:p>
    <w:p>
      <w:pPr>
        <w:spacing w:after="0" w:line="201"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The tables below summarize the amounts that each named executive officer would receive if his employment had terminated on December 31, 2018, the last business day of that year, under the various circumstances shown. The amounts include the value of such named executive officer’s equity awards outstanding as of that date based on the closing price of our common stock on such date ($6.75). For information about these equity awards held by our named executive officers, see “2018 Outstanding Equity Awards at Fiscal Year-End” above. We also discuss these awards in the “Compensation Discussion and Analysis” above. If a named executive officer’s employment was terminated for cause, no amount would be payable.</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360" w:type="dxa"/>
            <w:vAlign w:val="bottom"/>
            <w:shd w:val="clear" w:color="auto" w:fill="41659C"/>
          </w:tcPr>
          <w:p>
            <w:pPr>
              <w:spacing w:after="0"/>
              <w:rPr>
                <w:sz w:val="14"/>
                <w:szCs w:val="14"/>
                <w:color w:val="auto"/>
              </w:rPr>
            </w:pPr>
          </w:p>
        </w:tc>
        <w:tc>
          <w:tcPr>
            <w:tcW w:w="520" w:type="dxa"/>
            <w:vAlign w:val="bottom"/>
            <w:shd w:val="clear" w:color="auto" w:fill="41659C"/>
          </w:tcPr>
          <w:p>
            <w:pPr>
              <w:spacing w:after="0"/>
              <w:rPr>
                <w:sz w:val="14"/>
                <w:szCs w:val="14"/>
                <w:color w:val="auto"/>
              </w:rPr>
            </w:pPr>
          </w:p>
        </w:tc>
        <w:tc>
          <w:tcPr>
            <w:tcW w:w="1580" w:type="dxa"/>
            <w:vAlign w:val="bottom"/>
            <w:shd w:val="clear" w:color="auto" w:fill="41659C"/>
          </w:tcPr>
          <w:p>
            <w:pPr>
              <w:spacing w:after="0"/>
              <w:rPr>
                <w:sz w:val="14"/>
                <w:szCs w:val="14"/>
                <w:color w:val="auto"/>
              </w:rPr>
            </w:pPr>
          </w:p>
        </w:tc>
        <w:tc>
          <w:tcPr>
            <w:tcW w:w="160" w:type="dxa"/>
            <w:vAlign w:val="bottom"/>
            <w:shd w:val="clear" w:color="auto" w:fill="41659C"/>
          </w:tcPr>
          <w:p>
            <w:pPr>
              <w:spacing w:after="0"/>
              <w:rPr>
                <w:sz w:val="14"/>
                <w:szCs w:val="14"/>
                <w:color w:val="auto"/>
              </w:rPr>
            </w:pPr>
          </w:p>
        </w:tc>
        <w:tc>
          <w:tcPr>
            <w:tcW w:w="900" w:type="dxa"/>
            <w:vAlign w:val="bottom"/>
            <w:shd w:val="clear" w:color="auto" w:fill="41659C"/>
          </w:tcPr>
          <w:p>
            <w:pPr>
              <w:spacing w:after="0"/>
              <w:rPr>
                <w:sz w:val="14"/>
                <w:szCs w:val="14"/>
                <w:color w:val="auto"/>
              </w:rPr>
            </w:pPr>
          </w:p>
        </w:tc>
        <w:tc>
          <w:tcPr>
            <w:tcW w:w="1720" w:type="dxa"/>
            <w:vAlign w:val="bottom"/>
            <w:shd w:val="clear" w:color="auto" w:fill="41659C"/>
          </w:tcPr>
          <w:p>
            <w:pPr>
              <w:spacing w:after="0"/>
              <w:rPr>
                <w:sz w:val="14"/>
                <w:szCs w:val="14"/>
                <w:color w:val="auto"/>
              </w:rPr>
            </w:pPr>
          </w:p>
        </w:tc>
        <w:tc>
          <w:tcPr>
            <w:tcW w:w="880" w:type="dxa"/>
            <w:vAlign w:val="bottom"/>
            <w:shd w:val="clear" w:color="auto" w:fill="41659C"/>
          </w:tcPr>
          <w:p>
            <w:pPr>
              <w:spacing w:after="0"/>
              <w:rPr>
                <w:sz w:val="14"/>
                <w:szCs w:val="14"/>
                <w:color w:val="auto"/>
              </w:rPr>
            </w:pPr>
          </w:p>
        </w:tc>
        <w:tc>
          <w:tcPr>
            <w:tcW w:w="1880" w:type="dxa"/>
            <w:vAlign w:val="bottom"/>
            <w:gridSpan w:val="3"/>
            <w:shd w:val="clear" w:color="auto" w:fill="41659C"/>
          </w:tcPr>
          <w:p>
            <w:pPr>
              <w:spacing w:after="0"/>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143"/>
        </w:trPr>
        <w:tc>
          <w:tcPr>
            <w:tcW w:w="336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Dennis Sadlowski</w:t>
            </w:r>
          </w:p>
        </w:tc>
        <w:tc>
          <w:tcPr>
            <w:tcW w:w="520" w:type="dxa"/>
            <w:vAlign w:val="bottom"/>
            <w:shd w:val="clear" w:color="auto" w:fill="41659C"/>
          </w:tcPr>
          <w:p>
            <w:pPr>
              <w:spacing w:after="0"/>
              <w:rPr>
                <w:sz w:val="12"/>
                <w:szCs w:val="12"/>
                <w:color w:val="auto"/>
              </w:rPr>
            </w:pPr>
          </w:p>
        </w:tc>
        <w:tc>
          <w:tcPr>
            <w:tcW w:w="1580" w:type="dxa"/>
            <w:vAlign w:val="bottom"/>
            <w:vMerge w:val="restart"/>
            <w:shd w:val="clear" w:color="auto" w:fill="41659C"/>
          </w:tcPr>
          <w:p>
            <w:pPr>
              <w:ind w:left="20"/>
              <w:spacing w:after="0"/>
              <w:rPr>
                <w:sz w:val="20"/>
                <w:szCs w:val="20"/>
                <w:color w:val="auto"/>
              </w:rPr>
            </w:pPr>
            <w:r>
              <w:rPr>
                <w:rFonts w:ascii="Arial" w:cs="Arial" w:eastAsia="Arial" w:hAnsi="Arial"/>
                <w:sz w:val="15"/>
                <w:szCs w:val="15"/>
                <w:b w:val="1"/>
                <w:bCs w:val="1"/>
                <w:color w:val="FFFFFF"/>
                <w:w w:val="99"/>
              </w:rPr>
              <w:t>Death or Disability ($)</w:t>
            </w:r>
          </w:p>
        </w:tc>
        <w:tc>
          <w:tcPr>
            <w:tcW w:w="16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w w:val="87"/>
              </w:rPr>
              <w:t>(1)</w:t>
            </w:r>
          </w:p>
        </w:tc>
        <w:tc>
          <w:tcPr>
            <w:tcW w:w="900" w:type="dxa"/>
            <w:vAlign w:val="bottom"/>
            <w:shd w:val="clear" w:color="auto" w:fill="41659C"/>
          </w:tcPr>
          <w:p>
            <w:pPr>
              <w:spacing w:after="0"/>
              <w:rPr>
                <w:sz w:val="12"/>
                <w:szCs w:val="12"/>
                <w:color w:val="auto"/>
              </w:rPr>
            </w:pPr>
          </w:p>
        </w:tc>
        <w:tc>
          <w:tcPr>
            <w:tcW w:w="172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rPr>
              <w:t>(2)</w:t>
            </w:r>
          </w:p>
        </w:tc>
        <w:tc>
          <w:tcPr>
            <w:tcW w:w="880" w:type="dxa"/>
            <w:vAlign w:val="bottom"/>
            <w:shd w:val="clear" w:color="auto" w:fill="41659C"/>
          </w:tcPr>
          <w:p>
            <w:pPr>
              <w:spacing w:after="0"/>
              <w:rPr>
                <w:sz w:val="12"/>
                <w:szCs w:val="12"/>
                <w:color w:val="auto"/>
              </w:rPr>
            </w:pPr>
          </w:p>
        </w:tc>
        <w:tc>
          <w:tcPr>
            <w:tcW w:w="130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Good Reason ($)</w:t>
            </w:r>
          </w:p>
        </w:tc>
        <w:tc>
          <w:tcPr>
            <w:tcW w:w="220" w:type="dxa"/>
            <w:vAlign w:val="bottom"/>
            <w:shd w:val="clear" w:color="auto" w:fill="41659C"/>
          </w:tcPr>
          <w:p>
            <w:pPr>
              <w:jc w:val="right"/>
              <w:ind w:right="15"/>
              <w:spacing w:after="0" w:line="143" w:lineRule="exact"/>
              <w:rPr>
                <w:sz w:val="20"/>
                <w:szCs w:val="20"/>
                <w:color w:val="auto"/>
              </w:rPr>
            </w:pPr>
            <w:r>
              <w:rPr>
                <w:rFonts w:ascii="Arial" w:cs="Arial" w:eastAsia="Arial" w:hAnsi="Arial"/>
                <w:sz w:val="13"/>
                <w:szCs w:val="13"/>
                <w:b w:val="1"/>
                <w:bCs w:val="1"/>
                <w:color w:val="FFFFFF"/>
                <w:w w:val="75"/>
              </w:rPr>
              <w:t>(1)</w:t>
            </w:r>
          </w:p>
        </w:tc>
        <w:tc>
          <w:tcPr>
            <w:tcW w:w="360" w:type="dxa"/>
            <w:vAlign w:val="bottom"/>
            <w:shd w:val="clear" w:color="auto" w:fill="41659C"/>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360" w:type="dxa"/>
            <w:vAlign w:val="bottom"/>
            <w:vMerge w:val="continue"/>
            <w:shd w:val="clear" w:color="auto" w:fill="41659C"/>
          </w:tcPr>
          <w:p>
            <w:pPr>
              <w:spacing w:after="0"/>
              <w:rPr>
                <w:sz w:val="3"/>
                <w:szCs w:val="3"/>
                <w:color w:val="auto"/>
              </w:rPr>
            </w:pPr>
          </w:p>
        </w:tc>
        <w:tc>
          <w:tcPr>
            <w:tcW w:w="520" w:type="dxa"/>
            <w:vAlign w:val="bottom"/>
            <w:shd w:val="clear" w:color="auto" w:fill="41659C"/>
          </w:tcPr>
          <w:p>
            <w:pPr>
              <w:spacing w:after="0"/>
              <w:rPr>
                <w:sz w:val="3"/>
                <w:szCs w:val="3"/>
                <w:color w:val="auto"/>
              </w:rPr>
            </w:pPr>
          </w:p>
        </w:tc>
        <w:tc>
          <w:tcPr>
            <w:tcW w:w="1580" w:type="dxa"/>
            <w:vAlign w:val="bottom"/>
            <w:vMerge w:val="continue"/>
            <w:shd w:val="clear" w:color="auto" w:fill="41659C"/>
          </w:tcPr>
          <w:p>
            <w:pPr>
              <w:spacing w:after="0"/>
              <w:rPr>
                <w:sz w:val="3"/>
                <w:szCs w:val="3"/>
                <w:color w:val="auto"/>
              </w:rPr>
            </w:pPr>
          </w:p>
        </w:tc>
        <w:tc>
          <w:tcPr>
            <w:tcW w:w="160" w:type="dxa"/>
            <w:vAlign w:val="bottom"/>
            <w:shd w:val="clear" w:color="auto" w:fill="41659C"/>
          </w:tcPr>
          <w:p>
            <w:pPr>
              <w:spacing w:after="0"/>
              <w:rPr>
                <w:sz w:val="3"/>
                <w:szCs w:val="3"/>
                <w:color w:val="auto"/>
              </w:rPr>
            </w:pPr>
          </w:p>
        </w:tc>
        <w:tc>
          <w:tcPr>
            <w:tcW w:w="900" w:type="dxa"/>
            <w:vAlign w:val="bottom"/>
            <w:shd w:val="clear" w:color="auto" w:fill="41659C"/>
          </w:tcPr>
          <w:p>
            <w:pPr>
              <w:spacing w:after="0"/>
              <w:rPr>
                <w:sz w:val="3"/>
                <w:szCs w:val="3"/>
                <w:color w:val="auto"/>
              </w:rPr>
            </w:pPr>
          </w:p>
        </w:tc>
        <w:tc>
          <w:tcPr>
            <w:tcW w:w="2600" w:type="dxa"/>
            <w:vAlign w:val="bottom"/>
            <w:gridSpan w:val="2"/>
            <w:shd w:val="clear" w:color="auto" w:fill="41659C"/>
          </w:tcPr>
          <w:p>
            <w:pPr>
              <w:spacing w:after="0" w:line="41" w:lineRule="exact"/>
              <w:rPr>
                <w:sz w:val="20"/>
                <w:szCs w:val="20"/>
                <w:color w:val="auto"/>
              </w:rPr>
            </w:pPr>
            <w:r>
              <w:rPr>
                <w:rFonts w:ascii="Arial" w:cs="Arial" w:eastAsia="Arial" w:hAnsi="Arial"/>
                <w:sz w:val="4"/>
                <w:szCs w:val="4"/>
                <w:b w:val="1"/>
                <w:bCs w:val="1"/>
                <w:color w:val="FFFFFF"/>
              </w:rPr>
              <w:t>Change in Control ($)</w:t>
            </w:r>
          </w:p>
        </w:tc>
        <w:tc>
          <w:tcPr>
            <w:tcW w:w="1300" w:type="dxa"/>
            <w:vAlign w:val="bottom"/>
            <w:vMerge w:val="continue"/>
            <w:shd w:val="clear" w:color="auto" w:fill="41659C"/>
          </w:tcPr>
          <w:p>
            <w:pPr>
              <w:spacing w:after="0"/>
              <w:rPr>
                <w:sz w:val="3"/>
                <w:szCs w:val="3"/>
                <w:color w:val="auto"/>
              </w:rPr>
            </w:pPr>
          </w:p>
        </w:tc>
        <w:tc>
          <w:tcPr>
            <w:tcW w:w="220" w:type="dxa"/>
            <w:vAlign w:val="bottom"/>
            <w:shd w:val="clear" w:color="auto" w:fill="41659C"/>
          </w:tcPr>
          <w:p>
            <w:pPr>
              <w:spacing w:after="0"/>
              <w:rPr>
                <w:sz w:val="3"/>
                <w:szCs w:val="3"/>
                <w:color w:val="auto"/>
              </w:rPr>
            </w:pPr>
          </w:p>
        </w:tc>
        <w:tc>
          <w:tcPr>
            <w:tcW w:w="360" w:type="dxa"/>
            <w:vAlign w:val="bottom"/>
            <w:shd w:val="clear" w:color="auto" w:fill="41659C"/>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Cash Payments</w:t>
            </w:r>
            <w:r>
              <w:rPr>
                <w:rFonts w:ascii="Arial" w:cs="Arial" w:eastAsia="Arial" w:hAnsi="Arial"/>
                <w:sz w:val="12"/>
                <w:szCs w:val="12"/>
                <w:b w:val="1"/>
                <w:bCs w:val="1"/>
                <w:color w:val="auto"/>
              </w:rPr>
              <w:t>(3)</w:t>
            </w:r>
          </w:p>
        </w:tc>
        <w:tc>
          <w:tcPr>
            <w:tcW w:w="520" w:type="dxa"/>
            <w:vAlign w:val="bottom"/>
            <w:shd w:val="clear" w:color="auto" w:fill="E8EED3"/>
          </w:tcPr>
          <w:p>
            <w:pPr>
              <w:spacing w:after="0"/>
              <w:rPr>
                <w:sz w:val="14"/>
                <w:szCs w:val="14"/>
                <w:color w:val="auto"/>
              </w:rPr>
            </w:pPr>
          </w:p>
        </w:tc>
        <w:tc>
          <w:tcPr>
            <w:tcW w:w="2640" w:type="dxa"/>
            <w:vAlign w:val="bottom"/>
            <w:gridSpan w:val="3"/>
            <w:shd w:val="clear" w:color="auto" w:fill="E8EED3"/>
          </w:tcPr>
          <w:p>
            <w:pPr>
              <w:jc w:val="right"/>
              <w:ind w:right="980"/>
              <w:spacing w:after="0" w:line="162" w:lineRule="exact"/>
              <w:rPr>
                <w:sz w:val="20"/>
                <w:szCs w:val="20"/>
                <w:color w:val="auto"/>
              </w:rPr>
            </w:pPr>
            <w:r>
              <w:rPr>
                <w:rFonts w:ascii="Arial" w:cs="Arial" w:eastAsia="Arial" w:hAnsi="Arial"/>
                <w:sz w:val="15"/>
                <w:szCs w:val="15"/>
                <w:color w:val="auto"/>
              </w:rPr>
              <w:t>—</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1,290,561</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1,290,561</w:t>
            </w: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520" w:type="dxa"/>
            <w:vAlign w:val="bottom"/>
            <w:shd w:val="clear" w:color="auto" w:fill="D2DEA7"/>
          </w:tcPr>
          <w:p>
            <w:pPr>
              <w:spacing w:after="0"/>
              <w:rPr>
                <w:sz w:val="14"/>
                <w:szCs w:val="14"/>
                <w:color w:val="auto"/>
              </w:rPr>
            </w:pPr>
          </w:p>
        </w:tc>
        <w:tc>
          <w:tcPr>
            <w:tcW w:w="158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900" w:type="dxa"/>
            <w:vAlign w:val="bottom"/>
            <w:shd w:val="clear" w:color="auto" w:fill="D2DEA7"/>
          </w:tcPr>
          <w:p>
            <w:pPr>
              <w:spacing w:after="0"/>
              <w:rPr>
                <w:sz w:val="14"/>
                <w:szCs w:val="14"/>
                <w:color w:val="auto"/>
              </w:rPr>
            </w:pPr>
          </w:p>
        </w:tc>
        <w:tc>
          <w:tcPr>
            <w:tcW w:w="1720" w:type="dxa"/>
            <w:vAlign w:val="bottom"/>
            <w:shd w:val="clear" w:color="auto" w:fill="D2DEA7"/>
          </w:tcPr>
          <w:p>
            <w:pPr>
              <w:spacing w:after="0"/>
              <w:rPr>
                <w:sz w:val="14"/>
                <w:szCs w:val="14"/>
                <w:color w:val="auto"/>
              </w:rPr>
            </w:pPr>
          </w:p>
        </w:tc>
        <w:tc>
          <w:tcPr>
            <w:tcW w:w="880" w:type="dxa"/>
            <w:vAlign w:val="bottom"/>
            <w:shd w:val="clear" w:color="auto" w:fill="D2DEA7"/>
          </w:tcPr>
          <w:p>
            <w:pPr>
              <w:spacing w:after="0"/>
              <w:rPr>
                <w:sz w:val="14"/>
                <w:szCs w:val="14"/>
                <w:color w:val="auto"/>
              </w:rPr>
            </w:pPr>
          </w:p>
        </w:tc>
        <w:tc>
          <w:tcPr>
            <w:tcW w:w="1300" w:type="dxa"/>
            <w:vAlign w:val="bottom"/>
            <w:shd w:val="clear" w:color="auto" w:fill="D2DEA7"/>
          </w:tcPr>
          <w:p>
            <w:pPr>
              <w:spacing w:after="0"/>
              <w:rPr>
                <w:sz w:val="14"/>
                <w:szCs w:val="14"/>
                <w:color w:val="auto"/>
              </w:rPr>
            </w:pPr>
          </w:p>
        </w:tc>
        <w:tc>
          <w:tcPr>
            <w:tcW w:w="220" w:type="dxa"/>
            <w:vAlign w:val="bottom"/>
            <w:shd w:val="clear" w:color="auto" w:fill="D2DEA7"/>
          </w:tcPr>
          <w:p>
            <w:pPr>
              <w:spacing w:after="0"/>
              <w:rPr>
                <w:sz w:val="14"/>
                <w:szCs w:val="14"/>
                <w:color w:val="auto"/>
              </w:rPr>
            </w:pPr>
          </w:p>
        </w:tc>
        <w:tc>
          <w:tcPr>
            <w:tcW w:w="3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3160" w:type="dxa"/>
            <w:vAlign w:val="bottom"/>
            <w:gridSpan w:val="4"/>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338,095</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338,095</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338,095</w:t>
            </w: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3160" w:type="dxa"/>
            <w:vAlign w:val="bottom"/>
            <w:gridSpan w:val="4"/>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810,000</w:t>
            </w:r>
          </w:p>
        </w:tc>
        <w:tc>
          <w:tcPr>
            <w:tcW w:w="2600" w:type="dxa"/>
            <w:vAlign w:val="bottom"/>
            <w:gridSpan w:val="2"/>
            <w:shd w:val="clear" w:color="auto" w:fill="D2DEA7"/>
          </w:tcPr>
          <w:p>
            <w:pPr>
              <w:jc w:val="right"/>
              <w:ind w:right="880"/>
              <w:spacing w:after="0" w:line="162" w:lineRule="exact"/>
              <w:rPr>
                <w:sz w:val="20"/>
                <w:szCs w:val="20"/>
                <w:color w:val="auto"/>
              </w:rPr>
            </w:pPr>
            <w:r>
              <w:rPr>
                <w:rFonts w:ascii="Arial" w:cs="Arial" w:eastAsia="Arial" w:hAnsi="Arial"/>
                <w:sz w:val="15"/>
                <w:szCs w:val="15"/>
                <w:color w:val="auto"/>
              </w:rPr>
              <w:t>810,000</w:t>
            </w:r>
          </w:p>
        </w:tc>
        <w:tc>
          <w:tcPr>
            <w:tcW w:w="1880" w:type="dxa"/>
            <w:vAlign w:val="bottom"/>
            <w:gridSpan w:val="3"/>
            <w:shd w:val="clear" w:color="auto" w:fill="D2DEA7"/>
          </w:tcPr>
          <w:p>
            <w:pPr>
              <w:jc w:val="right"/>
              <w:ind w:right="360"/>
              <w:spacing w:after="0" w:line="162" w:lineRule="exact"/>
              <w:rPr>
                <w:sz w:val="20"/>
                <w:szCs w:val="20"/>
                <w:color w:val="auto"/>
              </w:rPr>
            </w:pPr>
            <w:r>
              <w:rPr>
                <w:rFonts w:ascii="Arial" w:cs="Arial" w:eastAsia="Arial" w:hAnsi="Arial"/>
                <w:sz w:val="15"/>
                <w:szCs w:val="15"/>
                <w:color w:val="auto"/>
              </w:rPr>
              <w:t>810,000</w:t>
            </w: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Performance Units</w:t>
            </w:r>
          </w:p>
        </w:tc>
        <w:tc>
          <w:tcPr>
            <w:tcW w:w="520" w:type="dxa"/>
            <w:vAlign w:val="bottom"/>
            <w:shd w:val="clear" w:color="auto" w:fill="E8EED3"/>
          </w:tcPr>
          <w:p>
            <w:pPr>
              <w:spacing w:after="0"/>
              <w:rPr>
                <w:sz w:val="14"/>
                <w:szCs w:val="14"/>
                <w:color w:val="auto"/>
              </w:rPr>
            </w:pPr>
          </w:p>
        </w:tc>
        <w:tc>
          <w:tcPr>
            <w:tcW w:w="2640" w:type="dxa"/>
            <w:vAlign w:val="bottom"/>
            <w:gridSpan w:val="3"/>
            <w:shd w:val="clear" w:color="auto" w:fill="E8EED3"/>
          </w:tcPr>
          <w:p>
            <w:pPr>
              <w:jc w:val="right"/>
              <w:ind w:right="980"/>
              <w:spacing w:after="0" w:line="162" w:lineRule="exact"/>
              <w:rPr>
                <w:sz w:val="20"/>
                <w:szCs w:val="20"/>
                <w:color w:val="auto"/>
              </w:rPr>
            </w:pPr>
            <w:r>
              <w:rPr>
                <w:rFonts w:ascii="Arial" w:cs="Arial" w:eastAsia="Arial" w:hAnsi="Arial"/>
                <w:sz w:val="15"/>
                <w:szCs w:val="15"/>
                <w:color w:val="auto"/>
              </w:rPr>
              <w:t>—</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700,000</w:t>
            </w:r>
          </w:p>
        </w:tc>
        <w:tc>
          <w:tcPr>
            <w:tcW w:w="1880" w:type="dxa"/>
            <w:vAlign w:val="bottom"/>
            <w:gridSpan w:val="3"/>
            <w:shd w:val="clear" w:color="auto" w:fill="E8EED3"/>
          </w:tcPr>
          <w:p>
            <w:pPr>
              <w:jc w:val="right"/>
              <w:ind w:right="4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COBRA</w:t>
            </w:r>
            <w:r>
              <w:rPr>
                <w:rFonts w:ascii="Arial" w:cs="Arial" w:eastAsia="Arial" w:hAnsi="Arial"/>
                <w:sz w:val="12"/>
                <w:szCs w:val="12"/>
                <w:b w:val="1"/>
                <w:bCs w:val="1"/>
                <w:color w:val="auto"/>
              </w:rPr>
              <w:t>(5)</w:t>
            </w:r>
          </w:p>
        </w:tc>
        <w:tc>
          <w:tcPr>
            <w:tcW w:w="520" w:type="dxa"/>
            <w:vAlign w:val="bottom"/>
            <w:shd w:val="clear" w:color="auto" w:fill="D2DEA7"/>
          </w:tcPr>
          <w:p>
            <w:pPr>
              <w:spacing w:after="0"/>
              <w:rPr>
                <w:sz w:val="14"/>
                <w:szCs w:val="14"/>
                <w:color w:val="auto"/>
              </w:rPr>
            </w:pPr>
          </w:p>
        </w:tc>
        <w:tc>
          <w:tcPr>
            <w:tcW w:w="2640" w:type="dxa"/>
            <w:vAlign w:val="bottom"/>
            <w:gridSpan w:val="3"/>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3,465</w:t>
            </w:r>
          </w:p>
        </w:tc>
        <w:tc>
          <w:tcPr>
            <w:tcW w:w="2600" w:type="dxa"/>
            <w:vAlign w:val="bottom"/>
            <w:gridSpan w:val="2"/>
            <w:shd w:val="clear" w:color="auto" w:fill="D2DEA7"/>
          </w:tcPr>
          <w:p>
            <w:pPr>
              <w:jc w:val="right"/>
              <w:ind w:right="880"/>
              <w:spacing w:after="0" w:line="162" w:lineRule="exact"/>
              <w:rPr>
                <w:sz w:val="20"/>
                <w:szCs w:val="20"/>
                <w:color w:val="auto"/>
              </w:rPr>
            </w:pPr>
            <w:r>
              <w:rPr>
                <w:rFonts w:ascii="Arial" w:cs="Arial" w:eastAsia="Arial" w:hAnsi="Arial"/>
                <w:sz w:val="15"/>
                <w:szCs w:val="15"/>
                <w:color w:val="auto"/>
              </w:rPr>
              <w:t>3,465</w:t>
            </w:r>
          </w:p>
        </w:tc>
        <w:tc>
          <w:tcPr>
            <w:tcW w:w="1880" w:type="dxa"/>
            <w:vAlign w:val="bottom"/>
            <w:gridSpan w:val="3"/>
            <w:shd w:val="clear" w:color="auto" w:fill="D2DEA7"/>
          </w:tcPr>
          <w:p>
            <w:pPr>
              <w:jc w:val="right"/>
              <w:ind w:right="360"/>
              <w:spacing w:after="0" w:line="162" w:lineRule="exact"/>
              <w:rPr>
                <w:sz w:val="20"/>
                <w:szCs w:val="20"/>
                <w:color w:val="auto"/>
              </w:rPr>
            </w:pPr>
            <w:r>
              <w:rPr>
                <w:rFonts w:ascii="Arial" w:cs="Arial" w:eastAsia="Arial" w:hAnsi="Arial"/>
                <w:sz w:val="15"/>
                <w:szCs w:val="15"/>
                <w:color w:val="auto"/>
              </w:rPr>
              <w:t>3,465</w:t>
            </w:r>
          </w:p>
        </w:tc>
        <w:tc>
          <w:tcPr>
            <w:tcW w:w="0" w:type="dxa"/>
            <w:vAlign w:val="bottom"/>
          </w:tcPr>
          <w:p>
            <w:pPr>
              <w:spacing w:after="0"/>
              <w:rPr>
                <w:sz w:val="1"/>
                <w:szCs w:val="1"/>
                <w:color w:val="auto"/>
              </w:rPr>
            </w:pPr>
          </w:p>
        </w:tc>
      </w:tr>
      <w:tr>
        <w:trPr>
          <w:trHeight w:val="27"/>
        </w:trPr>
        <w:tc>
          <w:tcPr>
            <w:tcW w:w="3360" w:type="dxa"/>
            <w:vAlign w:val="bottom"/>
            <w:shd w:val="clear" w:color="auto" w:fill="D2DEA7"/>
          </w:tcPr>
          <w:p>
            <w:pPr>
              <w:spacing w:after="0"/>
              <w:rPr>
                <w:sz w:val="2"/>
                <w:szCs w:val="2"/>
                <w:color w:val="auto"/>
              </w:rPr>
            </w:pPr>
          </w:p>
        </w:tc>
        <w:tc>
          <w:tcPr>
            <w:tcW w:w="520" w:type="dxa"/>
            <w:vAlign w:val="bottom"/>
            <w:shd w:val="clear" w:color="auto" w:fill="D2DEA7"/>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D2DEA7"/>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880" w:type="dxa"/>
            <w:vAlign w:val="bottom"/>
            <w:shd w:val="clear" w:color="auto" w:fill="D2DEA7"/>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D2DEA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520" w:type="dxa"/>
            <w:vAlign w:val="bottom"/>
            <w:shd w:val="clear" w:color="auto" w:fill="E8EED3"/>
          </w:tcPr>
          <w:p>
            <w:pPr>
              <w:spacing w:after="0"/>
              <w:rPr>
                <w:sz w:val="14"/>
                <w:szCs w:val="14"/>
                <w:color w:val="auto"/>
              </w:rPr>
            </w:pPr>
          </w:p>
        </w:tc>
        <w:tc>
          <w:tcPr>
            <w:tcW w:w="2640" w:type="dxa"/>
            <w:vAlign w:val="bottom"/>
            <w:gridSpan w:val="3"/>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1,151,560</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3,142,121</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2,442,121</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360" w:type="dxa"/>
            <w:vAlign w:val="bottom"/>
            <w:shd w:val="clear" w:color="auto" w:fill="41659C"/>
          </w:tcPr>
          <w:p>
            <w:pPr>
              <w:spacing w:after="0"/>
              <w:rPr>
                <w:sz w:val="12"/>
                <w:szCs w:val="12"/>
                <w:color w:val="auto"/>
              </w:rPr>
            </w:pPr>
          </w:p>
        </w:tc>
        <w:tc>
          <w:tcPr>
            <w:tcW w:w="520" w:type="dxa"/>
            <w:vAlign w:val="bottom"/>
            <w:shd w:val="clear" w:color="auto" w:fill="41659C"/>
          </w:tcPr>
          <w:p>
            <w:pPr>
              <w:spacing w:after="0"/>
              <w:rPr>
                <w:sz w:val="12"/>
                <w:szCs w:val="12"/>
                <w:color w:val="auto"/>
              </w:rPr>
            </w:pPr>
          </w:p>
        </w:tc>
        <w:tc>
          <w:tcPr>
            <w:tcW w:w="1580" w:type="dxa"/>
            <w:vAlign w:val="bottom"/>
            <w:shd w:val="clear" w:color="auto" w:fill="41659C"/>
          </w:tcPr>
          <w:p>
            <w:pPr>
              <w:spacing w:after="0"/>
              <w:rPr>
                <w:sz w:val="12"/>
                <w:szCs w:val="12"/>
                <w:color w:val="auto"/>
              </w:rPr>
            </w:pPr>
          </w:p>
        </w:tc>
        <w:tc>
          <w:tcPr>
            <w:tcW w:w="160" w:type="dxa"/>
            <w:vAlign w:val="bottom"/>
            <w:shd w:val="clear" w:color="auto" w:fill="41659C"/>
          </w:tcPr>
          <w:p>
            <w:pPr>
              <w:spacing w:after="0"/>
              <w:rPr>
                <w:sz w:val="12"/>
                <w:szCs w:val="12"/>
                <w:color w:val="auto"/>
              </w:rPr>
            </w:pPr>
          </w:p>
        </w:tc>
        <w:tc>
          <w:tcPr>
            <w:tcW w:w="900" w:type="dxa"/>
            <w:vAlign w:val="bottom"/>
            <w:shd w:val="clear" w:color="auto" w:fill="41659C"/>
          </w:tcPr>
          <w:p>
            <w:pPr>
              <w:spacing w:after="0"/>
              <w:rPr>
                <w:sz w:val="12"/>
                <w:szCs w:val="12"/>
                <w:color w:val="auto"/>
              </w:rPr>
            </w:pPr>
          </w:p>
        </w:tc>
        <w:tc>
          <w:tcPr>
            <w:tcW w:w="1720" w:type="dxa"/>
            <w:vAlign w:val="bottom"/>
            <w:shd w:val="clear" w:color="auto" w:fill="41659C"/>
          </w:tcPr>
          <w:p>
            <w:pPr>
              <w:spacing w:after="0"/>
              <w:rPr>
                <w:sz w:val="12"/>
                <w:szCs w:val="12"/>
                <w:color w:val="auto"/>
              </w:rPr>
            </w:pPr>
          </w:p>
        </w:tc>
        <w:tc>
          <w:tcPr>
            <w:tcW w:w="880" w:type="dxa"/>
            <w:vAlign w:val="bottom"/>
            <w:shd w:val="clear" w:color="auto" w:fill="41659C"/>
          </w:tcPr>
          <w:p>
            <w:pPr>
              <w:spacing w:after="0"/>
              <w:rPr>
                <w:sz w:val="12"/>
                <w:szCs w:val="12"/>
                <w:color w:val="auto"/>
              </w:rPr>
            </w:pPr>
          </w:p>
        </w:tc>
        <w:tc>
          <w:tcPr>
            <w:tcW w:w="1880" w:type="dxa"/>
            <w:vAlign w:val="bottom"/>
            <w:gridSpan w:val="3"/>
            <w:shd w:val="clear" w:color="auto" w:fill="41659C"/>
          </w:tcPr>
          <w:p>
            <w:pPr>
              <w:spacing w:after="0" w:line="141" w:lineRule="exact"/>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143"/>
        </w:trPr>
        <w:tc>
          <w:tcPr>
            <w:tcW w:w="336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Matthew Eckl</w:t>
            </w:r>
          </w:p>
        </w:tc>
        <w:tc>
          <w:tcPr>
            <w:tcW w:w="520" w:type="dxa"/>
            <w:vAlign w:val="bottom"/>
            <w:shd w:val="clear" w:color="auto" w:fill="41659C"/>
          </w:tcPr>
          <w:p>
            <w:pPr>
              <w:spacing w:after="0"/>
              <w:rPr>
                <w:sz w:val="12"/>
                <w:szCs w:val="12"/>
                <w:color w:val="auto"/>
              </w:rPr>
            </w:pPr>
          </w:p>
        </w:tc>
        <w:tc>
          <w:tcPr>
            <w:tcW w:w="1580" w:type="dxa"/>
            <w:vAlign w:val="bottom"/>
            <w:vMerge w:val="restart"/>
            <w:shd w:val="clear" w:color="auto" w:fill="41659C"/>
          </w:tcPr>
          <w:p>
            <w:pPr>
              <w:ind w:left="20"/>
              <w:spacing w:after="0"/>
              <w:rPr>
                <w:sz w:val="20"/>
                <w:szCs w:val="20"/>
                <w:color w:val="auto"/>
              </w:rPr>
            </w:pPr>
            <w:r>
              <w:rPr>
                <w:rFonts w:ascii="Arial" w:cs="Arial" w:eastAsia="Arial" w:hAnsi="Arial"/>
                <w:sz w:val="15"/>
                <w:szCs w:val="15"/>
                <w:b w:val="1"/>
                <w:bCs w:val="1"/>
                <w:color w:val="FFFFFF"/>
                <w:w w:val="99"/>
              </w:rPr>
              <w:t>Death or Disability ($)</w:t>
            </w:r>
          </w:p>
        </w:tc>
        <w:tc>
          <w:tcPr>
            <w:tcW w:w="16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w w:val="87"/>
              </w:rPr>
              <w:t>(1)</w:t>
            </w:r>
          </w:p>
        </w:tc>
        <w:tc>
          <w:tcPr>
            <w:tcW w:w="900" w:type="dxa"/>
            <w:vAlign w:val="bottom"/>
            <w:shd w:val="clear" w:color="auto" w:fill="41659C"/>
          </w:tcPr>
          <w:p>
            <w:pPr>
              <w:spacing w:after="0"/>
              <w:rPr>
                <w:sz w:val="12"/>
                <w:szCs w:val="12"/>
                <w:color w:val="auto"/>
              </w:rPr>
            </w:pPr>
          </w:p>
        </w:tc>
        <w:tc>
          <w:tcPr>
            <w:tcW w:w="172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rPr>
              <w:t>(2)</w:t>
            </w:r>
          </w:p>
        </w:tc>
        <w:tc>
          <w:tcPr>
            <w:tcW w:w="880" w:type="dxa"/>
            <w:vAlign w:val="bottom"/>
            <w:shd w:val="clear" w:color="auto" w:fill="41659C"/>
          </w:tcPr>
          <w:p>
            <w:pPr>
              <w:spacing w:after="0"/>
              <w:rPr>
                <w:sz w:val="12"/>
                <w:szCs w:val="12"/>
                <w:color w:val="auto"/>
              </w:rPr>
            </w:pPr>
          </w:p>
        </w:tc>
        <w:tc>
          <w:tcPr>
            <w:tcW w:w="130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Good Reason ($)</w:t>
            </w:r>
          </w:p>
        </w:tc>
        <w:tc>
          <w:tcPr>
            <w:tcW w:w="220" w:type="dxa"/>
            <w:vAlign w:val="bottom"/>
            <w:shd w:val="clear" w:color="auto" w:fill="41659C"/>
          </w:tcPr>
          <w:p>
            <w:pPr>
              <w:jc w:val="right"/>
              <w:ind w:right="15"/>
              <w:spacing w:after="0" w:line="143" w:lineRule="exact"/>
              <w:rPr>
                <w:sz w:val="20"/>
                <w:szCs w:val="20"/>
                <w:color w:val="auto"/>
              </w:rPr>
            </w:pPr>
            <w:r>
              <w:rPr>
                <w:rFonts w:ascii="Arial" w:cs="Arial" w:eastAsia="Arial" w:hAnsi="Arial"/>
                <w:sz w:val="13"/>
                <w:szCs w:val="13"/>
                <w:b w:val="1"/>
                <w:bCs w:val="1"/>
                <w:color w:val="FFFFFF"/>
                <w:w w:val="75"/>
              </w:rPr>
              <w:t>(1)</w:t>
            </w:r>
          </w:p>
        </w:tc>
        <w:tc>
          <w:tcPr>
            <w:tcW w:w="360" w:type="dxa"/>
            <w:vAlign w:val="bottom"/>
            <w:shd w:val="clear" w:color="auto" w:fill="41659C"/>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360" w:type="dxa"/>
            <w:vAlign w:val="bottom"/>
            <w:vMerge w:val="continue"/>
            <w:shd w:val="clear" w:color="auto" w:fill="41659C"/>
          </w:tcPr>
          <w:p>
            <w:pPr>
              <w:spacing w:after="0"/>
              <w:rPr>
                <w:sz w:val="3"/>
                <w:szCs w:val="3"/>
                <w:color w:val="auto"/>
              </w:rPr>
            </w:pPr>
          </w:p>
        </w:tc>
        <w:tc>
          <w:tcPr>
            <w:tcW w:w="520" w:type="dxa"/>
            <w:vAlign w:val="bottom"/>
            <w:shd w:val="clear" w:color="auto" w:fill="41659C"/>
          </w:tcPr>
          <w:p>
            <w:pPr>
              <w:spacing w:after="0"/>
              <w:rPr>
                <w:sz w:val="3"/>
                <w:szCs w:val="3"/>
                <w:color w:val="auto"/>
              </w:rPr>
            </w:pPr>
          </w:p>
        </w:tc>
        <w:tc>
          <w:tcPr>
            <w:tcW w:w="1580" w:type="dxa"/>
            <w:vAlign w:val="bottom"/>
            <w:vMerge w:val="continue"/>
            <w:shd w:val="clear" w:color="auto" w:fill="41659C"/>
          </w:tcPr>
          <w:p>
            <w:pPr>
              <w:spacing w:after="0"/>
              <w:rPr>
                <w:sz w:val="3"/>
                <w:szCs w:val="3"/>
                <w:color w:val="auto"/>
              </w:rPr>
            </w:pPr>
          </w:p>
        </w:tc>
        <w:tc>
          <w:tcPr>
            <w:tcW w:w="160" w:type="dxa"/>
            <w:vAlign w:val="bottom"/>
            <w:shd w:val="clear" w:color="auto" w:fill="41659C"/>
          </w:tcPr>
          <w:p>
            <w:pPr>
              <w:spacing w:after="0"/>
              <w:rPr>
                <w:sz w:val="3"/>
                <w:szCs w:val="3"/>
                <w:color w:val="auto"/>
              </w:rPr>
            </w:pPr>
          </w:p>
        </w:tc>
        <w:tc>
          <w:tcPr>
            <w:tcW w:w="900" w:type="dxa"/>
            <w:vAlign w:val="bottom"/>
            <w:shd w:val="clear" w:color="auto" w:fill="41659C"/>
          </w:tcPr>
          <w:p>
            <w:pPr>
              <w:spacing w:after="0"/>
              <w:rPr>
                <w:sz w:val="3"/>
                <w:szCs w:val="3"/>
                <w:color w:val="auto"/>
              </w:rPr>
            </w:pPr>
          </w:p>
        </w:tc>
        <w:tc>
          <w:tcPr>
            <w:tcW w:w="2600" w:type="dxa"/>
            <w:vAlign w:val="bottom"/>
            <w:gridSpan w:val="2"/>
            <w:shd w:val="clear" w:color="auto" w:fill="41659C"/>
          </w:tcPr>
          <w:p>
            <w:pPr>
              <w:spacing w:after="0" w:line="41" w:lineRule="exact"/>
              <w:rPr>
                <w:sz w:val="20"/>
                <w:szCs w:val="20"/>
                <w:color w:val="auto"/>
              </w:rPr>
            </w:pPr>
            <w:r>
              <w:rPr>
                <w:rFonts w:ascii="Arial" w:cs="Arial" w:eastAsia="Arial" w:hAnsi="Arial"/>
                <w:sz w:val="4"/>
                <w:szCs w:val="4"/>
                <w:b w:val="1"/>
                <w:bCs w:val="1"/>
                <w:color w:val="FFFFFF"/>
              </w:rPr>
              <w:t>Change in Control ($)</w:t>
            </w:r>
          </w:p>
        </w:tc>
        <w:tc>
          <w:tcPr>
            <w:tcW w:w="1300" w:type="dxa"/>
            <w:vAlign w:val="bottom"/>
            <w:vMerge w:val="continue"/>
            <w:shd w:val="clear" w:color="auto" w:fill="41659C"/>
          </w:tcPr>
          <w:p>
            <w:pPr>
              <w:spacing w:after="0"/>
              <w:rPr>
                <w:sz w:val="3"/>
                <w:szCs w:val="3"/>
                <w:color w:val="auto"/>
              </w:rPr>
            </w:pPr>
          </w:p>
        </w:tc>
        <w:tc>
          <w:tcPr>
            <w:tcW w:w="220" w:type="dxa"/>
            <w:vAlign w:val="bottom"/>
            <w:shd w:val="clear" w:color="auto" w:fill="41659C"/>
          </w:tcPr>
          <w:p>
            <w:pPr>
              <w:spacing w:after="0"/>
              <w:rPr>
                <w:sz w:val="3"/>
                <w:szCs w:val="3"/>
                <w:color w:val="auto"/>
              </w:rPr>
            </w:pPr>
          </w:p>
        </w:tc>
        <w:tc>
          <w:tcPr>
            <w:tcW w:w="360" w:type="dxa"/>
            <w:vAlign w:val="bottom"/>
            <w:shd w:val="clear" w:color="auto" w:fill="41659C"/>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Cash Payments</w:t>
            </w:r>
            <w:r>
              <w:rPr>
                <w:rFonts w:ascii="Arial" w:cs="Arial" w:eastAsia="Arial" w:hAnsi="Arial"/>
                <w:sz w:val="12"/>
                <w:szCs w:val="12"/>
                <w:b w:val="1"/>
                <w:bCs w:val="1"/>
                <w:color w:val="auto"/>
              </w:rPr>
              <w:t>(4)</w:t>
            </w:r>
          </w:p>
        </w:tc>
        <w:tc>
          <w:tcPr>
            <w:tcW w:w="520" w:type="dxa"/>
            <w:vAlign w:val="bottom"/>
            <w:shd w:val="clear" w:color="auto" w:fill="E8EED3"/>
          </w:tcPr>
          <w:p>
            <w:pPr>
              <w:spacing w:after="0"/>
              <w:rPr>
                <w:sz w:val="14"/>
                <w:szCs w:val="14"/>
                <w:color w:val="auto"/>
              </w:rPr>
            </w:pPr>
          </w:p>
        </w:tc>
        <w:tc>
          <w:tcPr>
            <w:tcW w:w="2640" w:type="dxa"/>
            <w:vAlign w:val="bottom"/>
            <w:gridSpan w:val="3"/>
            <w:shd w:val="clear" w:color="auto" w:fill="E8EED3"/>
          </w:tcPr>
          <w:p>
            <w:pPr>
              <w:jc w:val="right"/>
              <w:ind w:right="980"/>
              <w:spacing w:after="0" w:line="162" w:lineRule="exact"/>
              <w:rPr>
                <w:sz w:val="20"/>
                <w:szCs w:val="20"/>
                <w:color w:val="auto"/>
              </w:rPr>
            </w:pPr>
            <w:r>
              <w:rPr>
                <w:rFonts w:ascii="Arial" w:cs="Arial" w:eastAsia="Arial" w:hAnsi="Arial"/>
                <w:sz w:val="15"/>
                <w:szCs w:val="15"/>
                <w:color w:val="auto"/>
              </w:rPr>
              <w:t>—</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563,736</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563,736</w:t>
            </w: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520" w:type="dxa"/>
            <w:vAlign w:val="bottom"/>
            <w:shd w:val="clear" w:color="auto" w:fill="D2DEA7"/>
          </w:tcPr>
          <w:p>
            <w:pPr>
              <w:spacing w:after="0"/>
              <w:rPr>
                <w:sz w:val="14"/>
                <w:szCs w:val="14"/>
                <w:color w:val="auto"/>
              </w:rPr>
            </w:pPr>
          </w:p>
        </w:tc>
        <w:tc>
          <w:tcPr>
            <w:tcW w:w="1580" w:type="dxa"/>
            <w:vAlign w:val="bottom"/>
            <w:shd w:val="clear" w:color="auto" w:fill="D2DEA7"/>
          </w:tcPr>
          <w:p>
            <w:pPr>
              <w:spacing w:after="0"/>
              <w:rPr>
                <w:sz w:val="14"/>
                <w:szCs w:val="14"/>
                <w:color w:val="auto"/>
              </w:rPr>
            </w:pPr>
          </w:p>
        </w:tc>
        <w:tc>
          <w:tcPr>
            <w:tcW w:w="160" w:type="dxa"/>
            <w:vAlign w:val="bottom"/>
            <w:shd w:val="clear" w:color="auto" w:fill="D2DEA7"/>
          </w:tcPr>
          <w:p>
            <w:pPr>
              <w:spacing w:after="0"/>
              <w:rPr>
                <w:sz w:val="14"/>
                <w:szCs w:val="14"/>
                <w:color w:val="auto"/>
              </w:rPr>
            </w:pPr>
          </w:p>
        </w:tc>
        <w:tc>
          <w:tcPr>
            <w:tcW w:w="900" w:type="dxa"/>
            <w:vAlign w:val="bottom"/>
            <w:shd w:val="clear" w:color="auto" w:fill="D2DEA7"/>
          </w:tcPr>
          <w:p>
            <w:pPr>
              <w:spacing w:after="0"/>
              <w:rPr>
                <w:sz w:val="14"/>
                <w:szCs w:val="14"/>
                <w:color w:val="auto"/>
              </w:rPr>
            </w:pPr>
          </w:p>
        </w:tc>
        <w:tc>
          <w:tcPr>
            <w:tcW w:w="1720" w:type="dxa"/>
            <w:vAlign w:val="bottom"/>
            <w:shd w:val="clear" w:color="auto" w:fill="D2DEA7"/>
          </w:tcPr>
          <w:p>
            <w:pPr>
              <w:spacing w:after="0"/>
              <w:rPr>
                <w:sz w:val="14"/>
                <w:szCs w:val="14"/>
                <w:color w:val="auto"/>
              </w:rPr>
            </w:pPr>
          </w:p>
        </w:tc>
        <w:tc>
          <w:tcPr>
            <w:tcW w:w="880" w:type="dxa"/>
            <w:vAlign w:val="bottom"/>
            <w:shd w:val="clear" w:color="auto" w:fill="D2DEA7"/>
          </w:tcPr>
          <w:p>
            <w:pPr>
              <w:spacing w:after="0"/>
              <w:rPr>
                <w:sz w:val="14"/>
                <w:szCs w:val="14"/>
                <w:color w:val="auto"/>
              </w:rPr>
            </w:pPr>
          </w:p>
        </w:tc>
        <w:tc>
          <w:tcPr>
            <w:tcW w:w="1300" w:type="dxa"/>
            <w:vAlign w:val="bottom"/>
            <w:shd w:val="clear" w:color="auto" w:fill="D2DEA7"/>
          </w:tcPr>
          <w:p>
            <w:pPr>
              <w:spacing w:after="0"/>
              <w:rPr>
                <w:sz w:val="14"/>
                <w:szCs w:val="14"/>
                <w:color w:val="auto"/>
              </w:rPr>
            </w:pPr>
          </w:p>
        </w:tc>
        <w:tc>
          <w:tcPr>
            <w:tcW w:w="220" w:type="dxa"/>
            <w:vAlign w:val="bottom"/>
            <w:shd w:val="clear" w:color="auto" w:fill="D2DEA7"/>
          </w:tcPr>
          <w:p>
            <w:pPr>
              <w:spacing w:after="0"/>
              <w:rPr>
                <w:sz w:val="14"/>
                <w:szCs w:val="14"/>
                <w:color w:val="auto"/>
              </w:rPr>
            </w:pPr>
          </w:p>
        </w:tc>
        <w:tc>
          <w:tcPr>
            <w:tcW w:w="360" w:type="dxa"/>
            <w:vAlign w:val="bottom"/>
            <w:shd w:val="clear" w:color="auto" w:fill="D2DEA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3160" w:type="dxa"/>
            <w:vAlign w:val="bottom"/>
            <w:gridSpan w:val="4"/>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286,875</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286,875</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286,875</w:t>
            </w: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3160" w:type="dxa"/>
            <w:vAlign w:val="bottom"/>
            <w:gridSpan w:val="4"/>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337,500</w:t>
            </w:r>
          </w:p>
        </w:tc>
        <w:tc>
          <w:tcPr>
            <w:tcW w:w="2600" w:type="dxa"/>
            <w:vAlign w:val="bottom"/>
            <w:gridSpan w:val="2"/>
            <w:shd w:val="clear" w:color="auto" w:fill="D2DEA7"/>
          </w:tcPr>
          <w:p>
            <w:pPr>
              <w:jc w:val="right"/>
              <w:ind w:right="880"/>
              <w:spacing w:after="0" w:line="162" w:lineRule="exact"/>
              <w:rPr>
                <w:sz w:val="20"/>
                <w:szCs w:val="20"/>
                <w:color w:val="auto"/>
              </w:rPr>
            </w:pPr>
            <w:r>
              <w:rPr>
                <w:rFonts w:ascii="Arial" w:cs="Arial" w:eastAsia="Arial" w:hAnsi="Arial"/>
                <w:sz w:val="15"/>
                <w:szCs w:val="15"/>
                <w:color w:val="auto"/>
              </w:rPr>
              <w:t>337,500</w:t>
            </w:r>
          </w:p>
        </w:tc>
        <w:tc>
          <w:tcPr>
            <w:tcW w:w="1880" w:type="dxa"/>
            <w:vAlign w:val="bottom"/>
            <w:gridSpan w:val="3"/>
            <w:shd w:val="clear" w:color="auto" w:fill="D2DEA7"/>
          </w:tcPr>
          <w:p>
            <w:pPr>
              <w:jc w:val="right"/>
              <w:ind w:right="360"/>
              <w:spacing w:after="0" w:line="162" w:lineRule="exact"/>
              <w:rPr>
                <w:sz w:val="20"/>
                <w:szCs w:val="20"/>
                <w:color w:val="auto"/>
              </w:rPr>
            </w:pPr>
            <w:r>
              <w:rPr>
                <w:rFonts w:ascii="Arial" w:cs="Arial" w:eastAsia="Arial" w:hAnsi="Arial"/>
                <w:sz w:val="15"/>
                <w:szCs w:val="15"/>
                <w:color w:val="auto"/>
              </w:rPr>
              <w:t>337,500</w:t>
            </w: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COBRA</w:t>
            </w:r>
            <w:r>
              <w:rPr>
                <w:rFonts w:ascii="Arial" w:cs="Arial" w:eastAsia="Arial" w:hAnsi="Arial"/>
                <w:sz w:val="12"/>
                <w:szCs w:val="12"/>
                <w:b w:val="1"/>
                <w:bCs w:val="1"/>
                <w:color w:val="auto"/>
              </w:rPr>
              <w:t>(5)</w:t>
            </w:r>
          </w:p>
        </w:tc>
        <w:tc>
          <w:tcPr>
            <w:tcW w:w="520" w:type="dxa"/>
            <w:vAlign w:val="bottom"/>
            <w:shd w:val="clear" w:color="auto" w:fill="E8EED3"/>
          </w:tcPr>
          <w:p>
            <w:pPr>
              <w:spacing w:after="0"/>
              <w:rPr>
                <w:sz w:val="14"/>
                <w:szCs w:val="14"/>
                <w:color w:val="auto"/>
              </w:rPr>
            </w:pPr>
          </w:p>
        </w:tc>
        <w:tc>
          <w:tcPr>
            <w:tcW w:w="2640" w:type="dxa"/>
            <w:vAlign w:val="bottom"/>
            <w:gridSpan w:val="3"/>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300</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300</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7"/>
        </w:trPr>
        <w:tc>
          <w:tcPr>
            <w:tcW w:w="3360" w:type="dxa"/>
            <w:vAlign w:val="bottom"/>
            <w:shd w:val="clear" w:color="auto" w:fill="E8EED3"/>
          </w:tcPr>
          <w:p>
            <w:pPr>
              <w:spacing w:after="0"/>
              <w:rPr>
                <w:sz w:val="2"/>
                <w:szCs w:val="2"/>
                <w:color w:val="auto"/>
              </w:rPr>
            </w:pPr>
          </w:p>
        </w:tc>
        <w:tc>
          <w:tcPr>
            <w:tcW w:w="520" w:type="dxa"/>
            <w:vAlign w:val="bottom"/>
            <w:shd w:val="clear" w:color="auto" w:fill="E8EED3"/>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E8EED3"/>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880" w:type="dxa"/>
            <w:vAlign w:val="bottom"/>
            <w:shd w:val="clear" w:color="auto" w:fill="E8EED3"/>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E8EED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6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520" w:type="dxa"/>
            <w:vAlign w:val="bottom"/>
            <w:shd w:val="clear" w:color="auto" w:fill="D2DEA7"/>
          </w:tcPr>
          <w:p>
            <w:pPr>
              <w:spacing w:after="0"/>
              <w:rPr>
                <w:sz w:val="14"/>
                <w:szCs w:val="14"/>
                <w:color w:val="auto"/>
              </w:rPr>
            </w:pPr>
          </w:p>
        </w:tc>
        <w:tc>
          <w:tcPr>
            <w:tcW w:w="2640" w:type="dxa"/>
            <w:vAlign w:val="bottom"/>
            <w:gridSpan w:val="3"/>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624,675</w:t>
            </w:r>
          </w:p>
        </w:tc>
        <w:tc>
          <w:tcPr>
            <w:tcW w:w="2600" w:type="dxa"/>
            <w:vAlign w:val="bottom"/>
            <w:gridSpan w:val="2"/>
            <w:shd w:val="clear" w:color="auto" w:fill="D2DEA7"/>
          </w:tcPr>
          <w:p>
            <w:pPr>
              <w:jc w:val="right"/>
              <w:ind w:right="880"/>
              <w:spacing w:after="0" w:line="162" w:lineRule="exact"/>
              <w:rPr>
                <w:sz w:val="20"/>
                <w:szCs w:val="20"/>
                <w:color w:val="auto"/>
              </w:rPr>
            </w:pPr>
            <w:r>
              <w:rPr>
                <w:rFonts w:ascii="Arial" w:cs="Arial" w:eastAsia="Arial" w:hAnsi="Arial"/>
                <w:sz w:val="15"/>
                <w:szCs w:val="15"/>
                <w:color w:val="auto"/>
              </w:rPr>
              <w:t>1,188,411</w:t>
            </w:r>
          </w:p>
        </w:tc>
        <w:tc>
          <w:tcPr>
            <w:tcW w:w="1880" w:type="dxa"/>
            <w:vAlign w:val="bottom"/>
            <w:gridSpan w:val="3"/>
            <w:shd w:val="clear" w:color="auto" w:fill="D2DEA7"/>
          </w:tcPr>
          <w:p>
            <w:pPr>
              <w:jc w:val="right"/>
              <w:ind w:right="360"/>
              <w:spacing w:after="0" w:line="162" w:lineRule="exact"/>
              <w:rPr>
                <w:sz w:val="20"/>
                <w:szCs w:val="20"/>
                <w:color w:val="auto"/>
              </w:rPr>
            </w:pPr>
            <w:r>
              <w:rPr>
                <w:rFonts w:ascii="Arial" w:cs="Arial" w:eastAsia="Arial" w:hAnsi="Arial"/>
                <w:sz w:val="15"/>
                <w:szCs w:val="15"/>
                <w:color w:val="auto"/>
              </w:rPr>
              <w:t>1,188,411</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360" w:type="dxa"/>
            <w:vAlign w:val="bottom"/>
            <w:shd w:val="clear" w:color="auto" w:fill="41659C"/>
          </w:tcPr>
          <w:p>
            <w:pPr>
              <w:spacing w:after="0"/>
              <w:rPr>
                <w:sz w:val="12"/>
                <w:szCs w:val="12"/>
                <w:color w:val="auto"/>
              </w:rPr>
            </w:pPr>
          </w:p>
        </w:tc>
        <w:tc>
          <w:tcPr>
            <w:tcW w:w="520" w:type="dxa"/>
            <w:vAlign w:val="bottom"/>
            <w:shd w:val="clear" w:color="auto" w:fill="41659C"/>
          </w:tcPr>
          <w:p>
            <w:pPr>
              <w:spacing w:after="0"/>
              <w:rPr>
                <w:sz w:val="12"/>
                <w:szCs w:val="12"/>
                <w:color w:val="auto"/>
              </w:rPr>
            </w:pPr>
          </w:p>
        </w:tc>
        <w:tc>
          <w:tcPr>
            <w:tcW w:w="1580" w:type="dxa"/>
            <w:vAlign w:val="bottom"/>
            <w:shd w:val="clear" w:color="auto" w:fill="41659C"/>
          </w:tcPr>
          <w:p>
            <w:pPr>
              <w:spacing w:after="0"/>
              <w:rPr>
                <w:sz w:val="12"/>
                <w:szCs w:val="12"/>
                <w:color w:val="auto"/>
              </w:rPr>
            </w:pPr>
          </w:p>
        </w:tc>
        <w:tc>
          <w:tcPr>
            <w:tcW w:w="160" w:type="dxa"/>
            <w:vAlign w:val="bottom"/>
            <w:shd w:val="clear" w:color="auto" w:fill="41659C"/>
          </w:tcPr>
          <w:p>
            <w:pPr>
              <w:spacing w:after="0"/>
              <w:rPr>
                <w:sz w:val="12"/>
                <w:szCs w:val="12"/>
                <w:color w:val="auto"/>
              </w:rPr>
            </w:pPr>
          </w:p>
        </w:tc>
        <w:tc>
          <w:tcPr>
            <w:tcW w:w="900" w:type="dxa"/>
            <w:vAlign w:val="bottom"/>
            <w:shd w:val="clear" w:color="auto" w:fill="41659C"/>
          </w:tcPr>
          <w:p>
            <w:pPr>
              <w:spacing w:after="0"/>
              <w:rPr>
                <w:sz w:val="12"/>
                <w:szCs w:val="12"/>
                <w:color w:val="auto"/>
              </w:rPr>
            </w:pPr>
          </w:p>
        </w:tc>
        <w:tc>
          <w:tcPr>
            <w:tcW w:w="1720" w:type="dxa"/>
            <w:vAlign w:val="bottom"/>
            <w:shd w:val="clear" w:color="auto" w:fill="41659C"/>
          </w:tcPr>
          <w:p>
            <w:pPr>
              <w:spacing w:after="0"/>
              <w:rPr>
                <w:sz w:val="12"/>
                <w:szCs w:val="12"/>
                <w:color w:val="auto"/>
              </w:rPr>
            </w:pPr>
          </w:p>
        </w:tc>
        <w:tc>
          <w:tcPr>
            <w:tcW w:w="880" w:type="dxa"/>
            <w:vAlign w:val="bottom"/>
            <w:shd w:val="clear" w:color="auto" w:fill="41659C"/>
          </w:tcPr>
          <w:p>
            <w:pPr>
              <w:spacing w:after="0"/>
              <w:rPr>
                <w:sz w:val="12"/>
                <w:szCs w:val="12"/>
                <w:color w:val="auto"/>
              </w:rPr>
            </w:pPr>
          </w:p>
        </w:tc>
        <w:tc>
          <w:tcPr>
            <w:tcW w:w="1880" w:type="dxa"/>
            <w:vAlign w:val="bottom"/>
            <w:gridSpan w:val="3"/>
            <w:shd w:val="clear" w:color="auto" w:fill="41659C"/>
          </w:tcPr>
          <w:p>
            <w:pPr>
              <w:spacing w:after="0" w:line="141" w:lineRule="exact"/>
              <w:rPr>
                <w:sz w:val="20"/>
                <w:szCs w:val="20"/>
                <w:color w:val="auto"/>
              </w:rPr>
            </w:pPr>
            <w:r>
              <w:rPr>
                <w:rFonts w:ascii="Arial" w:cs="Arial" w:eastAsia="Arial" w:hAnsi="Arial"/>
                <w:sz w:val="15"/>
                <w:szCs w:val="15"/>
                <w:b w:val="1"/>
                <w:bCs w:val="1"/>
                <w:color w:val="FFFFFF"/>
              </w:rPr>
              <w:t>Without Cause or for</w:t>
            </w:r>
          </w:p>
        </w:tc>
        <w:tc>
          <w:tcPr>
            <w:tcW w:w="0" w:type="dxa"/>
            <w:vAlign w:val="bottom"/>
          </w:tcPr>
          <w:p>
            <w:pPr>
              <w:spacing w:after="0"/>
              <w:rPr>
                <w:sz w:val="1"/>
                <w:szCs w:val="1"/>
                <w:color w:val="auto"/>
              </w:rPr>
            </w:pPr>
          </w:p>
        </w:tc>
      </w:tr>
      <w:tr>
        <w:trPr>
          <w:trHeight w:val="143"/>
        </w:trPr>
        <w:tc>
          <w:tcPr>
            <w:tcW w:w="3360" w:type="dxa"/>
            <w:vAlign w:val="bottom"/>
            <w:vMerge w:val="restart"/>
            <w:shd w:val="clear" w:color="auto" w:fill="41659C"/>
          </w:tcPr>
          <w:p>
            <w:pPr>
              <w:ind w:left="220"/>
              <w:spacing w:after="0"/>
              <w:rPr>
                <w:sz w:val="20"/>
                <w:szCs w:val="20"/>
                <w:color w:val="auto"/>
              </w:rPr>
            </w:pPr>
            <w:r>
              <w:rPr>
                <w:rFonts w:ascii="Arial" w:cs="Arial" w:eastAsia="Arial" w:hAnsi="Arial"/>
                <w:sz w:val="15"/>
                <w:szCs w:val="15"/>
                <w:b w:val="1"/>
                <w:bCs w:val="1"/>
                <w:color w:val="FFFFFF"/>
              </w:rPr>
              <w:t>Paul Gohr</w:t>
            </w:r>
          </w:p>
        </w:tc>
        <w:tc>
          <w:tcPr>
            <w:tcW w:w="520" w:type="dxa"/>
            <w:vAlign w:val="bottom"/>
            <w:shd w:val="clear" w:color="auto" w:fill="41659C"/>
          </w:tcPr>
          <w:p>
            <w:pPr>
              <w:spacing w:after="0"/>
              <w:rPr>
                <w:sz w:val="12"/>
                <w:szCs w:val="12"/>
                <w:color w:val="auto"/>
              </w:rPr>
            </w:pPr>
          </w:p>
        </w:tc>
        <w:tc>
          <w:tcPr>
            <w:tcW w:w="1580" w:type="dxa"/>
            <w:vAlign w:val="bottom"/>
            <w:vMerge w:val="restart"/>
            <w:shd w:val="clear" w:color="auto" w:fill="41659C"/>
          </w:tcPr>
          <w:p>
            <w:pPr>
              <w:ind w:left="20"/>
              <w:spacing w:after="0"/>
              <w:rPr>
                <w:sz w:val="20"/>
                <w:szCs w:val="20"/>
                <w:color w:val="auto"/>
              </w:rPr>
            </w:pPr>
            <w:r>
              <w:rPr>
                <w:rFonts w:ascii="Arial" w:cs="Arial" w:eastAsia="Arial" w:hAnsi="Arial"/>
                <w:sz w:val="15"/>
                <w:szCs w:val="15"/>
                <w:b w:val="1"/>
                <w:bCs w:val="1"/>
                <w:color w:val="FFFFFF"/>
                <w:w w:val="99"/>
              </w:rPr>
              <w:t>Death or Disability ($)</w:t>
            </w:r>
          </w:p>
        </w:tc>
        <w:tc>
          <w:tcPr>
            <w:tcW w:w="16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w w:val="87"/>
              </w:rPr>
              <w:t>(1)</w:t>
            </w:r>
          </w:p>
        </w:tc>
        <w:tc>
          <w:tcPr>
            <w:tcW w:w="900" w:type="dxa"/>
            <w:vAlign w:val="bottom"/>
            <w:shd w:val="clear" w:color="auto" w:fill="41659C"/>
          </w:tcPr>
          <w:p>
            <w:pPr>
              <w:spacing w:after="0"/>
              <w:rPr>
                <w:sz w:val="12"/>
                <w:szCs w:val="12"/>
                <w:color w:val="auto"/>
              </w:rPr>
            </w:pPr>
          </w:p>
        </w:tc>
        <w:tc>
          <w:tcPr>
            <w:tcW w:w="1720" w:type="dxa"/>
            <w:vAlign w:val="bottom"/>
            <w:shd w:val="clear" w:color="auto" w:fill="41659C"/>
          </w:tcPr>
          <w:p>
            <w:pPr>
              <w:jc w:val="right"/>
              <w:spacing w:after="0" w:line="143" w:lineRule="exact"/>
              <w:rPr>
                <w:sz w:val="20"/>
                <w:szCs w:val="20"/>
                <w:color w:val="auto"/>
              </w:rPr>
            </w:pPr>
            <w:r>
              <w:rPr>
                <w:rFonts w:ascii="Arial" w:cs="Arial" w:eastAsia="Arial" w:hAnsi="Arial"/>
                <w:sz w:val="13"/>
                <w:szCs w:val="13"/>
                <w:b w:val="1"/>
                <w:bCs w:val="1"/>
                <w:color w:val="FFFFFF"/>
              </w:rPr>
              <w:t>(2)</w:t>
            </w:r>
          </w:p>
        </w:tc>
        <w:tc>
          <w:tcPr>
            <w:tcW w:w="880" w:type="dxa"/>
            <w:vAlign w:val="bottom"/>
            <w:shd w:val="clear" w:color="auto" w:fill="41659C"/>
          </w:tcPr>
          <w:p>
            <w:pPr>
              <w:spacing w:after="0"/>
              <w:rPr>
                <w:sz w:val="12"/>
                <w:szCs w:val="12"/>
                <w:color w:val="auto"/>
              </w:rPr>
            </w:pPr>
          </w:p>
        </w:tc>
        <w:tc>
          <w:tcPr>
            <w:tcW w:w="1300" w:type="dxa"/>
            <w:vAlign w:val="bottom"/>
            <w:vMerge w:val="restart"/>
            <w:shd w:val="clear" w:color="auto" w:fill="41659C"/>
          </w:tcPr>
          <w:p>
            <w:pPr>
              <w:ind w:left="60"/>
              <w:spacing w:after="0"/>
              <w:rPr>
                <w:sz w:val="20"/>
                <w:szCs w:val="20"/>
                <w:color w:val="auto"/>
              </w:rPr>
            </w:pPr>
            <w:r>
              <w:rPr>
                <w:rFonts w:ascii="Arial" w:cs="Arial" w:eastAsia="Arial" w:hAnsi="Arial"/>
                <w:sz w:val="15"/>
                <w:szCs w:val="15"/>
                <w:b w:val="1"/>
                <w:bCs w:val="1"/>
                <w:color w:val="FFFFFF"/>
              </w:rPr>
              <w:t>Good Reason ($)</w:t>
            </w:r>
          </w:p>
        </w:tc>
        <w:tc>
          <w:tcPr>
            <w:tcW w:w="220" w:type="dxa"/>
            <w:vAlign w:val="bottom"/>
            <w:shd w:val="clear" w:color="auto" w:fill="41659C"/>
          </w:tcPr>
          <w:p>
            <w:pPr>
              <w:jc w:val="right"/>
              <w:ind w:right="15"/>
              <w:spacing w:after="0" w:line="143" w:lineRule="exact"/>
              <w:rPr>
                <w:sz w:val="20"/>
                <w:szCs w:val="20"/>
                <w:color w:val="auto"/>
              </w:rPr>
            </w:pPr>
            <w:r>
              <w:rPr>
                <w:rFonts w:ascii="Arial" w:cs="Arial" w:eastAsia="Arial" w:hAnsi="Arial"/>
                <w:sz w:val="13"/>
                <w:szCs w:val="13"/>
                <w:b w:val="1"/>
                <w:bCs w:val="1"/>
                <w:color w:val="FFFFFF"/>
                <w:w w:val="75"/>
              </w:rPr>
              <w:t>(1)</w:t>
            </w:r>
          </w:p>
        </w:tc>
        <w:tc>
          <w:tcPr>
            <w:tcW w:w="360" w:type="dxa"/>
            <w:vAlign w:val="bottom"/>
            <w:shd w:val="clear" w:color="auto" w:fill="41659C"/>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360" w:type="dxa"/>
            <w:vAlign w:val="bottom"/>
            <w:vMerge w:val="continue"/>
            <w:shd w:val="clear" w:color="auto" w:fill="41659C"/>
          </w:tcPr>
          <w:p>
            <w:pPr>
              <w:spacing w:after="0"/>
              <w:rPr>
                <w:sz w:val="3"/>
                <w:szCs w:val="3"/>
                <w:color w:val="auto"/>
              </w:rPr>
            </w:pPr>
          </w:p>
        </w:tc>
        <w:tc>
          <w:tcPr>
            <w:tcW w:w="520" w:type="dxa"/>
            <w:vAlign w:val="bottom"/>
            <w:shd w:val="clear" w:color="auto" w:fill="41659C"/>
          </w:tcPr>
          <w:p>
            <w:pPr>
              <w:spacing w:after="0"/>
              <w:rPr>
                <w:sz w:val="3"/>
                <w:szCs w:val="3"/>
                <w:color w:val="auto"/>
              </w:rPr>
            </w:pPr>
          </w:p>
        </w:tc>
        <w:tc>
          <w:tcPr>
            <w:tcW w:w="1580" w:type="dxa"/>
            <w:vAlign w:val="bottom"/>
            <w:vMerge w:val="continue"/>
            <w:shd w:val="clear" w:color="auto" w:fill="41659C"/>
          </w:tcPr>
          <w:p>
            <w:pPr>
              <w:spacing w:after="0"/>
              <w:rPr>
                <w:sz w:val="3"/>
                <w:szCs w:val="3"/>
                <w:color w:val="auto"/>
              </w:rPr>
            </w:pPr>
          </w:p>
        </w:tc>
        <w:tc>
          <w:tcPr>
            <w:tcW w:w="160" w:type="dxa"/>
            <w:vAlign w:val="bottom"/>
            <w:shd w:val="clear" w:color="auto" w:fill="41659C"/>
          </w:tcPr>
          <w:p>
            <w:pPr>
              <w:spacing w:after="0"/>
              <w:rPr>
                <w:sz w:val="3"/>
                <w:szCs w:val="3"/>
                <w:color w:val="auto"/>
              </w:rPr>
            </w:pPr>
          </w:p>
        </w:tc>
        <w:tc>
          <w:tcPr>
            <w:tcW w:w="900" w:type="dxa"/>
            <w:vAlign w:val="bottom"/>
            <w:shd w:val="clear" w:color="auto" w:fill="41659C"/>
          </w:tcPr>
          <w:p>
            <w:pPr>
              <w:spacing w:after="0"/>
              <w:rPr>
                <w:sz w:val="3"/>
                <w:szCs w:val="3"/>
                <w:color w:val="auto"/>
              </w:rPr>
            </w:pPr>
          </w:p>
        </w:tc>
        <w:tc>
          <w:tcPr>
            <w:tcW w:w="2600" w:type="dxa"/>
            <w:vAlign w:val="bottom"/>
            <w:gridSpan w:val="2"/>
            <w:shd w:val="clear" w:color="auto" w:fill="41659C"/>
          </w:tcPr>
          <w:p>
            <w:pPr>
              <w:spacing w:after="0" w:line="41" w:lineRule="exact"/>
              <w:rPr>
                <w:sz w:val="20"/>
                <w:szCs w:val="20"/>
                <w:color w:val="auto"/>
              </w:rPr>
            </w:pPr>
            <w:r>
              <w:rPr>
                <w:rFonts w:ascii="Arial" w:cs="Arial" w:eastAsia="Arial" w:hAnsi="Arial"/>
                <w:sz w:val="4"/>
                <w:szCs w:val="4"/>
                <w:b w:val="1"/>
                <w:bCs w:val="1"/>
                <w:color w:val="FFFFFF"/>
              </w:rPr>
              <w:t>Change in Control ($)</w:t>
            </w:r>
          </w:p>
        </w:tc>
        <w:tc>
          <w:tcPr>
            <w:tcW w:w="1300" w:type="dxa"/>
            <w:vAlign w:val="bottom"/>
            <w:vMerge w:val="continue"/>
            <w:shd w:val="clear" w:color="auto" w:fill="41659C"/>
          </w:tcPr>
          <w:p>
            <w:pPr>
              <w:spacing w:after="0"/>
              <w:rPr>
                <w:sz w:val="3"/>
                <w:szCs w:val="3"/>
                <w:color w:val="auto"/>
              </w:rPr>
            </w:pPr>
          </w:p>
        </w:tc>
        <w:tc>
          <w:tcPr>
            <w:tcW w:w="220" w:type="dxa"/>
            <w:vAlign w:val="bottom"/>
            <w:shd w:val="clear" w:color="auto" w:fill="41659C"/>
          </w:tcPr>
          <w:p>
            <w:pPr>
              <w:spacing w:after="0"/>
              <w:rPr>
                <w:sz w:val="3"/>
                <w:szCs w:val="3"/>
                <w:color w:val="auto"/>
              </w:rPr>
            </w:pPr>
          </w:p>
        </w:tc>
        <w:tc>
          <w:tcPr>
            <w:tcW w:w="360" w:type="dxa"/>
            <w:vAlign w:val="bottom"/>
            <w:shd w:val="clear" w:color="auto" w:fill="41659C"/>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Accelerated Equity Awards</w:t>
            </w:r>
          </w:p>
        </w:tc>
        <w:tc>
          <w:tcPr>
            <w:tcW w:w="520" w:type="dxa"/>
            <w:vAlign w:val="bottom"/>
            <w:shd w:val="clear" w:color="auto" w:fill="E8EED3"/>
          </w:tcPr>
          <w:p>
            <w:pPr>
              <w:spacing w:after="0"/>
              <w:rPr>
                <w:sz w:val="14"/>
                <w:szCs w:val="14"/>
                <w:color w:val="auto"/>
              </w:rPr>
            </w:pPr>
          </w:p>
        </w:tc>
        <w:tc>
          <w:tcPr>
            <w:tcW w:w="1580" w:type="dxa"/>
            <w:vAlign w:val="bottom"/>
            <w:shd w:val="clear" w:color="auto" w:fill="E8EED3"/>
          </w:tcPr>
          <w:p>
            <w:pPr>
              <w:spacing w:after="0"/>
              <w:rPr>
                <w:sz w:val="14"/>
                <w:szCs w:val="14"/>
                <w:color w:val="auto"/>
              </w:rPr>
            </w:pPr>
          </w:p>
        </w:tc>
        <w:tc>
          <w:tcPr>
            <w:tcW w:w="160" w:type="dxa"/>
            <w:vAlign w:val="bottom"/>
            <w:shd w:val="clear" w:color="auto" w:fill="E8EED3"/>
          </w:tcPr>
          <w:p>
            <w:pPr>
              <w:spacing w:after="0"/>
              <w:rPr>
                <w:sz w:val="14"/>
                <w:szCs w:val="14"/>
                <w:color w:val="auto"/>
              </w:rPr>
            </w:pPr>
          </w:p>
        </w:tc>
        <w:tc>
          <w:tcPr>
            <w:tcW w:w="900" w:type="dxa"/>
            <w:vAlign w:val="bottom"/>
            <w:shd w:val="clear" w:color="auto" w:fill="E8EED3"/>
          </w:tcPr>
          <w:p>
            <w:pPr>
              <w:spacing w:after="0"/>
              <w:rPr>
                <w:sz w:val="14"/>
                <w:szCs w:val="14"/>
                <w:color w:val="auto"/>
              </w:rPr>
            </w:pPr>
          </w:p>
        </w:tc>
        <w:tc>
          <w:tcPr>
            <w:tcW w:w="1720" w:type="dxa"/>
            <w:vAlign w:val="bottom"/>
            <w:shd w:val="clear" w:color="auto" w:fill="E8EED3"/>
          </w:tcPr>
          <w:p>
            <w:pPr>
              <w:spacing w:after="0"/>
              <w:rPr>
                <w:sz w:val="14"/>
                <w:szCs w:val="14"/>
                <w:color w:val="auto"/>
              </w:rPr>
            </w:pPr>
          </w:p>
        </w:tc>
        <w:tc>
          <w:tcPr>
            <w:tcW w:w="880" w:type="dxa"/>
            <w:vAlign w:val="bottom"/>
            <w:shd w:val="clear" w:color="auto" w:fill="E8EED3"/>
          </w:tcPr>
          <w:p>
            <w:pPr>
              <w:spacing w:after="0"/>
              <w:rPr>
                <w:sz w:val="14"/>
                <w:szCs w:val="14"/>
                <w:color w:val="auto"/>
              </w:rPr>
            </w:pPr>
          </w:p>
        </w:tc>
        <w:tc>
          <w:tcPr>
            <w:tcW w:w="1300" w:type="dxa"/>
            <w:vAlign w:val="bottom"/>
            <w:shd w:val="clear" w:color="auto" w:fill="E8EED3"/>
          </w:tcPr>
          <w:p>
            <w:pPr>
              <w:spacing w:after="0"/>
              <w:rPr>
                <w:sz w:val="14"/>
                <w:szCs w:val="14"/>
                <w:color w:val="auto"/>
              </w:rPr>
            </w:pPr>
          </w:p>
        </w:tc>
        <w:tc>
          <w:tcPr>
            <w:tcW w:w="220" w:type="dxa"/>
            <w:vAlign w:val="bottom"/>
            <w:shd w:val="clear" w:color="auto" w:fill="E8EED3"/>
          </w:tcPr>
          <w:p>
            <w:pPr>
              <w:spacing w:after="0"/>
              <w:rPr>
                <w:sz w:val="14"/>
                <w:szCs w:val="14"/>
                <w:color w:val="auto"/>
              </w:rPr>
            </w:pPr>
          </w:p>
        </w:tc>
        <w:tc>
          <w:tcPr>
            <w:tcW w:w="360" w:type="dxa"/>
            <w:vAlign w:val="bottom"/>
            <w:shd w:val="clear" w:color="auto" w:fill="E8EED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b w:val="1"/>
                <w:bCs w:val="1"/>
                <w:color w:val="auto"/>
              </w:rPr>
              <w:t>RSUs</w:t>
            </w:r>
          </w:p>
        </w:tc>
        <w:tc>
          <w:tcPr>
            <w:tcW w:w="3160" w:type="dxa"/>
            <w:vAlign w:val="bottom"/>
            <w:gridSpan w:val="4"/>
            <w:shd w:val="clear" w:color="auto" w:fill="D2DEA7"/>
          </w:tcPr>
          <w:p>
            <w:pPr>
              <w:jc w:val="right"/>
              <w:ind w:right="900"/>
              <w:spacing w:after="0" w:line="162" w:lineRule="exact"/>
              <w:rPr>
                <w:sz w:val="20"/>
                <w:szCs w:val="20"/>
                <w:color w:val="auto"/>
              </w:rPr>
            </w:pPr>
            <w:r>
              <w:rPr>
                <w:rFonts w:ascii="Arial" w:cs="Arial" w:eastAsia="Arial" w:hAnsi="Arial"/>
                <w:sz w:val="15"/>
                <w:szCs w:val="15"/>
                <w:color w:val="auto"/>
              </w:rPr>
              <w:t>114,041</w:t>
            </w:r>
          </w:p>
        </w:tc>
        <w:tc>
          <w:tcPr>
            <w:tcW w:w="2600" w:type="dxa"/>
            <w:vAlign w:val="bottom"/>
            <w:gridSpan w:val="2"/>
            <w:shd w:val="clear" w:color="auto" w:fill="D2DEA7"/>
          </w:tcPr>
          <w:p>
            <w:pPr>
              <w:jc w:val="right"/>
              <w:ind w:right="880"/>
              <w:spacing w:after="0" w:line="162" w:lineRule="exact"/>
              <w:rPr>
                <w:sz w:val="20"/>
                <w:szCs w:val="20"/>
                <w:color w:val="auto"/>
              </w:rPr>
            </w:pPr>
            <w:r>
              <w:rPr>
                <w:rFonts w:ascii="Arial" w:cs="Arial" w:eastAsia="Arial" w:hAnsi="Arial"/>
                <w:sz w:val="15"/>
                <w:szCs w:val="15"/>
                <w:color w:val="auto"/>
              </w:rPr>
              <w:t>114,041</w:t>
            </w:r>
          </w:p>
        </w:tc>
        <w:tc>
          <w:tcPr>
            <w:tcW w:w="1880" w:type="dxa"/>
            <w:vAlign w:val="bottom"/>
            <w:gridSpan w:val="3"/>
            <w:shd w:val="clear" w:color="auto" w:fill="D2DEA7"/>
          </w:tcPr>
          <w:p>
            <w:pPr>
              <w:jc w:val="right"/>
              <w:ind w:right="360"/>
              <w:spacing w:after="0" w:line="162" w:lineRule="exact"/>
              <w:rPr>
                <w:sz w:val="20"/>
                <w:szCs w:val="20"/>
                <w:color w:val="auto"/>
              </w:rPr>
            </w:pPr>
            <w:r>
              <w:rPr>
                <w:rFonts w:ascii="Arial" w:cs="Arial" w:eastAsia="Arial" w:hAnsi="Arial"/>
                <w:sz w:val="15"/>
                <w:szCs w:val="15"/>
                <w:color w:val="auto"/>
              </w:rPr>
              <w:t>114,041</w:t>
            </w: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b w:val="1"/>
                <w:bCs w:val="1"/>
                <w:color w:val="auto"/>
              </w:rPr>
              <w:t>PRSUs</w:t>
            </w:r>
          </w:p>
        </w:tc>
        <w:tc>
          <w:tcPr>
            <w:tcW w:w="3160" w:type="dxa"/>
            <w:vAlign w:val="bottom"/>
            <w:gridSpan w:val="4"/>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50,625</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50,625</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50,625</w:t>
            </w:r>
          </w:p>
        </w:tc>
        <w:tc>
          <w:tcPr>
            <w:tcW w:w="0" w:type="dxa"/>
            <w:vAlign w:val="bottom"/>
          </w:tcPr>
          <w:p>
            <w:pPr>
              <w:spacing w:after="0"/>
              <w:rPr>
                <w:sz w:val="1"/>
                <w:szCs w:val="1"/>
                <w:color w:val="auto"/>
              </w:rPr>
            </w:pPr>
          </w:p>
        </w:tc>
      </w:tr>
      <w:tr>
        <w:trPr>
          <w:trHeight w:val="121"/>
        </w:trPr>
        <w:tc>
          <w:tcPr>
            <w:tcW w:w="3360" w:type="dxa"/>
            <w:vAlign w:val="bottom"/>
            <w:shd w:val="clear" w:color="auto" w:fill="D2DEA7"/>
          </w:tcPr>
          <w:p>
            <w:pPr>
              <w:ind w:left="940"/>
              <w:spacing w:after="0" w:line="121" w:lineRule="exact"/>
              <w:rPr>
                <w:sz w:val="20"/>
                <w:szCs w:val="20"/>
                <w:color w:val="auto"/>
              </w:rPr>
            </w:pPr>
            <w:r>
              <w:rPr>
                <w:rFonts w:ascii="Arial" w:cs="Arial" w:eastAsia="Arial" w:hAnsi="Arial"/>
                <w:sz w:val="13"/>
                <w:szCs w:val="13"/>
                <w:b w:val="1"/>
                <w:bCs w:val="1"/>
                <w:color w:val="auto"/>
              </w:rPr>
              <w:t>(6)</w:t>
            </w:r>
          </w:p>
        </w:tc>
        <w:tc>
          <w:tcPr>
            <w:tcW w:w="520" w:type="dxa"/>
            <w:vAlign w:val="bottom"/>
            <w:shd w:val="clear" w:color="auto" w:fill="D2DEA7"/>
          </w:tcPr>
          <w:p>
            <w:pPr>
              <w:spacing w:after="0"/>
              <w:rPr>
                <w:sz w:val="10"/>
                <w:szCs w:val="10"/>
                <w:color w:val="auto"/>
              </w:rPr>
            </w:pPr>
          </w:p>
        </w:tc>
        <w:tc>
          <w:tcPr>
            <w:tcW w:w="1740" w:type="dxa"/>
            <w:vAlign w:val="bottom"/>
            <w:gridSpan w:val="2"/>
            <w:vMerge w:val="restart"/>
            <w:shd w:val="clear" w:color="auto" w:fill="D2DEA7"/>
          </w:tcPr>
          <w:p>
            <w:pPr>
              <w:jc w:val="right"/>
              <w:ind w:right="15"/>
              <w:spacing w:after="0" w:line="162" w:lineRule="exact"/>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D2DEA7"/>
          </w:tcPr>
          <w:p>
            <w:pPr>
              <w:spacing w:after="0"/>
              <w:rPr>
                <w:sz w:val="10"/>
                <w:szCs w:val="10"/>
                <w:color w:val="auto"/>
              </w:rPr>
            </w:pPr>
          </w:p>
        </w:tc>
        <w:tc>
          <w:tcPr>
            <w:tcW w:w="1720" w:type="dxa"/>
            <w:vAlign w:val="bottom"/>
            <w:vMerge w:val="restart"/>
            <w:shd w:val="clear" w:color="auto" w:fill="D2DEA7"/>
          </w:tcPr>
          <w:p>
            <w:pPr>
              <w:jc w:val="right"/>
              <w:ind w:right="33"/>
              <w:spacing w:after="0" w:line="162" w:lineRule="exact"/>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D2DEA7"/>
          </w:tcPr>
          <w:p>
            <w:pPr>
              <w:spacing w:after="0"/>
              <w:rPr>
                <w:sz w:val="10"/>
                <w:szCs w:val="10"/>
                <w:color w:val="auto"/>
              </w:rPr>
            </w:pPr>
          </w:p>
        </w:tc>
        <w:tc>
          <w:tcPr>
            <w:tcW w:w="1520" w:type="dxa"/>
            <w:vAlign w:val="bottom"/>
            <w:gridSpan w:val="2"/>
            <w:vMerge w:val="restart"/>
            <w:shd w:val="clear" w:color="auto" w:fill="D2DEA7"/>
          </w:tcPr>
          <w:p>
            <w:pPr>
              <w:jc w:val="right"/>
              <w:ind w:right="35"/>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D2DEA7"/>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360" w:type="dxa"/>
            <w:vAlign w:val="bottom"/>
            <w:tcBorders>
              <w:bottom w:val="single" w:sz="8" w:color="D2DEA7"/>
            </w:tcBorders>
            <w:shd w:val="clear" w:color="auto" w:fill="D2DEA7"/>
          </w:tcPr>
          <w:p>
            <w:pPr>
              <w:ind w:left="380"/>
              <w:spacing w:after="0" w:line="41" w:lineRule="exact"/>
              <w:rPr>
                <w:sz w:val="20"/>
                <w:szCs w:val="20"/>
                <w:color w:val="auto"/>
              </w:rPr>
            </w:pPr>
            <w:r>
              <w:rPr>
                <w:rFonts w:ascii="Arial" w:cs="Arial" w:eastAsia="Arial" w:hAnsi="Arial"/>
                <w:sz w:val="4"/>
                <w:szCs w:val="4"/>
                <w:b w:val="1"/>
                <w:bCs w:val="1"/>
                <w:color w:val="auto"/>
              </w:rPr>
              <w:t>Options</w:t>
            </w:r>
          </w:p>
        </w:tc>
        <w:tc>
          <w:tcPr>
            <w:tcW w:w="520" w:type="dxa"/>
            <w:vAlign w:val="bottom"/>
            <w:tcBorders>
              <w:bottom w:val="single" w:sz="8" w:color="D2DEA7"/>
            </w:tcBorders>
            <w:shd w:val="clear" w:color="auto" w:fill="D2DEA7"/>
          </w:tcPr>
          <w:p>
            <w:pPr>
              <w:spacing w:after="0"/>
              <w:rPr>
                <w:sz w:val="4"/>
                <w:szCs w:val="4"/>
                <w:color w:val="auto"/>
              </w:rPr>
            </w:pPr>
          </w:p>
        </w:tc>
        <w:tc>
          <w:tcPr>
            <w:tcW w:w="1740" w:type="dxa"/>
            <w:vAlign w:val="bottom"/>
            <w:tcBorders>
              <w:bottom w:val="single" w:sz="8" w:color="auto"/>
            </w:tcBorders>
            <w:gridSpan w:val="2"/>
            <w:vMerge w:val="continue"/>
            <w:shd w:val="clear" w:color="auto" w:fill="D2DEA7"/>
          </w:tcPr>
          <w:p>
            <w:pPr>
              <w:spacing w:after="0"/>
              <w:rPr>
                <w:sz w:val="4"/>
                <w:szCs w:val="4"/>
                <w:color w:val="auto"/>
              </w:rPr>
            </w:pPr>
          </w:p>
        </w:tc>
        <w:tc>
          <w:tcPr>
            <w:tcW w:w="900" w:type="dxa"/>
            <w:vAlign w:val="bottom"/>
            <w:tcBorders>
              <w:bottom w:val="single" w:sz="8" w:color="D2DEA7"/>
            </w:tcBorders>
            <w:vMerge w:val="continue"/>
            <w:shd w:val="clear" w:color="auto" w:fill="D2DEA7"/>
          </w:tcPr>
          <w:p>
            <w:pPr>
              <w:spacing w:after="0"/>
              <w:rPr>
                <w:sz w:val="4"/>
                <w:szCs w:val="4"/>
                <w:color w:val="auto"/>
              </w:rPr>
            </w:pPr>
          </w:p>
        </w:tc>
        <w:tc>
          <w:tcPr>
            <w:tcW w:w="1720" w:type="dxa"/>
            <w:vAlign w:val="bottom"/>
            <w:tcBorders>
              <w:bottom w:val="single" w:sz="8" w:color="auto"/>
            </w:tcBorders>
            <w:vMerge w:val="continue"/>
            <w:shd w:val="clear" w:color="auto" w:fill="D2DEA7"/>
          </w:tcPr>
          <w:p>
            <w:pPr>
              <w:spacing w:after="0"/>
              <w:rPr>
                <w:sz w:val="4"/>
                <w:szCs w:val="4"/>
                <w:color w:val="auto"/>
              </w:rPr>
            </w:pPr>
          </w:p>
        </w:tc>
        <w:tc>
          <w:tcPr>
            <w:tcW w:w="880" w:type="dxa"/>
            <w:vAlign w:val="bottom"/>
            <w:tcBorders>
              <w:bottom w:val="single" w:sz="8" w:color="D2DEA7"/>
            </w:tcBorders>
            <w:vMerge w:val="continue"/>
            <w:shd w:val="clear" w:color="auto" w:fill="D2DEA7"/>
          </w:tcPr>
          <w:p>
            <w:pPr>
              <w:spacing w:after="0"/>
              <w:rPr>
                <w:sz w:val="4"/>
                <w:szCs w:val="4"/>
                <w:color w:val="auto"/>
              </w:rPr>
            </w:pPr>
          </w:p>
        </w:tc>
        <w:tc>
          <w:tcPr>
            <w:tcW w:w="1520" w:type="dxa"/>
            <w:vAlign w:val="bottom"/>
            <w:tcBorders>
              <w:bottom w:val="single" w:sz="8" w:color="auto"/>
            </w:tcBorders>
            <w:gridSpan w:val="2"/>
            <w:vMerge w:val="continue"/>
            <w:shd w:val="clear" w:color="auto" w:fill="D2DEA7"/>
          </w:tcPr>
          <w:p>
            <w:pPr>
              <w:spacing w:after="0"/>
              <w:rPr>
                <w:sz w:val="4"/>
                <w:szCs w:val="4"/>
                <w:color w:val="auto"/>
              </w:rPr>
            </w:pPr>
          </w:p>
        </w:tc>
        <w:tc>
          <w:tcPr>
            <w:tcW w:w="360" w:type="dxa"/>
            <w:vAlign w:val="bottom"/>
            <w:tcBorders>
              <w:bottom w:val="single" w:sz="8" w:color="D2DEA7"/>
            </w:tcBorders>
            <w:vMerge w:val="continue"/>
            <w:shd w:val="clear" w:color="auto" w:fill="D2DEA7"/>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b w:val="1"/>
                <w:bCs w:val="1"/>
                <w:color w:val="auto"/>
              </w:rPr>
              <w:t>Total</w:t>
            </w:r>
          </w:p>
        </w:tc>
        <w:tc>
          <w:tcPr>
            <w:tcW w:w="3160" w:type="dxa"/>
            <w:vAlign w:val="bottom"/>
            <w:gridSpan w:val="4"/>
            <w:shd w:val="clear" w:color="auto" w:fill="E8EED3"/>
          </w:tcPr>
          <w:p>
            <w:pPr>
              <w:jc w:val="right"/>
              <w:ind w:right="900"/>
              <w:spacing w:after="0" w:line="162" w:lineRule="exact"/>
              <w:rPr>
                <w:sz w:val="20"/>
                <w:szCs w:val="20"/>
                <w:color w:val="auto"/>
              </w:rPr>
            </w:pPr>
            <w:r>
              <w:rPr>
                <w:rFonts w:ascii="Arial" w:cs="Arial" w:eastAsia="Arial" w:hAnsi="Arial"/>
                <w:sz w:val="15"/>
                <w:szCs w:val="15"/>
                <w:color w:val="auto"/>
              </w:rPr>
              <w:t>164,666</w:t>
            </w:r>
          </w:p>
        </w:tc>
        <w:tc>
          <w:tcPr>
            <w:tcW w:w="2600" w:type="dxa"/>
            <w:vAlign w:val="bottom"/>
            <w:gridSpan w:val="2"/>
            <w:shd w:val="clear" w:color="auto" w:fill="E8EED3"/>
          </w:tcPr>
          <w:p>
            <w:pPr>
              <w:jc w:val="right"/>
              <w:ind w:right="880"/>
              <w:spacing w:after="0" w:line="162" w:lineRule="exact"/>
              <w:rPr>
                <w:sz w:val="20"/>
                <w:szCs w:val="20"/>
                <w:color w:val="auto"/>
              </w:rPr>
            </w:pPr>
            <w:r>
              <w:rPr>
                <w:rFonts w:ascii="Arial" w:cs="Arial" w:eastAsia="Arial" w:hAnsi="Arial"/>
                <w:sz w:val="15"/>
                <w:szCs w:val="15"/>
                <w:color w:val="auto"/>
              </w:rPr>
              <w:t>164,666</w:t>
            </w:r>
          </w:p>
        </w:tc>
        <w:tc>
          <w:tcPr>
            <w:tcW w:w="1880" w:type="dxa"/>
            <w:vAlign w:val="bottom"/>
            <w:gridSpan w:val="3"/>
            <w:shd w:val="clear" w:color="auto" w:fill="E8EED3"/>
          </w:tcPr>
          <w:p>
            <w:pPr>
              <w:jc w:val="right"/>
              <w:ind w:right="360"/>
              <w:spacing w:after="0" w:line="162" w:lineRule="exact"/>
              <w:rPr>
                <w:sz w:val="20"/>
                <w:szCs w:val="20"/>
                <w:color w:val="auto"/>
              </w:rPr>
            </w:pPr>
            <w:r>
              <w:rPr>
                <w:rFonts w:ascii="Arial" w:cs="Arial" w:eastAsia="Arial" w:hAnsi="Arial"/>
                <w:sz w:val="15"/>
                <w:szCs w:val="15"/>
                <w:color w:val="auto"/>
              </w:rPr>
              <w:t>164,666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-2774950</wp:posOffset>
            </wp:positionV>
            <wp:extent cx="8255" cy="27755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277558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-2774950</wp:posOffset>
            </wp:positionV>
            <wp:extent cx="8255" cy="27755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77558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-2774950</wp:posOffset>
            </wp:positionV>
            <wp:extent cx="8255" cy="2775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2775585"/>
                    </a:xfrm>
                    <a:prstGeom prst="rect">
                      <a:avLst/>
                    </a:prstGeom>
                    <a:noFill/>
                  </pic:spPr>
                </pic:pic>
              </a:graphicData>
            </a:graphic>
          </wp:anchor>
        </w:drawing>
      </w:r>
    </w:p>
    <w:p>
      <w:pPr>
        <w:spacing w:after="0" w:line="106" w:lineRule="exact"/>
        <w:rPr>
          <w:sz w:val="20"/>
          <w:szCs w:val="20"/>
          <w:color w:val="auto"/>
        </w:rPr>
      </w:pPr>
    </w:p>
    <w:p>
      <w:pPr>
        <w:ind w:left="540" w:right="120" w:hanging="330"/>
        <w:spacing w:after="0" w:line="245"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PRSUs, and stock options is subject to the discretion of our Compensation Committee in the event of an involuntary termination or a termination as a result of death or disability. For the purpose of this disclosure, we have assumed that all outstanding RSUs, PRSUs and stock options will be accelerated in such circumstances. In the event of death or disability, Mr. Sadlowski’s performance units would generally vest on a pro-rata basis (based on the date of such death or disability) based on actual performance for the full performance period. For the purposes of this disclosure, we have assumed that none of Mr. Sadlowski’s performance units have vested because of stock price performance to date, and accordingly we have valued them at $0.</w:t>
      </w:r>
    </w:p>
    <w:p>
      <w:pPr>
        <w:spacing w:after="0" w:line="109" w:lineRule="exact"/>
        <w:rPr>
          <w:rFonts w:ascii="Arial" w:cs="Arial" w:eastAsia="Arial" w:hAnsi="Arial"/>
          <w:sz w:val="14"/>
          <w:szCs w:val="14"/>
          <w:color w:val="auto"/>
        </w:rPr>
      </w:pPr>
    </w:p>
    <w:p>
      <w:pPr>
        <w:ind w:left="540" w:right="100" w:hanging="330"/>
        <w:spacing w:after="0" w:line="241"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accelerated vesting of all or part of outstanding RSUs and stock option awards upon a change in control is generally subject to the discretion of our Compensation Committee, except that Mr. Eckl’s RSUs will vest immediately prior to the closing of a change in control pursuant to the terms of his employment agreement.</w:t>
      </w:r>
    </w:p>
    <w:p>
      <w:pPr>
        <w:ind w:left="540" w:right="260"/>
        <w:spacing w:after="0" w:line="257" w:lineRule="auto"/>
        <w:rPr>
          <w:rFonts w:ascii="Arial" w:cs="Arial" w:eastAsia="Arial" w:hAnsi="Arial"/>
          <w:sz w:val="14"/>
          <w:szCs w:val="14"/>
          <w:color w:val="auto"/>
        </w:rPr>
      </w:pPr>
      <w:r>
        <w:rPr>
          <w:rFonts w:ascii="Arial" w:cs="Arial" w:eastAsia="Arial" w:hAnsi="Arial"/>
          <w:sz w:val="14"/>
          <w:szCs w:val="14"/>
          <w:color w:val="auto"/>
        </w:rPr>
        <w:t>Mr. Sadlowski’s performance units would generally vest in the event of a change in control based on performance through the date of the change in control, unless a replacement award is provided in accordance with the</w:t>
      </w:r>
    </w:p>
    <w:p>
      <w:pPr>
        <w:spacing w:after="0" w:line="116" w:lineRule="exact"/>
        <w:rPr>
          <w:rFonts w:ascii="Arial" w:cs="Arial" w:eastAsia="Arial" w:hAnsi="Arial"/>
          <w:sz w:val="14"/>
          <w:szCs w:val="14"/>
          <w:color w:val="auto"/>
        </w:rPr>
      </w:pPr>
    </w:p>
    <w:p>
      <w:pPr>
        <w:ind w:left="5620" w:hanging="105"/>
        <w:spacing w:after="0"/>
        <w:tabs>
          <w:tab w:leader="none" w:pos="5620" w:val="left"/>
        </w:tabs>
        <w:numPr>
          <w:ilvl w:val="1"/>
          <w:numId w:val="22"/>
        </w:numPr>
        <w:rPr>
          <w:rFonts w:ascii="Arial" w:cs="Arial" w:eastAsia="Arial" w:hAnsi="Arial"/>
          <w:sz w:val="17"/>
          <w:szCs w:val="17"/>
          <w:color w:val="41659C"/>
        </w:rPr>
      </w:pPr>
      <w:r>
        <w:rPr>
          <w:rFonts w:ascii="Arial" w:cs="Arial" w:eastAsia="Arial" w:hAnsi="Arial"/>
          <w:sz w:val="17"/>
          <w:szCs w:val="17"/>
          <w:color w:val="41659C"/>
        </w:rPr>
        <w:t>26 -</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line="244" w:lineRule="auto"/>
        <w:rPr>
          <w:sz w:val="20"/>
          <w:szCs w:val="20"/>
          <w:color w:val="auto"/>
        </w:rPr>
      </w:pPr>
      <w:r>
        <w:rPr>
          <w:rFonts w:ascii="Arial" w:cs="Arial" w:eastAsia="Arial" w:hAnsi="Arial"/>
          <w:sz w:val="14"/>
          <w:szCs w:val="14"/>
          <w:color w:val="auto"/>
        </w:rPr>
        <w:t>applicable award agreement. If such a replacement award is provided, and Mr. Sadlowski is terminated by us without cause (as defined in the applicable award agreement) or by Mr. Sadlowski for good reason (as defined in the applicable award agreement), in each case within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109" w:lineRule="exact"/>
        <w:rPr>
          <w:sz w:val="20"/>
          <w:szCs w:val="20"/>
          <w:color w:val="auto"/>
        </w:rPr>
      </w:pPr>
    </w:p>
    <w:p>
      <w:pPr>
        <w:ind w:left="540" w:right="60" w:hanging="330"/>
        <w:spacing w:after="0" w:line="249"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Sadlowski’s employment agreement provides, in the event of termination of employment by the Company without “cause” or by Mr. Sadlowski for “good reason” (as such terms are defined in his employment agreement), for (i) a lump sum equal to his annual base salary ($575,000); and (ii) a lump sum equal to a pro-rated annual cash incentive payment for 2018 based on actual performance ($715,561).</w:t>
      </w:r>
    </w:p>
    <w:p>
      <w:pPr>
        <w:spacing w:after="0" w:line="105" w:lineRule="exact"/>
        <w:rPr>
          <w:rFonts w:ascii="Arial" w:cs="Arial" w:eastAsia="Arial" w:hAnsi="Arial"/>
          <w:sz w:val="14"/>
          <w:szCs w:val="14"/>
          <w:color w:val="auto"/>
        </w:rPr>
      </w:pPr>
    </w:p>
    <w:p>
      <w:pPr>
        <w:ind w:left="540" w:hanging="330"/>
        <w:spacing w:after="0" w:line="244"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Eckl’s employment agreement provides, in the event of a termination of employment by the Company without “cause” or by Mr. Eckl for “good reason” (as such terms are defined in his employment agreement), for (i) a lump sum equal to the sum of his annual base salary ($335,000); and (ii) a lump sum equal a pro-rated annual cash incentive payment for 2018 based on actual performance ($228,736). In the event of a change in control of the Company, in certain circumstances as described below, Mr. Eckl may be eligible for a lump sum cash amount equal to the sum of his annual base salary ($335,000) plus his annual cash incentive (equal to the same percentage of his annual base salary as the annual cash incentive, if any, that he received for the prior fiscal year ($228,736); if this amount were paid, it would be in lieu of the base salary ($335,000) lump sum that would be paid in a non-change in control termination.</w:t>
      </w:r>
    </w:p>
    <w:p>
      <w:pPr>
        <w:spacing w:after="0" w:line="110" w:lineRule="exact"/>
        <w:rPr>
          <w:rFonts w:ascii="Arial" w:cs="Arial" w:eastAsia="Arial" w:hAnsi="Arial"/>
          <w:sz w:val="14"/>
          <w:szCs w:val="14"/>
          <w:color w:val="auto"/>
        </w:rPr>
      </w:pPr>
    </w:p>
    <w:p>
      <w:pPr>
        <w:ind w:left="540" w:right="20" w:hanging="330"/>
        <w:spacing w:after="0" w:line="257"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payment of COBRA reimbursements for 12 months following termination. Mr. Sadlowski’s employment agreement provides for the reimbursement of his COBRA payments if he elects continued coverage. Mr. Eckl’s employment agreement provides for a lump sum payment.</w:t>
      </w:r>
    </w:p>
    <w:p>
      <w:pPr>
        <w:spacing w:after="0" w:line="100" w:lineRule="exact"/>
        <w:rPr>
          <w:rFonts w:ascii="Arial" w:cs="Arial" w:eastAsia="Arial" w:hAnsi="Arial"/>
          <w:sz w:val="14"/>
          <w:szCs w:val="14"/>
          <w:color w:val="auto"/>
        </w:rPr>
      </w:pPr>
    </w:p>
    <w:p>
      <w:pPr>
        <w:ind w:left="540" w:right="880" w:hanging="330"/>
        <w:spacing w:after="0" w:line="257"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value is reported for Mr. Gohr’s stock options, because the exercise prices of such stock options exceeded the closing price of our common stock as of December 31, 2018.</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Agreement with Mr.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660"/>
        <w:spacing w:after="0" w:line="260" w:lineRule="auto"/>
        <w:rPr>
          <w:sz w:val="20"/>
          <w:szCs w:val="20"/>
          <w:color w:val="auto"/>
        </w:rPr>
      </w:pPr>
      <w:r>
        <w:rPr>
          <w:rFonts w:ascii="Arial" w:cs="Arial" w:eastAsia="Arial" w:hAnsi="Arial"/>
          <w:sz w:val="16"/>
          <w:szCs w:val="16"/>
          <w:color w:val="auto"/>
        </w:rPr>
        <w:t>We entered into an employment agreement on June 10, 2017 with Mr. Sadlowski in connection with his appointment as our permanent CEO. His employment agreement provides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6989445" cy="20046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9445" cy="20046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80" w:hanging="127"/>
        <w:spacing w:after="0"/>
        <w:tabs>
          <w:tab w:leader="none" w:pos="580" w:val="left"/>
        </w:tabs>
        <w:numPr>
          <w:ilvl w:val="0"/>
          <w:numId w:val="24"/>
        </w:numPr>
        <w:rPr>
          <w:rFonts w:ascii="Arial" w:cs="Arial" w:eastAsia="Arial" w:hAnsi="Arial"/>
          <w:sz w:val="16"/>
          <w:szCs w:val="16"/>
          <w:color w:val="41659C"/>
        </w:rPr>
      </w:pPr>
      <w:r>
        <w:rPr>
          <w:rFonts w:ascii="Arial" w:cs="Arial" w:eastAsia="Arial" w:hAnsi="Arial"/>
          <w:sz w:val="16"/>
          <w:szCs w:val="16"/>
          <w:color w:val="auto"/>
        </w:rPr>
        <w:t>an initial annual base salary of $575,000 that is subject to annual review for any increase;</w:t>
      </w:r>
    </w:p>
    <w:p>
      <w:pPr>
        <w:spacing w:after="0" w:line="207" w:lineRule="exact"/>
        <w:rPr>
          <w:rFonts w:ascii="Arial" w:cs="Arial" w:eastAsia="Arial" w:hAnsi="Arial"/>
          <w:sz w:val="16"/>
          <w:szCs w:val="16"/>
          <w:color w:val="41659C"/>
        </w:rPr>
      </w:pPr>
    </w:p>
    <w:p>
      <w:pPr>
        <w:ind w:left="620" w:right="880" w:hanging="167"/>
        <w:spacing w:after="0" w:line="253" w:lineRule="auto"/>
        <w:tabs>
          <w:tab w:leader="none" w:pos="579" w:val="left"/>
        </w:tabs>
        <w:numPr>
          <w:ilvl w:val="0"/>
          <w:numId w:val="24"/>
        </w:numPr>
        <w:rPr>
          <w:rFonts w:ascii="Arial" w:cs="Arial" w:eastAsia="Arial" w:hAnsi="Arial"/>
          <w:sz w:val="16"/>
          <w:szCs w:val="16"/>
          <w:color w:val="41659C"/>
        </w:rPr>
      </w:pPr>
      <w:r>
        <w:rPr>
          <w:rFonts w:ascii="Arial" w:cs="Arial" w:eastAsia="Arial" w:hAnsi="Arial"/>
          <w:sz w:val="16"/>
          <w:szCs w:val="16"/>
          <w:color w:val="auto"/>
        </w:rPr>
        <w:t>the opportunity to earn, based on achievement with respect to the applicable performance criteria established by our Compensation Committee, an annual cash bonus with a target bonus opportunity equal to no less than 100% of his base salary and a maximum bonus opportunity equal to no less than 200% of his base salary;</w:t>
      </w:r>
    </w:p>
    <w:p>
      <w:pPr>
        <w:spacing w:after="0" w:line="187" w:lineRule="exact"/>
        <w:rPr>
          <w:rFonts w:ascii="Arial" w:cs="Arial" w:eastAsia="Arial" w:hAnsi="Arial"/>
          <w:sz w:val="16"/>
          <w:szCs w:val="16"/>
          <w:color w:val="41659C"/>
        </w:rPr>
      </w:pPr>
    </w:p>
    <w:p>
      <w:pPr>
        <w:ind w:left="620" w:right="560" w:hanging="167"/>
        <w:spacing w:after="0" w:line="250" w:lineRule="auto"/>
        <w:tabs>
          <w:tab w:leader="none" w:pos="579" w:val="left"/>
        </w:tabs>
        <w:numPr>
          <w:ilvl w:val="0"/>
          <w:numId w:val="24"/>
        </w:numPr>
        <w:rPr>
          <w:rFonts w:ascii="Arial" w:cs="Arial" w:eastAsia="Arial" w:hAnsi="Arial"/>
          <w:sz w:val="16"/>
          <w:szCs w:val="16"/>
          <w:color w:val="41659C"/>
        </w:rPr>
      </w:pPr>
      <w:r>
        <w:rPr>
          <w:rFonts w:ascii="Arial" w:cs="Arial" w:eastAsia="Arial" w:hAnsi="Arial"/>
          <w:sz w:val="16"/>
          <w:szCs w:val="16"/>
          <w:color w:val="auto"/>
        </w:rPr>
        <w:t>eligibility for market-competitive annual awards under our Company’s long-term incentive compensation arrangements as reasonably determined by our Compensation Committee after consideration of competitive market data provided by its independent compensation consultant, in accordance with Company policies and the applicable award agreements and incentive compensation plans under which such awards may be granted;</w:t>
      </w:r>
    </w:p>
    <w:p>
      <w:pPr>
        <w:spacing w:after="0" w:line="191" w:lineRule="exact"/>
        <w:rPr>
          <w:rFonts w:ascii="Arial" w:cs="Arial" w:eastAsia="Arial" w:hAnsi="Arial"/>
          <w:sz w:val="16"/>
          <w:szCs w:val="16"/>
          <w:color w:val="41659C"/>
        </w:rPr>
      </w:pPr>
    </w:p>
    <w:p>
      <w:pPr>
        <w:ind w:left="580" w:hanging="127"/>
        <w:spacing w:after="0"/>
        <w:tabs>
          <w:tab w:leader="none" w:pos="580" w:val="left"/>
        </w:tabs>
        <w:numPr>
          <w:ilvl w:val="0"/>
          <w:numId w:val="24"/>
        </w:numPr>
        <w:rPr>
          <w:rFonts w:ascii="Arial" w:cs="Arial" w:eastAsia="Arial" w:hAnsi="Arial"/>
          <w:sz w:val="16"/>
          <w:szCs w:val="16"/>
          <w:color w:val="41659C"/>
        </w:rPr>
      </w:pPr>
      <w:r>
        <w:rPr>
          <w:rFonts w:ascii="Arial" w:cs="Arial" w:eastAsia="Arial" w:hAnsi="Arial"/>
          <w:sz w:val="16"/>
          <w:szCs w:val="16"/>
          <w:color w:val="auto"/>
        </w:rPr>
        <w:t>a monthly car allowance of $1,000; and</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24"/>
        </w:numPr>
        <w:rPr>
          <w:rFonts w:ascii="Arial" w:cs="Arial" w:eastAsia="Arial" w:hAnsi="Arial"/>
          <w:sz w:val="16"/>
          <w:szCs w:val="16"/>
          <w:color w:val="41659C"/>
        </w:rPr>
      </w:pPr>
      <w:r>
        <w:rPr>
          <w:rFonts w:ascii="Arial" w:cs="Arial" w:eastAsia="Arial" w:hAnsi="Arial"/>
          <w:sz w:val="16"/>
          <w:szCs w:val="16"/>
          <w:color w:val="auto"/>
        </w:rPr>
        <w:t>participation in the employee benefit plans, programs and policies for senior executives of our Company.</w:t>
      </w:r>
    </w:p>
    <w:p>
      <w:pPr>
        <w:spacing w:after="0" w:line="200" w:lineRule="exact"/>
        <w:rPr>
          <w:rFonts w:ascii="Arial" w:cs="Arial" w:eastAsia="Arial" w:hAnsi="Arial"/>
          <w:sz w:val="16"/>
          <w:szCs w:val="16"/>
          <w:color w:val="41659C"/>
        </w:rPr>
      </w:pPr>
    </w:p>
    <w:p>
      <w:pPr>
        <w:spacing w:after="0" w:line="201" w:lineRule="exact"/>
        <w:rPr>
          <w:rFonts w:ascii="Arial" w:cs="Arial" w:eastAsia="Arial" w:hAnsi="Arial"/>
          <w:sz w:val="16"/>
          <w:szCs w:val="16"/>
          <w:color w:val="41659C"/>
        </w:rPr>
      </w:pPr>
    </w:p>
    <w:p>
      <w:pPr>
        <w:ind w:left="5620" w:hanging="105"/>
        <w:spacing w:after="0"/>
        <w:tabs>
          <w:tab w:leader="none" w:pos="5620" w:val="left"/>
        </w:tabs>
        <w:numPr>
          <w:ilvl w:val="1"/>
          <w:numId w:val="24"/>
        </w:numPr>
        <w:rPr>
          <w:rFonts w:ascii="Arial" w:cs="Arial" w:eastAsia="Arial" w:hAnsi="Arial"/>
          <w:sz w:val="17"/>
          <w:szCs w:val="17"/>
          <w:color w:val="41659C"/>
        </w:rPr>
      </w:pPr>
      <w:r>
        <w:rPr>
          <w:rFonts w:ascii="Arial" w:cs="Arial" w:eastAsia="Arial" w:hAnsi="Arial"/>
          <w:sz w:val="17"/>
          <w:szCs w:val="17"/>
          <w:color w:val="41659C"/>
        </w:rPr>
        <w:t>27 -</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Agreement with Mr.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80010</wp:posOffset>
            </wp:positionV>
            <wp:extent cx="6989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2" w:lineRule="exact"/>
        <w:rPr>
          <w:sz w:val="20"/>
          <w:szCs w:val="20"/>
          <w:color w:val="auto"/>
        </w:rPr>
      </w:pPr>
    </w:p>
    <w:p>
      <w:pPr>
        <w:ind w:left="220" w:right="920"/>
        <w:spacing w:after="0" w:line="260" w:lineRule="auto"/>
        <w:rPr>
          <w:sz w:val="20"/>
          <w:szCs w:val="20"/>
          <w:color w:val="auto"/>
        </w:rPr>
      </w:pPr>
      <w:r>
        <w:rPr>
          <w:rFonts w:ascii="Arial" w:cs="Arial" w:eastAsia="Arial" w:hAnsi="Arial"/>
          <w:sz w:val="16"/>
          <w:szCs w:val="16"/>
          <w:color w:val="auto"/>
        </w:rPr>
        <w:t>We entered into an employment agreement on January 9, 2017 with Mr. Eckl when he joined our Company as our Chief Financial Officer. His employment agreement provides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6989445" cy="16446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89445" cy="16446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80" w:hanging="127"/>
        <w:spacing w:after="0"/>
        <w:tabs>
          <w:tab w:leader="none" w:pos="580" w:val="left"/>
        </w:tabs>
        <w:numPr>
          <w:ilvl w:val="0"/>
          <w:numId w:val="25"/>
        </w:numPr>
        <w:rPr>
          <w:rFonts w:ascii="Arial" w:cs="Arial" w:eastAsia="Arial" w:hAnsi="Arial"/>
          <w:sz w:val="16"/>
          <w:szCs w:val="16"/>
          <w:color w:val="41659C"/>
        </w:rPr>
      </w:pPr>
      <w:r>
        <w:rPr>
          <w:rFonts w:ascii="Arial" w:cs="Arial" w:eastAsia="Arial" w:hAnsi="Arial"/>
          <w:sz w:val="16"/>
          <w:szCs w:val="16"/>
          <w:color w:val="auto"/>
        </w:rPr>
        <w:t>a base salary of $335,000 for 2018, which will thereafter be reviewed by us at least annually for any increase;</w:t>
      </w:r>
    </w:p>
    <w:p>
      <w:pPr>
        <w:spacing w:after="0" w:line="207" w:lineRule="exact"/>
        <w:rPr>
          <w:rFonts w:ascii="Arial" w:cs="Arial" w:eastAsia="Arial" w:hAnsi="Arial"/>
          <w:sz w:val="16"/>
          <w:szCs w:val="16"/>
          <w:color w:val="41659C"/>
        </w:rPr>
      </w:pPr>
    </w:p>
    <w:p>
      <w:pPr>
        <w:ind w:left="620" w:right="1440" w:hanging="167"/>
        <w:spacing w:after="0" w:line="260" w:lineRule="auto"/>
        <w:tabs>
          <w:tab w:leader="none" w:pos="579" w:val="left"/>
        </w:tabs>
        <w:numPr>
          <w:ilvl w:val="0"/>
          <w:numId w:val="25"/>
        </w:numPr>
        <w:rPr>
          <w:rFonts w:ascii="Arial" w:cs="Arial" w:eastAsia="Arial" w:hAnsi="Arial"/>
          <w:sz w:val="16"/>
          <w:szCs w:val="16"/>
          <w:color w:val="41659C"/>
        </w:rPr>
      </w:pPr>
      <w:r>
        <w:rPr>
          <w:rFonts w:ascii="Arial" w:cs="Arial" w:eastAsia="Arial" w:hAnsi="Arial"/>
          <w:sz w:val="16"/>
          <w:szCs w:val="16"/>
          <w:color w:val="auto"/>
        </w:rPr>
        <w:t>a target annual bonus opportunity equal to 55% of annual base salary for 2018, which will thereafter be annually reviewed by our Compensation Committee;</w:t>
      </w:r>
    </w:p>
    <w:p>
      <w:pPr>
        <w:spacing w:after="0" w:line="181" w:lineRule="exact"/>
        <w:rPr>
          <w:rFonts w:ascii="Arial" w:cs="Arial" w:eastAsia="Arial" w:hAnsi="Arial"/>
          <w:sz w:val="16"/>
          <w:szCs w:val="16"/>
          <w:color w:val="41659C"/>
        </w:rPr>
      </w:pPr>
    </w:p>
    <w:p>
      <w:pPr>
        <w:ind w:left="620" w:right="980" w:hanging="167"/>
        <w:spacing w:after="0" w:line="260" w:lineRule="auto"/>
        <w:tabs>
          <w:tab w:leader="none" w:pos="579" w:val="left"/>
        </w:tabs>
        <w:numPr>
          <w:ilvl w:val="0"/>
          <w:numId w:val="25"/>
        </w:numPr>
        <w:rPr>
          <w:rFonts w:ascii="Arial" w:cs="Arial" w:eastAsia="Arial" w:hAnsi="Arial"/>
          <w:sz w:val="16"/>
          <w:szCs w:val="16"/>
          <w:color w:val="41659C"/>
        </w:rPr>
      </w:pPr>
      <w:r>
        <w:rPr>
          <w:rFonts w:ascii="Arial" w:cs="Arial" w:eastAsia="Arial" w:hAnsi="Arial"/>
          <w:sz w:val="16"/>
          <w:szCs w:val="16"/>
          <w:color w:val="auto"/>
        </w:rPr>
        <w:t>subject to approval by our Compensation Committee, an award in early 2018 of 20,000 RSUs that generally vests (subject to continued employment) in five equal annual installments commencing on the first anniversary of the date of grant;</w:t>
      </w:r>
    </w:p>
    <w:p>
      <w:pPr>
        <w:spacing w:after="0" w:line="181" w:lineRule="exact"/>
        <w:rPr>
          <w:rFonts w:ascii="Arial" w:cs="Arial" w:eastAsia="Arial" w:hAnsi="Arial"/>
          <w:sz w:val="16"/>
          <w:szCs w:val="16"/>
          <w:color w:val="41659C"/>
        </w:rPr>
      </w:pPr>
    </w:p>
    <w:p>
      <w:pPr>
        <w:ind w:left="580" w:hanging="127"/>
        <w:spacing w:after="0"/>
        <w:tabs>
          <w:tab w:leader="none" w:pos="580" w:val="left"/>
        </w:tabs>
        <w:numPr>
          <w:ilvl w:val="0"/>
          <w:numId w:val="25"/>
        </w:numPr>
        <w:rPr>
          <w:rFonts w:ascii="Arial" w:cs="Arial" w:eastAsia="Arial" w:hAnsi="Arial"/>
          <w:sz w:val="16"/>
          <w:szCs w:val="16"/>
          <w:color w:val="41659C"/>
        </w:rPr>
      </w:pPr>
      <w:r>
        <w:rPr>
          <w:rFonts w:ascii="Arial" w:cs="Arial" w:eastAsia="Arial" w:hAnsi="Arial"/>
          <w:sz w:val="16"/>
          <w:szCs w:val="16"/>
          <w:color w:val="auto"/>
        </w:rPr>
        <w:t>a monthly car allowance of $1,000; and</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25"/>
        </w:numPr>
        <w:rPr>
          <w:rFonts w:ascii="Arial" w:cs="Arial" w:eastAsia="Arial" w:hAnsi="Arial"/>
          <w:sz w:val="16"/>
          <w:szCs w:val="16"/>
          <w:color w:val="41659C"/>
        </w:rPr>
      </w:pPr>
      <w:r>
        <w:rPr>
          <w:rFonts w:ascii="Arial" w:cs="Arial" w:eastAsia="Arial" w:hAnsi="Arial"/>
          <w:sz w:val="16"/>
          <w:szCs w:val="16"/>
          <w:color w:val="auto"/>
        </w:rPr>
        <w:t>participation in the employee benefit plans, programs and policies for senior executives of the Company.</w:t>
      </w:r>
    </w:p>
    <w:p>
      <w:pPr>
        <w:spacing w:after="0" w:line="200" w:lineRule="exact"/>
        <w:rPr>
          <w:sz w:val="20"/>
          <w:szCs w:val="20"/>
          <w:color w:val="auto"/>
        </w:rPr>
      </w:pPr>
    </w:p>
    <w:p>
      <w:pPr>
        <w:spacing w:after="0" w:line="277"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employment agreements with Messrs. Sadlowski and Eckl also provide that if we terminate the executive’s employment without “cause” (as defined in each employment agreement) or if the officer terminates employment for “good reason” (as defined in each employment agreement), he will be entitled to receive (in addition to certain accrued compensation and other benefits), subject to his execution of a release: (1) a lump sum cash amount equal to his annual base salary; (2) a lump sum cash amount equal to a pro rata portion of the annual bonus he would have earned had he remained employed through the end of the fiscal year in which such termination occurs; and (3) for Mr. Sadlowski, reimbursement of monthly COBRA payments for up to 12 months after termination, and for Mr. Eckl, a lump sum cash amount equal to the product of 12, multiplied by the monthly COBRA premium for health, dental and vision benefits in effect for the officer, his spouse and his dependents.</w:t>
      </w:r>
    </w:p>
    <w:p>
      <w:pPr>
        <w:spacing w:after="0" w:line="207"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In the event of a “change in control” (as defined in Mr. Eckl’s employment agreement) of our Company, if the successor entity or purchaser does not offer Mr. Eckl employment as Chief Financial Officer with a compensation package equal to or better than the combination of his annual base salary and annual bonus opportunity as in effect immediately prior to such change in control, then Mr. Eckl will resign as of the date of such change in control (or agree to resign as of the end of a reasonable transition period) and, subject to his execution of a release, he will be entitled to receive a lump sum cash amount equal to the sum of his annual base salary plus his annual bonus (equal to the same percentage of his annual base salary as the annual bonus, if any, that he received for the prior fiscal year). Immediately prior to the closing of a change in control, any unvested RSUs held by Mr. Eckl will immediately vest.</w:t>
      </w:r>
    </w:p>
    <w:p>
      <w:pPr>
        <w:spacing w:after="0" w:line="397" w:lineRule="exact"/>
        <w:rPr>
          <w:sz w:val="20"/>
          <w:szCs w:val="20"/>
          <w:color w:val="auto"/>
        </w:rPr>
      </w:pPr>
    </w:p>
    <w:p>
      <w:pPr>
        <w:ind w:left="220" w:right="240"/>
        <w:spacing w:after="0" w:line="250" w:lineRule="auto"/>
        <w:rPr>
          <w:sz w:val="20"/>
          <w:szCs w:val="20"/>
          <w:color w:val="auto"/>
        </w:rPr>
      </w:pPr>
      <w:r>
        <w:rPr>
          <w:rFonts w:ascii="Arial" w:cs="Arial" w:eastAsia="Arial" w:hAnsi="Arial"/>
          <w:sz w:val="16"/>
          <w:szCs w:val="16"/>
          <w:color w:val="auto"/>
        </w:rPr>
        <w:t>Pursuant to their employment agreements, Messrs. Sadlowski and Eckl are also subject to one-year post-employment non-competition obligations and indefinite non-solicitation and confidentiality obligations. Each of these employment agreements also includes a customary indemnification provision. Mr. Sadlowski’s employment agreement also includes a mutual non-disparagement provision that applies for one year following termination of his employment.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Chief Executive Officer Pay Ratio</w:t>
      </w:r>
    </w:p>
    <w:p>
      <w:pPr>
        <w:spacing w:after="0" w:line="240"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For 2018, the ratio of the annual total compensation of our CEO (“CEO Compensation”) to the median of the annual total compensation of all our employees and those of our consolidated subsidiaries (other than our CEO) (“Median Annual Compensation”) was approximately 35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using the data and assumptions described below. We refer to the employee who received the Median Annual Compensation as the “Median Employee.” For purposes of this disclosure, the date used to identify the Median Employee was December 31, 2018 (the “Determination Date”). In general, we changed the date for purposes of this disclosure from November 30, 2017 (the date used for last year’s disclosure) to the current Determination Date to reflect our smaller employee population after the completion of our Zhongli divestiture (at the end of November) and due to the administrative benefits of obtaining information as of year-end rather than as of the end of November.</w:t>
      </w:r>
    </w:p>
    <w:p>
      <w:pPr>
        <w:spacing w:after="0" w:line="20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For purposes of this pay ratio disclosure, CEO Compensation was determined to be $2,062,753, which represents the total compensation reported for our CEO as set forth above in the 2018 Summary Compensation Table. For purposes of this pay ratio disclosure, Median Annual Compensation was determined to be $59,300 and was calculated using the same methodology we used for our named executive officers in the 2018 Summary Compensation Table.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- 28 -</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To identify the Median Employee, we measured cash compensation (as described below) for the period beginning on January 1, 2018 and ending on December 31, 2018 for 754 U.S. and non-U.S. employees, representing all full-time, part-time, seasonal and temporary employees for us and our consolidated subsidiaries as of the Determination Date (except as described below and other than for our CEO). This number does not include any independent contractors or “leased” workers, as permitted by the applicable SEC rules. This number excludes 19 non-U.S. employees (consisting of 7 employees in Singapore, 4 employees in Canada and 8 employees in India, or collectively approximately 2% of our total workforce of 773 employees) and does not exclude any employees of businesses acquired by us or combined with us. This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annualization for purposes of this pay ratio disclosure.</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41659C"/>
        </w:rPr>
        <w:t>- 29 -</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PROPOSAL 2</w:t>
      </w:r>
    </w:p>
    <w:p>
      <w:pPr>
        <w:spacing w:after="0" w:line="249" w:lineRule="exact"/>
        <w:rPr>
          <w:sz w:val="20"/>
          <w:szCs w:val="20"/>
          <w:color w:val="auto"/>
        </w:rPr>
      </w:pPr>
    </w:p>
    <w:p>
      <w:pPr>
        <w:ind w:left="220" w:right="4580"/>
        <w:spacing w:after="0" w:line="238" w:lineRule="auto"/>
        <w:rPr>
          <w:sz w:val="20"/>
          <w:szCs w:val="20"/>
          <w:color w:val="auto"/>
        </w:rPr>
      </w:pPr>
      <w:r>
        <w:rPr>
          <w:rFonts w:ascii="Arial" w:cs="Arial" w:eastAsia="Arial" w:hAnsi="Arial"/>
          <w:sz w:val="22"/>
          <w:szCs w:val="22"/>
          <w:color w:val="A5BD50"/>
        </w:rPr>
        <w:t>ADVISORY VOTE TO APPROVE THE COMPENSATION OF OUR NAMED EXECUTIVE OFFICERS</w:t>
      </w:r>
    </w:p>
    <w:p>
      <w:pPr>
        <w:spacing w:after="0" w:line="20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We are seeking your advisory (non-binding) vote approving the compensation of our named executive officers. We believe that the structure of our named executive officer compensation programs promotes the long-term interests of our stockholders. Our named executive officer compensation programs are designed to attract, retain, motivate and reward talented named executive officers who will achieve our business objectives and create long-term value for our stockholders. We believe that our compensation program rewards sustained performance that is aligned with long-term stockholder interests.</w:t>
      </w:r>
    </w:p>
    <w:p>
      <w:pPr>
        <w:spacing w:after="0" w:line="205" w:lineRule="exact"/>
        <w:rPr>
          <w:sz w:val="20"/>
          <w:szCs w:val="20"/>
          <w:color w:val="auto"/>
        </w:rPr>
      </w:pPr>
    </w:p>
    <w:p>
      <w:pPr>
        <w:ind w:left="220" w:right="220"/>
        <w:spacing w:after="0" w:line="249"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discusses our compensation policies and procedures, and the compensation of our named executive officers for 2018.</w:t>
      </w:r>
    </w:p>
    <w:p>
      <w:pPr>
        <w:spacing w:after="0" w:line="206"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At our 2018 Annual Meeting of Stockholders, approximately 98% of the votes cast on our Say-on-Pay proposal were for approval of the compensation of our named executive officers. We believe that this indicates strong support for our continued focus on aligning our named executive officer compensation programs with the interests of our stockholders. During 2018, we continued to focus on pay for performance and in addition to granting time-based restricted stock units, we granted performance-based restricted stock units that only vest if our named executive officers attain the goals established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146685</wp:posOffset>
            </wp:positionV>
            <wp:extent cx="7023735" cy="1430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23735" cy="143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auto"/>
        </w:rPr>
        <w:t>This vote is required pursuant to Section 14A of the Exchange Act and is advisory and non-binding; however, our Compensation Committee and our Board will review and expect to consider the results of the vote when making future determinations regarding our named executive officer compensation programs. Advisory Say-on-Pay votes have been scheduled to be held once every year. Depending on the results of Proposal 3 (the frequency of future Say-on-Pay votes), we expect to hold the next advisory vote to approve the compensation of our named executive officers in 2020, 2021 or 2022.</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proposal requires a favorable vote of the majority of shares represented at the Annual Meeting for advisory approval.</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- 30 -</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PROPOSAL 3</w:t>
      </w:r>
    </w:p>
    <w:p>
      <w:pPr>
        <w:spacing w:after="0" w:line="249" w:lineRule="exact"/>
        <w:rPr>
          <w:sz w:val="20"/>
          <w:szCs w:val="20"/>
          <w:color w:val="auto"/>
        </w:rPr>
      </w:pPr>
    </w:p>
    <w:p>
      <w:pPr>
        <w:ind w:left="220" w:right="3680"/>
        <w:spacing w:after="0" w:line="238" w:lineRule="auto"/>
        <w:rPr>
          <w:sz w:val="20"/>
          <w:szCs w:val="20"/>
          <w:color w:val="auto"/>
        </w:rPr>
      </w:pPr>
      <w:r>
        <w:rPr>
          <w:rFonts w:ascii="Arial" w:cs="Arial" w:eastAsia="Arial" w:hAnsi="Arial"/>
          <w:sz w:val="22"/>
          <w:szCs w:val="22"/>
          <w:color w:val="A5BD50"/>
        </w:rPr>
        <w:t>ADVISORY VOTE ON THE FREQUENCY OF FUTURE ADVISORY VOTES TO APPROVE NAMED EXECUTIVE OFFICER COMPENSATION</w:t>
      </w:r>
    </w:p>
    <w:p>
      <w:pPr>
        <w:spacing w:after="0" w:line="208" w:lineRule="exact"/>
        <w:rPr>
          <w:sz w:val="20"/>
          <w:szCs w:val="20"/>
          <w:color w:val="auto"/>
        </w:rPr>
      </w:pPr>
    </w:p>
    <w:p>
      <w:pPr>
        <w:ind w:left="220" w:right="180"/>
        <w:spacing w:after="0" w:line="253" w:lineRule="auto"/>
        <w:rPr>
          <w:sz w:val="20"/>
          <w:szCs w:val="20"/>
          <w:color w:val="auto"/>
        </w:rPr>
      </w:pPr>
      <w:r>
        <w:rPr>
          <w:rFonts w:ascii="Arial" w:cs="Arial" w:eastAsia="Arial" w:hAnsi="Arial"/>
          <w:sz w:val="16"/>
          <w:szCs w:val="16"/>
          <w:color w:val="auto"/>
        </w:rPr>
        <w:t>We are also seeking your advisory (non-binding) vote on the frequency of future advisory stockholder votes to approve the compensation paid to our named executive officers. Stockholders may indicate whether they prefer future advisory votes to approve named executive officer compensation every one, two, or three years, or they may abstain with respect to this proposal.</w:t>
      </w:r>
    </w:p>
    <w:p>
      <w:pPr>
        <w:spacing w:after="0" w:line="201"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We have included a Say-on-Pay vote every year since 2013, and our Board has determined that it is appropriate to continue with an annual advisory vote to approve named executive officer compensation. Our Board believes that an advisory vote to approve named executive officer compensation every year will allow our stockholders to provide us with their direct input on our compensation philosophy, policies and practices as disclosed in the Proxy Statement. Setting a one-year period for holding this stockholder vote will enhance stockholder communication by providing a clear, simple means for us to obtain information more frequently on investor sentiment about our named executive officer compensation philosophy. It will also facilitate more timely responses to stockholder concerns.</w:t>
      </w:r>
    </w:p>
    <w:p>
      <w:pPr>
        <w:spacing w:after="0" w:line="204"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When voting on this Proposal, you will have the option to recommend holding future advisory votes to approve the compensation of our named executive officers every one, two, or three years or to abstain entirely from voting on the matter. The frequency (one, two or three years) that receives the highest number of votes cast by stockholders will be the frequency of future advisory votes to approve named executive officer compensation that has been recommended by the stockholders. Abstentions and broker non-votes are not treated as votes cast, so they will have no effect on the outcome of the vote. Although the vote is non-binding, our Board will consider the outcome of this vote when deciding when to call for the next advisory vote to approve named executive officer compensation. However, because this vote is advisory only and non-binding, our Board may nevertheless decide that it is in the best interests of our stockholders and our Company to hold an advisory vote to approve named executive officer compensation more or less frequently than the most popular option recommended by our stockholders.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will hold the next advisory vote on the frequency of future advisory votes to approve named executive officer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156210</wp:posOffset>
            </wp:positionV>
            <wp:extent cx="7023735" cy="556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2373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- 31 -</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AUDIT MATTERS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Audit Committee Report</w:t>
      </w:r>
    </w:p>
    <w:p>
      <w:pPr>
        <w:spacing w:after="0" w:line="236"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Our Audit Committee has reviewed and discussed our Company’s audited financial statements for the fiscal year ended December 31, 2018, with our management and has discussed with BDO USA, LLP (“BDO”), our independent registered public accounting firm, those matters required to be discussed by Auditing Standard No. 1301, “Communications with Audit Committees,” as issued by the Public Company Accounting Oversight Board (the “PCAOB”).</w:t>
      </w:r>
    </w:p>
    <w:p>
      <w:pPr>
        <w:spacing w:after="0" w:line="201" w:lineRule="exact"/>
        <w:rPr>
          <w:sz w:val="20"/>
          <w:szCs w:val="20"/>
          <w:color w:val="auto"/>
        </w:rPr>
      </w:pPr>
    </w:p>
    <w:p>
      <w:pPr>
        <w:ind w:left="220" w:right="320"/>
        <w:spacing w:after="0" w:line="253" w:lineRule="auto"/>
        <w:rPr>
          <w:sz w:val="20"/>
          <w:szCs w:val="20"/>
          <w:color w:val="auto"/>
        </w:rPr>
      </w:pPr>
      <w:r>
        <w:rPr>
          <w:rFonts w:ascii="Arial" w:cs="Arial" w:eastAsia="Arial" w:hAnsi="Arial"/>
          <w:sz w:val="16"/>
          <w:szCs w:val="16"/>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201"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financial statements be included in our Annual Report on Form 10-K for the fiscal year ended December 31, 2018 for filing with the SEC.</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Audit Committee</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Claudio A. Mannarino, Chairman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David B. Liner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Munish Nanda</w:t>
      </w: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Independent Registered Public Accounting Firm Fees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fees for services provided to us by BDO for the fiscal years ended December 31, 2018 and 2017.</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6800" w:type="dxa"/>
            <w:vAlign w:val="bottom"/>
            <w:shd w:val="clear" w:color="auto" w:fill="41659C"/>
          </w:tcPr>
          <w:p>
            <w:pPr>
              <w:spacing w:after="0"/>
              <w:rPr>
                <w:sz w:val="15"/>
                <w:szCs w:val="15"/>
                <w:color w:val="auto"/>
              </w:rPr>
            </w:pPr>
          </w:p>
        </w:tc>
        <w:tc>
          <w:tcPr>
            <w:tcW w:w="1560" w:type="dxa"/>
            <w:vAlign w:val="bottom"/>
            <w:gridSpan w:val="2"/>
            <w:shd w:val="clear" w:color="auto" w:fill="41659C"/>
          </w:tcPr>
          <w:p>
            <w:pPr>
              <w:jc w:val="right"/>
              <w:ind w:right="44"/>
              <w:spacing w:after="0"/>
              <w:rPr>
                <w:sz w:val="20"/>
                <w:szCs w:val="20"/>
                <w:color w:val="auto"/>
              </w:rPr>
            </w:pPr>
            <w:r>
              <w:rPr>
                <w:rFonts w:ascii="Arial" w:cs="Arial" w:eastAsia="Arial" w:hAnsi="Arial"/>
                <w:sz w:val="15"/>
                <w:szCs w:val="15"/>
                <w:b w:val="1"/>
                <w:bCs w:val="1"/>
                <w:color w:val="FFFFFF"/>
              </w:rPr>
              <w:t>2018 ($)</w:t>
            </w:r>
          </w:p>
        </w:tc>
        <w:tc>
          <w:tcPr>
            <w:tcW w:w="1420" w:type="dxa"/>
            <w:vAlign w:val="bottom"/>
            <w:shd w:val="clear" w:color="auto" w:fill="41659C"/>
          </w:tcPr>
          <w:p>
            <w:pPr>
              <w:spacing w:after="0"/>
              <w:rPr>
                <w:sz w:val="15"/>
                <w:szCs w:val="15"/>
                <w:color w:val="auto"/>
              </w:rPr>
            </w:pPr>
          </w:p>
        </w:tc>
        <w:tc>
          <w:tcPr>
            <w:tcW w:w="780" w:type="dxa"/>
            <w:vAlign w:val="bottom"/>
            <w:shd w:val="clear" w:color="auto" w:fill="41659C"/>
          </w:tcPr>
          <w:p>
            <w:pPr>
              <w:jc w:val="right"/>
              <w:ind w:right="24"/>
              <w:spacing w:after="0"/>
              <w:rPr>
                <w:sz w:val="20"/>
                <w:szCs w:val="20"/>
                <w:color w:val="auto"/>
              </w:rPr>
            </w:pPr>
            <w:r>
              <w:rPr>
                <w:rFonts w:ascii="Arial" w:cs="Arial" w:eastAsia="Arial" w:hAnsi="Arial"/>
                <w:sz w:val="15"/>
                <w:szCs w:val="15"/>
                <w:b w:val="1"/>
                <w:bCs w:val="1"/>
                <w:color w:val="FFFFFF"/>
              </w:rPr>
              <w:t>2017 ($)</w:t>
            </w:r>
          </w:p>
        </w:tc>
        <w:tc>
          <w:tcPr>
            <w:tcW w:w="440" w:type="dxa"/>
            <w:vAlign w:val="bottom"/>
            <w:shd w:val="clear" w:color="auto" w:fill="41659C"/>
          </w:tcPr>
          <w:p>
            <w:pPr>
              <w:spacing w:after="0"/>
              <w:rPr>
                <w:sz w:val="15"/>
                <w:szCs w:val="15"/>
                <w:color w:val="auto"/>
              </w:rPr>
            </w:pPr>
          </w:p>
        </w:tc>
      </w:tr>
      <w:tr>
        <w:trPr>
          <w:trHeight w:val="162"/>
        </w:trPr>
        <w:tc>
          <w:tcPr>
            <w:tcW w:w="68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Audit Fees</w:t>
            </w:r>
          </w:p>
        </w:tc>
        <w:tc>
          <w:tcPr>
            <w:tcW w:w="2980" w:type="dxa"/>
            <w:vAlign w:val="bottom"/>
            <w:gridSpan w:val="3"/>
            <w:shd w:val="clear" w:color="auto" w:fill="E8EED3"/>
          </w:tcPr>
          <w:p>
            <w:pPr>
              <w:jc w:val="right"/>
              <w:ind w:right="1420"/>
              <w:spacing w:after="0" w:line="162" w:lineRule="exact"/>
              <w:rPr>
                <w:sz w:val="20"/>
                <w:szCs w:val="20"/>
                <w:color w:val="auto"/>
              </w:rPr>
            </w:pPr>
            <w:r>
              <w:rPr>
                <w:rFonts w:ascii="Arial" w:cs="Arial" w:eastAsia="Arial" w:hAnsi="Arial"/>
                <w:sz w:val="15"/>
                <w:szCs w:val="15"/>
                <w:color w:val="auto"/>
              </w:rPr>
              <w:t>1,654,336</w:t>
            </w:r>
          </w:p>
        </w:tc>
        <w:tc>
          <w:tcPr>
            <w:tcW w:w="1220" w:type="dxa"/>
            <w:vAlign w:val="bottom"/>
            <w:gridSpan w:val="2"/>
            <w:shd w:val="clear" w:color="auto" w:fill="E8EED3"/>
          </w:tcPr>
          <w:p>
            <w:pPr>
              <w:jc w:val="right"/>
              <w:ind w:right="440"/>
              <w:spacing w:after="0" w:line="162" w:lineRule="exact"/>
              <w:rPr>
                <w:sz w:val="20"/>
                <w:szCs w:val="20"/>
                <w:color w:val="auto"/>
              </w:rPr>
            </w:pPr>
            <w:r>
              <w:rPr>
                <w:rFonts w:ascii="Arial" w:cs="Arial" w:eastAsia="Arial" w:hAnsi="Arial"/>
                <w:sz w:val="15"/>
                <w:szCs w:val="15"/>
                <w:color w:val="auto"/>
              </w:rPr>
              <w:t>1,966,872</w:t>
            </w:r>
          </w:p>
        </w:tc>
      </w:tr>
      <w:tr>
        <w:trPr>
          <w:trHeight w:val="162"/>
        </w:trPr>
        <w:tc>
          <w:tcPr>
            <w:tcW w:w="680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Audit-Related Fees</w:t>
            </w:r>
          </w:p>
        </w:tc>
        <w:tc>
          <w:tcPr>
            <w:tcW w:w="780" w:type="dxa"/>
            <w:vAlign w:val="bottom"/>
            <w:shd w:val="clear" w:color="auto" w:fill="D2DEA7"/>
          </w:tcPr>
          <w:p>
            <w:pPr>
              <w:spacing w:after="0"/>
              <w:rPr>
                <w:sz w:val="14"/>
                <w:szCs w:val="14"/>
                <w:color w:val="auto"/>
              </w:rPr>
            </w:pPr>
          </w:p>
        </w:tc>
        <w:tc>
          <w:tcPr>
            <w:tcW w:w="2200" w:type="dxa"/>
            <w:vAlign w:val="bottom"/>
            <w:gridSpan w:val="2"/>
            <w:shd w:val="clear" w:color="auto" w:fill="D2DEA7"/>
          </w:tcPr>
          <w:p>
            <w:pPr>
              <w:ind w:left="540"/>
              <w:spacing w:after="0" w:line="162"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D2DEA7"/>
          </w:tcPr>
          <w:p>
            <w:pPr>
              <w:jc w:val="right"/>
              <w:ind w:right="440"/>
              <w:spacing w:after="0" w:line="162" w:lineRule="exact"/>
              <w:rPr>
                <w:sz w:val="20"/>
                <w:szCs w:val="20"/>
                <w:color w:val="auto"/>
              </w:rPr>
            </w:pPr>
            <w:r>
              <w:rPr>
                <w:rFonts w:ascii="Arial" w:cs="Arial" w:eastAsia="Arial" w:hAnsi="Arial"/>
                <w:sz w:val="15"/>
                <w:szCs w:val="15"/>
                <w:color w:val="auto"/>
              </w:rPr>
              <w:t>3,000</w:t>
            </w:r>
          </w:p>
        </w:tc>
      </w:tr>
      <w:tr>
        <w:trPr>
          <w:trHeight w:val="162"/>
        </w:trPr>
        <w:tc>
          <w:tcPr>
            <w:tcW w:w="68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Tax Fees</w:t>
            </w:r>
          </w:p>
        </w:tc>
        <w:tc>
          <w:tcPr>
            <w:tcW w:w="2980" w:type="dxa"/>
            <w:vAlign w:val="bottom"/>
            <w:gridSpan w:val="3"/>
            <w:shd w:val="clear" w:color="auto" w:fill="E8EED3"/>
          </w:tcPr>
          <w:p>
            <w:pPr>
              <w:jc w:val="right"/>
              <w:ind w:right="1420"/>
              <w:spacing w:after="0" w:line="162" w:lineRule="exact"/>
              <w:rPr>
                <w:sz w:val="20"/>
                <w:szCs w:val="20"/>
                <w:color w:val="auto"/>
              </w:rPr>
            </w:pPr>
            <w:r>
              <w:rPr>
                <w:rFonts w:ascii="Arial" w:cs="Arial" w:eastAsia="Arial" w:hAnsi="Arial"/>
                <w:sz w:val="15"/>
                <w:szCs w:val="15"/>
                <w:color w:val="auto"/>
              </w:rPr>
              <w:t>61,998</w:t>
            </w:r>
          </w:p>
        </w:tc>
        <w:tc>
          <w:tcPr>
            <w:tcW w:w="1220" w:type="dxa"/>
            <w:vAlign w:val="bottom"/>
            <w:gridSpan w:val="2"/>
            <w:shd w:val="clear" w:color="auto" w:fill="E8EED3"/>
          </w:tcPr>
          <w:p>
            <w:pPr>
              <w:jc w:val="right"/>
              <w:ind w:right="440"/>
              <w:spacing w:after="0" w:line="162" w:lineRule="exact"/>
              <w:rPr>
                <w:sz w:val="20"/>
                <w:szCs w:val="20"/>
                <w:color w:val="auto"/>
              </w:rPr>
            </w:pPr>
            <w:r>
              <w:rPr>
                <w:rFonts w:ascii="Arial" w:cs="Arial" w:eastAsia="Arial" w:hAnsi="Arial"/>
                <w:sz w:val="15"/>
                <w:szCs w:val="15"/>
                <w:color w:val="auto"/>
              </w:rPr>
              <w:t>30,496</w:t>
            </w:r>
          </w:p>
        </w:tc>
      </w:tr>
      <w:tr>
        <w:trPr>
          <w:trHeight w:val="162"/>
        </w:trPr>
        <w:tc>
          <w:tcPr>
            <w:tcW w:w="6800" w:type="dxa"/>
            <w:vAlign w:val="bottom"/>
            <w:tcBorders>
              <w:bottom w:val="single" w:sz="8" w:color="E8EED3"/>
            </w:tcBorders>
            <w:shd w:val="clear" w:color="auto" w:fill="D2DEA7"/>
          </w:tcPr>
          <w:p>
            <w:pPr>
              <w:ind w:left="220"/>
              <w:spacing w:after="0" w:line="162" w:lineRule="exact"/>
              <w:rPr>
                <w:sz w:val="20"/>
                <w:szCs w:val="20"/>
                <w:color w:val="auto"/>
              </w:rPr>
            </w:pPr>
            <w:r>
              <w:rPr>
                <w:rFonts w:ascii="Arial" w:cs="Arial" w:eastAsia="Arial" w:hAnsi="Arial"/>
                <w:sz w:val="15"/>
                <w:szCs w:val="15"/>
                <w:color w:val="auto"/>
              </w:rPr>
              <w:t>All Other Fees</w:t>
            </w:r>
          </w:p>
        </w:tc>
        <w:tc>
          <w:tcPr>
            <w:tcW w:w="780" w:type="dxa"/>
            <w:vAlign w:val="bottom"/>
            <w:tcBorders>
              <w:bottom w:val="single" w:sz="8" w:color="E8EED3"/>
            </w:tcBorders>
            <w:shd w:val="clear" w:color="auto" w:fill="D2DEA7"/>
          </w:tcPr>
          <w:p>
            <w:pPr>
              <w:spacing w:after="0"/>
              <w:rPr>
                <w:sz w:val="14"/>
                <w:szCs w:val="14"/>
                <w:color w:val="auto"/>
              </w:rPr>
            </w:pPr>
          </w:p>
        </w:tc>
        <w:tc>
          <w:tcPr>
            <w:tcW w:w="780" w:type="dxa"/>
            <w:vAlign w:val="bottom"/>
            <w:tcBorders>
              <w:bottom w:val="single" w:sz="8" w:color="auto"/>
            </w:tcBorders>
            <w:shd w:val="clear" w:color="auto" w:fill="D2DEA7"/>
          </w:tcPr>
          <w:p>
            <w:pPr>
              <w:ind w:left="540"/>
              <w:spacing w:after="0" w:line="162" w:lineRule="exact"/>
              <w:rPr>
                <w:sz w:val="20"/>
                <w:szCs w:val="20"/>
                <w:color w:val="auto"/>
              </w:rPr>
            </w:pPr>
            <w:r>
              <w:rPr>
                <w:rFonts w:ascii="Arial" w:cs="Arial" w:eastAsia="Arial" w:hAnsi="Arial"/>
                <w:sz w:val="15"/>
                <w:szCs w:val="15"/>
                <w:color w:val="auto"/>
              </w:rPr>
              <w:t>—</w:t>
            </w:r>
          </w:p>
        </w:tc>
        <w:tc>
          <w:tcPr>
            <w:tcW w:w="1420" w:type="dxa"/>
            <w:vAlign w:val="bottom"/>
            <w:tcBorders>
              <w:bottom w:val="single" w:sz="8" w:color="E8EED3"/>
            </w:tcBorders>
            <w:shd w:val="clear" w:color="auto" w:fill="D2DEA7"/>
          </w:tcPr>
          <w:p>
            <w:pPr>
              <w:spacing w:after="0"/>
              <w:rPr>
                <w:sz w:val="14"/>
                <w:szCs w:val="14"/>
                <w:color w:val="auto"/>
              </w:rPr>
            </w:pPr>
          </w:p>
        </w:tc>
        <w:tc>
          <w:tcPr>
            <w:tcW w:w="780" w:type="dxa"/>
            <w:vAlign w:val="bottom"/>
            <w:tcBorders>
              <w:bottom w:val="single" w:sz="8" w:color="auto"/>
            </w:tcBorders>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E8EED3"/>
            </w:tcBorders>
            <w:shd w:val="clear" w:color="auto" w:fill="D2DEA7"/>
          </w:tcPr>
          <w:p>
            <w:pPr>
              <w:spacing w:after="0"/>
              <w:rPr>
                <w:sz w:val="14"/>
                <w:szCs w:val="14"/>
                <w:color w:val="auto"/>
              </w:rPr>
            </w:pPr>
          </w:p>
        </w:tc>
      </w:tr>
      <w:tr>
        <w:trPr>
          <w:trHeight w:val="169"/>
        </w:trPr>
        <w:tc>
          <w:tcPr>
            <w:tcW w:w="6800" w:type="dxa"/>
            <w:vAlign w:val="bottom"/>
            <w:shd w:val="clear" w:color="auto" w:fill="E8EED3"/>
          </w:tcPr>
          <w:p>
            <w:pPr>
              <w:ind w:left="220"/>
              <w:spacing w:after="0" w:line="169" w:lineRule="exact"/>
              <w:rPr>
                <w:sz w:val="20"/>
                <w:szCs w:val="20"/>
                <w:color w:val="auto"/>
              </w:rPr>
            </w:pPr>
            <w:r>
              <w:rPr>
                <w:rFonts w:ascii="Arial" w:cs="Arial" w:eastAsia="Arial" w:hAnsi="Arial"/>
                <w:sz w:val="15"/>
                <w:szCs w:val="15"/>
                <w:color w:val="auto"/>
              </w:rPr>
              <w:t>Total</w:t>
            </w:r>
          </w:p>
        </w:tc>
        <w:tc>
          <w:tcPr>
            <w:tcW w:w="2980" w:type="dxa"/>
            <w:vAlign w:val="bottom"/>
            <w:gridSpan w:val="3"/>
            <w:shd w:val="clear" w:color="auto" w:fill="E8EED3"/>
          </w:tcPr>
          <w:p>
            <w:pPr>
              <w:jc w:val="right"/>
              <w:ind w:right="1420"/>
              <w:spacing w:after="0" w:line="169" w:lineRule="exact"/>
              <w:rPr>
                <w:sz w:val="20"/>
                <w:szCs w:val="20"/>
                <w:color w:val="auto"/>
              </w:rPr>
            </w:pPr>
            <w:r>
              <w:rPr>
                <w:rFonts w:ascii="Arial" w:cs="Arial" w:eastAsia="Arial" w:hAnsi="Arial"/>
                <w:sz w:val="15"/>
                <w:szCs w:val="15"/>
                <w:color w:val="auto"/>
              </w:rPr>
              <w:t>1,716,334</w:t>
            </w:r>
          </w:p>
        </w:tc>
        <w:tc>
          <w:tcPr>
            <w:tcW w:w="1220" w:type="dxa"/>
            <w:vAlign w:val="bottom"/>
            <w:gridSpan w:val="2"/>
            <w:shd w:val="clear" w:color="auto" w:fill="E8EED3"/>
          </w:tcPr>
          <w:p>
            <w:pPr>
              <w:jc w:val="right"/>
              <w:ind w:right="440"/>
              <w:spacing w:after="0" w:line="169" w:lineRule="exact"/>
              <w:rPr>
                <w:sz w:val="20"/>
                <w:szCs w:val="20"/>
                <w:color w:val="auto"/>
              </w:rPr>
            </w:pPr>
            <w:r>
              <w:rPr>
                <w:rFonts w:ascii="Arial" w:cs="Arial" w:eastAsia="Arial" w:hAnsi="Arial"/>
                <w:sz w:val="15"/>
                <w:szCs w:val="15"/>
                <w:color w:val="auto"/>
              </w:rPr>
              <w:t>2,000,368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-633095</wp:posOffset>
            </wp:positionV>
            <wp:extent cx="8255" cy="6337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633730"/>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-633095</wp:posOffset>
            </wp:positionV>
            <wp:extent cx="8255" cy="633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633730"/>
                    </a:xfrm>
                    <a:prstGeom prst="rect">
                      <a:avLst/>
                    </a:prstGeom>
                    <a:noFill/>
                  </pic:spPr>
                </pic:pic>
              </a:graphicData>
            </a:graphic>
          </wp:anchor>
        </w:drawing>
      </w:r>
    </w:p>
    <w:p>
      <w:pPr>
        <w:spacing w:after="0" w:line="198" w:lineRule="exact"/>
        <w:rPr>
          <w:sz w:val="20"/>
          <w:szCs w:val="20"/>
          <w:color w:val="auto"/>
        </w:rPr>
      </w:pPr>
    </w:p>
    <w:p>
      <w:pPr>
        <w:jc w:val="both"/>
        <w:ind w:left="220" w:right="20"/>
        <w:spacing w:after="0" w:line="260" w:lineRule="auto"/>
        <w:rPr>
          <w:sz w:val="20"/>
          <w:szCs w:val="20"/>
          <w:color w:val="auto"/>
        </w:rPr>
      </w:pPr>
      <w:r>
        <w:rPr>
          <w:rFonts w:ascii="Arial" w:cs="Arial" w:eastAsia="Arial" w:hAnsi="Arial"/>
          <w:sz w:val="16"/>
          <w:szCs w:val="16"/>
          <w:color w:val="auto"/>
        </w:rPr>
        <w:t>The following is a description of the nature of the services comprising the fees disclosed in the table above for each of the four categories of services. The Audit Committee has considered whether providing non-audit services is compatible with maintaining BDO’s independence.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Audit Fees</w:t>
      </w:r>
    </w:p>
    <w:p>
      <w:pPr>
        <w:spacing w:after="0" w:line="128"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Audit-Related Fees</w:t>
      </w:r>
    </w:p>
    <w:p>
      <w:pPr>
        <w:spacing w:after="0" w:line="128" w:lineRule="exact"/>
        <w:rPr>
          <w:sz w:val="20"/>
          <w:szCs w:val="20"/>
          <w:color w:val="auto"/>
        </w:rPr>
      </w:pPr>
    </w:p>
    <w:p>
      <w:pPr>
        <w:ind w:left="220" w:right="280"/>
        <w:spacing w:after="0" w:line="260" w:lineRule="auto"/>
        <w:rPr>
          <w:sz w:val="20"/>
          <w:szCs w:val="20"/>
          <w:color w:val="auto"/>
        </w:rPr>
      </w:pPr>
      <w:r>
        <w:rPr>
          <w:rFonts w:ascii="Arial" w:cs="Arial" w:eastAsia="Arial" w:hAnsi="Arial"/>
          <w:sz w:val="16"/>
          <w:szCs w:val="16"/>
          <w:color w:val="auto"/>
        </w:rPr>
        <w:t>These are fees for assurance and related services that are reasonably related to the performance of the audit or the review of our financial statements that are not included as audit fees.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- 32 -</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Tax Fees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These are fees for professional services rendered by BDO with respect to tax compliance and tax planning.</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All Other Fees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These are fees for other services rendered by BDO that do not meet the above category descriptions.</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41659C"/>
        </w:rPr>
        <w:t>Audit Committee Pre-Approval Policy</w:t>
      </w:r>
    </w:p>
    <w:p>
      <w:pPr>
        <w:spacing w:after="0" w:line="128"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categories Audit-Related Fees and Tax Fees were pre-approved by the Audit Committee or the Audit Committee Chair and none of the fees for such services were under the de minimis exception to pre-approval provided in the applicable rules rendered established by the SEC.</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41659C"/>
        </w:rPr>
        <w:t>- 33 -</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PROPOSAL 4</w:t>
      </w:r>
    </w:p>
    <w:p>
      <w:pPr>
        <w:spacing w:after="0" w:line="249" w:lineRule="exact"/>
        <w:rPr>
          <w:sz w:val="20"/>
          <w:szCs w:val="20"/>
          <w:color w:val="auto"/>
        </w:rPr>
      </w:pPr>
    </w:p>
    <w:p>
      <w:pPr>
        <w:ind w:left="220" w:right="5000"/>
        <w:spacing w:after="0" w:line="259" w:lineRule="auto"/>
        <w:rPr>
          <w:sz w:val="20"/>
          <w:szCs w:val="20"/>
          <w:color w:val="auto"/>
        </w:rPr>
      </w:pPr>
      <w:r>
        <w:rPr>
          <w:rFonts w:ascii="Arial" w:cs="Arial" w:eastAsia="Arial" w:hAnsi="Arial"/>
          <w:sz w:val="21"/>
          <w:szCs w:val="21"/>
          <w:color w:val="A5BD50"/>
        </w:rPr>
        <w:t>RATIFICATION OF THE APPOINTMENT OF INDEPENDENT REGISTERED PUBLIC ACCOUNTING FIRM</w:t>
      </w:r>
    </w:p>
    <w:p>
      <w:pPr>
        <w:spacing w:after="0" w:line="189" w:lineRule="exact"/>
        <w:rPr>
          <w:sz w:val="20"/>
          <w:szCs w:val="20"/>
          <w:color w:val="auto"/>
        </w:rPr>
      </w:pPr>
    </w:p>
    <w:p>
      <w:pPr>
        <w:ind w:left="220" w:right="200"/>
        <w:spacing w:after="0" w:line="260" w:lineRule="auto"/>
        <w:rPr>
          <w:sz w:val="20"/>
          <w:szCs w:val="20"/>
          <w:color w:val="auto"/>
        </w:rPr>
      </w:pPr>
      <w:r>
        <w:rPr>
          <w:rFonts w:ascii="Arial" w:cs="Arial" w:eastAsia="Arial" w:hAnsi="Arial"/>
          <w:sz w:val="16"/>
          <w:szCs w:val="16"/>
          <w:color w:val="auto"/>
        </w:rPr>
        <w:t>At the recommendation of the Audit Committee, our Board has appointed BDO as our independent registered public accounting firm for the fiscal year ending December 31, 2019. BDO has served as our independent registered public accounting firm since September 2008.</w:t>
      </w:r>
    </w:p>
    <w:p>
      <w:pPr>
        <w:spacing w:after="0" w:line="195"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Our Audit Committee pre-approves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195"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A representative of BDO is not expected to be present at the Annual Meeting. Although stockholder approval of the appointment of BDO is not required by law, our Board believes that it is advisable to give stockholders an opportunity to ratify this appointment. If the stockholders fail to ratify the appointment of BDO, the Audit Committee may reconsider the selection.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proposal requires a favorable vote of the majority of shares represented at the Annual Meeting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156210</wp:posOffset>
            </wp:positionV>
            <wp:extent cx="7023735" cy="565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23735" cy="56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41659C"/>
        </w:rPr>
        <w:t>- 34 -</w:t>
      </w:r>
    </w:p>
    <w:p>
      <w:pPr>
        <w:sectPr>
          <w:pgSz w:w="11900" w:h="16838" w:orient="portrait"/>
          <w:cols w:equalWidth="0" w:num="1">
            <w:col w:w="11120"/>
          </w:cols>
          <w:pgMar w:left="24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OTHER INFORMATION</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Security Ownership of Certain Beneficial Owners</w:t>
      </w:r>
    </w:p>
    <w:p>
      <w:pPr>
        <w:spacing w:after="0" w:line="240"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The following table shows the beneficial ownership of our common stock as of March 1, 2019 by (i) each of our directors, (ii) each of our named executive officers, (iii) all directors and executive officers as a group, and (iv) all persons whom we know to be the beneficial owner of five percent (5%) or more of our common stock. Beneficial ownership includes the right to acquire shares within 60 days, including upon the exercise of an option or vesting of an RSU; however, such shares are deemed to be outstanding for the purpose of computing the percentage owned by any other person. Except as noted below, each person exercises sole voting and investment power with respect to the shares listed.</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600" w:type="dxa"/>
            <w:vAlign w:val="bottom"/>
            <w:shd w:val="clear" w:color="auto" w:fill="41659C"/>
          </w:tcPr>
          <w:p>
            <w:pPr>
              <w:spacing w:after="0"/>
              <w:rPr>
                <w:sz w:val="14"/>
                <w:szCs w:val="14"/>
                <w:color w:val="auto"/>
              </w:rPr>
            </w:pPr>
          </w:p>
        </w:tc>
        <w:tc>
          <w:tcPr>
            <w:tcW w:w="3880" w:type="dxa"/>
            <w:vAlign w:val="bottom"/>
            <w:shd w:val="clear" w:color="auto" w:fill="41659C"/>
          </w:tcPr>
          <w:p>
            <w:pPr>
              <w:jc w:val="center"/>
              <w:ind w:left="744"/>
              <w:spacing w:after="0"/>
              <w:rPr>
                <w:sz w:val="20"/>
                <w:szCs w:val="20"/>
                <w:color w:val="auto"/>
              </w:rPr>
            </w:pPr>
            <w:r>
              <w:rPr>
                <w:rFonts w:ascii="Arial" w:cs="Arial" w:eastAsia="Arial" w:hAnsi="Arial"/>
                <w:sz w:val="15"/>
                <w:szCs w:val="15"/>
                <w:b w:val="1"/>
                <w:bCs w:val="1"/>
                <w:color w:val="FFFFFF"/>
              </w:rPr>
              <w:t>Number of Shares of</w:t>
            </w:r>
          </w:p>
        </w:tc>
        <w:tc>
          <w:tcPr>
            <w:tcW w:w="2520" w:type="dxa"/>
            <w:vAlign w:val="bottom"/>
            <w:shd w:val="clear" w:color="auto" w:fill="41659C"/>
          </w:tcPr>
          <w:p>
            <w:pPr>
              <w:spacing w:after="0"/>
              <w:rPr>
                <w:sz w:val="14"/>
                <w:szCs w:val="14"/>
                <w:color w:val="auto"/>
              </w:rPr>
            </w:pPr>
          </w:p>
        </w:tc>
      </w:tr>
      <w:tr>
        <w:trPr>
          <w:trHeight w:val="162"/>
        </w:trPr>
        <w:tc>
          <w:tcPr>
            <w:tcW w:w="4600" w:type="dxa"/>
            <w:vAlign w:val="bottom"/>
            <w:shd w:val="clear" w:color="auto" w:fill="41659C"/>
          </w:tcPr>
          <w:p>
            <w:pPr>
              <w:spacing w:after="0"/>
              <w:rPr>
                <w:sz w:val="14"/>
                <w:szCs w:val="14"/>
                <w:color w:val="auto"/>
              </w:rPr>
            </w:pPr>
          </w:p>
        </w:tc>
        <w:tc>
          <w:tcPr>
            <w:tcW w:w="3880" w:type="dxa"/>
            <w:vAlign w:val="bottom"/>
            <w:shd w:val="clear" w:color="auto" w:fill="41659C"/>
          </w:tcPr>
          <w:p>
            <w:pPr>
              <w:jc w:val="center"/>
              <w:ind w:left="764"/>
              <w:spacing w:after="0" w:line="162" w:lineRule="exact"/>
              <w:rPr>
                <w:sz w:val="20"/>
                <w:szCs w:val="20"/>
                <w:color w:val="auto"/>
              </w:rPr>
            </w:pPr>
            <w:r>
              <w:rPr>
                <w:rFonts w:ascii="Arial" w:cs="Arial" w:eastAsia="Arial" w:hAnsi="Arial"/>
                <w:sz w:val="15"/>
                <w:szCs w:val="15"/>
                <w:b w:val="1"/>
                <w:bCs w:val="1"/>
                <w:color w:val="FFFFFF"/>
              </w:rPr>
              <w:t>Common Stock</w:t>
            </w:r>
          </w:p>
        </w:tc>
        <w:tc>
          <w:tcPr>
            <w:tcW w:w="2520" w:type="dxa"/>
            <w:vAlign w:val="bottom"/>
            <w:shd w:val="clear" w:color="auto" w:fill="41659C"/>
          </w:tcPr>
          <w:p>
            <w:pPr>
              <w:jc w:val="right"/>
              <w:ind w:right="304"/>
              <w:spacing w:after="0" w:line="162" w:lineRule="exact"/>
              <w:rPr>
                <w:sz w:val="20"/>
                <w:szCs w:val="20"/>
                <w:color w:val="auto"/>
              </w:rPr>
            </w:pPr>
            <w:r>
              <w:rPr>
                <w:rFonts w:ascii="Arial" w:cs="Arial" w:eastAsia="Arial" w:hAnsi="Arial"/>
                <w:sz w:val="15"/>
                <w:szCs w:val="15"/>
                <w:b w:val="1"/>
                <w:bCs w:val="1"/>
                <w:color w:val="FFFFFF"/>
              </w:rPr>
              <w:t>Percent of Total Common</w:t>
            </w:r>
          </w:p>
        </w:tc>
      </w:tr>
      <w:tr>
        <w:trPr>
          <w:trHeight w:val="197"/>
        </w:trPr>
        <w:tc>
          <w:tcPr>
            <w:tcW w:w="460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of Beneficial Owner</w:t>
            </w:r>
          </w:p>
        </w:tc>
        <w:tc>
          <w:tcPr>
            <w:tcW w:w="3880" w:type="dxa"/>
            <w:vAlign w:val="bottom"/>
            <w:shd w:val="clear" w:color="auto" w:fill="41659C"/>
          </w:tcPr>
          <w:p>
            <w:pPr>
              <w:jc w:val="center"/>
              <w:ind w:left="764"/>
              <w:spacing w:after="0"/>
              <w:rPr>
                <w:sz w:val="20"/>
                <w:szCs w:val="20"/>
                <w:color w:val="auto"/>
              </w:rPr>
            </w:pPr>
            <w:r>
              <w:rPr>
                <w:rFonts w:ascii="Arial" w:cs="Arial" w:eastAsia="Arial" w:hAnsi="Arial"/>
                <w:sz w:val="15"/>
                <w:szCs w:val="15"/>
                <w:b w:val="1"/>
                <w:bCs w:val="1"/>
                <w:color w:val="FFFFFF"/>
              </w:rPr>
              <w:t xml:space="preserve">Beneficially Owned </w:t>
            </w:r>
            <w:r>
              <w:rPr>
                <w:rFonts w:ascii="Arial" w:cs="Arial" w:eastAsia="Arial" w:hAnsi="Arial"/>
                <w:sz w:val="12"/>
                <w:szCs w:val="12"/>
                <w:b w:val="1"/>
                <w:bCs w:val="1"/>
                <w:color w:val="FFFFFF"/>
              </w:rPr>
              <w:t>2</w:t>
            </w:r>
          </w:p>
        </w:tc>
        <w:tc>
          <w:tcPr>
            <w:tcW w:w="2520" w:type="dxa"/>
            <w:vAlign w:val="bottom"/>
            <w:shd w:val="clear" w:color="auto" w:fill="41659C"/>
          </w:tcPr>
          <w:p>
            <w:pPr>
              <w:jc w:val="right"/>
              <w:ind w:right="484"/>
              <w:spacing w:after="0"/>
              <w:rPr>
                <w:sz w:val="20"/>
                <w:szCs w:val="20"/>
                <w:color w:val="auto"/>
              </w:rPr>
            </w:pPr>
            <w:r>
              <w:rPr>
                <w:rFonts w:ascii="Arial" w:cs="Arial" w:eastAsia="Arial" w:hAnsi="Arial"/>
                <w:sz w:val="15"/>
                <w:szCs w:val="15"/>
                <w:b w:val="1"/>
                <w:bCs w:val="1"/>
                <w:color w:val="FFFFFF"/>
              </w:rPr>
              <w:t xml:space="preserve">Stock Outstanding </w:t>
            </w:r>
            <w:r>
              <w:rPr>
                <w:rFonts w:ascii="Arial" w:cs="Arial" w:eastAsia="Arial" w:hAnsi="Arial"/>
                <w:sz w:val="12"/>
                <w:szCs w:val="12"/>
                <w:b w:val="1"/>
                <w:bCs w:val="1"/>
                <w:color w:val="FFFFFF"/>
              </w:rPr>
              <w:t>1</w:t>
            </w:r>
          </w:p>
        </w:tc>
      </w:tr>
      <w:tr>
        <w:trPr>
          <w:trHeight w:val="158"/>
        </w:trPr>
        <w:tc>
          <w:tcPr>
            <w:tcW w:w="4600" w:type="dxa"/>
            <w:vAlign w:val="bottom"/>
            <w:shd w:val="clear" w:color="auto" w:fill="D2DEA7"/>
          </w:tcPr>
          <w:p>
            <w:pPr>
              <w:ind w:left="220"/>
              <w:spacing w:after="0" w:line="159" w:lineRule="exact"/>
              <w:rPr>
                <w:sz w:val="20"/>
                <w:szCs w:val="20"/>
                <w:color w:val="auto"/>
              </w:rPr>
            </w:pPr>
            <w:r>
              <w:rPr>
                <w:rFonts w:ascii="Arial" w:cs="Arial" w:eastAsia="Arial" w:hAnsi="Arial"/>
                <w:sz w:val="15"/>
                <w:szCs w:val="15"/>
                <w:color w:val="auto"/>
              </w:rPr>
              <w:t>Executive Officers, Directors and Director</w:t>
            </w:r>
          </w:p>
        </w:tc>
        <w:tc>
          <w:tcPr>
            <w:tcW w:w="3880" w:type="dxa"/>
            <w:vAlign w:val="bottom"/>
            <w:shd w:val="clear" w:color="auto" w:fill="D2DEA7"/>
          </w:tcPr>
          <w:p>
            <w:pPr>
              <w:spacing w:after="0"/>
              <w:rPr>
                <w:sz w:val="13"/>
                <w:szCs w:val="13"/>
                <w:color w:val="auto"/>
              </w:rPr>
            </w:pPr>
          </w:p>
        </w:tc>
        <w:tc>
          <w:tcPr>
            <w:tcW w:w="2520" w:type="dxa"/>
            <w:vAlign w:val="bottom"/>
            <w:shd w:val="clear" w:color="auto" w:fill="D2DEA7"/>
          </w:tcPr>
          <w:p>
            <w:pPr>
              <w:spacing w:after="0"/>
              <w:rPr>
                <w:sz w:val="13"/>
                <w:szCs w:val="13"/>
                <w:color w:val="auto"/>
              </w:rPr>
            </w:pPr>
          </w:p>
        </w:tc>
      </w:tr>
      <w:tr>
        <w:trPr>
          <w:trHeight w:val="179"/>
        </w:trPr>
        <w:tc>
          <w:tcPr>
            <w:tcW w:w="4600" w:type="dxa"/>
            <w:vAlign w:val="bottom"/>
            <w:shd w:val="clear" w:color="auto" w:fill="D2DEA7"/>
          </w:tcPr>
          <w:p>
            <w:pPr>
              <w:ind w:left="220"/>
              <w:spacing w:after="0"/>
              <w:rPr>
                <w:sz w:val="20"/>
                <w:szCs w:val="20"/>
                <w:color w:val="auto"/>
              </w:rPr>
            </w:pPr>
            <w:r>
              <w:rPr>
                <w:rFonts w:ascii="Arial" w:cs="Arial" w:eastAsia="Arial" w:hAnsi="Arial"/>
                <w:sz w:val="15"/>
                <w:szCs w:val="15"/>
                <w:color w:val="auto"/>
              </w:rPr>
              <w:t>Nominees as a group (10 persons)</w:t>
            </w:r>
          </w:p>
        </w:tc>
        <w:tc>
          <w:tcPr>
            <w:tcW w:w="3880" w:type="dxa"/>
            <w:vAlign w:val="bottom"/>
            <w:shd w:val="clear" w:color="auto" w:fill="D2DEA7"/>
          </w:tcPr>
          <w:p>
            <w:pPr>
              <w:jc w:val="right"/>
              <w:ind w:right="224"/>
              <w:spacing w:after="0"/>
              <w:rPr>
                <w:sz w:val="20"/>
                <w:szCs w:val="20"/>
                <w:color w:val="auto"/>
              </w:rPr>
            </w:pPr>
            <w:r>
              <w:rPr>
                <w:rFonts w:ascii="Arial" w:cs="Arial" w:eastAsia="Arial" w:hAnsi="Arial"/>
                <w:sz w:val="15"/>
                <w:szCs w:val="15"/>
                <w:color w:val="auto"/>
              </w:rPr>
              <w:t>4,584,111</w:t>
            </w:r>
          </w:p>
        </w:tc>
        <w:tc>
          <w:tcPr>
            <w:tcW w:w="2520" w:type="dxa"/>
            <w:vAlign w:val="bottom"/>
            <w:shd w:val="clear" w:color="auto" w:fill="D2DEA7"/>
          </w:tcPr>
          <w:p>
            <w:pPr>
              <w:jc w:val="right"/>
              <w:ind w:right="4"/>
              <w:spacing w:after="0"/>
              <w:rPr>
                <w:sz w:val="20"/>
                <w:szCs w:val="20"/>
                <w:color w:val="auto"/>
              </w:rPr>
            </w:pPr>
            <w:r>
              <w:rPr>
                <w:rFonts w:ascii="Arial" w:cs="Arial" w:eastAsia="Arial" w:hAnsi="Arial"/>
                <w:sz w:val="15"/>
                <w:szCs w:val="15"/>
                <w:color w:val="auto"/>
              </w:rPr>
              <w:t>13.1%</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 xml:space="preserve">Jason DeZwirek </w:t>
            </w:r>
            <w:r>
              <w:rPr>
                <w:rFonts w:ascii="Arial" w:cs="Arial" w:eastAsia="Arial" w:hAnsi="Arial"/>
                <w:sz w:val="12"/>
                <w:szCs w:val="12"/>
                <w:color w:val="auto"/>
              </w:rPr>
              <w:t>3</w:t>
            </w:r>
          </w:p>
        </w:tc>
        <w:tc>
          <w:tcPr>
            <w:tcW w:w="388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4,188,904</w:t>
            </w:r>
          </w:p>
        </w:tc>
        <w:tc>
          <w:tcPr>
            <w:tcW w:w="252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12.0%</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Matthew Eckl</w:t>
            </w:r>
          </w:p>
        </w:tc>
        <w:tc>
          <w:tcPr>
            <w:tcW w:w="388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26,250</w:t>
            </w:r>
          </w:p>
        </w:tc>
        <w:tc>
          <w:tcPr>
            <w:tcW w:w="252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Paul Gohr</w:t>
            </w:r>
          </w:p>
        </w:tc>
        <w:tc>
          <w:tcPr>
            <w:tcW w:w="388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11,064</w:t>
            </w:r>
          </w:p>
        </w:tc>
        <w:tc>
          <w:tcPr>
            <w:tcW w:w="252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Eric M. Goldberg</w:t>
            </w:r>
          </w:p>
        </w:tc>
        <w:tc>
          <w:tcPr>
            <w:tcW w:w="388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37,088</w:t>
            </w:r>
          </w:p>
        </w:tc>
        <w:tc>
          <w:tcPr>
            <w:tcW w:w="252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David B. Liner</w:t>
            </w:r>
          </w:p>
        </w:tc>
        <w:tc>
          <w:tcPr>
            <w:tcW w:w="388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26,642</w:t>
            </w:r>
          </w:p>
        </w:tc>
        <w:tc>
          <w:tcPr>
            <w:tcW w:w="252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Claudio A. Mannarino</w:t>
            </w:r>
          </w:p>
        </w:tc>
        <w:tc>
          <w:tcPr>
            <w:tcW w:w="388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24,088</w:t>
            </w:r>
          </w:p>
        </w:tc>
        <w:tc>
          <w:tcPr>
            <w:tcW w:w="252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Munish Nanda</w:t>
            </w:r>
          </w:p>
        </w:tc>
        <w:tc>
          <w:tcPr>
            <w:tcW w:w="388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252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 xml:space="preserve">Jonathan Pollack </w:t>
            </w:r>
            <w:r>
              <w:rPr>
                <w:rFonts w:ascii="Arial" w:cs="Arial" w:eastAsia="Arial" w:hAnsi="Arial"/>
                <w:sz w:val="12"/>
                <w:szCs w:val="12"/>
                <w:color w:val="auto"/>
              </w:rPr>
              <w:t>4</w:t>
            </w:r>
          </w:p>
        </w:tc>
        <w:tc>
          <w:tcPr>
            <w:tcW w:w="388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208,088</w:t>
            </w:r>
          </w:p>
        </w:tc>
        <w:tc>
          <w:tcPr>
            <w:tcW w:w="252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Valerie Gentile Sachs</w:t>
            </w:r>
          </w:p>
        </w:tc>
        <w:tc>
          <w:tcPr>
            <w:tcW w:w="3880" w:type="dxa"/>
            <w:vAlign w:val="bottom"/>
            <w:shd w:val="clear" w:color="auto" w:fill="E8EED3"/>
          </w:tcPr>
          <w:p>
            <w:pPr>
              <w:jc w:val="right"/>
              <w:ind w:right="224"/>
              <w:spacing w:after="0" w:line="162" w:lineRule="exact"/>
              <w:rPr>
                <w:sz w:val="20"/>
                <w:szCs w:val="20"/>
                <w:color w:val="auto"/>
              </w:rPr>
            </w:pPr>
            <w:r>
              <w:rPr>
                <w:rFonts w:ascii="Arial" w:cs="Arial" w:eastAsia="Arial" w:hAnsi="Arial"/>
                <w:sz w:val="15"/>
                <w:szCs w:val="15"/>
                <w:color w:val="auto"/>
              </w:rPr>
              <w:t>17,094</w:t>
            </w:r>
          </w:p>
        </w:tc>
        <w:tc>
          <w:tcPr>
            <w:tcW w:w="2520" w:type="dxa"/>
            <w:vAlign w:val="bottom"/>
            <w:shd w:val="clear" w:color="auto" w:fill="E8EED3"/>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Dennis Sadlowski</w:t>
            </w:r>
          </w:p>
        </w:tc>
        <w:tc>
          <w:tcPr>
            <w:tcW w:w="3880" w:type="dxa"/>
            <w:vAlign w:val="bottom"/>
            <w:shd w:val="clear" w:color="auto" w:fill="D2DEA7"/>
          </w:tcPr>
          <w:p>
            <w:pPr>
              <w:jc w:val="right"/>
              <w:ind w:right="224"/>
              <w:spacing w:after="0" w:line="162" w:lineRule="exact"/>
              <w:rPr>
                <w:sz w:val="20"/>
                <w:szCs w:val="20"/>
                <w:color w:val="auto"/>
              </w:rPr>
            </w:pPr>
            <w:r>
              <w:rPr>
                <w:rFonts w:ascii="Arial" w:cs="Arial" w:eastAsia="Arial" w:hAnsi="Arial"/>
                <w:sz w:val="15"/>
                <w:szCs w:val="15"/>
                <w:color w:val="auto"/>
              </w:rPr>
              <w:t>44,893</w:t>
            </w:r>
          </w:p>
        </w:tc>
        <w:tc>
          <w:tcPr>
            <w:tcW w:w="2520" w:type="dxa"/>
            <w:vAlign w:val="bottom"/>
            <w:shd w:val="clear" w:color="auto" w:fill="D2DEA7"/>
          </w:tcPr>
          <w:p>
            <w:pPr>
              <w:jc w:val="right"/>
              <w:ind w:right="4"/>
              <w:spacing w:after="0" w:line="162" w:lineRule="exact"/>
              <w:rPr>
                <w:sz w:val="20"/>
                <w:szCs w:val="20"/>
                <w:color w:val="auto"/>
              </w:rPr>
            </w:pPr>
            <w:r>
              <w:rPr>
                <w:rFonts w:ascii="Arial" w:cs="Arial" w:eastAsia="Arial" w:hAnsi="Arial"/>
                <w:sz w:val="15"/>
                <w:szCs w:val="15"/>
                <w:color w:val="auto"/>
              </w:rPr>
              <w:t>*</w:t>
            </w:r>
          </w:p>
        </w:tc>
      </w:tr>
      <w:tr>
        <w:trPr>
          <w:trHeight w:val="162"/>
        </w:trPr>
        <w:tc>
          <w:tcPr>
            <w:tcW w:w="46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Other Beneficial Owners</w:t>
            </w:r>
          </w:p>
        </w:tc>
        <w:tc>
          <w:tcPr>
            <w:tcW w:w="3880" w:type="dxa"/>
            <w:vAlign w:val="bottom"/>
            <w:shd w:val="clear" w:color="auto" w:fill="E8EED3"/>
          </w:tcPr>
          <w:p>
            <w:pPr>
              <w:spacing w:after="0"/>
              <w:rPr>
                <w:sz w:val="14"/>
                <w:szCs w:val="14"/>
                <w:color w:val="auto"/>
              </w:rPr>
            </w:pPr>
          </w:p>
        </w:tc>
        <w:tc>
          <w:tcPr>
            <w:tcW w:w="2520" w:type="dxa"/>
            <w:vAlign w:val="bottom"/>
            <w:shd w:val="clear" w:color="auto" w:fill="E8EED3"/>
          </w:tcPr>
          <w:p>
            <w:pPr>
              <w:spacing w:after="0"/>
              <w:rPr>
                <w:sz w:val="14"/>
                <w:szCs w:val="14"/>
                <w:color w:val="auto"/>
              </w:rPr>
            </w:pPr>
          </w:p>
        </w:tc>
      </w:tr>
      <w:tr>
        <w:trPr>
          <w:trHeight w:val="121"/>
        </w:trPr>
        <w:tc>
          <w:tcPr>
            <w:tcW w:w="4600" w:type="dxa"/>
            <w:vAlign w:val="bottom"/>
            <w:shd w:val="clear" w:color="auto" w:fill="D2DEA7"/>
          </w:tcPr>
          <w:p>
            <w:pPr>
              <w:ind w:left="1420"/>
              <w:spacing w:after="0" w:line="121" w:lineRule="exact"/>
              <w:rPr>
                <w:sz w:val="20"/>
                <w:szCs w:val="20"/>
                <w:color w:val="auto"/>
              </w:rPr>
            </w:pPr>
            <w:r>
              <w:rPr>
                <w:rFonts w:ascii="Arial" w:cs="Arial" w:eastAsia="Arial" w:hAnsi="Arial"/>
                <w:sz w:val="13"/>
                <w:szCs w:val="13"/>
                <w:color w:val="auto"/>
              </w:rPr>
              <w:t>5</w:t>
            </w:r>
          </w:p>
        </w:tc>
        <w:tc>
          <w:tcPr>
            <w:tcW w:w="3880" w:type="dxa"/>
            <w:vAlign w:val="bottom"/>
            <w:shd w:val="clear" w:color="auto" w:fill="D2DEA7"/>
          </w:tcPr>
          <w:p>
            <w:pPr>
              <w:spacing w:after="0"/>
              <w:rPr>
                <w:sz w:val="10"/>
                <w:szCs w:val="10"/>
                <w:color w:val="auto"/>
              </w:rPr>
            </w:pPr>
          </w:p>
        </w:tc>
        <w:tc>
          <w:tcPr>
            <w:tcW w:w="252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80"/>
              <w:spacing w:after="0" w:line="37" w:lineRule="exact"/>
              <w:rPr>
                <w:sz w:val="20"/>
                <w:szCs w:val="20"/>
                <w:color w:val="auto"/>
              </w:rPr>
            </w:pPr>
            <w:r>
              <w:rPr>
                <w:rFonts w:ascii="Arial" w:cs="Arial" w:eastAsia="Arial" w:hAnsi="Arial"/>
                <w:sz w:val="4"/>
                <w:szCs w:val="4"/>
                <w:color w:val="auto"/>
              </w:rPr>
              <w:t>BlackRock, Inc.</w:t>
            </w:r>
          </w:p>
        </w:tc>
        <w:tc>
          <w:tcPr>
            <w:tcW w:w="3880" w:type="dxa"/>
            <w:vAlign w:val="bottom"/>
            <w:shd w:val="clear" w:color="auto" w:fill="D2DEA7"/>
          </w:tcPr>
          <w:p>
            <w:pPr>
              <w:spacing w:after="0"/>
              <w:rPr>
                <w:sz w:val="3"/>
                <w:szCs w:val="3"/>
                <w:color w:val="auto"/>
              </w:rPr>
            </w:pPr>
          </w:p>
        </w:tc>
        <w:tc>
          <w:tcPr>
            <w:tcW w:w="252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55 East 52nd Street</w:t>
            </w:r>
          </w:p>
        </w:tc>
        <w:tc>
          <w:tcPr>
            <w:tcW w:w="3880" w:type="dxa"/>
            <w:vAlign w:val="bottom"/>
            <w:shd w:val="clear" w:color="auto" w:fill="D2DEA7"/>
          </w:tcPr>
          <w:p>
            <w:pPr>
              <w:spacing w:after="0"/>
              <w:rPr>
                <w:sz w:val="14"/>
                <w:szCs w:val="14"/>
                <w:color w:val="auto"/>
              </w:rPr>
            </w:pPr>
          </w:p>
        </w:tc>
        <w:tc>
          <w:tcPr>
            <w:tcW w:w="252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New York, New York 10055</w:t>
            </w:r>
          </w:p>
        </w:tc>
        <w:tc>
          <w:tcPr>
            <w:tcW w:w="3880" w:type="dxa"/>
            <w:vAlign w:val="bottom"/>
            <w:shd w:val="clear" w:color="auto" w:fill="D2DEA7"/>
          </w:tcPr>
          <w:p>
            <w:pPr>
              <w:jc w:val="right"/>
              <w:ind w:right="224"/>
              <w:spacing w:after="0"/>
              <w:rPr>
                <w:sz w:val="20"/>
                <w:szCs w:val="20"/>
                <w:color w:val="auto"/>
              </w:rPr>
            </w:pPr>
            <w:r>
              <w:rPr>
                <w:rFonts w:ascii="Arial" w:cs="Arial" w:eastAsia="Arial" w:hAnsi="Arial"/>
                <w:sz w:val="15"/>
                <w:szCs w:val="15"/>
                <w:color w:val="auto"/>
              </w:rPr>
              <w:t>2,150,295</w:t>
            </w:r>
          </w:p>
        </w:tc>
        <w:tc>
          <w:tcPr>
            <w:tcW w:w="2520" w:type="dxa"/>
            <w:vAlign w:val="bottom"/>
            <w:shd w:val="clear" w:color="auto" w:fill="D2DEA7"/>
          </w:tcPr>
          <w:p>
            <w:pPr>
              <w:jc w:val="right"/>
              <w:ind w:right="4"/>
              <w:spacing w:after="0"/>
              <w:rPr>
                <w:sz w:val="20"/>
                <w:szCs w:val="20"/>
                <w:color w:val="auto"/>
              </w:rPr>
            </w:pPr>
            <w:r>
              <w:rPr>
                <w:rFonts w:ascii="Arial" w:cs="Arial" w:eastAsia="Arial" w:hAnsi="Arial"/>
                <w:sz w:val="15"/>
                <w:szCs w:val="15"/>
                <w:color w:val="auto"/>
              </w:rPr>
              <w:t>6.1%</w:t>
            </w:r>
          </w:p>
        </w:tc>
      </w:tr>
      <w:tr>
        <w:trPr>
          <w:trHeight w:val="158"/>
        </w:trPr>
        <w:tc>
          <w:tcPr>
            <w:tcW w:w="4600" w:type="dxa"/>
            <w:vAlign w:val="bottom"/>
            <w:shd w:val="clear" w:color="auto" w:fill="E8EED3"/>
          </w:tcPr>
          <w:p>
            <w:pPr>
              <w:ind w:left="380"/>
              <w:spacing w:after="0" w:line="159" w:lineRule="exact"/>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12"/>
                <w:szCs w:val="12"/>
                <w:color w:val="auto"/>
              </w:rPr>
              <w:t>6</w:t>
            </w:r>
          </w:p>
        </w:tc>
        <w:tc>
          <w:tcPr>
            <w:tcW w:w="3880" w:type="dxa"/>
            <w:vAlign w:val="bottom"/>
            <w:shd w:val="clear" w:color="auto" w:fill="E8EED3"/>
          </w:tcPr>
          <w:p>
            <w:pPr>
              <w:spacing w:after="0"/>
              <w:rPr>
                <w:sz w:val="13"/>
                <w:szCs w:val="13"/>
                <w:color w:val="auto"/>
              </w:rPr>
            </w:pPr>
          </w:p>
        </w:tc>
        <w:tc>
          <w:tcPr>
            <w:tcW w:w="2520" w:type="dxa"/>
            <w:vAlign w:val="bottom"/>
            <w:shd w:val="clear" w:color="auto" w:fill="E8EED3"/>
          </w:tcPr>
          <w:p>
            <w:pPr>
              <w:spacing w:after="0"/>
              <w:rPr>
                <w:sz w:val="13"/>
                <w:szCs w:val="13"/>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Building One</w:t>
            </w:r>
          </w:p>
        </w:tc>
        <w:tc>
          <w:tcPr>
            <w:tcW w:w="3880" w:type="dxa"/>
            <w:vAlign w:val="bottom"/>
            <w:shd w:val="clear" w:color="auto" w:fill="E8EED3"/>
          </w:tcPr>
          <w:p>
            <w:pPr>
              <w:spacing w:after="0"/>
              <w:rPr>
                <w:sz w:val="14"/>
                <w:szCs w:val="14"/>
                <w:color w:val="auto"/>
              </w:rPr>
            </w:pPr>
          </w:p>
        </w:tc>
        <w:tc>
          <w:tcPr>
            <w:tcW w:w="2520" w:type="dxa"/>
            <w:vAlign w:val="bottom"/>
            <w:shd w:val="clear" w:color="auto" w:fill="E8EED3"/>
          </w:tcPr>
          <w:p>
            <w:pPr>
              <w:spacing w:after="0"/>
              <w:rPr>
                <w:sz w:val="14"/>
                <w:szCs w:val="14"/>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6300 Bee Cave Road</w:t>
            </w:r>
          </w:p>
        </w:tc>
        <w:tc>
          <w:tcPr>
            <w:tcW w:w="3880" w:type="dxa"/>
            <w:vAlign w:val="bottom"/>
            <w:shd w:val="clear" w:color="auto" w:fill="E8EED3"/>
          </w:tcPr>
          <w:p>
            <w:pPr>
              <w:spacing w:after="0"/>
              <w:rPr>
                <w:sz w:val="14"/>
                <w:szCs w:val="14"/>
                <w:color w:val="auto"/>
              </w:rPr>
            </w:pPr>
          </w:p>
        </w:tc>
        <w:tc>
          <w:tcPr>
            <w:tcW w:w="2520" w:type="dxa"/>
            <w:vAlign w:val="bottom"/>
            <w:shd w:val="clear" w:color="auto" w:fill="E8EED3"/>
          </w:tcPr>
          <w:p>
            <w:pPr>
              <w:spacing w:after="0"/>
              <w:rPr>
                <w:sz w:val="14"/>
                <w:szCs w:val="14"/>
                <w:color w:val="auto"/>
              </w:rPr>
            </w:pPr>
          </w:p>
        </w:tc>
      </w:tr>
      <w:tr>
        <w:trPr>
          <w:trHeight w:val="179"/>
        </w:trPr>
        <w:tc>
          <w:tcPr>
            <w:tcW w:w="4600" w:type="dxa"/>
            <w:vAlign w:val="bottom"/>
            <w:shd w:val="clear" w:color="auto" w:fill="E8EED3"/>
          </w:tcPr>
          <w:p>
            <w:pPr>
              <w:ind w:left="360"/>
              <w:spacing w:after="0"/>
              <w:rPr>
                <w:sz w:val="20"/>
                <w:szCs w:val="20"/>
                <w:color w:val="auto"/>
              </w:rPr>
            </w:pPr>
            <w:r>
              <w:rPr>
                <w:rFonts w:ascii="Arial" w:cs="Arial" w:eastAsia="Arial" w:hAnsi="Arial"/>
                <w:sz w:val="15"/>
                <w:szCs w:val="15"/>
                <w:color w:val="auto"/>
              </w:rPr>
              <w:t>Austin, Texas, 78746</w:t>
            </w:r>
          </w:p>
        </w:tc>
        <w:tc>
          <w:tcPr>
            <w:tcW w:w="3880" w:type="dxa"/>
            <w:vAlign w:val="bottom"/>
            <w:shd w:val="clear" w:color="auto" w:fill="E8EED3"/>
          </w:tcPr>
          <w:p>
            <w:pPr>
              <w:jc w:val="right"/>
              <w:ind w:right="224"/>
              <w:spacing w:after="0"/>
              <w:rPr>
                <w:sz w:val="20"/>
                <w:szCs w:val="20"/>
                <w:color w:val="auto"/>
              </w:rPr>
            </w:pPr>
            <w:r>
              <w:rPr>
                <w:rFonts w:ascii="Arial" w:cs="Arial" w:eastAsia="Arial" w:hAnsi="Arial"/>
                <w:sz w:val="15"/>
                <w:szCs w:val="15"/>
                <w:color w:val="auto"/>
              </w:rPr>
              <w:t>2,366,493</w:t>
            </w:r>
          </w:p>
        </w:tc>
        <w:tc>
          <w:tcPr>
            <w:tcW w:w="2520" w:type="dxa"/>
            <w:vAlign w:val="bottom"/>
            <w:shd w:val="clear" w:color="auto" w:fill="E8EED3"/>
          </w:tcPr>
          <w:p>
            <w:pPr>
              <w:jc w:val="right"/>
              <w:ind w:right="4"/>
              <w:spacing w:after="0"/>
              <w:rPr>
                <w:sz w:val="20"/>
                <w:szCs w:val="20"/>
                <w:color w:val="auto"/>
              </w:rPr>
            </w:pPr>
            <w:r>
              <w:rPr>
                <w:rFonts w:ascii="Arial" w:cs="Arial" w:eastAsia="Arial" w:hAnsi="Arial"/>
                <w:sz w:val="15"/>
                <w:szCs w:val="15"/>
                <w:color w:val="auto"/>
              </w:rPr>
              <w:t>6.8%</w:t>
            </w:r>
          </w:p>
        </w:tc>
      </w:tr>
      <w:tr>
        <w:trPr>
          <w:trHeight w:val="121"/>
        </w:trPr>
        <w:tc>
          <w:tcPr>
            <w:tcW w:w="4600" w:type="dxa"/>
            <w:vAlign w:val="bottom"/>
            <w:shd w:val="clear" w:color="auto" w:fill="D2DEA7"/>
          </w:tcPr>
          <w:p>
            <w:pPr>
              <w:ind w:left="2000"/>
              <w:spacing w:after="0" w:line="121" w:lineRule="exact"/>
              <w:rPr>
                <w:sz w:val="20"/>
                <w:szCs w:val="20"/>
                <w:color w:val="auto"/>
              </w:rPr>
            </w:pPr>
            <w:r>
              <w:rPr>
                <w:rFonts w:ascii="Arial" w:cs="Arial" w:eastAsia="Arial" w:hAnsi="Arial"/>
                <w:sz w:val="13"/>
                <w:szCs w:val="13"/>
                <w:color w:val="auto"/>
              </w:rPr>
              <w:t>3</w:t>
            </w:r>
          </w:p>
        </w:tc>
        <w:tc>
          <w:tcPr>
            <w:tcW w:w="3880" w:type="dxa"/>
            <w:vAlign w:val="bottom"/>
            <w:shd w:val="clear" w:color="auto" w:fill="D2DEA7"/>
          </w:tcPr>
          <w:p>
            <w:pPr>
              <w:spacing w:after="0"/>
              <w:rPr>
                <w:sz w:val="10"/>
                <w:szCs w:val="10"/>
                <w:color w:val="auto"/>
              </w:rPr>
            </w:pPr>
          </w:p>
        </w:tc>
        <w:tc>
          <w:tcPr>
            <w:tcW w:w="252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80"/>
              <w:spacing w:after="0" w:line="37" w:lineRule="exact"/>
              <w:rPr>
                <w:sz w:val="20"/>
                <w:szCs w:val="20"/>
                <w:color w:val="auto"/>
              </w:rPr>
            </w:pPr>
            <w:r>
              <w:rPr>
                <w:rFonts w:ascii="Arial" w:cs="Arial" w:eastAsia="Arial" w:hAnsi="Arial"/>
                <w:sz w:val="4"/>
                <w:szCs w:val="4"/>
                <w:color w:val="auto"/>
              </w:rPr>
              <w:t>Icarus Investment Corp.</w:t>
            </w:r>
          </w:p>
        </w:tc>
        <w:tc>
          <w:tcPr>
            <w:tcW w:w="3880" w:type="dxa"/>
            <w:vAlign w:val="bottom"/>
            <w:shd w:val="clear" w:color="auto" w:fill="D2DEA7"/>
          </w:tcPr>
          <w:p>
            <w:pPr>
              <w:spacing w:after="0"/>
              <w:rPr>
                <w:sz w:val="3"/>
                <w:szCs w:val="3"/>
                <w:color w:val="auto"/>
              </w:rPr>
            </w:pPr>
          </w:p>
        </w:tc>
        <w:tc>
          <w:tcPr>
            <w:tcW w:w="252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2300 Yonge Street, Suite 1710</w:t>
            </w:r>
          </w:p>
        </w:tc>
        <w:tc>
          <w:tcPr>
            <w:tcW w:w="3880" w:type="dxa"/>
            <w:vAlign w:val="bottom"/>
            <w:shd w:val="clear" w:color="auto" w:fill="D2DEA7"/>
          </w:tcPr>
          <w:p>
            <w:pPr>
              <w:spacing w:after="0"/>
              <w:rPr>
                <w:sz w:val="14"/>
                <w:szCs w:val="14"/>
                <w:color w:val="auto"/>
              </w:rPr>
            </w:pPr>
          </w:p>
        </w:tc>
        <w:tc>
          <w:tcPr>
            <w:tcW w:w="252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60"/>
              <w:spacing w:after="0"/>
              <w:rPr>
                <w:sz w:val="20"/>
                <w:szCs w:val="20"/>
                <w:color w:val="auto"/>
              </w:rPr>
            </w:pPr>
            <w:r>
              <w:rPr>
                <w:rFonts w:ascii="Arial" w:cs="Arial" w:eastAsia="Arial" w:hAnsi="Arial"/>
                <w:sz w:val="15"/>
                <w:szCs w:val="15"/>
                <w:color w:val="auto"/>
              </w:rPr>
              <w:t>Toronto, Ontario M4P 1E4</w:t>
            </w:r>
          </w:p>
        </w:tc>
        <w:tc>
          <w:tcPr>
            <w:tcW w:w="3880" w:type="dxa"/>
            <w:vAlign w:val="bottom"/>
            <w:shd w:val="clear" w:color="auto" w:fill="D2DEA7"/>
          </w:tcPr>
          <w:p>
            <w:pPr>
              <w:jc w:val="right"/>
              <w:ind w:right="224"/>
              <w:spacing w:after="0"/>
              <w:rPr>
                <w:sz w:val="20"/>
                <w:szCs w:val="20"/>
                <w:color w:val="auto"/>
              </w:rPr>
            </w:pPr>
            <w:r>
              <w:rPr>
                <w:rFonts w:ascii="Arial" w:cs="Arial" w:eastAsia="Arial" w:hAnsi="Arial"/>
                <w:sz w:val="15"/>
                <w:szCs w:val="15"/>
                <w:color w:val="auto"/>
              </w:rPr>
              <w:t>2,734,546</w:t>
            </w:r>
          </w:p>
        </w:tc>
        <w:tc>
          <w:tcPr>
            <w:tcW w:w="2520" w:type="dxa"/>
            <w:vAlign w:val="bottom"/>
            <w:shd w:val="clear" w:color="auto" w:fill="D2DEA7"/>
          </w:tcPr>
          <w:p>
            <w:pPr>
              <w:jc w:val="right"/>
              <w:ind w:right="4"/>
              <w:spacing w:after="0"/>
              <w:rPr>
                <w:sz w:val="20"/>
                <w:szCs w:val="20"/>
                <w:color w:val="auto"/>
              </w:rPr>
            </w:pPr>
            <w:r>
              <w:rPr>
                <w:rFonts w:ascii="Arial" w:cs="Arial" w:eastAsia="Arial" w:hAnsi="Arial"/>
                <w:sz w:val="15"/>
                <w:szCs w:val="15"/>
                <w:color w:val="auto"/>
              </w:rPr>
              <w:t>7.8%</w:t>
            </w:r>
          </w:p>
        </w:tc>
      </w:tr>
      <w:tr>
        <w:trPr>
          <w:trHeight w:val="121"/>
        </w:trPr>
        <w:tc>
          <w:tcPr>
            <w:tcW w:w="4600" w:type="dxa"/>
            <w:vAlign w:val="bottom"/>
            <w:shd w:val="clear" w:color="auto" w:fill="E8EED3"/>
          </w:tcPr>
          <w:p>
            <w:pPr>
              <w:ind w:left="1560"/>
              <w:spacing w:after="0" w:line="121" w:lineRule="exact"/>
              <w:rPr>
                <w:sz w:val="20"/>
                <w:szCs w:val="20"/>
                <w:color w:val="auto"/>
              </w:rPr>
            </w:pPr>
            <w:r>
              <w:rPr>
                <w:rFonts w:ascii="Arial" w:cs="Arial" w:eastAsia="Arial" w:hAnsi="Arial"/>
                <w:sz w:val="13"/>
                <w:szCs w:val="13"/>
                <w:color w:val="auto"/>
              </w:rPr>
              <w:t>7</w:t>
            </w:r>
          </w:p>
        </w:tc>
        <w:tc>
          <w:tcPr>
            <w:tcW w:w="3880" w:type="dxa"/>
            <w:vAlign w:val="bottom"/>
            <w:shd w:val="clear" w:color="auto" w:fill="E8EED3"/>
          </w:tcPr>
          <w:p>
            <w:pPr>
              <w:spacing w:after="0"/>
              <w:rPr>
                <w:sz w:val="10"/>
                <w:szCs w:val="10"/>
                <w:color w:val="auto"/>
              </w:rPr>
            </w:pPr>
          </w:p>
        </w:tc>
        <w:tc>
          <w:tcPr>
            <w:tcW w:w="2520" w:type="dxa"/>
            <w:vAlign w:val="bottom"/>
            <w:shd w:val="clear" w:color="auto" w:fill="E8EED3"/>
          </w:tcPr>
          <w:p>
            <w:pPr>
              <w:spacing w:after="0"/>
              <w:rPr>
                <w:sz w:val="10"/>
                <w:szCs w:val="10"/>
                <w:color w:val="auto"/>
              </w:rPr>
            </w:pPr>
          </w:p>
        </w:tc>
      </w:tr>
      <w:tr>
        <w:trPr>
          <w:trHeight w:val="37"/>
        </w:trPr>
        <w:tc>
          <w:tcPr>
            <w:tcW w:w="4600" w:type="dxa"/>
            <w:vAlign w:val="bottom"/>
            <w:shd w:val="clear" w:color="auto" w:fill="E8EED3"/>
          </w:tcPr>
          <w:p>
            <w:pPr>
              <w:ind w:left="380"/>
              <w:spacing w:after="0" w:line="37" w:lineRule="exact"/>
              <w:rPr>
                <w:sz w:val="20"/>
                <w:szCs w:val="20"/>
                <w:color w:val="auto"/>
              </w:rPr>
            </w:pPr>
            <w:r>
              <w:rPr>
                <w:rFonts w:ascii="Arial" w:cs="Arial" w:eastAsia="Arial" w:hAnsi="Arial"/>
                <w:sz w:val="4"/>
                <w:szCs w:val="4"/>
                <w:color w:val="auto"/>
              </w:rPr>
              <w:t>J. Luther King, Jr.</w:t>
            </w:r>
          </w:p>
        </w:tc>
        <w:tc>
          <w:tcPr>
            <w:tcW w:w="3880" w:type="dxa"/>
            <w:vAlign w:val="bottom"/>
            <w:shd w:val="clear" w:color="auto" w:fill="E8EED3"/>
          </w:tcPr>
          <w:p>
            <w:pPr>
              <w:spacing w:after="0"/>
              <w:rPr>
                <w:sz w:val="3"/>
                <w:szCs w:val="3"/>
                <w:color w:val="auto"/>
              </w:rPr>
            </w:pPr>
          </w:p>
        </w:tc>
        <w:tc>
          <w:tcPr>
            <w:tcW w:w="2520" w:type="dxa"/>
            <w:vAlign w:val="bottom"/>
            <w:shd w:val="clear" w:color="auto" w:fill="E8EED3"/>
          </w:tcPr>
          <w:p>
            <w:pPr>
              <w:spacing w:after="0"/>
              <w:rPr>
                <w:sz w:val="3"/>
                <w:szCs w:val="3"/>
                <w:color w:val="auto"/>
              </w:rPr>
            </w:pPr>
          </w:p>
        </w:tc>
      </w:tr>
      <w:tr>
        <w:trPr>
          <w:trHeight w:val="162"/>
        </w:trPr>
        <w:tc>
          <w:tcPr>
            <w:tcW w:w="4600" w:type="dxa"/>
            <w:vAlign w:val="bottom"/>
            <w:shd w:val="clear" w:color="auto" w:fill="E8EED3"/>
          </w:tcPr>
          <w:p>
            <w:pPr>
              <w:ind w:left="380"/>
              <w:spacing w:after="0" w:line="162" w:lineRule="exact"/>
              <w:rPr>
                <w:sz w:val="20"/>
                <w:szCs w:val="20"/>
                <w:color w:val="auto"/>
              </w:rPr>
            </w:pPr>
            <w:r>
              <w:rPr>
                <w:rFonts w:ascii="Arial" w:cs="Arial" w:eastAsia="Arial" w:hAnsi="Arial"/>
                <w:sz w:val="15"/>
                <w:szCs w:val="15"/>
                <w:color w:val="auto"/>
              </w:rPr>
              <w:t>301 Commerce Street, Suite 1600</w:t>
            </w:r>
          </w:p>
        </w:tc>
        <w:tc>
          <w:tcPr>
            <w:tcW w:w="3880" w:type="dxa"/>
            <w:vAlign w:val="bottom"/>
            <w:shd w:val="clear" w:color="auto" w:fill="E8EED3"/>
          </w:tcPr>
          <w:p>
            <w:pPr>
              <w:spacing w:after="0"/>
              <w:rPr>
                <w:sz w:val="14"/>
                <w:szCs w:val="14"/>
                <w:color w:val="auto"/>
              </w:rPr>
            </w:pPr>
          </w:p>
        </w:tc>
        <w:tc>
          <w:tcPr>
            <w:tcW w:w="2520" w:type="dxa"/>
            <w:vAlign w:val="bottom"/>
            <w:shd w:val="clear" w:color="auto" w:fill="E8EED3"/>
          </w:tcPr>
          <w:p>
            <w:pPr>
              <w:spacing w:after="0"/>
              <w:rPr>
                <w:sz w:val="14"/>
                <w:szCs w:val="14"/>
                <w:color w:val="auto"/>
              </w:rPr>
            </w:pPr>
          </w:p>
        </w:tc>
      </w:tr>
      <w:tr>
        <w:trPr>
          <w:trHeight w:val="179"/>
        </w:trPr>
        <w:tc>
          <w:tcPr>
            <w:tcW w:w="4600" w:type="dxa"/>
            <w:vAlign w:val="bottom"/>
            <w:shd w:val="clear" w:color="auto" w:fill="E8EED3"/>
          </w:tcPr>
          <w:p>
            <w:pPr>
              <w:ind w:left="380"/>
              <w:spacing w:after="0"/>
              <w:rPr>
                <w:sz w:val="20"/>
                <w:szCs w:val="20"/>
                <w:color w:val="auto"/>
              </w:rPr>
            </w:pPr>
            <w:r>
              <w:rPr>
                <w:rFonts w:ascii="Arial" w:cs="Arial" w:eastAsia="Arial" w:hAnsi="Arial"/>
                <w:sz w:val="15"/>
                <w:szCs w:val="15"/>
                <w:color w:val="auto"/>
              </w:rPr>
              <w:t>Fort Worth, Texas 76102</w:t>
            </w:r>
          </w:p>
        </w:tc>
        <w:tc>
          <w:tcPr>
            <w:tcW w:w="3880" w:type="dxa"/>
            <w:vAlign w:val="bottom"/>
            <w:shd w:val="clear" w:color="auto" w:fill="E8EED3"/>
          </w:tcPr>
          <w:p>
            <w:pPr>
              <w:jc w:val="right"/>
              <w:ind w:right="224"/>
              <w:spacing w:after="0"/>
              <w:rPr>
                <w:sz w:val="20"/>
                <w:szCs w:val="20"/>
                <w:color w:val="auto"/>
              </w:rPr>
            </w:pPr>
            <w:r>
              <w:rPr>
                <w:rFonts w:ascii="Arial" w:cs="Arial" w:eastAsia="Arial" w:hAnsi="Arial"/>
                <w:sz w:val="15"/>
                <w:szCs w:val="15"/>
                <w:color w:val="auto"/>
              </w:rPr>
              <w:t>2,300,569</w:t>
            </w:r>
          </w:p>
        </w:tc>
        <w:tc>
          <w:tcPr>
            <w:tcW w:w="2520" w:type="dxa"/>
            <w:vAlign w:val="bottom"/>
            <w:shd w:val="clear" w:color="auto" w:fill="E8EED3"/>
          </w:tcPr>
          <w:p>
            <w:pPr>
              <w:jc w:val="right"/>
              <w:ind w:right="4"/>
              <w:spacing w:after="0"/>
              <w:rPr>
                <w:sz w:val="20"/>
                <w:szCs w:val="20"/>
                <w:color w:val="auto"/>
              </w:rPr>
            </w:pPr>
            <w:r>
              <w:rPr>
                <w:rFonts w:ascii="Arial" w:cs="Arial" w:eastAsia="Arial" w:hAnsi="Arial"/>
                <w:sz w:val="15"/>
                <w:szCs w:val="15"/>
                <w:color w:val="auto"/>
              </w:rPr>
              <w:t>6.6%</w:t>
            </w:r>
          </w:p>
        </w:tc>
      </w:tr>
      <w:tr>
        <w:trPr>
          <w:trHeight w:val="121"/>
        </w:trPr>
        <w:tc>
          <w:tcPr>
            <w:tcW w:w="4600" w:type="dxa"/>
            <w:vAlign w:val="bottom"/>
            <w:shd w:val="clear" w:color="auto" w:fill="D2DEA7"/>
          </w:tcPr>
          <w:p>
            <w:pPr>
              <w:ind w:left="2040"/>
              <w:spacing w:after="0" w:line="121" w:lineRule="exact"/>
              <w:rPr>
                <w:sz w:val="20"/>
                <w:szCs w:val="20"/>
                <w:color w:val="auto"/>
              </w:rPr>
            </w:pPr>
            <w:r>
              <w:rPr>
                <w:rFonts w:ascii="Arial" w:cs="Arial" w:eastAsia="Arial" w:hAnsi="Arial"/>
                <w:sz w:val="13"/>
                <w:szCs w:val="13"/>
                <w:color w:val="auto"/>
              </w:rPr>
              <w:t>8</w:t>
            </w:r>
          </w:p>
        </w:tc>
        <w:tc>
          <w:tcPr>
            <w:tcW w:w="3880" w:type="dxa"/>
            <w:vAlign w:val="bottom"/>
            <w:shd w:val="clear" w:color="auto" w:fill="D2DEA7"/>
          </w:tcPr>
          <w:p>
            <w:pPr>
              <w:spacing w:after="0"/>
              <w:rPr>
                <w:sz w:val="10"/>
                <w:szCs w:val="10"/>
                <w:color w:val="auto"/>
              </w:rPr>
            </w:pPr>
          </w:p>
        </w:tc>
        <w:tc>
          <w:tcPr>
            <w:tcW w:w="2520" w:type="dxa"/>
            <w:vAlign w:val="bottom"/>
            <w:shd w:val="clear" w:color="auto" w:fill="D2DEA7"/>
          </w:tcPr>
          <w:p>
            <w:pPr>
              <w:spacing w:after="0"/>
              <w:rPr>
                <w:sz w:val="10"/>
                <w:szCs w:val="10"/>
                <w:color w:val="auto"/>
              </w:rPr>
            </w:pPr>
          </w:p>
        </w:tc>
      </w:tr>
      <w:tr>
        <w:trPr>
          <w:trHeight w:val="37"/>
        </w:trPr>
        <w:tc>
          <w:tcPr>
            <w:tcW w:w="4600" w:type="dxa"/>
            <w:vAlign w:val="bottom"/>
            <w:shd w:val="clear" w:color="auto" w:fill="D2DEA7"/>
          </w:tcPr>
          <w:p>
            <w:pPr>
              <w:ind w:left="360"/>
              <w:spacing w:after="0" w:line="37" w:lineRule="exact"/>
              <w:rPr>
                <w:sz w:val="20"/>
                <w:szCs w:val="20"/>
                <w:color w:val="auto"/>
              </w:rPr>
            </w:pPr>
            <w:r>
              <w:rPr>
                <w:rFonts w:ascii="Arial" w:cs="Arial" w:eastAsia="Arial" w:hAnsi="Arial"/>
                <w:sz w:val="4"/>
                <w:szCs w:val="4"/>
                <w:color w:val="auto"/>
              </w:rPr>
              <w:t>Trigran Investments, Inc.</w:t>
            </w:r>
          </w:p>
        </w:tc>
        <w:tc>
          <w:tcPr>
            <w:tcW w:w="3880" w:type="dxa"/>
            <w:vAlign w:val="bottom"/>
            <w:shd w:val="clear" w:color="auto" w:fill="D2DEA7"/>
          </w:tcPr>
          <w:p>
            <w:pPr>
              <w:spacing w:after="0"/>
              <w:rPr>
                <w:sz w:val="3"/>
                <w:szCs w:val="3"/>
                <w:color w:val="auto"/>
              </w:rPr>
            </w:pPr>
          </w:p>
        </w:tc>
        <w:tc>
          <w:tcPr>
            <w:tcW w:w="2520" w:type="dxa"/>
            <w:vAlign w:val="bottom"/>
            <w:shd w:val="clear" w:color="auto" w:fill="D2DEA7"/>
          </w:tcPr>
          <w:p>
            <w:pPr>
              <w:spacing w:after="0"/>
              <w:rPr>
                <w:sz w:val="3"/>
                <w:szCs w:val="3"/>
                <w:color w:val="auto"/>
              </w:rPr>
            </w:pPr>
          </w:p>
        </w:tc>
      </w:tr>
      <w:tr>
        <w:trPr>
          <w:trHeight w:val="162"/>
        </w:trPr>
        <w:tc>
          <w:tcPr>
            <w:tcW w:w="4600" w:type="dxa"/>
            <w:vAlign w:val="bottom"/>
            <w:shd w:val="clear" w:color="auto" w:fill="D2DEA7"/>
          </w:tcPr>
          <w:p>
            <w:pPr>
              <w:ind w:left="380"/>
              <w:spacing w:after="0" w:line="162" w:lineRule="exact"/>
              <w:rPr>
                <w:sz w:val="20"/>
                <w:szCs w:val="20"/>
                <w:color w:val="auto"/>
              </w:rPr>
            </w:pPr>
            <w:r>
              <w:rPr>
                <w:rFonts w:ascii="Arial" w:cs="Arial" w:eastAsia="Arial" w:hAnsi="Arial"/>
                <w:sz w:val="15"/>
                <w:szCs w:val="15"/>
                <w:color w:val="auto"/>
              </w:rPr>
              <w:t>630 Dundee Road, Suite 230</w:t>
            </w:r>
          </w:p>
        </w:tc>
        <w:tc>
          <w:tcPr>
            <w:tcW w:w="3880" w:type="dxa"/>
            <w:vAlign w:val="bottom"/>
            <w:shd w:val="clear" w:color="auto" w:fill="D2DEA7"/>
          </w:tcPr>
          <w:p>
            <w:pPr>
              <w:spacing w:after="0"/>
              <w:rPr>
                <w:sz w:val="14"/>
                <w:szCs w:val="14"/>
                <w:color w:val="auto"/>
              </w:rPr>
            </w:pPr>
          </w:p>
        </w:tc>
        <w:tc>
          <w:tcPr>
            <w:tcW w:w="2520" w:type="dxa"/>
            <w:vAlign w:val="bottom"/>
            <w:shd w:val="clear" w:color="auto" w:fill="D2DEA7"/>
          </w:tcPr>
          <w:p>
            <w:pPr>
              <w:spacing w:after="0"/>
              <w:rPr>
                <w:sz w:val="14"/>
                <w:szCs w:val="14"/>
                <w:color w:val="auto"/>
              </w:rPr>
            </w:pPr>
          </w:p>
        </w:tc>
      </w:tr>
      <w:tr>
        <w:trPr>
          <w:trHeight w:val="179"/>
        </w:trPr>
        <w:tc>
          <w:tcPr>
            <w:tcW w:w="4600" w:type="dxa"/>
            <w:vAlign w:val="bottom"/>
            <w:shd w:val="clear" w:color="auto" w:fill="D2DEA7"/>
          </w:tcPr>
          <w:p>
            <w:pPr>
              <w:ind w:left="380"/>
              <w:spacing w:after="0"/>
              <w:rPr>
                <w:sz w:val="20"/>
                <w:szCs w:val="20"/>
                <w:color w:val="auto"/>
              </w:rPr>
            </w:pPr>
            <w:r>
              <w:rPr>
                <w:rFonts w:ascii="Arial" w:cs="Arial" w:eastAsia="Arial" w:hAnsi="Arial"/>
                <w:sz w:val="15"/>
                <w:szCs w:val="15"/>
                <w:color w:val="auto"/>
              </w:rPr>
              <w:t>Northbrook, Illinois 60062</w:t>
            </w:r>
          </w:p>
        </w:tc>
        <w:tc>
          <w:tcPr>
            <w:tcW w:w="3880" w:type="dxa"/>
            <w:vAlign w:val="bottom"/>
            <w:shd w:val="clear" w:color="auto" w:fill="D2DEA7"/>
          </w:tcPr>
          <w:p>
            <w:pPr>
              <w:jc w:val="right"/>
              <w:ind w:right="224"/>
              <w:spacing w:after="0"/>
              <w:rPr>
                <w:sz w:val="20"/>
                <w:szCs w:val="20"/>
                <w:color w:val="auto"/>
              </w:rPr>
            </w:pPr>
            <w:r>
              <w:rPr>
                <w:rFonts w:ascii="Arial" w:cs="Arial" w:eastAsia="Arial" w:hAnsi="Arial"/>
                <w:sz w:val="15"/>
                <w:szCs w:val="15"/>
                <w:color w:val="auto"/>
              </w:rPr>
              <w:t>4,637,498</w:t>
            </w:r>
          </w:p>
        </w:tc>
        <w:tc>
          <w:tcPr>
            <w:tcW w:w="2520" w:type="dxa"/>
            <w:vAlign w:val="bottom"/>
            <w:shd w:val="clear" w:color="auto" w:fill="D2DEA7"/>
          </w:tcPr>
          <w:p>
            <w:pPr>
              <w:jc w:val="right"/>
              <w:ind w:right="4"/>
              <w:spacing w:after="0"/>
              <w:rPr>
                <w:sz w:val="20"/>
                <w:szCs w:val="20"/>
                <w:color w:val="auto"/>
              </w:rPr>
            </w:pPr>
            <w:r>
              <w:rPr>
                <w:rFonts w:ascii="Arial" w:cs="Arial" w:eastAsia="Arial" w:hAnsi="Arial"/>
                <w:sz w:val="15"/>
                <w:szCs w:val="15"/>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5384165</wp:posOffset>
            </wp:positionH>
            <wp:positionV relativeFrom="paragraph">
              <wp:posOffset>-3348355</wp:posOffset>
            </wp:positionV>
            <wp:extent cx="8255" cy="3348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334899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-3348355</wp:posOffset>
            </wp:positionV>
            <wp:extent cx="8255" cy="3348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3348990"/>
                    </a:xfrm>
                    <a:prstGeom prst="rect">
                      <a:avLst/>
                    </a:prstGeom>
                    <a:noFill/>
                  </pic:spPr>
                </pic:pic>
              </a:graphicData>
            </a:graphic>
          </wp:anchor>
        </w:drawing>
      </w:r>
    </w:p>
    <w:p>
      <w:pPr>
        <w:spacing w:after="0" w:line="106" w:lineRule="exact"/>
        <w:rPr>
          <w:sz w:val="20"/>
          <w:szCs w:val="20"/>
          <w:color w:val="auto"/>
        </w:rPr>
      </w:pPr>
    </w:p>
    <w:p>
      <w:pPr>
        <w:ind w:left="540" w:hanging="330"/>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2" w:lineRule="exact"/>
        <w:rPr>
          <w:sz w:val="20"/>
          <w:szCs w:val="20"/>
          <w:color w:val="auto"/>
        </w:rPr>
      </w:pPr>
    </w:p>
    <w:p>
      <w:pPr>
        <w:ind w:left="540" w:hanging="330"/>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34,979,895 shares of common stock outstanding as of March 1, 2019.</w:t>
      </w:r>
    </w:p>
    <w:p>
      <w:pPr>
        <w:spacing w:after="0" w:line="138" w:lineRule="exact"/>
        <w:rPr>
          <w:rFonts w:ascii="Arial" w:cs="Arial" w:eastAsia="Arial" w:hAnsi="Arial"/>
          <w:sz w:val="14"/>
          <w:szCs w:val="14"/>
          <w:color w:val="auto"/>
        </w:rPr>
      </w:pPr>
    </w:p>
    <w:p>
      <w:pPr>
        <w:ind w:left="5620" w:hanging="105"/>
        <w:spacing w:after="0"/>
        <w:tabs>
          <w:tab w:leader="none" w:pos="5620" w:val="left"/>
        </w:tabs>
        <w:numPr>
          <w:ilvl w:val="1"/>
          <w:numId w:val="27"/>
        </w:numPr>
        <w:rPr>
          <w:rFonts w:ascii="Arial" w:cs="Arial" w:eastAsia="Arial" w:hAnsi="Arial"/>
          <w:sz w:val="17"/>
          <w:szCs w:val="17"/>
          <w:color w:val="41659C"/>
        </w:rPr>
      </w:pPr>
      <w:r>
        <w:rPr>
          <w:rFonts w:ascii="Arial" w:cs="Arial" w:eastAsia="Arial" w:hAnsi="Arial"/>
          <w:sz w:val="17"/>
          <w:szCs w:val="17"/>
          <w:color w:val="41659C"/>
        </w:rPr>
        <w:t>35 -</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right="380" w:hanging="330"/>
        <w:spacing w:after="0" w:line="257"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reported in this column include RSUs that vest before April 30, 2019 and shares that could be acquired upon options that are exercisable before April 30, 2019, as shown in this table:</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4300" w:type="dxa"/>
            <w:vAlign w:val="bottom"/>
            <w:shd w:val="clear" w:color="auto" w:fill="41659C"/>
          </w:tcPr>
          <w:p>
            <w:pPr>
              <w:ind w:left="220"/>
              <w:spacing w:after="0"/>
              <w:rPr>
                <w:sz w:val="20"/>
                <w:szCs w:val="20"/>
                <w:color w:val="auto"/>
              </w:rPr>
            </w:pPr>
            <w:r>
              <w:rPr>
                <w:rFonts w:ascii="Arial" w:cs="Arial" w:eastAsia="Arial" w:hAnsi="Arial"/>
                <w:sz w:val="15"/>
                <w:szCs w:val="15"/>
                <w:b w:val="1"/>
                <w:bCs w:val="1"/>
                <w:color w:val="FFFFFF"/>
              </w:rPr>
              <w:t>Name of Beneficial Owner</w:t>
            </w:r>
          </w:p>
        </w:tc>
        <w:tc>
          <w:tcPr>
            <w:tcW w:w="3820" w:type="dxa"/>
            <w:vAlign w:val="bottom"/>
            <w:shd w:val="clear" w:color="auto" w:fill="41659C"/>
          </w:tcPr>
          <w:p>
            <w:pPr>
              <w:jc w:val="right"/>
              <w:ind w:right="924"/>
              <w:spacing w:after="0"/>
              <w:rPr>
                <w:sz w:val="20"/>
                <w:szCs w:val="20"/>
                <w:color w:val="auto"/>
              </w:rPr>
            </w:pPr>
            <w:r>
              <w:rPr>
                <w:rFonts w:ascii="Arial" w:cs="Arial" w:eastAsia="Arial" w:hAnsi="Arial"/>
                <w:sz w:val="15"/>
                <w:szCs w:val="15"/>
                <w:b w:val="1"/>
                <w:bCs w:val="1"/>
                <w:color w:val="FFFFFF"/>
              </w:rPr>
              <w:t>RSUs (#)</w:t>
            </w:r>
          </w:p>
        </w:tc>
        <w:tc>
          <w:tcPr>
            <w:tcW w:w="2440" w:type="dxa"/>
            <w:vAlign w:val="bottom"/>
            <w:shd w:val="clear" w:color="auto" w:fill="41659C"/>
          </w:tcPr>
          <w:p>
            <w:pPr>
              <w:jc w:val="right"/>
              <w:ind w:right="64"/>
              <w:spacing w:after="0"/>
              <w:rPr>
                <w:sz w:val="20"/>
                <w:szCs w:val="20"/>
                <w:color w:val="auto"/>
              </w:rPr>
            </w:pPr>
            <w:r>
              <w:rPr>
                <w:rFonts w:ascii="Arial" w:cs="Arial" w:eastAsia="Arial" w:hAnsi="Arial"/>
                <w:sz w:val="15"/>
                <w:szCs w:val="15"/>
                <w:b w:val="1"/>
                <w:bCs w:val="1"/>
                <w:color w:val="FFFFFF"/>
              </w:rPr>
              <w:t>Option Shares (#)</w:t>
            </w:r>
          </w:p>
        </w:tc>
      </w:tr>
      <w:tr>
        <w:trPr>
          <w:trHeight w:val="162"/>
        </w:trPr>
        <w:tc>
          <w:tcPr>
            <w:tcW w:w="430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Matthew Eckl</w:t>
            </w:r>
          </w:p>
        </w:tc>
        <w:tc>
          <w:tcPr>
            <w:tcW w:w="3820" w:type="dxa"/>
            <w:vAlign w:val="bottom"/>
            <w:shd w:val="clear" w:color="auto" w:fill="D2DEA7"/>
          </w:tcPr>
          <w:p>
            <w:pPr>
              <w:jc w:val="right"/>
              <w:ind w:right="924"/>
              <w:spacing w:after="0" w:line="162" w:lineRule="exact"/>
              <w:rPr>
                <w:sz w:val="20"/>
                <w:szCs w:val="20"/>
                <w:color w:val="auto"/>
              </w:rPr>
            </w:pPr>
            <w:r>
              <w:rPr>
                <w:rFonts w:ascii="Arial" w:cs="Arial" w:eastAsia="Arial" w:hAnsi="Arial"/>
                <w:sz w:val="15"/>
                <w:szCs w:val="15"/>
                <w:color w:val="auto"/>
              </w:rPr>
              <w:t>1,250</w:t>
            </w:r>
          </w:p>
        </w:tc>
        <w:tc>
          <w:tcPr>
            <w:tcW w:w="244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w:t>
            </w:r>
          </w:p>
        </w:tc>
      </w:tr>
      <w:tr>
        <w:trPr>
          <w:trHeight w:val="162"/>
        </w:trPr>
        <w:tc>
          <w:tcPr>
            <w:tcW w:w="43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Paul Gohr</w:t>
            </w:r>
          </w:p>
        </w:tc>
        <w:tc>
          <w:tcPr>
            <w:tcW w:w="3820" w:type="dxa"/>
            <w:vAlign w:val="bottom"/>
            <w:shd w:val="clear" w:color="auto" w:fill="E8EED3"/>
          </w:tcPr>
          <w:p>
            <w:pPr>
              <w:jc w:val="right"/>
              <w:ind w:right="924"/>
              <w:spacing w:after="0" w:line="162" w:lineRule="exact"/>
              <w:rPr>
                <w:sz w:val="20"/>
                <w:szCs w:val="20"/>
                <w:color w:val="auto"/>
              </w:rPr>
            </w:pPr>
            <w:r>
              <w:rPr>
                <w:rFonts w:ascii="Arial" w:cs="Arial" w:eastAsia="Arial" w:hAnsi="Arial"/>
                <w:sz w:val="15"/>
                <w:szCs w:val="15"/>
                <w:color w:val="auto"/>
              </w:rPr>
              <w:t>2,500</w:t>
            </w:r>
          </w:p>
        </w:tc>
        <w:tc>
          <w:tcPr>
            <w:tcW w:w="244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5,000</w:t>
            </w:r>
          </w:p>
        </w:tc>
      </w:tr>
      <w:tr>
        <w:trPr>
          <w:trHeight w:val="162"/>
        </w:trPr>
        <w:tc>
          <w:tcPr>
            <w:tcW w:w="430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Eric M. Goldberg</w:t>
            </w:r>
          </w:p>
        </w:tc>
        <w:tc>
          <w:tcPr>
            <w:tcW w:w="3820" w:type="dxa"/>
            <w:vAlign w:val="bottom"/>
            <w:shd w:val="clear" w:color="auto" w:fill="D2DEA7"/>
          </w:tcPr>
          <w:p>
            <w:pPr>
              <w:jc w:val="right"/>
              <w:ind w:right="924"/>
              <w:spacing w:after="0" w:line="162" w:lineRule="exact"/>
              <w:rPr>
                <w:sz w:val="20"/>
                <w:szCs w:val="20"/>
                <w:color w:val="auto"/>
              </w:rPr>
            </w:pPr>
            <w:r>
              <w:rPr>
                <w:rFonts w:ascii="Arial" w:cs="Arial" w:eastAsia="Arial" w:hAnsi="Arial"/>
                <w:sz w:val="15"/>
                <w:szCs w:val="15"/>
                <w:color w:val="auto"/>
              </w:rPr>
              <w:t>—</w:t>
            </w:r>
          </w:p>
        </w:tc>
        <w:tc>
          <w:tcPr>
            <w:tcW w:w="244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15,000</w:t>
            </w:r>
          </w:p>
        </w:tc>
      </w:tr>
      <w:tr>
        <w:trPr>
          <w:trHeight w:val="162"/>
        </w:trPr>
        <w:tc>
          <w:tcPr>
            <w:tcW w:w="4300" w:type="dxa"/>
            <w:vAlign w:val="bottom"/>
            <w:shd w:val="clear" w:color="auto" w:fill="E8EED3"/>
          </w:tcPr>
          <w:p>
            <w:pPr>
              <w:ind w:left="220"/>
              <w:spacing w:after="0" w:line="162" w:lineRule="exact"/>
              <w:rPr>
                <w:sz w:val="20"/>
                <w:szCs w:val="20"/>
                <w:color w:val="auto"/>
              </w:rPr>
            </w:pPr>
            <w:r>
              <w:rPr>
                <w:rFonts w:ascii="Arial" w:cs="Arial" w:eastAsia="Arial" w:hAnsi="Arial"/>
                <w:sz w:val="15"/>
                <w:szCs w:val="15"/>
                <w:color w:val="auto"/>
              </w:rPr>
              <w:t>Jonathan Pollack</w:t>
            </w:r>
          </w:p>
        </w:tc>
        <w:tc>
          <w:tcPr>
            <w:tcW w:w="3820" w:type="dxa"/>
            <w:vAlign w:val="bottom"/>
            <w:shd w:val="clear" w:color="auto" w:fill="E8EED3"/>
          </w:tcPr>
          <w:p>
            <w:pPr>
              <w:jc w:val="right"/>
              <w:ind w:right="924"/>
              <w:spacing w:after="0" w:line="162" w:lineRule="exact"/>
              <w:rPr>
                <w:sz w:val="20"/>
                <w:szCs w:val="20"/>
                <w:color w:val="auto"/>
              </w:rPr>
            </w:pPr>
            <w:r>
              <w:rPr>
                <w:rFonts w:ascii="Arial" w:cs="Arial" w:eastAsia="Arial" w:hAnsi="Arial"/>
                <w:sz w:val="15"/>
                <w:szCs w:val="15"/>
                <w:color w:val="auto"/>
              </w:rPr>
              <w:t>—</w:t>
            </w:r>
          </w:p>
        </w:tc>
        <w:tc>
          <w:tcPr>
            <w:tcW w:w="2440" w:type="dxa"/>
            <w:vAlign w:val="bottom"/>
            <w:shd w:val="clear" w:color="auto" w:fill="E8EED3"/>
          </w:tcPr>
          <w:p>
            <w:pPr>
              <w:jc w:val="right"/>
              <w:ind w:right="64"/>
              <w:spacing w:after="0" w:line="162" w:lineRule="exact"/>
              <w:rPr>
                <w:sz w:val="20"/>
                <w:szCs w:val="20"/>
                <w:color w:val="auto"/>
              </w:rPr>
            </w:pPr>
            <w:r>
              <w:rPr>
                <w:rFonts w:ascii="Arial" w:cs="Arial" w:eastAsia="Arial" w:hAnsi="Arial"/>
                <w:sz w:val="15"/>
                <w:szCs w:val="15"/>
                <w:color w:val="auto"/>
              </w:rPr>
              <w:t>103,000</w:t>
            </w:r>
          </w:p>
        </w:tc>
      </w:tr>
      <w:tr>
        <w:trPr>
          <w:trHeight w:val="162"/>
        </w:trPr>
        <w:tc>
          <w:tcPr>
            <w:tcW w:w="4300" w:type="dxa"/>
            <w:vAlign w:val="bottom"/>
            <w:shd w:val="clear" w:color="auto" w:fill="D2DEA7"/>
          </w:tcPr>
          <w:p>
            <w:pPr>
              <w:ind w:left="220"/>
              <w:spacing w:after="0" w:line="162" w:lineRule="exact"/>
              <w:rPr>
                <w:sz w:val="20"/>
                <w:szCs w:val="20"/>
                <w:color w:val="auto"/>
              </w:rPr>
            </w:pPr>
            <w:r>
              <w:rPr>
                <w:rFonts w:ascii="Arial" w:cs="Arial" w:eastAsia="Arial" w:hAnsi="Arial"/>
                <w:sz w:val="15"/>
                <w:szCs w:val="15"/>
                <w:color w:val="auto"/>
              </w:rPr>
              <w:t>Dennis Sadlowski</w:t>
            </w:r>
          </w:p>
        </w:tc>
        <w:tc>
          <w:tcPr>
            <w:tcW w:w="3820" w:type="dxa"/>
            <w:vAlign w:val="bottom"/>
            <w:shd w:val="clear" w:color="auto" w:fill="D2DEA7"/>
          </w:tcPr>
          <w:p>
            <w:pPr>
              <w:jc w:val="right"/>
              <w:ind w:right="924"/>
              <w:spacing w:after="0" w:line="162" w:lineRule="exact"/>
              <w:rPr>
                <w:sz w:val="20"/>
                <w:szCs w:val="20"/>
                <w:color w:val="auto"/>
              </w:rPr>
            </w:pPr>
            <w:r>
              <w:rPr>
                <w:rFonts w:ascii="Arial" w:cs="Arial" w:eastAsia="Arial" w:hAnsi="Arial"/>
                <w:sz w:val="15"/>
                <w:szCs w:val="15"/>
                <w:color w:val="auto"/>
              </w:rPr>
              <w:t>7,500</w:t>
            </w:r>
          </w:p>
        </w:tc>
        <w:tc>
          <w:tcPr>
            <w:tcW w:w="2440" w:type="dxa"/>
            <w:vAlign w:val="bottom"/>
            <w:shd w:val="clear" w:color="auto" w:fill="D2DEA7"/>
          </w:tcPr>
          <w:p>
            <w:pPr>
              <w:jc w:val="right"/>
              <w:ind w:right="64"/>
              <w:spacing w:after="0" w:line="162"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-615950</wp:posOffset>
            </wp:positionV>
            <wp:extent cx="8255" cy="6165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61658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-615950</wp:posOffset>
            </wp:positionV>
            <wp:extent cx="8255" cy="6165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616585"/>
                    </a:xfrm>
                    <a:prstGeom prst="rect">
                      <a:avLst/>
                    </a:prstGeom>
                    <a:noFill/>
                  </pic:spPr>
                </pic:pic>
              </a:graphicData>
            </a:graphic>
          </wp:anchor>
        </w:drawing>
      </w:r>
    </w:p>
    <w:p>
      <w:pPr>
        <w:spacing w:after="0" w:line="106" w:lineRule="exact"/>
        <w:rPr>
          <w:sz w:val="20"/>
          <w:szCs w:val="20"/>
          <w:color w:val="auto"/>
        </w:rPr>
      </w:pPr>
    </w:p>
    <w:p>
      <w:pPr>
        <w:ind w:left="540" w:right="40" w:hanging="330"/>
        <w:spacing w:after="0" w:line="246"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September 11, 2015 and is supplemented by a Form 4 filed with the SEC on June 13, 2018 by Jason DeZwirek. Jason DeZwirek is deemed to control Icarus Investment Corp. (“Icarus”) and has sole voting and dispositive power of the shares of common stock owned by Icarus and ownership of such shares is attributed to Jason DeZwirek in this table. Shares shown as beneficially owned by Mr. DeZwirek include the shares owned by Icarus.</w:t>
      </w:r>
    </w:p>
    <w:p>
      <w:pPr>
        <w:spacing w:after="0" w:line="108" w:lineRule="exact"/>
        <w:rPr>
          <w:rFonts w:ascii="Arial" w:cs="Arial" w:eastAsia="Arial" w:hAnsi="Arial"/>
          <w:sz w:val="14"/>
          <w:szCs w:val="14"/>
          <w:color w:val="auto"/>
        </w:rPr>
      </w:pPr>
    </w:p>
    <w:p>
      <w:pPr>
        <w:ind w:left="540" w:right="100" w:hanging="330"/>
        <w:spacing w:after="0" w:line="257"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Shares beneficially owned by Mr. Pollack include 2,300 shares owned by his spouse, over which she has sole voting and dispositive power, and 85,200 shares held by JMP (as defined above), over which Mr. Pollack has sole voting and dispositive power.</w:t>
      </w:r>
    </w:p>
    <w:p>
      <w:pPr>
        <w:spacing w:after="0" w:line="100" w:lineRule="exact"/>
        <w:rPr>
          <w:rFonts w:ascii="Arial" w:cs="Arial" w:eastAsia="Arial" w:hAnsi="Arial"/>
          <w:sz w:val="14"/>
          <w:szCs w:val="14"/>
          <w:color w:val="auto"/>
        </w:rPr>
      </w:pPr>
    </w:p>
    <w:p>
      <w:pPr>
        <w:ind w:left="540" w:right="60" w:hanging="330"/>
        <w:spacing w:after="0" w:line="257"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4, 2019, as of December 31, 2018, BlackRock, Inc. beneficially owned and had sole dispositive power over all of these shares and has sole voting power over 2,098,054 of these shares, which include shares held by certain subsidiaries of BlackRock, Inc.</w:t>
      </w:r>
    </w:p>
    <w:p>
      <w:pPr>
        <w:spacing w:after="0" w:line="100" w:lineRule="exact"/>
        <w:rPr>
          <w:rFonts w:ascii="Arial" w:cs="Arial" w:eastAsia="Arial" w:hAnsi="Arial"/>
          <w:sz w:val="14"/>
          <w:szCs w:val="14"/>
          <w:color w:val="auto"/>
        </w:rPr>
      </w:pPr>
    </w:p>
    <w:p>
      <w:pPr>
        <w:ind w:left="540" w:right="360" w:hanging="330"/>
        <w:spacing w:after="0" w:line="249"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8, 2019, as of December 31, 2018, Dimensional Fund Advisors LP beneficially owned and has sole dispositive power over all of these shares and has sole voting power over 2,252,083 shares. Dimensional Fund Advisors LP disclaims beneficial ownership of all of these shares.</w:t>
      </w:r>
    </w:p>
    <w:p>
      <w:pPr>
        <w:spacing w:after="0" w:line="105" w:lineRule="exact"/>
        <w:rPr>
          <w:rFonts w:ascii="Arial" w:cs="Arial" w:eastAsia="Arial" w:hAnsi="Arial"/>
          <w:sz w:val="14"/>
          <w:szCs w:val="14"/>
          <w:color w:val="auto"/>
        </w:rPr>
      </w:pPr>
    </w:p>
    <w:p>
      <w:pPr>
        <w:ind w:left="540" w:right="60" w:hanging="330"/>
        <w:spacing w:after="0" w:line="249"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information was obtained from a Schedule 13D/A filed with the SEC on November 27, 2017. According to the Schedule 13D/A, J. Luther King, Jr. beneficially owns and has sole dispositive and voting power over all of these shares, which include shares held by J. Bryan King and certain entities controlled by J. Luther King, Jr. and J. Bryan King.</w:t>
      </w:r>
    </w:p>
    <w:p>
      <w:pPr>
        <w:spacing w:after="0" w:line="105" w:lineRule="exact"/>
        <w:rPr>
          <w:rFonts w:ascii="Arial" w:cs="Arial" w:eastAsia="Arial" w:hAnsi="Arial"/>
          <w:sz w:val="14"/>
          <w:szCs w:val="14"/>
          <w:color w:val="auto"/>
        </w:rPr>
      </w:pPr>
    </w:p>
    <w:p>
      <w:pPr>
        <w:ind w:left="540" w:right="680" w:hanging="330"/>
        <w:spacing w:after="0" w:line="257"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2019, as of December 31, 2018, Trigran Investments, Inc. beneficially owned and had shared dispositive and voting power over all of these shares.</w:t>
      </w: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Section 16(a) Beneficial Ownership Reporting Compliance</w:t>
      </w:r>
    </w:p>
    <w:p>
      <w:pPr>
        <w:spacing w:after="0" w:line="240" w:lineRule="exact"/>
        <w:rPr>
          <w:sz w:val="20"/>
          <w:szCs w:val="20"/>
          <w:color w:val="auto"/>
        </w:rPr>
      </w:pPr>
    </w:p>
    <w:p>
      <w:pPr>
        <w:ind w:left="220" w:right="220"/>
        <w:spacing w:after="0" w:line="252" w:lineRule="auto"/>
        <w:rPr>
          <w:sz w:val="20"/>
          <w:szCs w:val="20"/>
          <w:color w:val="auto"/>
        </w:rPr>
      </w:pPr>
      <w:r>
        <w:rPr>
          <w:rFonts w:ascii="Arial" w:cs="Arial" w:eastAsia="Arial" w:hAnsi="Arial"/>
          <w:sz w:val="16"/>
          <w:szCs w:val="16"/>
          <w:color w:val="auto"/>
        </w:rPr>
        <w:t>Section 16(a) of the Exchange Act requires our directors and executive officers and persons beneficially owning more than ten percent of a class of our equity securities to file certain reports of beneficial ownership and changes in beneficial ownership with the SEC. Based solely on our review of Section 16(a) reports and any written representation made to us, the Company believes that all such required filings for 2018 were made in a timely manner.</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1659C"/>
        </w:rPr>
        <w:t>- 36 -</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INFORMATION FOR THIS ANNUAL MEETING</w:t>
      </w:r>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Bears the Cost of Solicitation</w:t>
      </w: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Can Vote</w:t>
      </w:r>
    </w:p>
    <w:p>
      <w:pPr>
        <w:spacing w:after="0" w:line="128"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Only stockholders of record at the close of business on April 8, 2019, which we refer to as the record date, are entitled to notice of, and to attend and vote at, the Annual Meeting. As of the record date, there were 34,979,895 outstanding shares of our common stock. Each share of our common stock outstanding on the record date will be entitled to cast one vote upon each matter submitted to a vote at the Annual Meeting.</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Who is a stockholder of record</w:t>
      </w:r>
    </w:p>
    <w:p>
      <w:pPr>
        <w:spacing w:after="0" w:line="128"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A stockholder of record (or record holder or registered holder) means that your shares are registered in your name directly on the books of our registrar and transfer agent American Stock Transfer &amp; Trust Company. If you are a stockholder of record, we have provided these proxy materials directly to you.</w:t>
      </w:r>
    </w:p>
    <w:p>
      <w:pPr>
        <w:spacing w:after="0" w:line="195" w:lineRule="exact"/>
        <w:rPr>
          <w:sz w:val="20"/>
          <w:szCs w:val="20"/>
          <w:color w:val="auto"/>
        </w:rPr>
      </w:pPr>
    </w:p>
    <w:p>
      <w:pPr>
        <w:ind w:left="220" w:right="240"/>
        <w:spacing w:after="0" w:line="253"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How You Can Vote</w:t>
      </w: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Stockholders of record can simplify their voting by voting their shares via the Internet. Instructions for voting via the Internet are described on the Notice of Internet Availability of Proxy Materials. If your shares are held in street name, you can vote at the meeting only if you have a valid proxy from the bank, broker or other intermediary confirming your beneficial ownership of shares of our common stock as of the record date and your authority to vote such shares. Please bring personal photo identification with you to the meeting.</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Revocability of Proxies</w:t>
      </w:r>
    </w:p>
    <w:p>
      <w:pPr>
        <w:spacing w:after="0" w:line="128"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in person at the Annual Meeting, another proxy dated as of a later date. Furthermore, you may revoke a proxy by attending the Annual Meeting and voting in person, which will automatically cancel any proxy previously given.</w:t>
      </w:r>
    </w:p>
    <w:p>
      <w:pPr>
        <w:spacing w:after="0" w:line="205"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Attendance at the Annual Meeting, however, will not automatically revoke any proxy that you have given previously unless you request a ballot and vote in person. If you hold shares through a bank, broker or other intermediary, you must contact the bank, broker or other intermediary to revoke any prior voting instructions.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Quorum Required</w:t>
      </w:r>
    </w:p>
    <w:p>
      <w:pPr>
        <w:spacing w:after="0" w:line="128"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auto"/>
        </w:rPr>
        <w:t>In order for business to be conducted, a quorum must be represented at the Annual Meeting. The holders of a majority of the outstanding shares of common stock, present in person or represented by proxy, shall constitute a quorum at the Annual Meeting. Shares represented by a proxy in which authority to vote for any matter considered is “withheld,” a proxy marked “abstain” or a proxy as to which there is a “broker non-vote” (described below) will be considered present at the meeting for purposes of determining a quorum.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- 37 -</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Required Vote to Elect Directors</w:t>
      </w:r>
    </w:p>
    <w:p>
      <w:pPr>
        <w:spacing w:after="0" w:line="128"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auto"/>
        </w:rPr>
        <w:t>Directors will be elected by a plurality of the votes cast at the Annual Meeting. This means the eight nominees receiving the most votes will be elected. Only votes cast for a nominee will be counted. Unless indicated otherwise by your proxy, the shares will be voted for the eight nominees named in this Proxy Statement. Instructions on the accompanying proxy to withhold authority to vote for one or more of the nominees will result in those nominees receiving fewer votes but will not count as a vote against the nominees.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Required Votes to Pass Other Proposals</w:t>
      </w:r>
    </w:p>
    <w:p>
      <w:pPr>
        <w:spacing w:after="0" w:line="128" w:lineRule="exact"/>
        <w:rPr>
          <w:sz w:val="20"/>
          <w:szCs w:val="20"/>
          <w:color w:val="auto"/>
        </w:rPr>
      </w:pPr>
    </w:p>
    <w:p>
      <w:pPr>
        <w:ind w:left="220" w:right="200"/>
        <w:spacing w:after="0" w:line="250" w:lineRule="auto"/>
        <w:rPr>
          <w:sz w:val="20"/>
          <w:szCs w:val="20"/>
          <w:color w:val="auto"/>
        </w:rPr>
      </w:pPr>
      <w:r>
        <w:rPr>
          <w:rFonts w:ascii="Arial" w:cs="Arial" w:eastAsia="Arial" w:hAnsi="Arial"/>
          <w:sz w:val="16"/>
          <w:szCs w:val="16"/>
          <w:color w:val="auto"/>
        </w:rPr>
        <w:t>Proposal 2 (to approve, on an advisory basis, the compensation paid to our named executive officers) and Proposal 4 (to ratify the appointment of BDO USA, LLP as our independent registered public accounting firm for 2019), each require the favorable vote of the majority of shares represented at the Annual Meeting for approval. For these proposals, abstentions are treated as shares present or represented and voting, so abstaining has the same effect as a negative vote.</w:t>
      </w:r>
    </w:p>
    <w:p>
      <w:pPr>
        <w:spacing w:after="0" w:line="205"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For Proposal 3 (the frequency of future advisory votes to approve named executive officer compensation), the frequency that receives the most votes cast will be deemed to be the frequency of future advisory votes to approve named executive officer compensation that has been recommended by our stockholders. Abstentions are not treated as votes cast.</w:t>
      </w:r>
    </w:p>
    <w:p>
      <w:pPr>
        <w:spacing w:after="0" w:line="201"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The votes for Proposals 2, 3, and 4 are advisory in nature and are not binding on our Company, however, our Board will consider the outcomes of these votes in future deliberations.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Broker Non-Votes</w:t>
      </w:r>
    </w:p>
    <w:p>
      <w:pPr>
        <w:spacing w:after="0" w:line="128"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204" w:lineRule="exact"/>
        <w:rPr>
          <w:sz w:val="20"/>
          <w:szCs w:val="20"/>
          <w:color w:val="auto"/>
        </w:rPr>
      </w:pPr>
    </w:p>
    <w:p>
      <w:pPr>
        <w:ind w:left="220" w:right="160"/>
        <w:spacing w:after="0" w:line="249" w:lineRule="auto"/>
        <w:rPr>
          <w:sz w:val="20"/>
          <w:szCs w:val="20"/>
          <w:color w:val="auto"/>
        </w:rPr>
      </w:pPr>
      <w:r>
        <w:rPr>
          <w:rFonts w:ascii="Arial" w:cs="Arial" w:eastAsia="Arial" w:hAnsi="Arial"/>
          <w:sz w:val="16"/>
          <w:szCs w:val="16"/>
          <w:color w:val="auto"/>
        </w:rPr>
        <w:t>Only Proposal 4 (ratification of the selection of BDO USA, LLP as our independent registered public accounting firm for 2019) is a routine proposal. Proposal 1 (election of directors), Proposal 2 (to approve, on an advisory basis, the compensation paid to our named executive officers) and Proposal 3 (the frequency of future advisory votes to approve named executive officer compensation) will be considered “non-routine,” and banks, brokers and certain other nominees that hold your shares in street name will not be able to cast votes on these proposals if you do not provide them with voting instructions. Any broker non-votes will have the same effect as a vote against Proposal 2 but will not affect the outcome of Proposal 1 because directors are elected by a plurality of votes cast. or Proposal 3 because the frequency with the most votes cast will be deemed to the stockholders’ selection.</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Information</w:t>
      </w:r>
    </w:p>
    <w:p>
      <w:pPr>
        <w:spacing w:after="0" w:line="128"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If no instructions are indicated on a duly executed and returned proxy, the shares represented by the proxy will be voted FOR the election of the eight director nominees proposed by our Board, FOR the approval, on an advisory basis, of the compensation paid to our named executive officers, for ONE YEAR as the frequency of future advisory votes to approve named executive officer compensation, FOR the ratification of the appointment of BDO USA, LLP as our independent registered public accounting firm for 2019, and in accordance with the judgment of the persons named in the proxy as to such other matters as may properly come before the Annual Meeting.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- 38 -</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1659C"/>
        </w:rPr>
        <w:t>INFORMATION FOR OUR 2020 ANNUAL MEETING</w:t>
      </w:r>
    </w:p>
    <w:p>
      <w:pPr>
        <w:spacing w:after="0" w:line="150"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Stockholders who wish to submit a proposal to be considered at our 2020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Proxy Statement Proposals</w:t>
      </w:r>
    </w:p>
    <w:p>
      <w:pPr>
        <w:spacing w:after="0" w:line="12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If you intend to present proposals for inclusion in our Proxy Statement for our 2020 Annual Meeting, you must give our us written notice of your intent, and your proposal must comply with SEC regulations under Rule 14a-8. Our Corporate Secretary must receive your notice no later than December 26, 2019 (120 calendar days prior to the anniversary of our mailing this Proxy Statement).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Matters for Annual Meeting Agenda</w:t>
      </w:r>
    </w:p>
    <w:p>
      <w:pPr>
        <w:spacing w:after="0" w:line="128"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If you intend to bring a matter before the 2020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February 6, 2020 and no later than March 7, 2020.</w:t>
      </w:r>
    </w:p>
    <w:p>
      <w:pPr>
        <w:spacing w:after="0" w:line="205" w:lineRule="exact"/>
        <w:rPr>
          <w:sz w:val="20"/>
          <w:szCs w:val="20"/>
          <w:color w:val="auto"/>
        </w:rPr>
      </w:pPr>
    </w:p>
    <w:p>
      <w:pPr>
        <w:ind w:left="220" w:right="100"/>
        <w:spacing w:after="0" w:line="184" w:lineRule="auto"/>
        <w:rPr>
          <w:sz w:val="20"/>
          <w:szCs w:val="20"/>
          <w:color w:val="auto"/>
        </w:rPr>
      </w:pPr>
      <w:r>
        <w:rPr>
          <w:rFonts w:ascii="Arial" w:cs="Arial" w:eastAsia="Arial" w:hAnsi="Arial"/>
          <w:sz w:val="16"/>
          <w:szCs w:val="16"/>
          <w:color w:val="auto"/>
        </w:rPr>
        <w:t>If, however, the date of the 2020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prior to such annual meeting and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Candidate Nominations</w:t>
      </w:r>
    </w:p>
    <w:p>
      <w:pPr>
        <w:spacing w:after="0" w:line="128" w:lineRule="exact"/>
        <w:rPr>
          <w:sz w:val="20"/>
          <w:szCs w:val="20"/>
          <w:color w:val="auto"/>
        </w:rPr>
      </w:pPr>
    </w:p>
    <w:p>
      <w:pPr>
        <w:ind w:left="220" w:right="240"/>
        <w:spacing w:after="0" w:line="249" w:lineRule="auto"/>
        <w:rPr>
          <w:sz w:val="20"/>
          <w:szCs w:val="20"/>
          <w:color w:val="auto"/>
        </w:rPr>
      </w:pPr>
      <w:r>
        <w:rPr>
          <w:rFonts w:ascii="Arial" w:cs="Arial" w:eastAsia="Arial" w:hAnsi="Arial"/>
          <w:sz w:val="16"/>
          <w:szCs w:val="16"/>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1659C"/>
        </w:rPr>
        <w:t>- 39 -</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7023735" cy="427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3735"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Our Bylaws also provide certain requirements as to the form and content of a stockholder’s notice. These provisions may preclude stockholders from making nominations for directors at an annual meeting of stockholders. A stockholder’s notice must set forth, among other things, as to a nomination the stockholder proposes to bring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143510</wp:posOffset>
            </wp:positionV>
            <wp:extent cx="6989445" cy="3726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89445" cy="372618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80" w:hanging="127"/>
        <w:spacing w:after="0"/>
        <w:tabs>
          <w:tab w:leader="none" w:pos="580"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the name and address of the stockholder and the beneficial owner, if any, on whose behalf the proposal or nomination is made;</w:t>
      </w:r>
    </w:p>
    <w:p>
      <w:pPr>
        <w:spacing w:after="0" w:line="207" w:lineRule="exact"/>
        <w:rPr>
          <w:rFonts w:ascii="Arial" w:cs="Arial" w:eastAsia="Arial" w:hAnsi="Arial"/>
          <w:sz w:val="16"/>
          <w:szCs w:val="16"/>
          <w:color w:val="41659C"/>
        </w:rPr>
      </w:pPr>
    </w:p>
    <w:p>
      <w:pPr>
        <w:ind w:left="580" w:hanging="127"/>
        <w:spacing w:after="0"/>
        <w:tabs>
          <w:tab w:leader="none" w:pos="580"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the class, series and number of shares that are owned of record or beneficially by the stockholder nominating the nominee or nominees;</w:t>
      </w:r>
    </w:p>
    <w:p>
      <w:pPr>
        <w:spacing w:after="0" w:line="207" w:lineRule="exact"/>
        <w:rPr>
          <w:rFonts w:ascii="Arial" w:cs="Arial" w:eastAsia="Arial" w:hAnsi="Arial"/>
          <w:sz w:val="16"/>
          <w:szCs w:val="16"/>
          <w:color w:val="41659C"/>
        </w:rPr>
      </w:pPr>
    </w:p>
    <w:p>
      <w:pPr>
        <w:ind w:left="620" w:right="320" w:hanging="167"/>
        <w:spacing w:after="0" w:line="260"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181" w:lineRule="exact"/>
        <w:rPr>
          <w:rFonts w:ascii="Arial" w:cs="Arial" w:eastAsia="Arial" w:hAnsi="Arial"/>
          <w:sz w:val="16"/>
          <w:szCs w:val="16"/>
          <w:color w:val="41659C"/>
        </w:rPr>
      </w:pPr>
    </w:p>
    <w:p>
      <w:pPr>
        <w:ind w:left="620" w:right="440" w:hanging="167"/>
        <w:spacing w:after="0" w:line="260"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whether such stockholder or beneficial owner intends to deliver a Proxy Statement and forms of proxy to holders of at least the percentage of shares of our voting stock required to nominate such nominee or nominees;</w:t>
      </w:r>
    </w:p>
    <w:p>
      <w:pPr>
        <w:spacing w:after="0" w:line="181" w:lineRule="exact"/>
        <w:rPr>
          <w:rFonts w:ascii="Arial" w:cs="Arial" w:eastAsia="Arial" w:hAnsi="Arial"/>
          <w:sz w:val="16"/>
          <w:szCs w:val="16"/>
          <w:color w:val="41659C"/>
        </w:rPr>
      </w:pPr>
    </w:p>
    <w:p>
      <w:pPr>
        <w:ind w:left="580" w:hanging="127"/>
        <w:spacing w:after="0"/>
        <w:tabs>
          <w:tab w:leader="none" w:pos="580"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derivative interest in our Company’s securities (as such term is defined in our Bylaws);</w:t>
      </w:r>
    </w:p>
    <w:p>
      <w:pPr>
        <w:spacing w:after="0" w:line="207" w:lineRule="exact"/>
        <w:rPr>
          <w:rFonts w:ascii="Arial" w:cs="Arial" w:eastAsia="Arial" w:hAnsi="Arial"/>
          <w:sz w:val="16"/>
          <w:szCs w:val="16"/>
          <w:color w:val="41659C"/>
        </w:rPr>
      </w:pPr>
    </w:p>
    <w:p>
      <w:pPr>
        <w:ind w:left="620" w:right="840" w:hanging="167"/>
        <w:spacing w:after="0" w:line="260"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voting arrangements pursuant to which such stockholder has the right to vote any shares of the Company or which has the effect of increasing or decreasing such stockholder’s voting power;</w:t>
      </w:r>
    </w:p>
    <w:p>
      <w:pPr>
        <w:spacing w:after="0" w:line="181" w:lineRule="exact"/>
        <w:rPr>
          <w:rFonts w:ascii="Arial" w:cs="Arial" w:eastAsia="Arial" w:hAnsi="Arial"/>
          <w:sz w:val="16"/>
          <w:szCs w:val="16"/>
          <w:color w:val="41659C"/>
        </w:rPr>
      </w:pPr>
    </w:p>
    <w:p>
      <w:pPr>
        <w:ind w:left="620" w:right="340" w:hanging="167"/>
        <w:spacing w:after="0" w:line="260"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contract or arrangement pursuant to which such stockholder is a party that provides any party, directly or indirectly, the opportunity to profit from any decrease in the price or value of our stock;</w:t>
      </w:r>
    </w:p>
    <w:p>
      <w:pPr>
        <w:spacing w:after="0" w:line="181" w:lineRule="exact"/>
        <w:rPr>
          <w:rFonts w:ascii="Arial" w:cs="Arial" w:eastAsia="Arial" w:hAnsi="Arial"/>
          <w:sz w:val="16"/>
          <w:szCs w:val="16"/>
          <w:color w:val="41659C"/>
        </w:rPr>
      </w:pPr>
    </w:p>
    <w:p>
      <w:pPr>
        <w:ind w:left="580" w:hanging="127"/>
        <w:spacing w:after="0"/>
        <w:tabs>
          <w:tab w:leader="none" w:pos="580"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material pending or threatened legal proceeding involving our Company, any of its affiliates or any of our directors or officers;</w:t>
      </w:r>
    </w:p>
    <w:p>
      <w:pPr>
        <w:spacing w:after="0" w:line="207" w:lineRule="exact"/>
        <w:rPr>
          <w:rFonts w:ascii="Arial" w:cs="Arial" w:eastAsia="Arial" w:hAnsi="Arial"/>
          <w:sz w:val="16"/>
          <w:szCs w:val="16"/>
          <w:color w:val="41659C"/>
        </w:rPr>
      </w:pPr>
    </w:p>
    <w:p>
      <w:pPr>
        <w:ind w:left="620" w:right="520" w:hanging="167"/>
        <w:spacing w:after="0" w:line="253"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187" w:lineRule="exact"/>
        <w:rPr>
          <w:rFonts w:ascii="Arial" w:cs="Arial" w:eastAsia="Arial" w:hAnsi="Arial"/>
          <w:sz w:val="16"/>
          <w:szCs w:val="16"/>
          <w:color w:val="41659C"/>
        </w:rPr>
      </w:pPr>
    </w:p>
    <w:p>
      <w:pPr>
        <w:ind w:left="620" w:right="340" w:hanging="167"/>
        <w:spacing w:after="0" w:line="250" w:lineRule="auto"/>
        <w:tabs>
          <w:tab w:leader="none" w:pos="579" w:val="left"/>
        </w:tabs>
        <w:numPr>
          <w:ilvl w:val="0"/>
          <w:numId w:val="30"/>
        </w:numPr>
        <w:rPr>
          <w:rFonts w:ascii="Arial" w:cs="Arial" w:eastAsia="Arial" w:hAnsi="Arial"/>
          <w:sz w:val="16"/>
          <w:szCs w:val="16"/>
          <w:color w:val="41659C"/>
        </w:rPr>
      </w:pPr>
      <w:r>
        <w:rPr>
          <w:rFonts w:ascii="Arial" w:cs="Arial" w:eastAsia="Arial" w:hAnsi="Arial"/>
          <w:sz w:val="16"/>
          <w:szCs w:val="16"/>
          <w:color w:val="auto"/>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1659C"/>
        </w:rPr>
        <w:t>Other Matters</w:t>
      </w:r>
    </w:p>
    <w:p>
      <w:pPr>
        <w:spacing w:after="0" w:line="240"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As of the date of this Proxy Statement, the Board knows of no matters that will be presented for consideration at the Annual Meeting other than the proposals set forth in this Proxy Statement. If any other matters properly come before the Annual Meeting, it is intended that the persons named in the proxy will vote the shares they represent as the Board may recommend.</w:t>
      </w:r>
    </w:p>
    <w:p>
      <w:pPr>
        <w:spacing w:after="0" w:line="228"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139065</wp:posOffset>
            </wp:positionV>
            <wp:extent cx="1421765" cy="4622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21765"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Jason DeZwirek</w:t>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Chairman of the Board of Directors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April 24, 2019</w:t>
      </w:r>
    </w:p>
    <w:p>
      <w:pPr>
        <w:spacing w:after="0" w:line="14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41659C"/>
        </w:rPr>
        <w:t>- 40 -</w:t>
      </w:r>
    </w:p>
    <w:p>
      <w:pPr>
        <w:sectPr>
          <w:pgSz w:w="11900" w:h="16838" w:orient="portrait"/>
          <w:cols w:equalWidth="0" w:num="1">
            <w:col w:w="11100"/>
          </w:cols>
          <w:pgMar w:left="24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ANNUAL MEETING OF STOCKHOLDERS OF</w:t>
      </w:r>
    </w:p>
    <w:p>
      <w:pPr>
        <w:spacing w:after="0" w:line="185" w:lineRule="exact"/>
        <w:rPr>
          <w:sz w:val="20"/>
          <w:szCs w:val="20"/>
          <w:color w:val="auto"/>
        </w:rPr>
      </w:pPr>
    </w:p>
    <w:p>
      <w:pPr>
        <w:jc w:val="center"/>
        <w:ind w:right="-479"/>
        <w:spacing w:after="0"/>
        <w:rPr>
          <w:sz w:val="20"/>
          <w:szCs w:val="20"/>
          <w:color w:val="auto"/>
        </w:rPr>
      </w:pPr>
      <w:r>
        <w:rPr>
          <w:rFonts w:ascii="Arial" w:cs="Arial" w:eastAsia="Arial" w:hAnsi="Arial"/>
          <w:sz w:val="43"/>
          <w:szCs w:val="43"/>
          <w:b w:val="1"/>
          <w:bCs w:val="1"/>
          <w:color w:val="auto"/>
        </w:rPr>
        <w:t>CECO ENVIRONMENTAL CORP.</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Wednesday, June 5, 2019</w:t>
      </w:r>
    </w:p>
    <w:p>
      <w:pPr>
        <w:spacing w:after="0" w:line="216"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GO GREEN</w:t>
      </w:r>
    </w:p>
    <w:p>
      <w:pPr>
        <w:spacing w:after="0" w:line="1" w:lineRule="exact"/>
        <w:rPr>
          <w:sz w:val="20"/>
          <w:szCs w:val="20"/>
          <w:color w:val="auto"/>
        </w:rPr>
      </w:pPr>
    </w:p>
    <w:p>
      <w:pPr>
        <w:jc w:val="both"/>
        <w:ind w:left="2980" w:right="2260"/>
        <w:spacing w:after="0" w:line="225" w:lineRule="auto"/>
        <w:rPr>
          <w:sz w:val="20"/>
          <w:szCs w:val="20"/>
          <w:color w:val="auto"/>
        </w:rPr>
      </w:pPr>
      <w:r>
        <w:rPr>
          <w:rFonts w:ascii="Arial" w:cs="Arial" w:eastAsia="Arial" w:hAnsi="Arial"/>
          <w:sz w:val="13"/>
          <w:szCs w:val="13"/>
          <w:color w:val="auto"/>
        </w:rPr>
        <w:t>e-Consent makes it easy to go paperless. With e-Consent, you can quickly access your proxy materials, statements and other eligible documents online, while reducing costs, clutter and paper waste. Enroll today via www.astfinancial.com to enjoy online access.</w:t>
      </w:r>
    </w:p>
    <w:p>
      <w:pPr>
        <w:spacing w:after="0" w:line="200" w:lineRule="exact"/>
        <w:rPr>
          <w:sz w:val="20"/>
          <w:szCs w:val="20"/>
          <w:color w:val="auto"/>
        </w:rPr>
      </w:pPr>
    </w:p>
    <w:p>
      <w:pPr>
        <w:spacing w:after="0" w:line="266" w:lineRule="exact"/>
        <w:rPr>
          <w:sz w:val="20"/>
          <w:szCs w:val="20"/>
          <w:color w:val="auto"/>
        </w:rPr>
      </w:pPr>
    </w:p>
    <w:p>
      <w:pPr>
        <w:jc w:val="center"/>
        <w:ind w:left="1280" w:right="1740"/>
        <w:spacing w:after="0" w:line="246" w:lineRule="auto"/>
        <w:rPr>
          <w:sz w:val="20"/>
          <w:szCs w:val="20"/>
          <w:color w:val="auto"/>
        </w:rPr>
      </w:pPr>
      <w:r>
        <w:rPr>
          <w:rFonts w:ascii="Arial" w:cs="Arial" w:eastAsia="Arial" w:hAnsi="Arial"/>
          <w:sz w:val="18"/>
          <w:szCs w:val="18"/>
          <w:b w:val="1"/>
          <w:bCs w:val="1"/>
          <w:u w:val="single" w:color="auto"/>
          <w:color w:val="auto"/>
        </w:rPr>
        <w:t xml:space="preserve">Important Notice Regarding the Availability of Proxy Materials for the Stockholders Meeting to Be Held on Wednesday, June 5, 2019 </w:t>
      </w:r>
      <w:r>
        <w:rPr>
          <w:rFonts w:ascii="Arial" w:cs="Arial" w:eastAsia="Arial" w:hAnsi="Arial"/>
          <w:sz w:val="18"/>
          <w:szCs w:val="18"/>
          <w:color w:val="auto"/>
        </w:rPr>
        <w:t>Our Annual Report to Stockholders and the Proxy Statement are available at www.cecoenviro.com/investors.aspx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32"/>
          <w:szCs w:val="32"/>
          <w:color w:val="auto"/>
        </w:rPr>
        <w:t>Please sign, date and mail</w:t>
      </w:r>
    </w:p>
    <w:p>
      <w:pPr>
        <w:spacing w:after="0" w:line="10" w:lineRule="exact"/>
        <w:rPr>
          <w:sz w:val="20"/>
          <w:szCs w:val="20"/>
          <w:color w:val="auto"/>
        </w:rPr>
      </w:pPr>
    </w:p>
    <w:p>
      <w:pPr>
        <w:jc w:val="center"/>
        <w:ind w:right="-479"/>
        <w:spacing w:after="0"/>
        <w:rPr>
          <w:sz w:val="20"/>
          <w:szCs w:val="20"/>
          <w:color w:val="auto"/>
        </w:rPr>
      </w:pPr>
      <w:r>
        <w:rPr>
          <w:rFonts w:ascii="Arial" w:cs="Arial" w:eastAsia="Arial" w:hAnsi="Arial"/>
          <w:sz w:val="32"/>
          <w:szCs w:val="32"/>
          <w:color w:val="auto"/>
        </w:rPr>
        <w:t>your proxy card in the</w:t>
      </w:r>
    </w:p>
    <w:p>
      <w:pPr>
        <w:spacing w:after="0" w:line="10" w:lineRule="exact"/>
        <w:rPr>
          <w:sz w:val="20"/>
          <w:szCs w:val="20"/>
          <w:color w:val="auto"/>
        </w:rPr>
      </w:pPr>
    </w:p>
    <w:p>
      <w:pPr>
        <w:jc w:val="center"/>
        <w:ind w:right="-479"/>
        <w:spacing w:after="0"/>
        <w:rPr>
          <w:sz w:val="20"/>
          <w:szCs w:val="20"/>
          <w:color w:val="auto"/>
        </w:rPr>
      </w:pPr>
      <w:r>
        <w:rPr>
          <w:rFonts w:ascii="Arial" w:cs="Arial" w:eastAsia="Arial" w:hAnsi="Arial"/>
          <w:sz w:val="32"/>
          <w:szCs w:val="32"/>
          <w:color w:val="auto"/>
        </w:rPr>
        <w:t>envelope provided as soon</w:t>
      </w:r>
    </w:p>
    <w:p>
      <w:pPr>
        <w:spacing w:after="0" w:line="10" w:lineRule="exact"/>
        <w:rPr>
          <w:sz w:val="20"/>
          <w:szCs w:val="20"/>
          <w:color w:val="auto"/>
        </w:rPr>
      </w:pPr>
    </w:p>
    <w:p>
      <w:pPr>
        <w:jc w:val="center"/>
        <w:ind w:right="-479"/>
        <w:spacing w:after="0"/>
        <w:rPr>
          <w:sz w:val="20"/>
          <w:szCs w:val="20"/>
          <w:color w:val="auto"/>
        </w:rPr>
      </w:pPr>
      <w:r>
        <w:rPr>
          <w:rFonts w:ascii="Arial" w:cs="Arial" w:eastAsia="Arial" w:hAnsi="Arial"/>
          <w:sz w:val="32"/>
          <w:szCs w:val="32"/>
          <w:color w:val="auto"/>
        </w:rPr>
        <w:t>as possible.</w:t>
      </w:r>
    </w:p>
    <w:p>
      <w:pPr>
        <w:spacing w:after="0" w:line="176"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 Please detach along perforated line and mail in the envelope provided.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158115</wp:posOffset>
            </wp:positionV>
            <wp:extent cx="6998335" cy="44627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8335" cy="446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ind w:left="2940"/>
        <w:spacing w:after="0" w:line="235" w:lineRule="auto"/>
        <w:rPr>
          <w:sz w:val="20"/>
          <w:szCs w:val="20"/>
          <w:color w:val="auto"/>
        </w:rPr>
      </w:pPr>
      <w:r>
        <w:rPr>
          <w:rFonts w:ascii="Arial" w:cs="Arial" w:eastAsia="Arial" w:hAnsi="Arial"/>
          <w:sz w:val="13"/>
          <w:szCs w:val="13"/>
          <w:b w:val="1"/>
          <w:bCs w:val="1"/>
          <w:color w:val="auto"/>
        </w:rPr>
        <w:t>“FOR” PROPOSAL NO. 2, “ONE YEAR” FOR PROPOSAL NO. 3, AND “FOR” PROPOSAL NO. 4.</w:t>
      </w:r>
    </w:p>
    <w:p>
      <w:pPr>
        <w:spacing w:after="0" w:line="1" w:lineRule="exact"/>
        <w:rPr>
          <w:sz w:val="20"/>
          <w:szCs w:val="20"/>
          <w:color w:val="auto"/>
        </w:rPr>
      </w:pPr>
    </w:p>
    <w:p>
      <w:pPr>
        <w:jc w:val="right"/>
        <w:ind w:right="540"/>
        <w:spacing w:after="0" w:line="150"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MARK YOUR VOTE IN BLUE OR BLACK INK AS SHOWN HERE </w:t>
      </w:r>
      <w:r>
        <w:rPr>
          <w:rFonts w:ascii="MS PGothic" w:cs="MS PGothic" w:eastAsia="MS PGothic" w:hAnsi="MS PGothic"/>
          <w:sz w:val="13"/>
          <w:szCs w:val="13"/>
          <w:color w:val="auto"/>
        </w:rPr>
        <w:t>☒</w:t>
      </w:r>
    </w:p>
    <w:p>
      <w:pPr>
        <w:sectPr>
          <w:pgSz w:w="11900" w:h="16838" w:orient="portrait"/>
          <w:cols w:equalWidth="0" w:num="1">
            <w:col w:w="10940"/>
          </w:cols>
          <w:pgMar w:left="240" w:top="459" w:right="719" w:bottom="1440" w:gutter="0" w:footer="0" w:header="0"/>
        </w:sectPr>
      </w:pP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1. Election of Directors: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44"/>
        </w:trPr>
        <w:tc>
          <w:tcPr>
            <w:tcW w:w="1680" w:type="dxa"/>
            <w:vAlign w:val="bottom"/>
            <w:vMerge w:val="restart"/>
          </w:tcPr>
          <w:p>
            <w:pPr>
              <w:spacing w:after="0" w:line="299" w:lineRule="exact"/>
              <w:rPr>
                <w:sz w:val="20"/>
                <w:szCs w:val="20"/>
                <w:color w:val="auto"/>
              </w:rPr>
            </w:pPr>
            <w:r>
              <w:rPr>
                <w:rFonts w:ascii="MS PGothic" w:cs="MS PGothic" w:eastAsia="MS PGothic" w:hAnsi="MS PGothic"/>
                <w:sz w:val="26"/>
                <w:szCs w:val="26"/>
                <w:color w:val="auto"/>
              </w:rPr>
              <w:t>☐</w:t>
            </w:r>
            <w:r>
              <w:rPr>
                <w:rFonts w:ascii="Arial" w:cs="Arial" w:eastAsia="Arial" w:hAnsi="Arial"/>
                <w:sz w:val="11"/>
                <w:szCs w:val="11"/>
                <w:b w:val="1"/>
                <w:bCs w:val="1"/>
                <w:color w:val="auto"/>
              </w:rPr>
              <w:t xml:space="preserve"> FOR ALL NOMINEES</w:t>
            </w:r>
          </w:p>
        </w:tc>
        <w:tc>
          <w:tcPr>
            <w:tcW w:w="1780" w:type="dxa"/>
            <w:vAlign w:val="bottom"/>
          </w:tcPr>
          <w:p>
            <w:pPr>
              <w:ind w:left="100"/>
              <w:spacing w:after="0"/>
              <w:rPr>
                <w:sz w:val="20"/>
                <w:szCs w:val="20"/>
                <w:color w:val="auto"/>
              </w:rPr>
            </w:pPr>
            <w:r>
              <w:rPr>
                <w:rFonts w:ascii="Arial" w:cs="Arial" w:eastAsia="Arial" w:hAnsi="Arial"/>
                <w:sz w:val="11"/>
                <w:szCs w:val="11"/>
                <w:b w:val="1"/>
                <w:bCs w:val="1"/>
                <w:color w:val="auto"/>
              </w:rPr>
              <w:t>NOMINEES:</w:t>
            </w:r>
          </w:p>
        </w:tc>
        <w:tc>
          <w:tcPr>
            <w:tcW w:w="0" w:type="dxa"/>
            <w:vAlign w:val="bottom"/>
          </w:tcPr>
          <w:p>
            <w:pPr>
              <w:spacing w:after="0"/>
              <w:rPr>
                <w:sz w:val="1"/>
                <w:szCs w:val="1"/>
                <w:color w:val="auto"/>
              </w:rPr>
            </w:pPr>
          </w:p>
        </w:tc>
      </w:tr>
      <w:tr>
        <w:trPr>
          <w:trHeight w:val="162"/>
        </w:trPr>
        <w:tc>
          <w:tcPr>
            <w:tcW w:w="1680" w:type="dxa"/>
            <w:vAlign w:val="bottom"/>
            <w:vMerge w:val="continue"/>
          </w:tcPr>
          <w:p>
            <w:pPr>
              <w:spacing w:after="0"/>
              <w:rPr>
                <w:sz w:val="14"/>
                <w:szCs w:val="14"/>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Jason DeZwirek</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Eric M. Goldberg</w:t>
            </w:r>
          </w:p>
        </w:tc>
        <w:tc>
          <w:tcPr>
            <w:tcW w:w="0" w:type="dxa"/>
            <w:vAlign w:val="bottom"/>
          </w:tcPr>
          <w:p>
            <w:pPr>
              <w:spacing w:after="0"/>
              <w:rPr>
                <w:sz w:val="1"/>
                <w:szCs w:val="1"/>
                <w:color w:val="auto"/>
              </w:rPr>
            </w:pPr>
          </w:p>
        </w:tc>
      </w:tr>
      <w:tr>
        <w:trPr>
          <w:trHeight w:val="130"/>
        </w:trPr>
        <w:tc>
          <w:tcPr>
            <w:tcW w:w="1680" w:type="dxa"/>
            <w:vAlign w:val="bottom"/>
          </w:tcPr>
          <w:p>
            <w:pPr>
              <w:ind w:left="340"/>
              <w:spacing w:after="0"/>
              <w:rPr>
                <w:sz w:val="20"/>
                <w:szCs w:val="20"/>
                <w:color w:val="auto"/>
              </w:rPr>
            </w:pPr>
            <w:r>
              <w:rPr>
                <w:rFonts w:ascii="Arial" w:cs="Arial" w:eastAsia="Arial" w:hAnsi="Arial"/>
                <w:sz w:val="11"/>
                <w:szCs w:val="11"/>
                <w:b w:val="1"/>
                <w:bCs w:val="1"/>
                <w:color w:val="auto"/>
              </w:rPr>
              <w:t>WITHHOLD AUTHORITY</w:t>
            </w:r>
          </w:p>
        </w:tc>
        <w:tc>
          <w:tcPr>
            <w:tcW w:w="1780" w:type="dxa"/>
            <w:vAlign w:val="bottom"/>
          </w:tcPr>
          <w:p>
            <w:pPr>
              <w:ind w:left="380"/>
              <w:spacing w:after="0" w:line="131" w:lineRule="exact"/>
              <w:rPr>
                <w:sz w:val="20"/>
                <w:szCs w:val="20"/>
                <w:color w:val="auto"/>
              </w:rPr>
            </w:pPr>
            <w:r>
              <w:rPr>
                <w:rFonts w:ascii="Arial" w:cs="Arial" w:eastAsia="Arial" w:hAnsi="Arial"/>
                <w:sz w:val="14"/>
                <w:szCs w:val="14"/>
                <w:color w:val="auto"/>
              </w:rPr>
              <w:t>David B. Liner</w:t>
            </w:r>
          </w:p>
        </w:tc>
        <w:tc>
          <w:tcPr>
            <w:tcW w:w="0" w:type="dxa"/>
            <w:vAlign w:val="bottom"/>
          </w:tcPr>
          <w:p>
            <w:pPr>
              <w:spacing w:after="0"/>
              <w:rPr>
                <w:sz w:val="1"/>
                <w:szCs w:val="1"/>
                <w:color w:val="auto"/>
              </w:rPr>
            </w:pPr>
          </w:p>
        </w:tc>
      </w:tr>
      <w:tr>
        <w:trPr>
          <w:trHeight w:val="194"/>
        </w:trPr>
        <w:tc>
          <w:tcPr>
            <w:tcW w:w="1680" w:type="dxa"/>
            <w:vAlign w:val="bottom"/>
          </w:tcPr>
          <w:p>
            <w:pPr>
              <w:spacing w:after="0" w:line="19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10"/>
                <w:szCs w:val="10"/>
                <w:b w:val="1"/>
                <w:bCs w:val="1"/>
                <w:color w:val="auto"/>
              </w:rPr>
              <w:t xml:space="preserve"> FOR ALL NOMINEES</w:t>
            </w:r>
          </w:p>
        </w:tc>
        <w:tc>
          <w:tcPr>
            <w:tcW w:w="1780" w:type="dxa"/>
            <w:vAlign w:val="bottom"/>
          </w:tcPr>
          <w:p>
            <w:pPr>
              <w:ind w:left="380"/>
              <w:spacing w:after="0"/>
              <w:rPr>
                <w:sz w:val="20"/>
                <w:szCs w:val="20"/>
                <w:color w:val="auto"/>
              </w:rPr>
            </w:pPr>
            <w:r>
              <w:rPr>
                <w:rFonts w:ascii="Arial" w:cs="Arial" w:eastAsia="Arial" w:hAnsi="Arial"/>
                <w:sz w:val="14"/>
                <w:szCs w:val="14"/>
                <w:color w:val="auto"/>
              </w:rPr>
              <w:t>Claudio A. Mannarino</w:t>
            </w:r>
          </w:p>
        </w:tc>
        <w:tc>
          <w:tcPr>
            <w:tcW w:w="0" w:type="dxa"/>
            <w:vAlign w:val="bottom"/>
          </w:tcPr>
          <w:p>
            <w:pPr>
              <w:spacing w:after="0"/>
              <w:rPr>
                <w:sz w:val="1"/>
                <w:szCs w:val="1"/>
                <w:color w:val="auto"/>
              </w:rPr>
            </w:pPr>
          </w:p>
        </w:tc>
      </w:tr>
      <w:tr>
        <w:trPr>
          <w:trHeight w:val="162"/>
        </w:trPr>
        <w:tc>
          <w:tcPr>
            <w:tcW w:w="168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FOR ALL EXCEPT</w:t>
            </w:r>
          </w:p>
        </w:tc>
        <w:tc>
          <w:tcPr>
            <w:tcW w:w="1780" w:type="dxa"/>
            <w:vAlign w:val="bottom"/>
          </w:tcPr>
          <w:p>
            <w:pPr>
              <w:ind w:left="380"/>
              <w:spacing w:after="0"/>
              <w:rPr>
                <w:sz w:val="20"/>
                <w:szCs w:val="20"/>
                <w:color w:val="auto"/>
              </w:rPr>
            </w:pPr>
            <w:r>
              <w:rPr>
                <w:rFonts w:ascii="Arial" w:cs="Arial" w:eastAsia="Arial" w:hAnsi="Arial"/>
                <w:sz w:val="14"/>
                <w:szCs w:val="14"/>
                <w:color w:val="auto"/>
              </w:rPr>
              <w:t>Munish Nanda</w:t>
            </w:r>
          </w:p>
        </w:tc>
        <w:tc>
          <w:tcPr>
            <w:tcW w:w="0" w:type="dxa"/>
            <w:vAlign w:val="bottom"/>
          </w:tcPr>
          <w:p>
            <w:pPr>
              <w:spacing w:after="0"/>
              <w:rPr>
                <w:sz w:val="1"/>
                <w:szCs w:val="1"/>
                <w:color w:val="auto"/>
              </w:rPr>
            </w:pPr>
          </w:p>
        </w:tc>
      </w:tr>
      <w:tr>
        <w:trPr>
          <w:trHeight w:val="130"/>
        </w:trPr>
        <w:tc>
          <w:tcPr>
            <w:tcW w:w="1680" w:type="dxa"/>
            <w:vAlign w:val="bottom"/>
            <w:vMerge w:val="continue"/>
          </w:tcPr>
          <w:p>
            <w:pPr>
              <w:spacing w:after="0"/>
              <w:rPr>
                <w:sz w:val="11"/>
                <w:szCs w:val="11"/>
                <w:color w:val="auto"/>
              </w:rPr>
            </w:pPr>
          </w:p>
        </w:tc>
        <w:tc>
          <w:tcPr>
            <w:tcW w:w="1780" w:type="dxa"/>
            <w:vAlign w:val="bottom"/>
          </w:tcPr>
          <w:p>
            <w:pPr>
              <w:ind w:left="380"/>
              <w:spacing w:after="0" w:line="131" w:lineRule="exact"/>
              <w:rPr>
                <w:sz w:val="20"/>
                <w:szCs w:val="20"/>
                <w:color w:val="auto"/>
              </w:rPr>
            </w:pPr>
            <w:r>
              <w:rPr>
                <w:rFonts w:ascii="Arial" w:cs="Arial" w:eastAsia="Arial" w:hAnsi="Arial"/>
                <w:sz w:val="14"/>
                <w:szCs w:val="14"/>
                <w:color w:val="auto"/>
              </w:rPr>
              <w:t>Jonathan Pollack</w:t>
            </w:r>
          </w:p>
        </w:tc>
        <w:tc>
          <w:tcPr>
            <w:tcW w:w="0" w:type="dxa"/>
            <w:vAlign w:val="bottom"/>
          </w:tcPr>
          <w:p>
            <w:pPr>
              <w:spacing w:after="0"/>
              <w:rPr>
                <w:sz w:val="1"/>
                <w:szCs w:val="1"/>
                <w:color w:val="auto"/>
              </w:rPr>
            </w:pPr>
          </w:p>
        </w:tc>
      </w:tr>
      <w:tr>
        <w:trPr>
          <w:trHeight w:val="194"/>
        </w:trPr>
        <w:tc>
          <w:tcPr>
            <w:tcW w:w="1680" w:type="dxa"/>
            <w:vAlign w:val="bottom"/>
          </w:tcPr>
          <w:p>
            <w:pPr>
              <w:spacing w:after="0" w:line="19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10"/>
                <w:szCs w:val="10"/>
                <w:color w:val="auto"/>
              </w:rPr>
              <w:t xml:space="preserve"> (See instructions below)</w:t>
            </w:r>
          </w:p>
        </w:tc>
        <w:tc>
          <w:tcPr>
            <w:tcW w:w="1780" w:type="dxa"/>
            <w:vAlign w:val="bottom"/>
          </w:tcPr>
          <w:p>
            <w:pPr>
              <w:ind w:left="380"/>
              <w:spacing w:after="0"/>
              <w:rPr>
                <w:sz w:val="20"/>
                <w:szCs w:val="20"/>
                <w:color w:val="auto"/>
              </w:rPr>
            </w:pPr>
            <w:r>
              <w:rPr>
                <w:rFonts w:ascii="Arial" w:cs="Arial" w:eastAsia="Arial" w:hAnsi="Arial"/>
                <w:sz w:val="14"/>
                <w:szCs w:val="14"/>
                <w:color w:val="auto"/>
              </w:rPr>
              <w:t>Valerie Gentile Sachs</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1780" w:type="dxa"/>
            <w:vAlign w:val="bottom"/>
          </w:tcPr>
          <w:p>
            <w:pPr>
              <w:ind w:left="380"/>
              <w:spacing w:after="0"/>
              <w:rPr>
                <w:sz w:val="20"/>
                <w:szCs w:val="20"/>
                <w:color w:val="auto"/>
              </w:rPr>
            </w:pPr>
            <w:r>
              <w:rPr>
                <w:rFonts w:ascii="Arial" w:cs="Arial" w:eastAsia="Arial" w:hAnsi="Arial"/>
                <w:sz w:val="14"/>
                <w:szCs w:val="14"/>
                <w:color w:val="auto"/>
              </w:rPr>
              <w:t>Dennis Sadlowski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520" w:right="100" w:hanging="880"/>
        <w:spacing w:after="0" w:line="253" w:lineRule="auto"/>
        <w:rPr>
          <w:sz w:val="20"/>
          <w:szCs w:val="20"/>
          <w:color w:val="auto"/>
        </w:rPr>
      </w:pPr>
      <w:r>
        <w:rPr>
          <w:rFonts w:ascii="Arial" w:cs="Arial" w:eastAsia="Arial" w:hAnsi="Arial"/>
          <w:sz w:val="12"/>
          <w:szCs w:val="12"/>
          <w:b w:val="1"/>
          <w:bCs w:val="1"/>
          <w:u w:val="single" w:color="auto"/>
          <w:color w:val="auto"/>
        </w:rPr>
        <w:t>INSTRUCTIONS:</w:t>
      </w:r>
      <w:r>
        <w:rPr>
          <w:rFonts w:ascii="Arial" w:cs="Arial" w:eastAsia="Arial" w:hAnsi="Arial"/>
          <w:sz w:val="12"/>
          <w:szCs w:val="12"/>
          <w:color w:val="auto"/>
        </w:rPr>
        <w:t>To withhold authority to vote for any individual nominee(s), mark</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FOR ALL EXCEPT</w:t>
      </w:r>
      <w:r>
        <w:rPr>
          <w:rFonts w:ascii="Arial" w:cs="Arial" w:eastAsia="Arial" w:hAnsi="Arial"/>
          <w:sz w:val="12"/>
          <w:szCs w:val="12"/>
          <w:color w:val="auto"/>
        </w:rPr>
        <w:t>” and fill in the circle next to each nominee you</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 xml:space="preserve">wish to withhold, as shown here: </w:t>
      </w:r>
      <w:r>
        <w:rPr>
          <w:sz w:val="1"/>
          <w:szCs w:val="1"/>
          <w:color w:val="auto"/>
        </w:rPr>
        <w:drawing>
          <wp:inline distT="0" distB="0" distL="0" distR="0">
            <wp:extent cx="102870" cy="8572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line="135" w:lineRule="exact"/>
        <w:rPr>
          <w:sz w:val="20"/>
          <w:szCs w:val="20"/>
          <w:color w:val="auto"/>
        </w:rPr>
      </w:pPr>
      <w:r>
        <w:rPr>
          <w:rFonts w:ascii="Arial" w:cs="Arial" w:eastAsia="Arial" w:hAnsi="Arial"/>
          <w:sz w:val="11"/>
          <w:szCs w:val="11"/>
          <w:color w:val="auto"/>
        </w:rPr>
        <w:t xml:space="preserve">To change the address on your account, please check the box at right and indicate your new address in the address space above. Please note that </w:t>
      </w:r>
      <w:r>
        <w:rPr>
          <w:rFonts w:ascii="MS PGothic" w:cs="MS PGothic" w:eastAsia="MS PGothic" w:hAnsi="MS PGothic"/>
          <w:sz w:val="22"/>
          <w:szCs w:val="22"/>
          <w:color w:val="auto"/>
        </w:rPr>
        <w:t>☐</w:t>
      </w:r>
      <w:r>
        <w:rPr>
          <w:rFonts w:ascii="Arial" w:cs="Arial" w:eastAsia="Arial" w:hAnsi="Arial"/>
          <w:sz w:val="11"/>
          <w:szCs w:val="11"/>
          <w:color w:val="auto"/>
        </w:rPr>
        <w:t xml:space="preserve"> changes to the registered name(s) on the account may not be submitted via</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this method.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rPr>
              <w:t>FOR</w:t>
            </w:r>
          </w:p>
        </w:tc>
        <w:tc>
          <w:tcPr>
            <w:tcW w:w="580" w:type="dxa"/>
            <w:vAlign w:val="bottom"/>
          </w:tcPr>
          <w:p>
            <w:pPr>
              <w:jc w:val="center"/>
              <w:spacing w:after="0"/>
              <w:rPr>
                <w:sz w:val="20"/>
                <w:szCs w:val="20"/>
                <w:color w:val="auto"/>
              </w:rPr>
            </w:pPr>
            <w:r>
              <w:rPr>
                <w:rFonts w:ascii="Arial" w:cs="Arial" w:eastAsia="Arial" w:hAnsi="Arial"/>
                <w:sz w:val="11"/>
                <w:szCs w:val="11"/>
                <w:color w:val="auto"/>
                <w:w w:val="99"/>
              </w:rPr>
              <w:t>AGAINST</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94"/>
        </w:trPr>
        <w:tc>
          <w:tcPr>
            <w:tcW w:w="200" w:type="dxa"/>
            <w:vAlign w:val="bottom"/>
          </w:tcPr>
          <w:p>
            <w:pPr>
              <w:jc w:val="right"/>
              <w:ind w:right="8"/>
              <w:spacing w:after="0"/>
              <w:rPr>
                <w:sz w:val="20"/>
                <w:szCs w:val="20"/>
                <w:color w:val="auto"/>
              </w:rPr>
            </w:pPr>
            <w:r>
              <w:rPr>
                <w:rFonts w:ascii="Arial" w:cs="Arial" w:eastAsia="Arial" w:hAnsi="Arial"/>
                <w:sz w:val="14"/>
                <w:szCs w:val="14"/>
                <w:color w:val="auto"/>
                <w:w w:val="85"/>
              </w:rPr>
              <w:t>2.</w:t>
            </w:r>
          </w:p>
        </w:tc>
        <w:tc>
          <w:tcPr>
            <w:tcW w:w="3020" w:type="dxa"/>
            <w:vAlign w:val="bottom"/>
          </w:tcPr>
          <w:p>
            <w:pPr>
              <w:ind w:left="80"/>
              <w:spacing w:after="0"/>
              <w:rPr>
                <w:sz w:val="20"/>
                <w:szCs w:val="20"/>
                <w:color w:val="auto"/>
              </w:rPr>
            </w:pPr>
            <w:r>
              <w:rPr>
                <w:rFonts w:ascii="Arial" w:cs="Arial" w:eastAsia="Arial" w:hAnsi="Arial"/>
                <w:sz w:val="14"/>
                <w:szCs w:val="14"/>
                <w:color w:val="auto"/>
              </w:rPr>
              <w:t>To approve, on an advisory basis, the</w:t>
            </w:r>
          </w:p>
        </w:tc>
        <w:tc>
          <w:tcPr>
            <w:tcW w:w="500" w:type="dxa"/>
            <w:vAlign w:val="bottom"/>
          </w:tcPr>
          <w:p>
            <w:pPr>
              <w:spacing w:after="0"/>
              <w:rPr>
                <w:sz w:val="16"/>
                <w:szCs w:val="16"/>
                <w:color w:val="auto"/>
              </w:rPr>
            </w:pPr>
          </w:p>
        </w:tc>
        <w:tc>
          <w:tcPr>
            <w:tcW w:w="5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020" w:type="dxa"/>
            <w:vAlign w:val="bottom"/>
          </w:tcPr>
          <w:p>
            <w:pPr>
              <w:ind w:left="100"/>
              <w:spacing w:after="0"/>
              <w:rPr>
                <w:sz w:val="20"/>
                <w:szCs w:val="20"/>
                <w:color w:val="auto"/>
              </w:rPr>
            </w:pPr>
            <w:r>
              <w:rPr>
                <w:rFonts w:ascii="Arial" w:cs="Arial" w:eastAsia="Arial" w:hAnsi="Arial"/>
                <w:sz w:val="14"/>
                <w:szCs w:val="14"/>
                <w:color w:val="auto"/>
              </w:rPr>
              <w:t>compensation paid to the Company’s named</w:t>
            </w:r>
          </w:p>
        </w:tc>
        <w:tc>
          <w:tcPr>
            <w:tcW w:w="5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020" w:type="dxa"/>
            <w:vAlign w:val="bottom"/>
          </w:tcPr>
          <w:p>
            <w:pPr>
              <w:ind w:left="100"/>
              <w:spacing w:after="0"/>
              <w:rPr>
                <w:sz w:val="20"/>
                <w:szCs w:val="20"/>
                <w:color w:val="auto"/>
              </w:rPr>
            </w:pPr>
            <w:r>
              <w:rPr>
                <w:rFonts w:ascii="Arial" w:cs="Arial" w:eastAsia="Arial" w:hAnsi="Arial"/>
                <w:sz w:val="14"/>
                <w:szCs w:val="14"/>
                <w:color w:val="auto"/>
              </w:rPr>
              <w:t>executive officers.</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1"/>
                <w:szCs w:val="11"/>
                <w:color w:val="auto"/>
              </w:rPr>
              <w:t>1 YEAR</w:t>
            </w:r>
          </w:p>
        </w:tc>
        <w:tc>
          <w:tcPr>
            <w:tcW w:w="560" w:type="dxa"/>
            <w:vAlign w:val="bottom"/>
          </w:tcPr>
          <w:p>
            <w:pPr>
              <w:jc w:val="center"/>
              <w:spacing w:after="0"/>
              <w:rPr>
                <w:sz w:val="20"/>
                <w:szCs w:val="20"/>
                <w:color w:val="auto"/>
              </w:rPr>
            </w:pPr>
            <w:r>
              <w:rPr>
                <w:rFonts w:ascii="Arial" w:cs="Arial" w:eastAsia="Arial" w:hAnsi="Arial"/>
                <w:sz w:val="11"/>
                <w:szCs w:val="11"/>
                <w:color w:val="auto"/>
                <w:w w:val="94"/>
              </w:rPr>
              <w:t>2 YEARS</w:t>
            </w:r>
          </w:p>
        </w:tc>
        <w:tc>
          <w:tcPr>
            <w:tcW w:w="580" w:type="dxa"/>
            <w:vAlign w:val="bottom"/>
          </w:tcPr>
          <w:p>
            <w:pPr>
              <w:jc w:val="center"/>
              <w:spacing w:after="0"/>
              <w:rPr>
                <w:sz w:val="20"/>
                <w:szCs w:val="20"/>
                <w:color w:val="auto"/>
              </w:rPr>
            </w:pPr>
            <w:r>
              <w:rPr>
                <w:rFonts w:ascii="Arial" w:cs="Arial" w:eastAsia="Arial" w:hAnsi="Arial"/>
                <w:sz w:val="11"/>
                <w:szCs w:val="11"/>
                <w:color w:val="auto"/>
                <w:w w:val="98"/>
              </w:rPr>
              <w:t>3 YEARS</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94"/>
        </w:trPr>
        <w:tc>
          <w:tcPr>
            <w:tcW w:w="200" w:type="dxa"/>
            <w:vAlign w:val="bottom"/>
          </w:tcPr>
          <w:p>
            <w:pPr>
              <w:jc w:val="right"/>
              <w:ind w:right="8"/>
              <w:spacing w:after="0"/>
              <w:rPr>
                <w:sz w:val="20"/>
                <w:szCs w:val="20"/>
                <w:color w:val="auto"/>
              </w:rPr>
            </w:pPr>
            <w:r>
              <w:rPr>
                <w:rFonts w:ascii="Arial" w:cs="Arial" w:eastAsia="Arial" w:hAnsi="Arial"/>
                <w:sz w:val="14"/>
                <w:szCs w:val="14"/>
                <w:color w:val="auto"/>
                <w:w w:val="85"/>
              </w:rPr>
              <w:t>3.</w:t>
            </w:r>
          </w:p>
        </w:tc>
        <w:tc>
          <w:tcPr>
            <w:tcW w:w="3020" w:type="dxa"/>
            <w:vAlign w:val="bottom"/>
          </w:tcPr>
          <w:p>
            <w:pPr>
              <w:ind w:left="80"/>
              <w:spacing w:after="0"/>
              <w:rPr>
                <w:sz w:val="20"/>
                <w:szCs w:val="20"/>
                <w:color w:val="auto"/>
              </w:rPr>
            </w:pPr>
            <w:r>
              <w:rPr>
                <w:rFonts w:ascii="Arial" w:cs="Arial" w:eastAsia="Arial" w:hAnsi="Arial"/>
                <w:sz w:val="14"/>
                <w:szCs w:val="14"/>
                <w:color w:val="auto"/>
              </w:rPr>
              <w:t>To recommend, on an advisory basis, the</w:t>
            </w:r>
          </w:p>
        </w:tc>
        <w:tc>
          <w:tcPr>
            <w:tcW w:w="5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020" w:type="dxa"/>
            <w:vAlign w:val="bottom"/>
          </w:tcPr>
          <w:p>
            <w:pPr>
              <w:ind w:left="100"/>
              <w:spacing w:after="0"/>
              <w:rPr>
                <w:sz w:val="20"/>
                <w:szCs w:val="20"/>
                <w:color w:val="auto"/>
              </w:rPr>
            </w:pPr>
            <w:r>
              <w:rPr>
                <w:rFonts w:ascii="Arial" w:cs="Arial" w:eastAsia="Arial" w:hAnsi="Arial"/>
                <w:sz w:val="14"/>
                <w:szCs w:val="14"/>
                <w:color w:val="auto"/>
              </w:rPr>
              <w:t>frequency of future advisory votes to approve</w:t>
            </w:r>
          </w:p>
        </w:tc>
        <w:tc>
          <w:tcPr>
            <w:tcW w:w="5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020" w:type="dxa"/>
            <w:vAlign w:val="bottom"/>
          </w:tcPr>
          <w:p>
            <w:pPr>
              <w:ind w:left="100"/>
              <w:spacing w:after="0"/>
              <w:rPr>
                <w:sz w:val="20"/>
                <w:szCs w:val="20"/>
                <w:color w:val="auto"/>
              </w:rPr>
            </w:pPr>
            <w:r>
              <w:rPr>
                <w:rFonts w:ascii="Arial" w:cs="Arial" w:eastAsia="Arial" w:hAnsi="Arial"/>
                <w:sz w:val="14"/>
                <w:szCs w:val="14"/>
                <w:color w:val="auto"/>
              </w:rPr>
              <w:t>named executive officer compensation.</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rPr>
              <w:t>FOR</w:t>
            </w:r>
          </w:p>
        </w:tc>
        <w:tc>
          <w:tcPr>
            <w:tcW w:w="580" w:type="dxa"/>
            <w:vAlign w:val="bottom"/>
          </w:tcPr>
          <w:p>
            <w:pPr>
              <w:jc w:val="center"/>
              <w:spacing w:after="0"/>
              <w:rPr>
                <w:sz w:val="20"/>
                <w:szCs w:val="20"/>
                <w:color w:val="auto"/>
              </w:rPr>
            </w:pPr>
            <w:r>
              <w:rPr>
                <w:rFonts w:ascii="Arial" w:cs="Arial" w:eastAsia="Arial" w:hAnsi="Arial"/>
                <w:sz w:val="11"/>
                <w:szCs w:val="11"/>
                <w:color w:val="auto"/>
                <w:w w:val="99"/>
              </w:rPr>
              <w:t>AGAINST</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ABSTAIN</w:t>
            </w:r>
          </w:p>
        </w:tc>
        <w:tc>
          <w:tcPr>
            <w:tcW w:w="0" w:type="dxa"/>
            <w:vAlign w:val="bottom"/>
          </w:tcPr>
          <w:p>
            <w:pPr>
              <w:spacing w:after="0"/>
              <w:rPr>
                <w:sz w:val="1"/>
                <w:szCs w:val="1"/>
                <w:color w:val="auto"/>
              </w:rPr>
            </w:pPr>
          </w:p>
        </w:tc>
      </w:tr>
      <w:tr>
        <w:trPr>
          <w:trHeight w:val="194"/>
        </w:trPr>
        <w:tc>
          <w:tcPr>
            <w:tcW w:w="200" w:type="dxa"/>
            <w:vAlign w:val="bottom"/>
          </w:tcPr>
          <w:p>
            <w:pPr>
              <w:jc w:val="right"/>
              <w:ind w:right="8"/>
              <w:spacing w:after="0"/>
              <w:rPr>
                <w:sz w:val="20"/>
                <w:szCs w:val="20"/>
                <w:color w:val="auto"/>
              </w:rPr>
            </w:pPr>
            <w:r>
              <w:rPr>
                <w:rFonts w:ascii="Arial" w:cs="Arial" w:eastAsia="Arial" w:hAnsi="Arial"/>
                <w:sz w:val="14"/>
                <w:szCs w:val="14"/>
                <w:color w:val="auto"/>
                <w:w w:val="85"/>
              </w:rPr>
              <w:t>4.</w:t>
            </w:r>
          </w:p>
        </w:tc>
        <w:tc>
          <w:tcPr>
            <w:tcW w:w="3020" w:type="dxa"/>
            <w:vAlign w:val="bottom"/>
          </w:tcPr>
          <w:p>
            <w:pPr>
              <w:ind w:left="80"/>
              <w:spacing w:after="0"/>
              <w:rPr>
                <w:sz w:val="20"/>
                <w:szCs w:val="20"/>
                <w:color w:val="auto"/>
              </w:rPr>
            </w:pPr>
            <w:r>
              <w:rPr>
                <w:rFonts w:ascii="Arial" w:cs="Arial" w:eastAsia="Arial" w:hAnsi="Arial"/>
                <w:sz w:val="14"/>
                <w:szCs w:val="14"/>
                <w:color w:val="auto"/>
              </w:rPr>
              <w:t>To ratify the appointment of BDO USA, LLP</w:t>
            </w:r>
          </w:p>
        </w:tc>
        <w:tc>
          <w:tcPr>
            <w:tcW w:w="500" w:type="dxa"/>
            <w:vAlign w:val="bottom"/>
          </w:tcPr>
          <w:p>
            <w:pPr>
              <w:spacing w:after="0"/>
              <w:rPr>
                <w:sz w:val="16"/>
                <w:szCs w:val="16"/>
                <w:color w:val="auto"/>
              </w:rPr>
            </w:pPr>
          </w:p>
        </w:tc>
        <w:tc>
          <w:tcPr>
            <w:tcW w:w="56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020" w:type="dxa"/>
            <w:vAlign w:val="bottom"/>
          </w:tcPr>
          <w:p>
            <w:pPr>
              <w:ind w:left="100"/>
              <w:spacing w:after="0"/>
              <w:rPr>
                <w:sz w:val="20"/>
                <w:szCs w:val="20"/>
                <w:color w:val="auto"/>
              </w:rPr>
            </w:pPr>
            <w:r>
              <w:rPr>
                <w:rFonts w:ascii="Arial" w:cs="Arial" w:eastAsia="Arial" w:hAnsi="Arial"/>
                <w:sz w:val="14"/>
                <w:szCs w:val="14"/>
                <w:color w:val="auto"/>
              </w:rPr>
              <w:t>as our independent registered public</w:t>
            </w:r>
          </w:p>
        </w:tc>
        <w:tc>
          <w:tcPr>
            <w:tcW w:w="5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4"/>
          <w:szCs w:val="14"/>
          <w:color w:val="auto"/>
        </w:rPr>
        <w:t>accounting firm for 2019.</w:t>
      </w:r>
    </w:p>
    <w:p>
      <w:pPr>
        <w:spacing w:after="0" w:line="257" w:lineRule="exact"/>
        <w:rPr>
          <w:sz w:val="20"/>
          <w:szCs w:val="20"/>
          <w:color w:val="auto"/>
        </w:rPr>
      </w:pPr>
    </w:p>
    <w:p>
      <w:pPr>
        <w:ind w:left="300" w:right="200" w:hanging="294"/>
        <w:spacing w:after="0" w:line="257" w:lineRule="auto"/>
        <w:tabs>
          <w:tab w:leader="none" w:pos="28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adjournments thereof.</w:t>
      </w:r>
    </w:p>
    <w:p>
      <w:pPr>
        <w:spacing w:after="0" w:line="200" w:lineRule="exact"/>
        <w:rPr>
          <w:sz w:val="20"/>
          <w:szCs w:val="20"/>
          <w:color w:val="auto"/>
        </w:rPr>
      </w:pP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b w:val="1"/>
          <w:bCs w:val="1"/>
          <w:color w:val="auto"/>
        </w:rPr>
        <w:t>THIS PROXY, WHEN PROPERLY EXECUTED, WILL BE VOTED AS DIRECTED BY THE STOCKHOLDER. IF NO SUCH DIRECTIONS ARE MADE, THIS PROXY WILL BE VOTED FOR ALL OF THE NOMINEES LISTED IN PROPOSAL 1, FOR PROPOSALS 2 AND 4, AND FOR EVERY ONE YEAR AS THE FREQUENCY IN PROPOSAL 3.</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b w:val="1"/>
          <w:bCs w:val="1"/>
          <w:color w:val="auto"/>
        </w:rPr>
        <w:t>PLEASE MARK, SIGN, DATE AND RETURN THIS PROXY CARD PROMPTLY USING THE ENCLOSED ENVELOPE.</w:t>
      </w:r>
    </w:p>
    <w:p>
      <w:pPr>
        <w:spacing w:after="0" w:line="141" w:lineRule="exact"/>
        <w:rPr>
          <w:sz w:val="20"/>
          <w:szCs w:val="20"/>
          <w:color w:val="auto"/>
        </w:rPr>
      </w:pPr>
    </w:p>
    <w:p>
      <w:pPr>
        <w:ind w:left="140"/>
        <w:spacing w:after="0" w:line="299"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497840</wp:posOffset>
            </wp:positionV>
            <wp:extent cx="582295"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295" cy="145415"/>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5320" w:space="260"/>
            <w:col w:w="5360"/>
          </w:cols>
          <w:pgMar w:left="240" w:top="459" w:right="719" w:bottom="1440" w:gutter="0" w:footer="0" w:header="0"/>
          <w:type w:val="continuous"/>
        </w:sectPr>
      </w:pPr>
    </w:p>
    <w:tbl>
      <w:tblPr>
        <w:tblLayout w:type="fixed"/>
        <w:tblInd w:w="540" w:type="dxa"/>
        <w:tblCellMar>
          <w:top w:w="0" w:type="dxa"/>
          <w:left w:w="0" w:type="dxa"/>
          <w:bottom w:w="0" w:type="dxa"/>
          <w:right w:w="0" w:type="dxa"/>
        </w:tblCellMar>
      </w:tblPr>
      <w:tr>
        <w:trPr>
          <w:trHeight w:val="216"/>
        </w:trPr>
        <w:tc>
          <w:tcPr>
            <w:tcW w:w="1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Signature of Stockholder</w:t>
            </w:r>
          </w:p>
        </w:tc>
        <w:tc>
          <w:tcPr>
            <w:tcW w:w="2440" w:type="dxa"/>
            <w:vAlign w:val="bottom"/>
            <w:tcBorders>
              <w:top w:val="single" w:sz="8" w:color="auto"/>
              <w:bottom w:val="single" w:sz="8" w:color="auto"/>
              <w:right w:val="single" w:sz="8" w:color="auto"/>
            </w:tcBorders>
          </w:tcPr>
          <w:p>
            <w:pPr>
              <w:spacing w:after="0"/>
              <w:rPr>
                <w:sz w:val="18"/>
                <w:szCs w:val="18"/>
                <w:color w:val="auto"/>
              </w:rPr>
            </w:pPr>
          </w:p>
        </w:tc>
        <w:tc>
          <w:tcPr>
            <w:tcW w:w="3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w w:val="98"/>
              </w:rPr>
              <w:t>Date:</w:t>
            </w:r>
          </w:p>
        </w:tc>
        <w:tc>
          <w:tcPr>
            <w:tcW w:w="880" w:type="dxa"/>
            <w:vAlign w:val="bottom"/>
            <w:tcBorders>
              <w:top w:val="single" w:sz="8" w:color="auto"/>
              <w:bottom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Signature of Stockholder</w:t>
            </w:r>
          </w:p>
        </w:tc>
        <w:tc>
          <w:tcPr>
            <w:tcW w:w="2400" w:type="dxa"/>
            <w:vAlign w:val="bottom"/>
            <w:tcBorders>
              <w:top w:val="single" w:sz="8" w:color="auto"/>
              <w:bottom w:val="single" w:sz="8" w:color="auto"/>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auto"/>
                <w:w w:val="91"/>
              </w:rPr>
              <w:t>Date:</w:t>
            </w:r>
          </w:p>
        </w:tc>
      </w:tr>
    </w:tbl>
    <w:p>
      <w:pPr>
        <w:spacing w:after="0" w:line="106" w:lineRule="exact"/>
        <w:rPr>
          <w:sz w:val="20"/>
          <w:szCs w:val="20"/>
          <w:color w:val="auto"/>
        </w:rPr>
      </w:pPr>
    </w:p>
    <w:p>
      <w:pPr>
        <w:jc w:val="both"/>
        <w:ind w:left="1340" w:right="480" w:hanging="379"/>
        <w:spacing w:after="0" w:line="235" w:lineRule="auto"/>
        <w:tabs>
          <w:tab w:leader="none" w:pos="1320" w:val="left"/>
        </w:tabs>
        <w:rPr>
          <w:sz w:val="20"/>
          <w:szCs w:val="20"/>
          <w:color w:val="auto"/>
        </w:rPr>
      </w:pPr>
      <w:r>
        <w:rPr>
          <w:rFonts w:ascii="Arial" w:cs="Arial" w:eastAsia="Arial" w:hAnsi="Arial"/>
          <w:sz w:val="11"/>
          <w:szCs w:val="11"/>
          <w:b w:val="1"/>
          <w:bCs w:val="1"/>
          <w:color w:val="auto"/>
        </w:rPr>
        <w:t>Note:</w:t>
      </w:r>
      <w:r>
        <w:rPr>
          <w:sz w:val="20"/>
          <w:szCs w:val="20"/>
          <w:color w:val="auto"/>
        </w:rPr>
        <w:tab/>
      </w:r>
      <w:r>
        <w:rPr>
          <w:rFonts w:ascii="Arial" w:cs="Arial" w:eastAsia="Arial" w:hAnsi="Arial"/>
          <w:sz w:val="11"/>
          <w:szCs w:val="11"/>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-122555</wp:posOffset>
            </wp:positionV>
            <wp:extent cx="145415" cy="1111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5415" cy="111125"/>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-105410</wp:posOffset>
            </wp:positionV>
            <wp:extent cx="145415" cy="111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 cy="111125"/>
                    </a:xfrm>
                    <a:prstGeom prst="rect">
                      <a:avLst/>
                    </a:prstGeom>
                    <a:noFill/>
                  </pic:spPr>
                </pic:pic>
              </a:graphicData>
            </a:graphic>
          </wp:anchor>
        </w:drawing>
      </w:r>
    </w:p>
    <w:sectPr>
      <w:pgSz w:w="11900" w:h="16838" w:orient="portrait"/>
      <w:cols w:equalWidth="0" w:num="1">
        <w:col w:w="10940"/>
      </w:cols>
      <w:pgMar w:left="240" w:top="459"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lvl w:ilvl="1">
      <w:lvlJc w:val="left"/>
      <w:lvlText w:val="-"/>
      <w:numFmt w:val="bullet"/>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5"/>
    </w:lvl>
    <w:lvl w:ilvl="1">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lvl w:ilvl="1">
      <w:lvlJc w:val="left"/>
      <w:lvlText w:val="-"/>
      <w:numFmt w:val="bullet"/>
      <w:start w:val="1"/>
    </w:lvl>
  </w:abstractNum>
  <w:abstractNum w:abstractNumId="21">
    <w:nsid w:val="189A769B"/>
    <w:multiLevelType w:val="hybridMultilevel"/>
    <w:lvl w:ilvl="0">
      <w:lvlJc w:val="left"/>
      <w:lvlText w:val="(%1)"/>
      <w:numFmt w:val="decimal"/>
      <w:start w:val="1"/>
    </w:lvl>
    <w:lvl w:ilvl="1">
      <w:lvlJc w:val="left"/>
      <w:lvlText w:val="-"/>
      <w:numFmt w:val="bullet"/>
      <w:start w:val="1"/>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
      <w:numFmt w:val="bullet"/>
      <w:start w:val="1"/>
    </w:lvl>
    <w:lvl w:ilvl="1">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lvl w:ilvl="1">
      <w:lvlJc w:val="left"/>
      <w:lvlText w:val="-"/>
      <w:numFmt w:val="bullet"/>
      <w:start w:val="1"/>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1)"/>
      <w:numFmt w:val="decimal"/>
      <w:start w:val="3"/>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2019-12-03T06:40:21Z</dcterms:created>
  <dcterms:modified xsi:type="dcterms:W3CDTF">2019-12-03T06:40:21Z</dcterms:modified>
</cp:coreProperties>
</file>