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NITED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ECURITIES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OMMISSION</w:t>
      </w:r>
    </w:p>
    <w:p>
      <w:pPr>
        <w:jc w:val="center"/>
        <w:ind w:right="-79"/>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 X ]</w:t>
            </w:r>
          </w:p>
        </w:tc>
        <w:tc>
          <w:tcPr>
            <w:tcW w:w="1380" w:type="dxa"/>
            <w:vAlign w:val="bottom"/>
          </w:tcPr>
          <w:p>
            <w:pPr>
              <w:ind w:left="360"/>
              <w:spacing w:after="0"/>
              <w:rPr>
                <w:sz w:val="20"/>
                <w:szCs w:val="20"/>
                <w:color w:val="auto"/>
              </w:rPr>
            </w:pPr>
            <w:r>
              <w:rPr>
                <w:rFonts w:ascii="Arial" w:cs="Arial" w:eastAsia="Arial" w:hAnsi="Arial"/>
                <w:sz w:val="18"/>
                <w:szCs w:val="18"/>
                <w:color w:val="auto"/>
                <w:w w:val="90"/>
              </w:rPr>
              <w:t>Rule 13d-1(b)</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ind w:left="360"/>
              <w:spacing w:after="0"/>
              <w:rPr>
                <w:sz w:val="20"/>
                <w:szCs w:val="20"/>
                <w:color w:val="auto"/>
              </w:rPr>
            </w:pPr>
            <w:r>
              <w:rPr>
                <w:rFonts w:ascii="Arial" w:cs="Arial" w:eastAsia="Arial" w:hAnsi="Arial"/>
                <w:sz w:val="18"/>
                <w:szCs w:val="18"/>
                <w:color w:val="auto"/>
                <w:w w:val="91"/>
              </w:rPr>
              <w:t>Rule 13d-1(c)</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ind w:left="360"/>
              <w:spacing w:after="0"/>
              <w:rPr>
                <w:sz w:val="20"/>
                <w:szCs w:val="20"/>
                <w:color w:val="auto"/>
              </w:rPr>
            </w:pPr>
            <w:r>
              <w:rPr>
                <w:rFonts w:ascii="Arial" w:cs="Arial" w:eastAsia="Arial" w:hAnsi="Arial"/>
                <w:sz w:val="18"/>
                <w:szCs w:val="18"/>
                <w:color w:val="auto"/>
                <w:w w:val="90"/>
              </w:rPr>
              <w:t>Rule 13d-1(d)</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hanging="429"/>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American Century Investment Management, Inc.</w:t>
      </w:r>
    </w:p>
    <w:p>
      <w:pPr>
        <w:spacing w:after="0" w:line="200" w:lineRule="exact"/>
        <w:rPr>
          <w:rFonts w:ascii="Arial" w:cs="Arial" w:eastAsia="Arial" w:hAnsi="Arial"/>
          <w:sz w:val="18"/>
          <w:szCs w:val="18"/>
          <w:b w:val="1"/>
          <w:bCs w:val="1"/>
          <w:color w:val="auto"/>
        </w:rPr>
      </w:pPr>
    </w:p>
    <w:p>
      <w:pPr>
        <w:spacing w:after="0" w:line="264" w:lineRule="exact"/>
        <w:rPr>
          <w:rFonts w:ascii="Arial" w:cs="Arial" w:eastAsia="Arial" w:hAnsi="Arial"/>
          <w:sz w:val="18"/>
          <w:szCs w:val="18"/>
          <w:b w:val="1"/>
          <w:bCs w:val="1"/>
          <w:color w:val="auto"/>
        </w:rPr>
      </w:pPr>
    </w:p>
    <w:p>
      <w:pPr>
        <w:ind w:left="720" w:hanging="429"/>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9" w:lineRule="exact"/>
        <w:rPr>
          <w:rFonts w:ascii="Arial" w:cs="Arial" w:eastAsia="Arial" w:hAnsi="Arial"/>
          <w:sz w:val="18"/>
          <w:szCs w:val="18"/>
          <w:b w:val="1"/>
          <w:bCs w:val="1"/>
          <w:color w:val="auto"/>
        </w:rPr>
      </w:pPr>
    </w:p>
    <w:p>
      <w:pPr>
        <w:ind w:left="1280" w:hanging="386"/>
        <w:spacing w:after="0"/>
        <w:tabs>
          <w:tab w:leader="none" w:pos="1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80" w:hanging="391"/>
        <w:spacing w:after="0"/>
        <w:tabs>
          <w:tab w:leader="none" w:pos="1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720" w:hanging="429"/>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720" w:right="7740" w:hanging="429"/>
        <w:spacing w:after="0" w:line="532" w:lineRule="auto"/>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-2267585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1,964,439</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Each</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2,044,879</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Arial" w:cs="Arial" w:eastAsia="Arial" w:hAnsi="Arial"/>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Arial" w:cs="Arial" w:eastAsia="Arial" w:hAnsi="Arial"/>
                <w:sz w:val="18"/>
                <w:szCs w:val="18"/>
                <w:color w:val="auto"/>
              </w:rPr>
              <w:t>2,044,879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473"/>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w:t>
      </w:r>
    </w:p>
    <w:p>
      <w:pPr>
        <w:spacing w:after="0" w:line="27" w:lineRule="exact"/>
        <w:rPr>
          <w:sz w:val="20"/>
          <w:szCs w:val="20"/>
          <w:color w:val="auto"/>
        </w:rPr>
      </w:pPr>
    </w:p>
    <w:p>
      <w:pPr>
        <w:ind w:left="720"/>
        <w:spacing w:after="0"/>
        <w:tabs>
          <w:tab w:leader="none" w:pos="2380" w:val="left"/>
        </w:tabs>
        <w:rPr>
          <w:sz w:val="20"/>
          <w:szCs w:val="20"/>
          <w:color w:val="auto"/>
        </w:rPr>
      </w:pPr>
      <w:r>
        <w:rPr>
          <w:rFonts w:ascii="Arial" w:cs="Arial" w:eastAsia="Arial" w:hAnsi="Arial"/>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IA</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Arial" w:cs="Arial" w:eastAsia="Arial" w:hAnsi="Arial"/>
                <w:sz w:val="18"/>
                <w:szCs w:val="18"/>
                <w:b w:val="1"/>
                <w:bCs w:val="1"/>
                <w:color w:val="auto"/>
              </w:rPr>
              <w:t>Page 2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980" w:hanging="429"/>
        <w:spacing w:after="0" w:line="629"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American Century Companies, Inc.</w:t>
      </w:r>
    </w:p>
    <w:p>
      <w:pPr>
        <w:spacing w:after="0" w:line="142" w:lineRule="exact"/>
        <w:rPr>
          <w:rFonts w:ascii="Arial" w:cs="Arial" w:eastAsia="Arial" w:hAnsi="Arial"/>
          <w:sz w:val="16"/>
          <w:szCs w:val="16"/>
          <w:b w:val="1"/>
          <w:bCs w:val="1"/>
          <w:color w:val="auto"/>
        </w:rPr>
      </w:pPr>
    </w:p>
    <w:p>
      <w:pPr>
        <w:ind w:left="720" w:hanging="429"/>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9" w:lineRule="exact"/>
        <w:rPr>
          <w:rFonts w:ascii="Arial" w:cs="Arial" w:eastAsia="Arial" w:hAnsi="Arial"/>
          <w:sz w:val="18"/>
          <w:szCs w:val="18"/>
          <w:b w:val="1"/>
          <w:bCs w:val="1"/>
          <w:color w:val="auto"/>
        </w:rPr>
      </w:pPr>
    </w:p>
    <w:p>
      <w:pPr>
        <w:ind w:left="1280" w:hanging="386"/>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80" w:hanging="391"/>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720" w:hanging="429"/>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720" w:right="7740" w:hanging="429"/>
        <w:spacing w:after="0" w:line="532"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-2267585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-1290320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1,964,439</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Each</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2,044,879</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Arial" w:cs="Arial" w:eastAsia="Arial" w:hAnsi="Arial"/>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Arial" w:cs="Arial" w:eastAsia="Arial" w:hAnsi="Arial"/>
                <w:sz w:val="18"/>
                <w:szCs w:val="18"/>
                <w:color w:val="auto"/>
              </w:rPr>
              <w:t>2,044,879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473"/>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w:t>
      </w:r>
    </w:p>
    <w:p>
      <w:pPr>
        <w:spacing w:after="0" w:line="27" w:lineRule="exact"/>
        <w:rPr>
          <w:sz w:val="20"/>
          <w:szCs w:val="20"/>
          <w:color w:val="auto"/>
        </w:rPr>
      </w:pPr>
    </w:p>
    <w:p>
      <w:pPr>
        <w:ind w:left="760"/>
        <w:spacing w:after="0"/>
        <w:tabs>
          <w:tab w:leader="none" w:pos="2420" w:val="left"/>
        </w:tabs>
        <w:rPr>
          <w:sz w:val="20"/>
          <w:szCs w:val="20"/>
          <w:color w:val="auto"/>
        </w:rPr>
      </w:pPr>
      <w:r>
        <w:rPr>
          <w:rFonts w:ascii="Arial" w:cs="Arial" w:eastAsia="Arial" w:hAnsi="Arial"/>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Arial" w:cs="Arial" w:eastAsia="Arial" w:hAnsi="Arial"/>
                <w:sz w:val="18"/>
                <w:szCs w:val="18"/>
                <w:b w:val="1"/>
                <w:bCs w:val="1"/>
                <w:color w:val="auto"/>
              </w:rPr>
              <w:t>Page 3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720" w:hanging="429"/>
        <w:spacing w:after="0" w:line="629" w:lineRule="auto"/>
        <w:tabs>
          <w:tab w:leader="none" w:pos="7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Stowers Institute for Medical Research</w:t>
      </w:r>
    </w:p>
    <w:p>
      <w:pPr>
        <w:spacing w:after="0" w:line="142" w:lineRule="exact"/>
        <w:rPr>
          <w:rFonts w:ascii="Arial" w:cs="Arial" w:eastAsia="Arial" w:hAnsi="Arial"/>
          <w:sz w:val="16"/>
          <w:szCs w:val="16"/>
          <w:b w:val="1"/>
          <w:bCs w:val="1"/>
          <w:color w:val="auto"/>
        </w:rPr>
      </w:pPr>
    </w:p>
    <w:p>
      <w:pPr>
        <w:ind w:left="720" w:hanging="429"/>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9" w:lineRule="exact"/>
        <w:rPr>
          <w:rFonts w:ascii="Arial" w:cs="Arial" w:eastAsia="Arial" w:hAnsi="Arial"/>
          <w:sz w:val="18"/>
          <w:szCs w:val="18"/>
          <w:b w:val="1"/>
          <w:bCs w:val="1"/>
          <w:color w:val="auto"/>
        </w:rPr>
      </w:pPr>
    </w:p>
    <w:p>
      <w:pPr>
        <w:ind w:left="1280" w:hanging="38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80" w:hanging="391"/>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720" w:hanging="429"/>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720" w:right="7740" w:hanging="429"/>
        <w:spacing w:after="0" w:line="532"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-2267585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-1290320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1,964,439</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Each</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2,044,879</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3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Arial" w:cs="Arial" w:eastAsia="Arial" w:hAnsi="Arial"/>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Arial" w:cs="Arial" w:eastAsia="Arial" w:hAnsi="Arial"/>
                <w:sz w:val="18"/>
                <w:szCs w:val="18"/>
                <w:color w:val="auto"/>
              </w:rPr>
              <w:t>2,044,879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473"/>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w:t>
      </w:r>
    </w:p>
    <w:p>
      <w:pPr>
        <w:spacing w:after="0" w:line="27" w:lineRule="exact"/>
        <w:rPr>
          <w:sz w:val="20"/>
          <w:szCs w:val="20"/>
          <w:color w:val="auto"/>
        </w:rPr>
      </w:pPr>
    </w:p>
    <w:p>
      <w:pPr>
        <w:ind w:left="720"/>
        <w:spacing w:after="0"/>
        <w:tabs>
          <w:tab w:leader="none" w:pos="2380" w:val="left"/>
        </w:tabs>
        <w:rPr>
          <w:sz w:val="20"/>
          <w:szCs w:val="20"/>
          <w:color w:val="auto"/>
        </w:rPr>
      </w:pPr>
      <w:r>
        <w:rPr>
          <w:rFonts w:ascii="Arial" w:cs="Arial" w:eastAsia="Arial" w:hAnsi="Arial"/>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Arial" w:cs="Arial" w:eastAsia="Arial" w:hAnsi="Arial"/>
                <w:sz w:val="18"/>
                <w:szCs w:val="18"/>
                <w:b w:val="1"/>
                <w:bCs w:val="1"/>
                <w:color w:val="auto"/>
              </w:rPr>
              <w:t>Page 4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1100" w:hanging="650"/>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CECO Environmental Corp.</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100" w:hanging="655"/>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14651 North Dallas Parkway, Suite 500</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Dallas, Texas 75254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1100" w:hanging="650"/>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rFonts w:ascii="Arial" w:cs="Arial" w:eastAsia="Arial" w:hAnsi="Arial"/>
          <w:sz w:val="18"/>
          <w:szCs w:val="18"/>
          <w:b w:val="1"/>
          <w:bCs w:val="1"/>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American Century Investment Management, Inc.</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American Century Companies, Inc.</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Stowers Institute for Medical Research</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100" w:hanging="65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4500 Main Street</w:t>
      </w:r>
    </w:p>
    <w:p>
      <w:pPr>
        <w:spacing w:after="0" w:line="19" w:lineRule="exact"/>
        <w:rPr>
          <w:rFonts w:ascii="Arial" w:cs="Arial" w:eastAsia="Arial" w:hAnsi="Arial"/>
          <w:sz w:val="18"/>
          <w:szCs w:val="18"/>
          <w:b w:val="1"/>
          <w:bCs w:val="1"/>
          <w:color w:val="auto"/>
        </w:rPr>
      </w:pPr>
    </w:p>
    <w:p>
      <w:pPr>
        <w:ind w:left="1100"/>
        <w:spacing w:after="0" w:line="185" w:lineRule="auto"/>
        <w:rPr>
          <w:rFonts w:ascii="Arial" w:cs="Arial" w:eastAsia="Arial" w:hAnsi="Arial"/>
          <w:sz w:val="18"/>
          <w:szCs w:val="18"/>
          <w:b w:val="1"/>
          <w:bCs w:val="1"/>
          <w:color w:val="auto"/>
        </w:rPr>
      </w:pPr>
      <w:r>
        <w:rPr>
          <w:rFonts w:ascii="Arial" w:cs="Arial" w:eastAsia="Arial" w:hAnsi="Arial"/>
          <w:sz w:val="18"/>
          <w:szCs w:val="18"/>
          <w:color w:val="auto"/>
        </w:rPr>
        <w:t>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Kansas City, Missouri 64111</w:t>
      </w:r>
    </w:p>
    <w:p>
      <w:pPr>
        <w:spacing w:after="0" w:line="200" w:lineRule="exact"/>
        <w:rPr>
          <w:rFonts w:ascii="Arial" w:cs="Arial" w:eastAsia="Arial" w:hAnsi="Arial"/>
          <w:sz w:val="18"/>
          <w:szCs w:val="18"/>
          <w:b w:val="1"/>
          <w:bCs w:val="1"/>
          <w:color w:val="auto"/>
        </w:rPr>
      </w:pPr>
    </w:p>
    <w:p>
      <w:pPr>
        <w:spacing w:after="0" w:line="221" w:lineRule="exact"/>
        <w:rPr>
          <w:rFonts w:ascii="Arial" w:cs="Arial" w:eastAsia="Arial" w:hAnsi="Arial"/>
          <w:sz w:val="18"/>
          <w:szCs w:val="18"/>
          <w:b w:val="1"/>
          <w:bCs w:val="1"/>
          <w:color w:val="auto"/>
        </w:rPr>
      </w:pPr>
    </w:p>
    <w:p>
      <w:pPr>
        <w:ind w:left="1100" w:hanging="64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Delaware</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Delaware</w:t>
      </w:r>
    </w:p>
    <w:p>
      <w:pPr>
        <w:spacing w:after="0" w:line="225" w:lineRule="exact"/>
        <w:rPr>
          <w:rFonts w:ascii="Arial" w:cs="Arial" w:eastAsia="Arial" w:hAnsi="Arial"/>
          <w:sz w:val="18"/>
          <w:szCs w:val="18"/>
          <w:color w:val="auto"/>
        </w:rPr>
      </w:pPr>
    </w:p>
    <w:p>
      <w:pPr>
        <w:ind w:left="1940" w:hanging="839"/>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Delaware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100" w:hanging="65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Reference is made to the cover page of this filing.</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100" w:hanging="645"/>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Reference is made to the cover page of this filing.</w:t>
      </w:r>
    </w:p>
    <w:p>
      <w:pPr>
        <w:spacing w:after="0" w:line="221"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720" w:hanging="578"/>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American Century Investment Management, Inc. is an investment adviser in accordance with §240.13d-1(b)(1)(ii)(E).</w:t>
      </w:r>
    </w:p>
    <w:p>
      <w:pPr>
        <w:spacing w:after="0" w:line="221" w:lineRule="exact"/>
        <w:rPr>
          <w:rFonts w:ascii="Arial" w:cs="Arial" w:eastAsia="Arial" w:hAnsi="Arial"/>
          <w:sz w:val="18"/>
          <w:szCs w:val="18"/>
          <w:color w:val="auto"/>
        </w:rPr>
      </w:pPr>
    </w:p>
    <w:p>
      <w:pPr>
        <w:ind w:left="1720" w:hanging="578"/>
        <w:spacing w:after="0"/>
        <w:tabs>
          <w:tab w:leader="none" w:pos="1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American Century Companies, Inc. is a parent holding company or control person in accordance with </w:t>
      </w:r>
      <w:r>
        <w:rPr>
          <w:rFonts w:ascii="Arial" w:cs="Arial" w:eastAsia="Arial" w:hAnsi="Arial"/>
          <w:sz w:val="17"/>
          <w:szCs w:val="17"/>
          <w:b w:val="1"/>
          <w:bCs w:val="1"/>
          <w:color w:val="auto"/>
        </w:rPr>
        <w:t>§</w:t>
      </w:r>
      <w:r>
        <w:rPr>
          <w:rFonts w:ascii="Arial" w:cs="Arial" w:eastAsia="Arial" w:hAnsi="Arial"/>
          <w:sz w:val="17"/>
          <w:szCs w:val="17"/>
          <w:color w:val="auto"/>
        </w:rPr>
        <w:t>240.13d-1(b)(1)(ii)(G).</w:t>
      </w:r>
    </w:p>
    <w:p>
      <w:pPr>
        <w:spacing w:after="0" w:line="236" w:lineRule="exact"/>
        <w:rPr>
          <w:rFonts w:ascii="Arial" w:cs="Arial" w:eastAsia="Arial" w:hAnsi="Arial"/>
          <w:sz w:val="17"/>
          <w:szCs w:val="17"/>
          <w:color w:val="auto"/>
        </w:rPr>
      </w:pPr>
    </w:p>
    <w:p>
      <w:pPr>
        <w:ind w:left="1720" w:hanging="578"/>
        <w:spacing w:after="0"/>
        <w:tabs>
          <w:tab w:leader="none" w:pos="1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Stowers Institute for Medical Research, is a parent holding company or control person in accordance with </w:t>
      </w:r>
      <w:r>
        <w:rPr>
          <w:rFonts w:ascii="Arial" w:cs="Arial" w:eastAsia="Arial" w:hAnsi="Arial"/>
          <w:sz w:val="16"/>
          <w:szCs w:val="16"/>
          <w:b w:val="1"/>
          <w:bCs w:val="1"/>
          <w:color w:val="auto"/>
        </w:rPr>
        <w:t>§</w:t>
      </w:r>
      <w:r>
        <w:rPr>
          <w:rFonts w:ascii="Arial" w:cs="Arial" w:eastAsia="Arial" w:hAnsi="Arial"/>
          <w:sz w:val="16"/>
          <w:szCs w:val="16"/>
          <w:color w:val="auto"/>
        </w:rPr>
        <w:t>240.13d-1(b)(1)(ii)(G).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Reference is made to Items 5-9 and 11 on the cover page of this filing.</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18"/>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30"/>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than five percent of the class of securities, check the following [   ].</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18"/>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5"/>
              </w:rPr>
              <w:t>Various persons, including the investment companies and separate institutional investor accounts that American Century Investment</w:t>
            </w:r>
          </w:p>
        </w:tc>
      </w:tr>
      <w:tr>
        <w:trPr>
          <w:trHeight w:val="216"/>
        </w:trPr>
        <w:tc>
          <w:tcPr>
            <w:tcW w:w="84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Management, Inc. (“ACIM”) serves as investment adviser, have the right to receive or the power to direct the receipt of dividends from, or</w:t>
            </w:r>
          </w:p>
        </w:tc>
      </w:tr>
      <w:tr>
        <w:trPr>
          <w:trHeight w:val="216"/>
        </w:trPr>
        <w:tc>
          <w:tcPr>
            <w:tcW w:w="84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the proceeds from the sale of, the securities that are the subject of this schedule. Except as may be otherwise indicated if this is a joint</w:t>
            </w:r>
          </w:p>
        </w:tc>
      </w:tr>
      <w:tr>
        <w:trPr>
          <w:trHeight w:val="230"/>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8"/>
              </w:rPr>
              <w:t>filing, not more than 5% of the class of securities that is the subject of this schedule is owned by any one client advised by ACIM.</w:t>
            </w:r>
          </w:p>
        </w:tc>
      </w:tr>
      <w:tr>
        <w:trPr>
          <w:trHeight w:val="6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See attached Exhibit A.</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840" w:type="dxa"/>
            <w:vAlign w:val="bottom"/>
          </w:tcPr>
          <w:p>
            <w:pPr>
              <w:spacing w:after="0"/>
              <w:rPr>
                <w:sz w:val="24"/>
                <w:szCs w:val="24"/>
                <w:color w:val="auto"/>
              </w:rPr>
            </w:pPr>
          </w:p>
        </w:tc>
        <w:tc>
          <w:tcPr>
            <w:tcW w:w="10400" w:type="dxa"/>
            <w:vAlign w:val="bottom"/>
          </w:tcPr>
          <w:p>
            <w:pPr>
              <w:ind w:left="4120"/>
              <w:spacing w:after="0"/>
              <w:rPr>
                <w:sz w:val="20"/>
                <w:szCs w:val="20"/>
                <w:color w:val="auto"/>
              </w:rPr>
            </w:pPr>
            <w:r>
              <w:rPr>
                <w:rFonts w:ascii="Arial" w:cs="Arial" w:eastAsia="Arial" w:hAnsi="Arial"/>
                <w:sz w:val="18"/>
                <w:szCs w:val="18"/>
                <w:b w:val="1"/>
                <w:bCs w:val="1"/>
                <w:color w:val="auto"/>
              </w:rPr>
              <w:t>Page 6 of 8 pages</w:t>
            </w:r>
          </w:p>
        </w:tc>
      </w:tr>
      <w:tr>
        <w:trPr>
          <w:trHeight w:val="183"/>
        </w:trPr>
        <w:tc>
          <w:tcPr>
            <w:tcW w:w="840" w:type="dxa"/>
            <w:vAlign w:val="bottom"/>
            <w:tcBorders>
              <w:bottom w:val="single" w:sz="8" w:color="auto"/>
            </w:tcBorders>
          </w:tcPr>
          <w:p>
            <w:pPr>
              <w:spacing w:after="0"/>
              <w:rPr>
                <w:sz w:val="15"/>
                <w:szCs w:val="15"/>
                <w:color w:val="auto"/>
              </w:rPr>
            </w:pPr>
          </w:p>
        </w:tc>
        <w:tc>
          <w:tcPr>
            <w:tcW w:w="104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7" w:right="339" w:bottom="1440" w:gutter="0" w:footer="0" w:header="0"/>
        </w:sectPr>
      </w:pPr>
    </w:p>
    <w:bookmarkStart w:id="6" w:name="page7"/>
    <w:bookmarkEnd w:id="6"/>
    <w:p>
      <w:pPr>
        <w:spacing w:after="0"/>
        <w:tabs>
          <w:tab w:leader="none" w:pos="13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9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this 11th day of February, 2021.</w:t>
      </w:r>
    </w:p>
    <w:p>
      <w:pPr>
        <w:spacing w:after="0" w:line="24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AMERICAN CENTURY INVESTMENT MANAGEMENT, INC. (“ACIM”)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60"/>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A.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14605</wp:posOffset>
            </wp:positionV>
            <wp:extent cx="45262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26280" cy="17145"/>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Charles A. Etherington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Senior Vice President, ACIM</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Vice President, ACC</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STOWERS INSTITUTE FOR MEDICAL RESEARCH, solely in its capacity as control entity of ACC</w:t>
      </w:r>
    </w:p>
    <w:p>
      <w:pPr>
        <w:spacing w:after="0" w:line="200" w:lineRule="exact"/>
        <w:rPr>
          <w:sz w:val="20"/>
          <w:szCs w:val="20"/>
          <w:color w:val="auto"/>
        </w:rPr>
      </w:pPr>
    </w:p>
    <w:p>
      <w:pPr>
        <w:spacing w:after="0" w:line="253" w:lineRule="exact"/>
        <w:rPr>
          <w:sz w:val="20"/>
          <w:szCs w:val="20"/>
          <w:color w:val="auto"/>
        </w:rPr>
      </w:pPr>
    </w:p>
    <w:p>
      <w:pPr>
        <w:ind w:left="3560"/>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14605</wp:posOffset>
            </wp:positionV>
            <wp:extent cx="4526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26280" cy="17145"/>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Richard W. Brown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SCHEDULE 13G – To be included in statements filed pursuant to Rule 13d-1(b) or 13d-2(b).</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9"/>
          <w:szCs w:val="19"/>
          <w:color w:val="auto"/>
        </w:rPr>
        <w:t>SCHEDULE 13G – To be included in statements filed pursuant to Rule 13d-1(b) or 13d-2(b) and Rule 13d-1(f) (1) Agreement.</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Dated this 11th day of February, 2021.</w:t>
      </w:r>
    </w:p>
    <w:p>
      <w:pPr>
        <w:spacing w:after="0" w:line="24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AMERICAN CENTURY INVESTMENT MANAGEMENT, INC. (“ACIM”)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60"/>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A.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14605</wp:posOffset>
            </wp:positionV>
            <wp:extent cx="4526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26280" cy="17145"/>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Charles A. Etherington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Senior Vice President, ACIM</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Vice President, ACC</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STOWERS INSTITUTE FOR MEDICAL RESEARCH, solely in its capacity as control entity of ACC</w:t>
      </w:r>
    </w:p>
    <w:p>
      <w:pPr>
        <w:spacing w:after="0" w:line="200" w:lineRule="exact"/>
        <w:rPr>
          <w:sz w:val="20"/>
          <w:szCs w:val="20"/>
          <w:color w:val="auto"/>
        </w:rPr>
      </w:pPr>
    </w:p>
    <w:p>
      <w:pPr>
        <w:spacing w:after="0" w:line="253" w:lineRule="exact"/>
        <w:rPr>
          <w:sz w:val="20"/>
          <w:szCs w:val="20"/>
          <w:color w:val="auto"/>
        </w:rPr>
      </w:pPr>
    </w:p>
    <w:p>
      <w:pPr>
        <w:ind w:left="3560"/>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14605</wp:posOffset>
            </wp:positionV>
            <wp:extent cx="45262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26280" cy="17145"/>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Richard W. Brown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Chairman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Page 8 of 8 pages</w:t>
      </w:r>
    </w:p>
    <w:sectPr>
      <w:pgSz w:w="11900" w:h="16838" w:orient="portrait"/>
      <w:cols w:equalWidth="0" w:num="1">
        <w:col w:w="11160"/>
      </w:cols>
      <w:pgMar w:left="320" w:top="6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10"/>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2021-02-11T09:52:08Z</dcterms:created>
  <dcterms:modified xsi:type="dcterms:W3CDTF">2021-02-11T09:52:08Z</dcterms:modified>
</cp:coreProperties>
</file>