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124460</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19"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151765</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6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w:t>
      </w:r>
    </w:p>
    <w:p>
      <w:pPr>
        <w:jc w:val="center"/>
        <w:ind w:right="-1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7"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Date of Report (Date of earliest event reported): March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146685</wp:posOffset>
            </wp:positionV>
            <wp:extent cx="16459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4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CECO ENVIRONMENTAL CORP.</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133350</wp:posOffset>
            </wp:positionV>
            <wp:extent cx="1645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ectPr>
          <w:pgSz w:w="11900" w:h="16838" w:orient="portrait"/>
          <w:cols w:equalWidth="0" w:num="1">
            <w:col w:w="11080"/>
          </w:cols>
          <w:pgMar w:left="320" w:top="391" w:right="49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31" w:lineRule="exact"/>
        <w:rPr>
          <w:sz w:val="24"/>
          <w:szCs w:val="24"/>
          <w:color w:val="auto"/>
        </w:rPr>
      </w:pPr>
    </w:p>
    <w:p>
      <w:pPr>
        <w:sectPr>
          <w:pgSz w:w="11900" w:h="16838" w:orient="portrait"/>
          <w:cols w:equalWidth="0" w:num="3">
            <w:col w:w="4580" w:space="720"/>
            <w:col w:w="2980" w:space="720"/>
            <w:col w:w="2080"/>
          </w:cols>
          <w:pgMar w:left="320" w:top="391" w:right="499" w:bottom="1440" w:gutter="0" w:footer="0" w:header="0"/>
          <w:type w:val="continuous"/>
        </w:sectPr>
      </w:pPr>
    </w:p>
    <w:p>
      <w:pPr>
        <w:spacing w:after="0" w:line="12" w:lineRule="exact"/>
        <w:rPr>
          <w:sz w:val="24"/>
          <w:szCs w:val="24"/>
          <w:color w:val="auto"/>
        </w:rPr>
      </w:pPr>
    </w:p>
    <w:p>
      <w:pPr>
        <w:jc w:val="center"/>
        <w:ind w:right="880"/>
        <w:spacing w:after="0"/>
        <w:rPr>
          <w:sz w:val="20"/>
          <w:szCs w:val="20"/>
          <w:color w:val="auto"/>
        </w:rPr>
      </w:pPr>
      <w:r>
        <w:rPr>
          <w:rFonts w:ascii="Arial" w:cs="Arial" w:eastAsia="Arial" w:hAnsi="Arial"/>
          <w:sz w:val="13"/>
          <w:szCs w:val="13"/>
          <w:b w:val="1"/>
          <w:bCs w:val="1"/>
          <w:color w:val="auto"/>
        </w:rPr>
        <w:t>(State or other jurisdiction</w:t>
      </w:r>
    </w:p>
    <w:p>
      <w:pPr>
        <w:jc w:val="center"/>
        <w:ind w:right="8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b w:val="1"/>
          <w:bCs w:val="1"/>
          <w:color w:val="auto"/>
        </w:rPr>
        <w:t>(IRS Employer</w:t>
      </w:r>
    </w:p>
    <w:p>
      <w:pPr>
        <w:jc w:val="center"/>
        <w:ind w:right="108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500" w:space="720"/>
            <w:col w:w="2940" w:space="720"/>
            <w:col w:w="2200"/>
          </w:cols>
          <w:pgMar w:left="320" w:top="391" w:right="499" w:bottom="1440" w:gutter="0" w:footer="0" w:header="0"/>
          <w:type w:val="continuous"/>
        </w:sectPr>
      </w:pPr>
    </w:p>
    <w:p>
      <w:pPr>
        <w:jc w:val="center"/>
        <w:ind w:right="5560"/>
        <w:spacing w:after="0"/>
        <w:rPr>
          <w:sz w:val="20"/>
          <w:szCs w:val="20"/>
          <w:color w:val="auto"/>
        </w:rPr>
      </w:pPr>
      <w:r>
        <w:rPr>
          <w:rFonts w:ascii="Arial" w:cs="Arial" w:eastAsia="Arial" w:hAnsi="Arial"/>
          <w:sz w:val="16"/>
          <w:szCs w:val="16"/>
          <w:b w:val="1"/>
          <w:bCs w:val="1"/>
          <w:color w:val="auto"/>
        </w:rPr>
        <w:t>14651 North Dallas Parkway</w:t>
      </w:r>
    </w:p>
    <w:p>
      <w:pPr>
        <w:spacing w:after="0" w:line="50" w:lineRule="exact"/>
        <w:rPr>
          <w:sz w:val="24"/>
          <w:szCs w:val="24"/>
          <w:color w:val="auto"/>
        </w:rPr>
      </w:pPr>
    </w:p>
    <w:p>
      <w:pPr>
        <w:jc w:val="center"/>
        <w:ind w:right="5560"/>
        <w:spacing w:after="0"/>
        <w:rPr>
          <w:sz w:val="20"/>
          <w:szCs w:val="20"/>
          <w:color w:val="auto"/>
        </w:rPr>
      </w:pPr>
      <w:r>
        <w:rPr>
          <w:rFonts w:ascii="Arial" w:cs="Arial" w:eastAsia="Arial" w:hAnsi="Arial"/>
          <w:sz w:val="18"/>
          <w:szCs w:val="18"/>
          <w:b w:val="1"/>
          <w:bCs w:val="1"/>
          <w:color w:val="auto"/>
        </w:rPr>
        <w:t>Suite 500</w:t>
      </w:r>
    </w:p>
    <w:p>
      <w:pPr>
        <w:sectPr>
          <w:pgSz w:w="11900" w:h="16838" w:orient="portrait"/>
          <w:cols w:equalWidth="0" w:num="1">
            <w:col w:w="11080"/>
          </w:cols>
          <w:pgMar w:left="320" w:top="391" w:right="499" w:bottom="1440" w:gutter="0" w:footer="0" w:header="0"/>
          <w:type w:val="continuous"/>
        </w:sectPr>
      </w:pPr>
    </w:p>
    <w:p>
      <w:pPr>
        <w:spacing w:after="0" w:line="9" w:lineRule="exact"/>
        <w:rPr>
          <w:sz w:val="24"/>
          <w:szCs w:val="24"/>
          <w:color w:val="auto"/>
        </w:rPr>
      </w:pPr>
    </w:p>
    <w:p>
      <w:pPr>
        <w:ind w:left="2340"/>
        <w:spacing w:after="0"/>
        <w:rPr>
          <w:sz w:val="20"/>
          <w:szCs w:val="20"/>
          <w:color w:val="auto"/>
        </w:rPr>
      </w:pPr>
      <w:r>
        <w:rPr>
          <w:rFonts w:ascii="Arial" w:cs="Arial" w:eastAsia="Arial" w:hAnsi="Arial"/>
          <w:sz w:val="17"/>
          <w:szCs w:val="17"/>
          <w:b w:val="1"/>
          <w:bCs w:val="1"/>
          <w:color w:val="auto"/>
        </w:rPr>
        <w:t>Dallas</w:t>
      </w:r>
      <w:r>
        <w:rPr>
          <w:rFonts w:ascii="Arial" w:cs="Arial" w:eastAsia="Arial" w:hAnsi="Arial"/>
          <w:sz w:val="18"/>
          <w:szCs w:val="18"/>
          <w:b w:val="1"/>
          <w:bCs w:val="1"/>
          <w:color w:val="auto"/>
        </w:rPr>
        <w:t>, 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75254</w:t>
      </w:r>
    </w:p>
    <w:p>
      <w:pPr>
        <w:spacing w:after="0" w:line="49" w:lineRule="exact"/>
        <w:rPr>
          <w:sz w:val="24"/>
          <w:szCs w:val="24"/>
          <w:color w:val="auto"/>
        </w:rPr>
      </w:pPr>
    </w:p>
    <w:p>
      <w:pPr>
        <w:sectPr>
          <w:pgSz w:w="11900" w:h="16838" w:orient="portrait"/>
          <w:cols w:equalWidth="0" w:num="2">
            <w:col w:w="7540" w:space="720"/>
            <w:col w:w="2820"/>
          </w:cols>
          <w:pgMar w:left="320" w:top="391" w:right="49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39" w:lineRule="exact"/>
        <w:rPr>
          <w:sz w:val="24"/>
          <w:szCs w:val="24"/>
          <w:color w:val="auto"/>
        </w:rPr>
      </w:pPr>
    </w:p>
    <w:p>
      <w:pPr>
        <w:sectPr>
          <w:pgSz w:w="11900" w:h="16838" w:orient="portrait"/>
          <w:cols w:equalWidth="0" w:num="2">
            <w:col w:w="7440" w:space="720"/>
            <w:col w:w="2920"/>
          </w:cols>
          <w:pgMar w:left="320" w:top="391"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7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560" w:right="2460" w:hanging="3552"/>
        <w:spacing w:after="0" w:line="428" w:lineRule="auto"/>
        <w:tabs>
          <w:tab w:leader="none" w:pos="598"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1100" w:type="dxa"/>
        <w:tblCellMar>
          <w:top w:w="0" w:type="dxa"/>
          <w:left w:w="0" w:type="dxa"/>
          <w:bottom w:w="0" w:type="dxa"/>
          <w:right w:w="0" w:type="dxa"/>
        </w:tblCellMar>
      </w:tblPr>
      <w:tr>
        <w:trPr>
          <w:trHeight w:val="182"/>
        </w:trPr>
        <w:tc>
          <w:tcPr>
            <w:tcW w:w="3100" w:type="dxa"/>
            <w:vAlign w:val="bottom"/>
          </w:tcPr>
          <w:p>
            <w:pPr>
              <w:jc w:val="center"/>
              <w:ind w:right="588"/>
              <w:spacing w:after="0"/>
              <w:rPr>
                <w:sz w:val="20"/>
                <w:szCs w:val="20"/>
                <w:color w:val="auto"/>
              </w:rPr>
            </w:pPr>
            <w:r>
              <w:rPr>
                <w:rFonts w:ascii="Arial" w:cs="Arial" w:eastAsia="Arial" w:hAnsi="Arial"/>
                <w:sz w:val="14"/>
                <w:szCs w:val="14"/>
                <w:color w:val="auto"/>
                <w:w w:val="92"/>
              </w:rPr>
              <w:t>Title of each class</w:t>
            </w:r>
          </w:p>
        </w:tc>
        <w:tc>
          <w:tcPr>
            <w:tcW w:w="2380" w:type="dxa"/>
            <w:vAlign w:val="bottom"/>
          </w:tcPr>
          <w:p>
            <w:pPr>
              <w:jc w:val="center"/>
              <w:ind w:right="48"/>
              <w:spacing w:after="0"/>
              <w:rPr>
                <w:sz w:val="20"/>
                <w:szCs w:val="20"/>
                <w:color w:val="auto"/>
              </w:rPr>
            </w:pPr>
            <w:r>
              <w:rPr>
                <w:rFonts w:ascii="Arial" w:cs="Arial" w:eastAsia="Arial" w:hAnsi="Arial"/>
                <w:sz w:val="14"/>
                <w:szCs w:val="14"/>
                <w:color w:val="auto"/>
                <w:w w:val="95"/>
              </w:rPr>
              <w:t>Trading Symbol</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1"/>
              </w:rPr>
              <w:t>Name of each exchange on which registered</w:t>
            </w:r>
          </w:p>
        </w:tc>
      </w:tr>
      <w:tr>
        <w:trPr>
          <w:trHeight w:val="203"/>
        </w:trPr>
        <w:tc>
          <w:tcPr>
            <w:tcW w:w="3100" w:type="dxa"/>
            <w:vAlign w:val="bottom"/>
          </w:tcPr>
          <w:p>
            <w:pPr>
              <w:jc w:val="center"/>
              <w:ind w:right="608"/>
              <w:spacing w:after="0"/>
              <w:rPr>
                <w:sz w:val="20"/>
                <w:szCs w:val="20"/>
                <w:color w:val="auto"/>
              </w:rPr>
            </w:pPr>
            <w:r>
              <w:rPr>
                <w:rFonts w:ascii="Arial" w:cs="Arial" w:eastAsia="Arial" w:hAnsi="Arial"/>
                <w:sz w:val="14"/>
                <w:szCs w:val="14"/>
                <w:color w:val="auto"/>
                <w:w w:val="91"/>
              </w:rPr>
              <w:t>Common Stock, par value $0.01 per share</w:t>
            </w:r>
          </w:p>
        </w:tc>
        <w:tc>
          <w:tcPr>
            <w:tcW w:w="2380" w:type="dxa"/>
            <w:vAlign w:val="bottom"/>
          </w:tcPr>
          <w:p>
            <w:pPr>
              <w:jc w:val="center"/>
              <w:ind w:right="28"/>
              <w:spacing w:after="0"/>
              <w:rPr>
                <w:sz w:val="20"/>
                <w:szCs w:val="20"/>
                <w:color w:val="auto"/>
              </w:rPr>
            </w:pPr>
            <w:r>
              <w:rPr>
                <w:rFonts w:ascii="Arial" w:cs="Arial" w:eastAsia="Arial" w:hAnsi="Arial"/>
                <w:sz w:val="14"/>
                <w:szCs w:val="14"/>
                <w:color w:val="auto"/>
                <w:w w:val="92"/>
              </w:rPr>
              <w:t>CECE</w:t>
            </w:r>
          </w:p>
        </w:tc>
        <w:tc>
          <w:tcPr>
            <w:tcW w:w="3340" w:type="dxa"/>
            <w:vAlign w:val="bottom"/>
          </w:tcPr>
          <w:p>
            <w:pPr>
              <w:jc w:val="center"/>
              <w:ind w:left="728"/>
              <w:spacing w:after="0"/>
              <w:rPr>
                <w:sz w:val="20"/>
                <w:szCs w:val="20"/>
                <w:color w:val="auto"/>
              </w:rPr>
            </w:pPr>
            <w:r>
              <w:rPr>
                <w:rFonts w:ascii="Arial" w:cs="Arial" w:eastAsia="Arial" w:hAnsi="Arial"/>
                <w:sz w:val="14"/>
                <w:szCs w:val="14"/>
                <w:color w:val="auto"/>
                <w:w w:val="97"/>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wp:posOffset>
            </wp:positionH>
            <wp:positionV relativeFrom="paragraph">
              <wp:posOffset>-240665</wp:posOffset>
            </wp:positionV>
            <wp:extent cx="6720840" cy="266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0840" cy="266065"/>
                    </a:xfrm>
                    <a:prstGeom prst="rect">
                      <a:avLst/>
                    </a:prstGeom>
                    <a:noFill/>
                  </pic:spPr>
                </pic:pic>
              </a:graphicData>
            </a:graphic>
          </wp:anchor>
        </w:drawing>
      </w:r>
    </w:p>
    <w:p>
      <w:pPr>
        <w:spacing w:after="0" w:line="167"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40"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391"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On March 3, 2021, CECO Environmental Corp., a Delaware corporation, issued a press release announcing its financial results for its fourth quarter 2020 and year ended December 31, 2020. A copy of the press release is furnished as Exhibit 99.1 to this report and is incorporated herein by reference.</w:t>
      </w:r>
    </w:p>
    <w:p>
      <w:pPr>
        <w:spacing w:after="0" w:line="12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10220" w:type="dxa"/>
            <w:vAlign w:val="bottom"/>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10220" w:type="dxa"/>
            <w:vAlign w:val="bottom"/>
            <w:tcBorders>
              <w:top w:val="single" w:sz="8" w:color="auto"/>
            </w:tcBorders>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March 3, 2021</w:t>
              </w:r>
            </w:hyperlink>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790"/>
        </w:trPr>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6760" w:val="left"/>
        </w:tabs>
        <w:rPr>
          <w:sz w:val="20"/>
          <w:szCs w:val="20"/>
          <w:color w:val="auto"/>
        </w:rPr>
      </w:pPr>
      <w:r>
        <w:rPr>
          <w:rFonts w:ascii="Arial" w:cs="Arial" w:eastAsia="Arial" w:hAnsi="Arial"/>
          <w:sz w:val="18"/>
          <w:szCs w:val="18"/>
          <w:color w:val="auto"/>
        </w:rPr>
        <w:t>Date: March 3, 2021</w:t>
      </w:r>
      <w:r>
        <w:rPr>
          <w:sz w:val="20"/>
          <w:szCs w:val="20"/>
          <w:color w:val="auto"/>
        </w:rPr>
        <w:tab/>
      </w:r>
      <w:r>
        <w:rPr>
          <w:rFonts w:ascii="Arial" w:cs="Arial" w:eastAsia="Arial" w:hAnsi="Arial"/>
          <w:sz w:val="16"/>
          <w:szCs w:val="16"/>
          <w:color w:val="auto"/>
        </w:rPr>
        <w:t>CECO Environmental Corp.</w:t>
      </w:r>
    </w:p>
    <w:p>
      <w:pPr>
        <w:spacing w:after="0" w:line="200" w:lineRule="exact"/>
        <w:rPr>
          <w:sz w:val="20"/>
          <w:szCs w:val="20"/>
          <w:color w:val="auto"/>
        </w:rPr>
      </w:pPr>
    </w:p>
    <w:p>
      <w:pPr>
        <w:spacing w:after="0" w:line="241" w:lineRule="exact"/>
        <w:rPr>
          <w:sz w:val="20"/>
          <w:szCs w:val="20"/>
          <w:color w:val="auto"/>
        </w:rPr>
      </w:pPr>
    </w:p>
    <w:p>
      <w:pPr>
        <w:ind w:left="678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35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97280"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Corp. Reports Fourth Quarter and Full Year 2020 Results;</w:t>
      </w:r>
    </w:p>
    <w:p>
      <w:pPr>
        <w:spacing w:after="0" w:line="35" w:lineRule="exact"/>
        <w:rPr>
          <w:sz w:val="20"/>
          <w:szCs w:val="20"/>
          <w:color w:val="auto"/>
        </w:rPr>
      </w:pPr>
    </w:p>
    <w:p>
      <w:pPr>
        <w:jc w:val="center"/>
        <w:spacing w:after="0" w:line="257" w:lineRule="auto"/>
        <w:rPr>
          <w:sz w:val="20"/>
          <w:szCs w:val="20"/>
          <w:color w:val="auto"/>
        </w:rPr>
      </w:pPr>
      <w:r>
        <w:rPr>
          <w:rFonts w:ascii="Arial" w:cs="Arial" w:eastAsia="Arial" w:hAnsi="Arial"/>
          <w:sz w:val="20"/>
          <w:szCs w:val="20"/>
          <w:b w:val="1"/>
          <w:bCs w:val="1"/>
          <w:i w:val="1"/>
          <w:iCs w:val="1"/>
          <w:color w:val="auto"/>
        </w:rPr>
        <w:t>Sequential Increases in Revenue, Adjusted EBITDA and Bookings Demonstrate Continued Execution and Improved Momentum</w:t>
      </w:r>
    </w:p>
    <w:p>
      <w:pPr>
        <w:spacing w:after="0" w:line="196" w:lineRule="exact"/>
        <w:rPr>
          <w:sz w:val="20"/>
          <w:szCs w:val="20"/>
          <w:color w:val="auto"/>
        </w:rPr>
      </w:pPr>
    </w:p>
    <w:p>
      <w:pPr>
        <w:jc w:val="both"/>
        <w:ind w:left="100" w:right="60"/>
        <w:spacing w:after="0" w:line="241" w:lineRule="auto"/>
        <w:rPr>
          <w:sz w:val="20"/>
          <w:szCs w:val="20"/>
          <w:color w:val="auto"/>
        </w:rPr>
      </w:pPr>
      <w:r>
        <w:rPr>
          <w:rFonts w:ascii="Arial" w:cs="Arial" w:eastAsia="Arial" w:hAnsi="Arial"/>
          <w:sz w:val="20"/>
          <w:szCs w:val="20"/>
          <w:b w:val="1"/>
          <w:bCs w:val="1"/>
          <w:color w:val="auto"/>
        </w:rPr>
        <w:t xml:space="preserve">DALLAS, Texas, March 3, 2021 -- CECO Environmental Corp. (Nasdaq: CECE), </w:t>
      </w:r>
      <w:r>
        <w:rPr>
          <w:rFonts w:ascii="Arial" w:cs="Arial" w:eastAsia="Arial" w:hAnsi="Arial"/>
          <w:sz w:val="20"/>
          <w:szCs w:val="20"/>
          <w:color w:val="auto"/>
        </w:rPr>
        <w:t>a leading global air quality and fluid</w:t>
      </w:r>
      <w:r>
        <w:rPr>
          <w:rFonts w:ascii="Arial" w:cs="Arial" w:eastAsia="Arial" w:hAnsi="Arial"/>
          <w:sz w:val="20"/>
          <w:szCs w:val="20"/>
          <w:b w:val="1"/>
          <w:bCs w:val="1"/>
          <w:color w:val="auto"/>
        </w:rPr>
        <w:t xml:space="preserve"> </w:t>
      </w:r>
      <w:r>
        <w:rPr>
          <w:rFonts w:ascii="Arial" w:cs="Arial" w:eastAsia="Arial" w:hAnsi="Arial"/>
          <w:sz w:val="20"/>
          <w:szCs w:val="20"/>
          <w:color w:val="auto"/>
        </w:rPr>
        <w:t>handling company serving the energy, industrial and other niche markets, today reported its financial results for the fourth quarter and full year of 2020.</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Results of the Fourth Quarter 2020*</w:t>
      </w:r>
    </w:p>
    <w:p>
      <w:pPr>
        <w:ind w:left="680" w:hanging="335"/>
        <w:spacing w:after="0" w:line="225" w:lineRule="auto"/>
        <w:tabs>
          <w:tab w:leader="none" w:pos="68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of $82.9 million, compared with $89.4 million</w:t>
      </w:r>
    </w:p>
    <w:p>
      <w:pPr>
        <w:ind w:left="680" w:hanging="335"/>
        <w:spacing w:after="0" w:line="225" w:lineRule="auto"/>
        <w:tabs>
          <w:tab w:leader="none" w:pos="680" w:val="left"/>
        </w:tabs>
        <w:numPr>
          <w:ilvl w:val="0"/>
          <w:numId w:val="3"/>
        </w:numPr>
        <w:rPr>
          <w:rFonts w:ascii="Arial" w:cs="Arial" w:eastAsia="Arial" w:hAnsi="Arial"/>
          <w:sz w:val="20"/>
          <w:szCs w:val="20"/>
          <w:color w:val="auto"/>
        </w:rPr>
      </w:pPr>
      <w:r>
        <w:rPr>
          <w:rFonts w:ascii="Arial" w:cs="Arial" w:eastAsia="Arial" w:hAnsi="Arial"/>
          <w:sz w:val="20"/>
          <w:szCs w:val="20"/>
          <w:color w:val="auto"/>
        </w:rPr>
        <w:t>Gross profit of $26.2 million (31.6% margin), compared with $30.0 million (33.6% margin)</w:t>
      </w:r>
    </w:p>
    <w:p>
      <w:pPr>
        <w:ind w:left="680" w:hanging="335"/>
        <w:spacing w:after="0" w:line="225" w:lineRule="auto"/>
        <w:tabs>
          <w:tab w:leader="none" w:pos="680" w:val="left"/>
        </w:tabs>
        <w:numPr>
          <w:ilvl w:val="0"/>
          <w:numId w:val="3"/>
        </w:numPr>
        <w:rPr>
          <w:rFonts w:ascii="Arial" w:cs="Arial" w:eastAsia="Arial" w:hAnsi="Arial"/>
          <w:sz w:val="20"/>
          <w:szCs w:val="20"/>
          <w:color w:val="auto"/>
        </w:rPr>
      </w:pPr>
      <w:r>
        <w:rPr>
          <w:rFonts w:ascii="Arial" w:cs="Arial" w:eastAsia="Arial" w:hAnsi="Arial"/>
          <w:sz w:val="20"/>
          <w:szCs w:val="20"/>
          <w:color w:val="auto"/>
        </w:rPr>
        <w:t>Operating income of $3.7 million, compared with $7.0 million</w:t>
      </w:r>
    </w:p>
    <w:p>
      <w:pPr>
        <w:ind w:left="680" w:hanging="335"/>
        <w:spacing w:after="0" w:line="225" w:lineRule="auto"/>
        <w:tabs>
          <w:tab w:leader="none" w:pos="680" w:val="left"/>
        </w:tabs>
        <w:numPr>
          <w:ilvl w:val="0"/>
          <w:numId w:val="3"/>
        </w:numPr>
        <w:rPr>
          <w:rFonts w:ascii="Arial" w:cs="Arial" w:eastAsia="Arial" w:hAnsi="Arial"/>
          <w:sz w:val="20"/>
          <w:szCs w:val="20"/>
          <w:color w:val="auto"/>
        </w:rPr>
      </w:pPr>
      <w:r>
        <w:rPr>
          <w:rFonts w:ascii="Arial" w:cs="Arial" w:eastAsia="Arial" w:hAnsi="Arial"/>
          <w:sz w:val="20"/>
          <w:szCs w:val="20"/>
          <w:color w:val="auto"/>
        </w:rPr>
        <w:t>Non-GAAP operating income of $8.8 million, compared with $9.6 million</w:t>
      </w:r>
    </w:p>
    <w:p>
      <w:pPr>
        <w:ind w:left="680" w:hanging="335"/>
        <w:spacing w:after="0" w:line="225" w:lineRule="auto"/>
        <w:tabs>
          <w:tab w:leader="none" w:pos="68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income of $1.8 million, compared with $8.4 million</w:t>
      </w:r>
    </w:p>
    <w:p>
      <w:pPr>
        <w:ind w:left="680" w:hanging="335"/>
        <w:spacing w:after="0" w:line="225" w:lineRule="auto"/>
        <w:tabs>
          <w:tab w:leader="none" w:pos="680" w:val="left"/>
        </w:tabs>
        <w:numPr>
          <w:ilvl w:val="0"/>
          <w:numId w:val="3"/>
        </w:numPr>
        <w:rPr>
          <w:rFonts w:ascii="Arial" w:cs="Arial" w:eastAsia="Arial" w:hAnsi="Arial"/>
          <w:sz w:val="20"/>
          <w:szCs w:val="20"/>
          <w:color w:val="auto"/>
        </w:rPr>
      </w:pPr>
      <w:r>
        <w:rPr>
          <w:rFonts w:ascii="Arial" w:cs="Arial" w:eastAsia="Arial" w:hAnsi="Arial"/>
          <w:sz w:val="20"/>
          <w:szCs w:val="20"/>
          <w:color w:val="auto"/>
        </w:rPr>
        <w:t>Non-GAAP net income of $5.6 million, compared with $9.6 million</w:t>
      </w:r>
    </w:p>
    <w:p>
      <w:pPr>
        <w:ind w:left="680" w:hanging="335"/>
        <w:spacing w:after="0" w:line="225" w:lineRule="auto"/>
        <w:tabs>
          <w:tab w:leader="none" w:pos="6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of $9.9 million, compared with $10.1 million</w:t>
      </w:r>
    </w:p>
    <w:p>
      <w:pPr>
        <w:ind w:left="680" w:hanging="335"/>
        <w:spacing w:after="0" w:line="225" w:lineRule="auto"/>
        <w:tabs>
          <w:tab w:leader="none" w:pos="680" w:val="left"/>
        </w:tabs>
        <w:numPr>
          <w:ilvl w:val="0"/>
          <w:numId w:val="3"/>
        </w:numPr>
        <w:rPr>
          <w:rFonts w:ascii="Arial" w:cs="Arial" w:eastAsia="Arial" w:hAnsi="Arial"/>
          <w:sz w:val="20"/>
          <w:szCs w:val="20"/>
          <w:color w:val="auto"/>
        </w:rPr>
      </w:pPr>
      <w:r>
        <w:rPr>
          <w:rFonts w:ascii="Arial" w:cs="Arial" w:eastAsia="Arial" w:hAnsi="Arial"/>
          <w:sz w:val="20"/>
          <w:szCs w:val="20"/>
          <w:color w:val="auto"/>
        </w:rPr>
        <w:t>Earnings per diluted share was $0.05, compared with $0.24</w:t>
      </w:r>
    </w:p>
    <w:p>
      <w:pPr>
        <w:ind w:left="680" w:hanging="335"/>
        <w:spacing w:after="0" w:line="225" w:lineRule="auto"/>
        <w:tabs>
          <w:tab w:leader="none" w:pos="680" w:val="left"/>
        </w:tabs>
        <w:numPr>
          <w:ilvl w:val="0"/>
          <w:numId w:val="3"/>
        </w:numPr>
        <w:rPr>
          <w:rFonts w:ascii="Arial" w:cs="Arial" w:eastAsia="Arial" w:hAnsi="Arial"/>
          <w:sz w:val="20"/>
          <w:szCs w:val="20"/>
          <w:color w:val="auto"/>
        </w:rPr>
      </w:pPr>
      <w:r>
        <w:rPr>
          <w:rFonts w:ascii="Arial" w:cs="Arial" w:eastAsia="Arial" w:hAnsi="Arial"/>
          <w:sz w:val="20"/>
          <w:szCs w:val="20"/>
          <w:color w:val="auto"/>
        </w:rPr>
        <w:t>Non-GAAP earnings per diluted share of $0.16, compared with $0.27</w:t>
      </w:r>
    </w:p>
    <w:p>
      <w:pPr>
        <w:ind w:left="680" w:hanging="335"/>
        <w:spacing w:after="0" w:line="225" w:lineRule="auto"/>
        <w:tabs>
          <w:tab w:leader="none" w:pos="680" w:val="left"/>
        </w:tabs>
        <w:numPr>
          <w:ilvl w:val="0"/>
          <w:numId w:val="3"/>
        </w:numPr>
        <w:rPr>
          <w:rFonts w:ascii="Arial" w:cs="Arial" w:eastAsia="Arial" w:hAnsi="Arial"/>
          <w:sz w:val="20"/>
          <w:szCs w:val="20"/>
          <w:color w:val="auto"/>
        </w:rPr>
      </w:pPr>
      <w:r>
        <w:rPr>
          <w:rFonts w:ascii="Arial" w:cs="Arial" w:eastAsia="Arial" w:hAnsi="Arial"/>
          <w:sz w:val="20"/>
          <w:szCs w:val="20"/>
          <w:color w:val="auto"/>
        </w:rPr>
        <w:t>Bookings of $77.2 million, compared with $67.7 million</w:t>
      </w:r>
    </w:p>
    <w:p>
      <w:pPr>
        <w:ind w:left="680" w:hanging="335"/>
        <w:spacing w:after="0" w:line="225" w:lineRule="auto"/>
        <w:tabs>
          <w:tab w:leader="none" w:pos="680" w:val="left"/>
        </w:tabs>
        <w:numPr>
          <w:ilvl w:val="0"/>
          <w:numId w:val="3"/>
        </w:numPr>
        <w:rPr>
          <w:rFonts w:ascii="Arial" w:cs="Arial" w:eastAsia="Arial" w:hAnsi="Arial"/>
          <w:sz w:val="20"/>
          <w:szCs w:val="20"/>
          <w:color w:val="auto"/>
        </w:rPr>
      </w:pPr>
      <w:r>
        <w:rPr>
          <w:rFonts w:ascii="Arial" w:cs="Arial" w:eastAsia="Arial" w:hAnsi="Arial"/>
          <w:sz w:val="20"/>
          <w:szCs w:val="20"/>
          <w:color w:val="auto"/>
        </w:rPr>
        <w:t>Backlog of $183.1 million, compared with $189.1 million as of September 30, 2020</w:t>
      </w:r>
    </w:p>
    <w:p>
      <w:pPr>
        <w:ind w:left="680" w:hanging="335"/>
        <w:spacing w:after="0" w:line="225" w:lineRule="auto"/>
        <w:tabs>
          <w:tab w:leader="none" w:pos="680" w:val="left"/>
        </w:tabs>
        <w:numPr>
          <w:ilvl w:val="0"/>
          <w:numId w:val="3"/>
        </w:numPr>
        <w:rPr>
          <w:rFonts w:ascii="Arial" w:cs="Arial" w:eastAsia="Arial" w:hAnsi="Arial"/>
          <w:sz w:val="20"/>
          <w:szCs w:val="20"/>
          <w:color w:val="auto"/>
        </w:rPr>
      </w:pPr>
      <w:r>
        <w:rPr>
          <w:rFonts w:ascii="Arial" w:cs="Arial" w:eastAsia="Arial" w:hAnsi="Arial"/>
          <w:sz w:val="20"/>
          <w:szCs w:val="20"/>
          <w:color w:val="auto"/>
        </w:rPr>
        <w:t>Cash and Cash equivalents of $36.0 million, compared with $35.6 million</w:t>
      </w:r>
    </w:p>
    <w:p>
      <w:pPr>
        <w:ind w:left="680" w:hanging="335"/>
        <w:spacing w:after="0"/>
        <w:tabs>
          <w:tab w:leader="none" w:pos="680" w:val="left"/>
        </w:tabs>
        <w:numPr>
          <w:ilvl w:val="0"/>
          <w:numId w:val="3"/>
        </w:numPr>
        <w:rPr>
          <w:rFonts w:ascii="Arial" w:cs="Arial" w:eastAsia="Arial" w:hAnsi="Arial"/>
          <w:sz w:val="20"/>
          <w:szCs w:val="20"/>
          <w:color w:val="auto"/>
        </w:rPr>
      </w:pPr>
      <w:r>
        <w:rPr>
          <w:rFonts w:ascii="Arial" w:cs="Arial" w:eastAsia="Arial" w:hAnsi="Arial"/>
          <w:sz w:val="20"/>
          <w:szCs w:val="20"/>
          <w:color w:val="auto"/>
        </w:rPr>
        <w:t>Bank Debt of $74.0 million, compared with $67.3 million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Results of the Full Year 2020*</w:t>
      </w:r>
    </w:p>
    <w:p>
      <w:pPr>
        <w:ind w:left="680" w:hanging="335"/>
        <w:spacing w:after="0" w:line="225" w:lineRule="auto"/>
        <w:tabs>
          <w:tab w:leader="none" w:pos="680" w:val="left"/>
        </w:tabs>
        <w:numPr>
          <w:ilvl w:val="1"/>
          <w:numId w:val="4"/>
        </w:numPr>
        <w:rPr>
          <w:rFonts w:ascii="Arial" w:cs="Arial" w:eastAsia="Arial" w:hAnsi="Arial"/>
          <w:sz w:val="20"/>
          <w:szCs w:val="20"/>
          <w:color w:val="auto"/>
        </w:rPr>
      </w:pPr>
      <w:r>
        <w:rPr>
          <w:rFonts w:ascii="Arial" w:cs="Arial" w:eastAsia="Arial" w:hAnsi="Arial"/>
          <w:sz w:val="20"/>
          <w:szCs w:val="20"/>
          <w:color w:val="auto"/>
        </w:rPr>
        <w:t>Revenue of $316.0 million, compared with $341.9 million</w:t>
      </w:r>
    </w:p>
    <w:p>
      <w:pPr>
        <w:ind w:left="680" w:hanging="335"/>
        <w:spacing w:after="0" w:line="225" w:lineRule="auto"/>
        <w:tabs>
          <w:tab w:leader="none" w:pos="680" w:val="left"/>
        </w:tabs>
        <w:numPr>
          <w:ilvl w:val="1"/>
          <w:numId w:val="4"/>
        </w:numPr>
        <w:rPr>
          <w:rFonts w:ascii="Arial" w:cs="Arial" w:eastAsia="Arial" w:hAnsi="Arial"/>
          <w:sz w:val="20"/>
          <w:szCs w:val="20"/>
          <w:color w:val="auto"/>
        </w:rPr>
      </w:pPr>
      <w:r>
        <w:rPr>
          <w:rFonts w:ascii="Arial" w:cs="Arial" w:eastAsia="Arial" w:hAnsi="Arial"/>
          <w:sz w:val="20"/>
          <w:szCs w:val="20"/>
          <w:color w:val="auto"/>
        </w:rPr>
        <w:t>Gross profit of $105.1 million (33.3% margin), compared with $114.1 million (33.4% margin)</w:t>
      </w:r>
    </w:p>
    <w:p>
      <w:pPr>
        <w:ind w:left="680" w:hanging="335"/>
        <w:spacing w:after="0" w:line="225" w:lineRule="auto"/>
        <w:tabs>
          <w:tab w:leader="none" w:pos="680" w:val="left"/>
        </w:tabs>
        <w:numPr>
          <w:ilvl w:val="1"/>
          <w:numId w:val="4"/>
        </w:numPr>
        <w:rPr>
          <w:rFonts w:ascii="Arial" w:cs="Arial" w:eastAsia="Arial" w:hAnsi="Arial"/>
          <w:sz w:val="20"/>
          <w:szCs w:val="20"/>
          <w:color w:val="auto"/>
        </w:rPr>
      </w:pPr>
      <w:r>
        <w:rPr>
          <w:rFonts w:ascii="Arial" w:cs="Arial" w:eastAsia="Arial" w:hAnsi="Arial"/>
          <w:sz w:val="20"/>
          <w:szCs w:val="20"/>
          <w:color w:val="auto"/>
        </w:rPr>
        <w:t>Operating income of $13.3 million, compared with $18.0 million</w:t>
      </w:r>
    </w:p>
    <w:p>
      <w:pPr>
        <w:ind w:left="680" w:hanging="335"/>
        <w:spacing w:after="0" w:line="225" w:lineRule="auto"/>
        <w:tabs>
          <w:tab w:leader="none" w:pos="680" w:val="left"/>
        </w:tabs>
        <w:numPr>
          <w:ilvl w:val="1"/>
          <w:numId w:val="4"/>
        </w:numPr>
        <w:rPr>
          <w:rFonts w:ascii="Arial" w:cs="Arial" w:eastAsia="Arial" w:hAnsi="Arial"/>
          <w:sz w:val="20"/>
          <w:szCs w:val="20"/>
          <w:color w:val="auto"/>
        </w:rPr>
      </w:pPr>
      <w:r>
        <w:rPr>
          <w:rFonts w:ascii="Arial" w:cs="Arial" w:eastAsia="Arial" w:hAnsi="Arial"/>
          <w:sz w:val="20"/>
          <w:szCs w:val="20"/>
          <w:color w:val="auto"/>
        </w:rPr>
        <w:t>Non-GAAP operating income was $28.2 million in both 2020 and 2019</w:t>
      </w:r>
    </w:p>
    <w:p>
      <w:pPr>
        <w:ind w:left="680" w:hanging="335"/>
        <w:spacing w:after="0" w:line="225" w:lineRule="auto"/>
        <w:tabs>
          <w:tab w:leader="none" w:pos="680" w:val="left"/>
        </w:tabs>
        <w:numPr>
          <w:ilvl w:val="1"/>
          <w:numId w:val="4"/>
        </w:numPr>
        <w:rPr>
          <w:rFonts w:ascii="Arial" w:cs="Arial" w:eastAsia="Arial" w:hAnsi="Arial"/>
          <w:sz w:val="20"/>
          <w:szCs w:val="20"/>
          <w:color w:val="auto"/>
        </w:rPr>
      </w:pPr>
      <w:r>
        <w:rPr>
          <w:rFonts w:ascii="Arial" w:cs="Arial" w:eastAsia="Arial" w:hAnsi="Arial"/>
          <w:sz w:val="20"/>
          <w:szCs w:val="20"/>
          <w:color w:val="auto"/>
        </w:rPr>
        <w:t>Net income of $8.2 million, compared with $17.7 million</w:t>
      </w:r>
    </w:p>
    <w:p>
      <w:pPr>
        <w:ind w:left="680" w:hanging="335"/>
        <w:spacing w:after="0" w:line="225" w:lineRule="auto"/>
        <w:tabs>
          <w:tab w:leader="none" w:pos="680" w:val="left"/>
        </w:tabs>
        <w:numPr>
          <w:ilvl w:val="1"/>
          <w:numId w:val="4"/>
        </w:numPr>
        <w:rPr>
          <w:rFonts w:ascii="Arial" w:cs="Arial" w:eastAsia="Arial" w:hAnsi="Arial"/>
          <w:sz w:val="20"/>
          <w:szCs w:val="20"/>
          <w:color w:val="auto"/>
        </w:rPr>
      </w:pPr>
      <w:r>
        <w:rPr>
          <w:rFonts w:ascii="Arial" w:cs="Arial" w:eastAsia="Arial" w:hAnsi="Arial"/>
          <w:sz w:val="20"/>
          <w:szCs w:val="20"/>
          <w:color w:val="auto"/>
        </w:rPr>
        <w:t>Non-GAAP net income of $19.5 million, compared with $20.9 million</w:t>
      </w:r>
    </w:p>
    <w:p>
      <w:pPr>
        <w:ind w:left="680" w:hanging="335"/>
        <w:spacing w:after="0" w:line="225" w:lineRule="auto"/>
        <w:tabs>
          <w:tab w:leader="none" w:pos="680" w:val="left"/>
        </w:tabs>
        <w:numPr>
          <w:ilvl w:val="1"/>
          <w:numId w:val="4"/>
        </w:numPr>
        <w:rPr>
          <w:rFonts w:ascii="Arial" w:cs="Arial" w:eastAsia="Arial" w:hAnsi="Arial"/>
          <w:sz w:val="20"/>
          <w:szCs w:val="20"/>
          <w:color w:val="auto"/>
        </w:rPr>
      </w:pPr>
      <w:r>
        <w:rPr>
          <w:rFonts w:ascii="Arial" w:cs="Arial" w:eastAsia="Arial" w:hAnsi="Arial"/>
          <w:sz w:val="20"/>
          <w:szCs w:val="20"/>
          <w:color w:val="auto"/>
        </w:rPr>
        <w:t>Adjusted EBITDA of $32.8 million, compared with $33.0 million</w:t>
      </w:r>
    </w:p>
    <w:p>
      <w:pPr>
        <w:ind w:left="680" w:hanging="335"/>
        <w:spacing w:after="0" w:line="225" w:lineRule="auto"/>
        <w:tabs>
          <w:tab w:leader="none" w:pos="680" w:val="left"/>
        </w:tabs>
        <w:numPr>
          <w:ilvl w:val="1"/>
          <w:numId w:val="4"/>
        </w:numPr>
        <w:rPr>
          <w:rFonts w:ascii="Arial" w:cs="Arial" w:eastAsia="Arial" w:hAnsi="Arial"/>
          <w:sz w:val="20"/>
          <w:szCs w:val="20"/>
          <w:color w:val="auto"/>
        </w:rPr>
      </w:pPr>
      <w:r>
        <w:rPr>
          <w:rFonts w:ascii="Arial" w:cs="Arial" w:eastAsia="Arial" w:hAnsi="Arial"/>
          <w:sz w:val="20"/>
          <w:szCs w:val="20"/>
          <w:color w:val="auto"/>
        </w:rPr>
        <w:t>Earnings per diluted share was $0.23, compared with $0.50</w:t>
      </w:r>
    </w:p>
    <w:p>
      <w:pPr>
        <w:ind w:left="680" w:hanging="335"/>
        <w:spacing w:after="0" w:line="225" w:lineRule="auto"/>
        <w:tabs>
          <w:tab w:leader="none" w:pos="680" w:val="left"/>
        </w:tabs>
        <w:numPr>
          <w:ilvl w:val="1"/>
          <w:numId w:val="4"/>
        </w:numPr>
        <w:rPr>
          <w:rFonts w:ascii="Arial" w:cs="Arial" w:eastAsia="Arial" w:hAnsi="Arial"/>
          <w:sz w:val="20"/>
          <w:szCs w:val="20"/>
          <w:color w:val="auto"/>
        </w:rPr>
      </w:pPr>
      <w:r>
        <w:rPr>
          <w:rFonts w:ascii="Arial" w:cs="Arial" w:eastAsia="Arial" w:hAnsi="Arial"/>
          <w:sz w:val="20"/>
          <w:szCs w:val="20"/>
          <w:color w:val="auto"/>
        </w:rPr>
        <w:t>Non-GAAP earnings per diluted share of $0.55, compared with $0.59</w:t>
      </w:r>
    </w:p>
    <w:p>
      <w:pPr>
        <w:ind w:left="680" w:hanging="335"/>
        <w:spacing w:after="0"/>
        <w:tabs>
          <w:tab w:leader="none" w:pos="680" w:val="left"/>
        </w:tabs>
        <w:numPr>
          <w:ilvl w:val="1"/>
          <w:numId w:val="4"/>
        </w:numPr>
        <w:rPr>
          <w:rFonts w:ascii="Arial" w:cs="Arial" w:eastAsia="Arial" w:hAnsi="Arial"/>
          <w:sz w:val="20"/>
          <w:szCs w:val="20"/>
          <w:color w:val="auto"/>
        </w:rPr>
      </w:pPr>
      <w:r>
        <w:rPr>
          <w:rFonts w:ascii="Arial" w:cs="Arial" w:eastAsia="Arial" w:hAnsi="Arial"/>
          <w:sz w:val="20"/>
          <w:szCs w:val="20"/>
          <w:color w:val="auto"/>
        </w:rPr>
        <w:t>Bookings of $279.6 million, compared with $383.7 million</w:t>
      </w:r>
    </w:p>
    <w:p>
      <w:pPr>
        <w:spacing w:after="0" w:line="20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16"/>
          <w:szCs w:val="16"/>
          <w:color w:val="auto"/>
        </w:rPr>
        <w:t>All comparisons are versus the comparable prior-year period, unless otherwise stated</w:t>
      </w:r>
    </w:p>
    <w:p>
      <w:pPr>
        <w:spacing w:after="0" w:line="216" w:lineRule="exact"/>
        <w:rPr>
          <w:sz w:val="20"/>
          <w:szCs w:val="20"/>
          <w:color w:val="auto"/>
        </w:rPr>
      </w:pPr>
    </w:p>
    <w:p>
      <w:pPr>
        <w:ind w:left="100" w:right="240"/>
        <w:spacing w:after="0" w:line="229" w:lineRule="auto"/>
        <w:rPr>
          <w:sz w:val="20"/>
          <w:szCs w:val="20"/>
          <w:color w:val="auto"/>
        </w:rPr>
      </w:pPr>
      <w:r>
        <w:rPr>
          <w:rFonts w:ascii="Arial" w:cs="Arial" w:eastAsia="Arial" w:hAnsi="Arial"/>
          <w:sz w:val="20"/>
          <w:szCs w:val="20"/>
          <w:color w:val="auto"/>
        </w:rPr>
        <w:t>Todd Gleason, CECO’s Chief Executive Officer, commented, “We are pleased with the strong finish to a very challenging 2020. We delivered sequential improvements in bookings, revenue, adjusted EBITDA and operating margin expansion. Our focus on delivering differentiated solutions in key environmental categories drove double-digit bookings growth in the fourth quarter. We continued to prudently manage our cost structure which yielded steady EBITDA despite year-over-year decline in revenues.”</w:t>
      </w:r>
    </w:p>
    <w:p>
      <w:pPr>
        <w:spacing w:after="0" w:line="212" w:lineRule="exact"/>
        <w:rPr>
          <w:sz w:val="20"/>
          <w:szCs w:val="20"/>
          <w:color w:val="auto"/>
        </w:rPr>
      </w:pPr>
    </w:p>
    <w:p>
      <w:pPr>
        <w:jc w:val="both"/>
        <w:ind w:left="100" w:right="260"/>
        <w:spacing w:after="0" w:line="230" w:lineRule="auto"/>
        <w:rPr>
          <w:sz w:val="20"/>
          <w:szCs w:val="20"/>
          <w:color w:val="auto"/>
        </w:rPr>
      </w:pPr>
      <w:r>
        <w:rPr>
          <w:rFonts w:ascii="Arial" w:cs="Arial" w:eastAsia="Arial" w:hAnsi="Arial"/>
          <w:sz w:val="20"/>
          <w:szCs w:val="20"/>
          <w:color w:val="auto"/>
        </w:rPr>
        <w:t>Mr. Gleason added, “I am very proud of the way CECO responded to the crisis in 2020. We focused on operational items we can control and maintained our customer-focused execution. CECO enters 2021 with a healthy balance sheet, improving end markets and a continued focus on operational costs and execution. We are advancing our strategic growth process which will leverage our improved cost structure to drive sustainable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CONFERENCE CALL</w:t>
      </w:r>
    </w:p>
    <w:p>
      <w:pPr>
        <w:spacing w:after="0" w:line="216" w:lineRule="exact"/>
        <w:rPr>
          <w:sz w:val="20"/>
          <w:szCs w:val="20"/>
          <w:color w:val="auto"/>
        </w:rPr>
      </w:pPr>
    </w:p>
    <w:p>
      <w:pPr>
        <w:jc w:val="both"/>
        <w:ind w:left="100"/>
        <w:spacing w:after="0" w:line="236" w:lineRule="auto"/>
        <w:rPr>
          <w:sz w:val="20"/>
          <w:szCs w:val="20"/>
          <w:color w:val="auto"/>
        </w:rPr>
      </w:pPr>
      <w:r>
        <w:rPr>
          <w:rFonts w:ascii="Arial" w:cs="Arial" w:eastAsia="Arial" w:hAnsi="Arial"/>
          <w:sz w:val="20"/>
          <w:szCs w:val="20"/>
          <w:color w:val="auto"/>
        </w:rPr>
        <w:t>A conference call is scheduled for today at 8:30 a.m. ET to discuss the Company’s fourth quarter and fiscal 2020 financial results.</w:t>
      </w:r>
    </w:p>
    <w:p>
      <w:pPr>
        <w:spacing w:after="0" w:line="209" w:lineRule="exact"/>
        <w:rPr>
          <w:sz w:val="20"/>
          <w:szCs w:val="20"/>
          <w:color w:val="auto"/>
        </w:rPr>
      </w:pPr>
    </w:p>
    <w:p>
      <w:pPr>
        <w:jc w:val="both"/>
        <w:ind w:left="100"/>
        <w:spacing w:after="0" w:line="232" w:lineRule="auto"/>
        <w:rPr>
          <w:sz w:val="20"/>
          <w:szCs w:val="20"/>
          <w:color w:val="auto"/>
        </w:rPr>
      </w:pPr>
      <w:r>
        <w:rPr>
          <w:rFonts w:ascii="Arial" w:cs="Arial" w:eastAsia="Arial" w:hAnsi="Arial"/>
          <w:sz w:val="20"/>
          <w:szCs w:val="20"/>
          <w:color w:val="auto"/>
        </w:rPr>
        <w:t xml:space="preserve">The live webcast and slides can also be accessed at </w:t>
      </w:r>
      <w:r>
        <w:rPr>
          <w:rFonts w:ascii="Arial" w:cs="Arial" w:eastAsia="Arial" w:hAnsi="Arial"/>
          <w:sz w:val="20"/>
          <w:szCs w:val="20"/>
          <w:u w:val="single" w:color="auto"/>
          <w:color w:val="auto"/>
        </w:rPr>
        <w:t>https://investors.cecoenviro.com/events-webcasts-and-presentations</w:t>
      </w:r>
      <w:r>
        <w:rPr>
          <w:rFonts w:ascii="Arial" w:cs="Arial" w:eastAsia="Arial" w:hAnsi="Arial"/>
          <w:sz w:val="20"/>
          <w:szCs w:val="20"/>
          <w:color w:val="auto"/>
        </w:rPr>
        <w:t>. In addition, the conference call may also be accessed by dialing (888) 346-4547 (Toll-Free) within the U.S., (855) 669-9657 (Toll-Free) within Canada or Toll/International (412) 317-5251.</w:t>
      </w:r>
    </w:p>
    <w:p>
      <w:pPr>
        <w:spacing w:after="0" w:line="211" w:lineRule="exact"/>
        <w:rPr>
          <w:sz w:val="20"/>
          <w:szCs w:val="20"/>
          <w:color w:val="auto"/>
        </w:rPr>
      </w:pPr>
    </w:p>
    <w:p>
      <w:pPr>
        <w:jc w:val="both"/>
        <w:ind w:left="100"/>
        <w:spacing w:after="0" w:line="236" w:lineRule="auto"/>
        <w:rPr>
          <w:sz w:val="20"/>
          <w:szCs w:val="20"/>
          <w:color w:val="auto"/>
        </w:rPr>
      </w:pPr>
      <w:r>
        <w:rPr>
          <w:rFonts w:ascii="Arial" w:cs="Arial" w:eastAsia="Arial" w:hAnsi="Arial"/>
          <w:sz w:val="20"/>
          <w:szCs w:val="20"/>
          <w:color w:val="auto"/>
        </w:rPr>
        <w:t>A replay of the conference call will be available on the Company’s website for 7 days. The replay may be accessed by dialing toll free (877) 344-7529 within North America or Toll/International (412) 317-0088 and entering passcode 10152419.</w:t>
      </w:r>
    </w:p>
    <w:p>
      <w:pPr>
        <w:spacing w:after="0" w:line="200" w:lineRule="exact"/>
        <w:rPr>
          <w:sz w:val="20"/>
          <w:szCs w:val="20"/>
          <w:color w:val="auto"/>
        </w:rPr>
      </w:pPr>
    </w:p>
    <w:p>
      <w:pPr>
        <w:spacing w:after="0" w:line="215"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ABOUT CECO ENVIRONMENTAL</w:t>
      </w:r>
    </w:p>
    <w:p>
      <w:pPr>
        <w:spacing w:after="0" w:line="240" w:lineRule="exact"/>
        <w:rPr>
          <w:sz w:val="20"/>
          <w:szCs w:val="20"/>
          <w:color w:val="auto"/>
        </w:rPr>
      </w:pPr>
    </w:p>
    <w:p>
      <w:pPr>
        <w:jc w:val="both"/>
        <w:ind w:left="100"/>
        <w:spacing w:after="0" w:line="228" w:lineRule="auto"/>
        <w:rPr>
          <w:sz w:val="20"/>
          <w:szCs w:val="20"/>
          <w:color w:val="auto"/>
        </w:rPr>
      </w:pPr>
      <w:r>
        <w:rPr>
          <w:rFonts w:ascii="Arial" w:cs="Arial" w:eastAsia="Arial" w:hAnsi="Arial"/>
          <w:sz w:val="20"/>
          <w:szCs w:val="20"/>
          <w:color w:val="auto"/>
        </w:rPr>
        <w:t>CECO Environmental is a global leader in air quality and fluid handling serving the energy,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solutions for industries including power generation, wastewater treatment, poly silicon fabrication, petrochemical processing, electric vehicle production, battery recycling, general industrial, refining, and a wide range of other industries. CECO is listed on Nasdaq under the ticker symbol "CECE". For more information, please visit www.cecoenviro.com.</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Contact:</w:t>
      </w:r>
    </w:p>
    <w:p>
      <w:pPr>
        <w:spacing w:after="0" w:line="20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Matthew Eckl, Chief Financial Officer</w:t>
      </w:r>
    </w:p>
    <w:p>
      <w:pPr>
        <w:ind w:left="100" w:right="8280" w:firstLine="6"/>
        <w:spacing w:after="0" w:line="257" w:lineRule="auto"/>
        <w:tabs>
          <w:tab w:leader="none" w:pos="617"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990-6670 </w:t>
      </w:r>
      <w:r>
        <w:rPr>
          <w:rFonts w:ascii="Arial" w:cs="Arial" w:eastAsia="Arial" w:hAnsi="Arial"/>
          <w:sz w:val="19"/>
          <w:szCs w:val="19"/>
          <w:u w:val="single" w:color="auto"/>
          <w:color w:val="auto"/>
        </w:rPr>
        <w:t>investor.relations@onececo.com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3614420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3768725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8080" w:type="dxa"/>
            <w:vAlign w:val="bottom"/>
            <w:gridSpan w:val="3"/>
            <w:vMerge w:val="restart"/>
          </w:tcPr>
          <w:p>
            <w:pPr>
              <w:ind w:left="3360"/>
              <w:spacing w:after="0"/>
              <w:rPr>
                <w:sz w:val="20"/>
                <w:szCs w:val="20"/>
                <w:color w:val="auto"/>
              </w:rPr>
            </w:pPr>
            <w:r>
              <w:rPr>
                <w:rFonts w:ascii="Arial" w:cs="Arial" w:eastAsia="Arial" w:hAnsi="Arial"/>
                <w:sz w:val="18"/>
                <w:szCs w:val="18"/>
                <w:b w:val="1"/>
                <w:bCs w:val="1"/>
                <w:color w:val="auto"/>
              </w:rPr>
              <w:t>CECO ENVIRONMENTAL CORP. AND SUBSIDIARIES</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198"/>
        </w:trPr>
        <w:tc>
          <w:tcPr>
            <w:tcW w:w="8080" w:type="dxa"/>
            <w:vAlign w:val="bottom"/>
            <w:gridSpan w:val="3"/>
            <w:vMerge w:val="continue"/>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00" w:type="dxa"/>
            <w:vAlign w:val="bottom"/>
          </w:tcPr>
          <w:p>
            <w:pPr>
              <w:ind w:left="4060"/>
              <w:spacing w:after="0"/>
              <w:rPr>
                <w:sz w:val="20"/>
                <w:szCs w:val="20"/>
                <w:color w:val="auto"/>
              </w:rPr>
            </w:pPr>
            <w:r>
              <w:rPr>
                <w:rFonts w:ascii="Arial" w:cs="Arial" w:eastAsia="Arial" w:hAnsi="Arial"/>
                <w:sz w:val="18"/>
                <w:szCs w:val="18"/>
                <w:b w:val="1"/>
                <w:bCs w:val="1"/>
                <w:color w:val="auto"/>
              </w:rPr>
              <w:t>CONSOLIDATED BALANCE SHEETS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40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90"/>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FF0FC"/>
          </w:tcPr>
          <w:p>
            <w:pPr>
              <w:ind w:left="340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35,992</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2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63,046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income taxes</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Assets held for sale</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183,485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from operating leases</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161,820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 finite life, net</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Intangible assets – indefinite life</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Deferred charges and other assets</w:t>
            </w:r>
          </w:p>
        </w:tc>
        <w:tc>
          <w:tcPr>
            <w:tcW w:w="2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4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419,314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408,637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FF0FC"/>
          </w:tcPr>
          <w:p>
            <w:pPr>
              <w:ind w:left="178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debt</w:t>
            </w:r>
          </w:p>
        </w:tc>
        <w:tc>
          <w:tcPr>
            <w:tcW w:w="68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2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84,997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109,356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115,188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Debt, less current portion</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Deferred income tax liability, net</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215,703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$.01 par value; 10,000 shares authorized, none issued</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400" w:type="dxa"/>
            <w:vAlign w:val="bottom"/>
          </w:tcPr>
          <w:p>
            <w:pPr>
              <w:ind w:left="260"/>
              <w:spacing w:after="0"/>
              <w:rPr>
                <w:sz w:val="20"/>
                <w:szCs w:val="20"/>
                <w:color w:val="auto"/>
              </w:rPr>
            </w:pPr>
            <w:r>
              <w:rPr>
                <w:rFonts w:ascii="Arial" w:cs="Arial" w:eastAsia="Arial" w:hAnsi="Arial"/>
                <w:sz w:val="18"/>
                <w:szCs w:val="18"/>
                <w:color w:val="auto"/>
              </w:rPr>
              <w:t>Common stock, $.01 par value; 100,000,000 shares authorized, 35,504,757</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660"/>
              <w:spacing w:after="0"/>
              <w:rPr>
                <w:sz w:val="20"/>
                <w:szCs w:val="20"/>
                <w:color w:val="auto"/>
              </w:rPr>
            </w:pPr>
            <w:r>
              <w:rPr>
                <w:rFonts w:ascii="Arial" w:cs="Arial" w:eastAsia="Arial" w:hAnsi="Arial"/>
                <w:sz w:val="18"/>
                <w:szCs w:val="18"/>
                <w:color w:val="auto"/>
              </w:rPr>
              <w:t>and 35,275,465 shares issued and outstanding at September 30, 2020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660"/>
              <w:spacing w:after="0"/>
              <w:rPr>
                <w:sz w:val="20"/>
                <w:szCs w:val="20"/>
                <w:color w:val="auto"/>
              </w:rPr>
            </w:pPr>
            <w:r>
              <w:rPr>
                <w:rFonts w:ascii="Arial" w:cs="Arial" w:eastAsia="Arial" w:hAnsi="Arial"/>
                <w:sz w:val="18"/>
                <w:szCs w:val="18"/>
                <w:color w:val="auto"/>
              </w:rPr>
              <w:t>and December 31, 2019, respectively</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in excess of par value</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255,296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60"/>
              <w:spacing w:after="0"/>
              <w:rPr>
                <w:sz w:val="20"/>
                <w:szCs w:val="20"/>
                <w:color w:val="auto"/>
              </w:rPr>
            </w:pPr>
            <w:r>
              <w:rPr>
                <w:rFonts w:ascii="Arial" w:cs="Arial" w:eastAsia="Arial" w:hAnsi="Arial"/>
                <w:sz w:val="18"/>
                <w:szCs w:val="18"/>
                <w:color w:val="auto"/>
              </w:rPr>
              <w:t>Accumulated loss</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(38,141)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(46,344)</w:t>
            </w: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(14,496)</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(14,505)</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203,014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193,373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treasury stock, at cost, 137,920 shares at December 31, 2020 and 2019</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Shareholders’ equity less NCI</w:t>
            </w:r>
          </w:p>
        </w:tc>
        <w:tc>
          <w:tcPr>
            <w:tcW w:w="24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202,658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193,017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Noncontrolling interest</w:t>
            </w:r>
          </w:p>
        </w:tc>
        <w:tc>
          <w:tcPr>
            <w:tcW w:w="2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203,611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419,314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408,637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ind w:left="10360"/>
        <w:spacing w:after="0"/>
        <w:rPr>
          <w:sz w:val="20"/>
          <w:szCs w:val="20"/>
          <w:color w:val="auto"/>
        </w:rPr>
      </w:pPr>
      <w:r>
        <w:rPr>
          <w:rFonts w:ascii="Arial" w:cs="Arial" w:eastAsia="Arial" w:hAnsi="Arial"/>
          <w:sz w:val="16"/>
          <w:szCs w:val="16"/>
          <w:color w:val="auto"/>
        </w:rPr>
        <w:t>Exhibit 99.1</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220" w:type="dxa"/>
            <w:vAlign w:val="bottom"/>
          </w:tcPr>
          <w:p>
            <w:pPr>
              <w:spacing w:after="0"/>
              <w:rPr>
                <w:sz w:val="14"/>
                <w:szCs w:val="14"/>
                <w:color w:val="auto"/>
              </w:rPr>
            </w:pPr>
          </w:p>
        </w:tc>
        <w:tc>
          <w:tcPr>
            <w:tcW w:w="2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Three Months Ended December 31,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9"/>
              </w:rPr>
              <w:t>For the Year Ended December 31,</w:t>
            </w:r>
          </w:p>
        </w:tc>
        <w:tc>
          <w:tcPr>
            <w:tcW w:w="0" w:type="dxa"/>
            <w:vAlign w:val="bottom"/>
          </w:tcPr>
          <w:p>
            <w:pPr>
              <w:spacing w:after="0"/>
              <w:rPr>
                <w:sz w:val="1"/>
                <w:szCs w:val="1"/>
                <w:color w:val="auto"/>
              </w:rPr>
            </w:pPr>
          </w:p>
        </w:tc>
      </w:tr>
      <w:tr>
        <w:trPr>
          <w:trHeight w:val="155"/>
        </w:trPr>
        <w:tc>
          <w:tcPr>
            <w:tcW w:w="5060" w:type="dxa"/>
            <w:vAlign w:val="bottom"/>
            <w:tcBorders>
              <w:bottom w:val="single" w:sz="8" w:color="CFF0FC"/>
            </w:tcBorders>
            <w:vMerge w:val="continue"/>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82,930</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316,011</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56,707</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59,369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210,883</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26,223</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105,128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17,561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76,926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3,253</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Restructuring expenses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integration expenses</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Executive transition expenses</w:t>
            </w: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Loss on divestitures, net of selling costs</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Intangible asset impairment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3,694</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13,346</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(795)</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(3,535)</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(5,397)</w:t>
            </w:r>
          </w:p>
        </w:tc>
        <w:tc>
          <w:tcPr>
            <w:tcW w:w="0" w:type="dxa"/>
            <w:vAlign w:val="bottom"/>
          </w:tcPr>
          <w:p>
            <w:pPr>
              <w:spacing w:after="0"/>
              <w:rPr>
                <w:sz w:val="1"/>
                <w:szCs w:val="1"/>
                <w:color w:val="auto"/>
              </w:rPr>
            </w:pPr>
          </w:p>
        </w:tc>
      </w:tr>
      <w:tr>
        <w:trPr>
          <w:trHeight w:val="223"/>
        </w:trPr>
        <w:tc>
          <w:tcPr>
            <w:tcW w:w="5060" w:type="dxa"/>
            <w:vAlign w:val="bottom"/>
          </w:tcPr>
          <w:p>
            <w:pPr>
              <w:ind w:left="26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3,875</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11,844</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(1,794)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2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8,172</w:t>
            </w:r>
          </w:p>
        </w:tc>
        <w:tc>
          <w:tcPr>
            <w:tcW w:w="2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income attributable to CECO Environmental Corp.</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2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8,211</w:t>
            </w:r>
          </w:p>
        </w:tc>
        <w:tc>
          <w:tcPr>
            <w:tcW w:w="2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22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35,366,837</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35,117,916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35,289,616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34,987,878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35,655,014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35,352,957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35,520,670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35,484,273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99.1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9"/>
          </w:tcPr>
          <w:p>
            <w:pPr>
              <w:jc w:val="right"/>
              <w:ind w:right="560"/>
              <w:spacing w:after="0"/>
              <w:rPr>
                <w:sz w:val="20"/>
                <w:szCs w:val="20"/>
                <w:color w:val="auto"/>
              </w:rPr>
            </w:pPr>
            <w:r>
              <w:rPr>
                <w:rFonts w:ascii="Arial" w:cs="Arial" w:eastAsia="Arial" w:hAnsi="Arial"/>
                <w:sz w:val="14"/>
                <w:szCs w:val="14"/>
                <w:b w:val="1"/>
                <w:bCs w:val="1"/>
                <w:color w:val="auto"/>
                <w:w w:val="93"/>
              </w:rPr>
              <w:t>Three Months Ended 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9"/>
          </w:tcPr>
          <w:p>
            <w:pPr>
              <w:jc w:val="right"/>
              <w:ind w:right="520"/>
              <w:spacing w:after="0"/>
              <w:rPr>
                <w:sz w:val="20"/>
                <w:szCs w:val="20"/>
                <w:color w:val="auto"/>
              </w:rPr>
            </w:pPr>
            <w:r>
              <w:rPr>
                <w:rFonts w:ascii="Arial" w:cs="Arial" w:eastAsia="Arial" w:hAnsi="Arial"/>
                <w:sz w:val="14"/>
                <w:szCs w:val="14"/>
                <w:b w:val="1"/>
                <w:bCs w:val="1"/>
                <w:color w:val="auto"/>
                <w:w w:val="94"/>
              </w:rPr>
              <w:t>For the Year Ended December 31,</w:t>
            </w:r>
          </w:p>
        </w:tc>
        <w:tc>
          <w:tcPr>
            <w:tcW w:w="0" w:type="dxa"/>
            <w:vAlign w:val="bottom"/>
          </w:tcPr>
          <w:p>
            <w:pPr>
              <w:spacing w:after="0"/>
              <w:rPr>
                <w:sz w:val="1"/>
                <w:szCs w:val="1"/>
                <w:color w:val="auto"/>
              </w:rPr>
            </w:pPr>
          </w:p>
        </w:tc>
      </w:tr>
      <w:tr>
        <w:trPr>
          <w:trHeight w:val="155"/>
        </w:trPr>
        <w:tc>
          <w:tcPr>
            <w:tcW w:w="4660" w:type="dxa"/>
            <w:vAlign w:val="bottom"/>
            <w:tcBorders>
              <w:bottom w:val="single" w:sz="8" w:color="CFF0FC"/>
            </w:tcBorders>
            <w:vMerge w:val="continue"/>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as reported in accordance with GAAP</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i w:val="1"/>
                <w:iCs w:val="1"/>
                <w:color w:val="auto"/>
              </w:rPr>
              <w:t>Operating margin in accordance with GAAP</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i w:val="1"/>
                <w:iCs w:val="1"/>
                <w:color w:val="auto"/>
              </w:rPr>
              <w:t>4.5%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7.8%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i w:val="1"/>
                <w:iCs w:val="1"/>
                <w:color w:val="auto"/>
              </w:rPr>
              <w:t>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5.3%</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Restructuring expenses</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integration expenses</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Executive transition expenses</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Loss on divestitures, net of selling costs</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Intangible asset impairment</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operating income</w:t>
            </w:r>
          </w:p>
        </w:tc>
        <w:tc>
          <w:tcPr>
            <w:tcW w:w="6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i w:val="1"/>
                <w:iCs w:val="1"/>
                <w:color w:val="auto"/>
              </w:rPr>
              <w:t>Non-GAAP operating margin</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i w:val="1"/>
                <w:iCs w:val="1"/>
                <w:color w:val="auto"/>
              </w:rPr>
              <w:t>10.6%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10.7%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i w:val="1"/>
                <w:iCs w:val="1"/>
                <w:color w:val="auto"/>
              </w:rPr>
              <w:t>8.9%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8.2%</w:t>
            </w:r>
          </w:p>
        </w:tc>
        <w:tc>
          <w:tcPr>
            <w:tcW w:w="0" w:type="dxa"/>
            <w:vAlign w:val="bottom"/>
          </w:tcPr>
          <w:p>
            <w:pPr>
              <w:spacing w:after="0"/>
              <w:rPr>
                <w:sz w:val="1"/>
                <w:szCs w:val="1"/>
                <w:color w:val="auto"/>
              </w:rPr>
            </w:pPr>
          </w:p>
        </w:tc>
      </w:tr>
      <w:tr>
        <w:trPr>
          <w:trHeight w:val="769"/>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rPr>
              <w:t>Three Months Ended December 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5"/>
        </w:trPr>
        <w:tc>
          <w:tcPr>
            <w:tcW w:w="4660" w:type="dxa"/>
            <w:vAlign w:val="bottom"/>
            <w:tcBorders>
              <w:bottom w:val="single" w:sz="8" w:color="CFF0FC"/>
            </w:tcBorders>
            <w:vMerge w:val="continue"/>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income as reported in accordance with GAAP</w:t>
            </w:r>
          </w:p>
        </w:tc>
        <w:tc>
          <w:tcPr>
            <w:tcW w:w="740" w:type="dxa"/>
            <w:vAlign w:val="bottom"/>
            <w:gridSpan w:val="2"/>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FF0FC"/>
          </w:tcPr>
          <w:p>
            <w:pPr>
              <w:spacing w:after="0"/>
              <w:rPr>
                <w:sz w:val="19"/>
                <w:szCs w:val="19"/>
                <w:color w:val="auto"/>
              </w:rPr>
            </w:pPr>
          </w:p>
        </w:tc>
        <w:tc>
          <w:tcPr>
            <w:tcW w:w="100" w:type="dxa"/>
            <w:vAlign w:val="bottom"/>
            <w:gridSpan w:val="2"/>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500"/>
              <w:spacing w:after="0"/>
              <w:rPr>
                <w:sz w:val="20"/>
                <w:szCs w:val="20"/>
                <w:color w:val="auto"/>
              </w:rPr>
            </w:pPr>
            <w:r>
              <w:rPr>
                <w:rFonts w:ascii="Arial" w:cs="Arial" w:eastAsia="Arial" w:hAnsi="Arial"/>
                <w:sz w:val="18"/>
                <w:szCs w:val="18"/>
                <w:color w:val="auto"/>
              </w:rPr>
              <w:t>Amortization and earnout expenses</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Restructuring expenses</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500"/>
              <w:spacing w:after="0"/>
              <w:rPr>
                <w:sz w:val="20"/>
                <w:szCs w:val="20"/>
                <w:color w:val="auto"/>
              </w:rPr>
            </w:pPr>
            <w:r>
              <w:rPr>
                <w:rFonts w:ascii="Arial" w:cs="Arial" w:eastAsia="Arial" w:hAnsi="Arial"/>
                <w:sz w:val="18"/>
                <w:szCs w:val="18"/>
                <w:color w:val="auto"/>
              </w:rPr>
              <w:t>Acquisition and integration expenses</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Executive transition expenses</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tcPr>
          <w:p>
            <w:pPr>
              <w:ind w:left="500"/>
              <w:spacing w:after="0"/>
              <w:rPr>
                <w:sz w:val="20"/>
                <w:szCs w:val="20"/>
                <w:color w:val="auto"/>
              </w:rPr>
            </w:pPr>
            <w:r>
              <w:rPr>
                <w:rFonts w:ascii="Arial" w:cs="Arial" w:eastAsia="Arial" w:hAnsi="Arial"/>
                <w:sz w:val="18"/>
                <w:szCs w:val="18"/>
                <w:color w:val="auto"/>
              </w:rPr>
              <w:t>Loss on divestitures, net of selling costs</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Intangible asset impairment</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tcPr>
          <w:p>
            <w:pPr>
              <w:ind w:left="500"/>
              <w:spacing w:after="0"/>
              <w:rPr>
                <w:sz w:val="20"/>
                <w:szCs w:val="20"/>
                <w:color w:val="auto"/>
              </w:rPr>
            </w:pPr>
            <w:r>
              <w:rPr>
                <w:rFonts w:ascii="Arial" w:cs="Arial" w:eastAsia="Arial" w:hAnsi="Arial"/>
                <w:sz w:val="18"/>
                <w:szCs w:val="18"/>
                <w:color w:val="auto"/>
              </w:rPr>
              <w:t>Deferred financing fee adjustment</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remeasurement</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4660" w:type="dxa"/>
            <w:vAlign w:val="bottom"/>
          </w:tcPr>
          <w:p>
            <w:pPr>
              <w:ind w:left="500"/>
              <w:spacing w:after="0"/>
              <w:rPr>
                <w:sz w:val="20"/>
                <w:szCs w:val="20"/>
                <w:color w:val="auto"/>
              </w:rPr>
            </w:pPr>
            <w:r>
              <w:rPr>
                <w:rFonts w:ascii="Arial" w:cs="Arial" w:eastAsia="Arial" w:hAnsi="Arial"/>
                <w:sz w:val="18"/>
                <w:szCs w:val="18"/>
                <w:color w:val="auto"/>
              </w:rPr>
              <w:t>Tax benefit of adjustments</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Zhongli tax benefit</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Non-GAAP net income</w:t>
            </w:r>
          </w:p>
        </w:tc>
        <w:tc>
          <w:tcPr>
            <w:tcW w:w="74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500"/>
              <w:spacing w:after="0"/>
              <w:rPr>
                <w:sz w:val="20"/>
                <w:szCs w:val="20"/>
                <w:color w:val="auto"/>
              </w:rPr>
            </w:pPr>
            <w:r>
              <w:rPr>
                <w:rFonts w:ascii="Arial" w:cs="Arial" w:eastAsia="Arial" w:hAnsi="Arial"/>
                <w:sz w:val="18"/>
                <w:szCs w:val="18"/>
                <w:color w:val="auto"/>
              </w:rPr>
              <w:t>Non-cash stock compensation</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(income) expense, net</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466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tax expense</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500"/>
              <w:spacing w:after="0"/>
              <w:rPr>
                <w:sz w:val="20"/>
                <w:szCs w:val="20"/>
                <w:color w:val="auto"/>
              </w:rPr>
            </w:pPr>
            <w:r>
              <w:rPr>
                <w:rFonts w:ascii="Arial" w:cs="Arial" w:eastAsia="Arial" w:hAnsi="Arial"/>
                <w:sz w:val="18"/>
                <w:szCs w:val="18"/>
                <w:color w:val="auto"/>
              </w:rPr>
              <w:t>Adjusted EBITDA</w:t>
            </w:r>
          </w:p>
        </w:tc>
        <w:tc>
          <w:tcPr>
            <w:tcW w:w="74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gridSpan w:val="2"/>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Earnings per share:</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8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500"/>
              <w:spacing w:after="0"/>
              <w:rPr>
                <w:sz w:val="20"/>
                <w:szCs w:val="20"/>
                <w:color w:val="auto"/>
              </w:rPr>
            </w:pPr>
            <w:r>
              <w:rPr>
                <w:rFonts w:ascii="Arial" w:cs="Arial" w:eastAsia="Arial" w:hAnsi="Arial"/>
                <w:sz w:val="18"/>
                <w:szCs w:val="18"/>
                <w:color w:val="auto"/>
              </w:rPr>
              <w:t>Diluted</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9"/>
                <w:szCs w:val="19"/>
                <w:color w:val="auto"/>
              </w:rPr>
            </w:pP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19"/>
                <w:szCs w:val="19"/>
                <w:color w:val="auto"/>
              </w:rPr>
            </w:pPr>
          </w:p>
        </w:tc>
        <w:tc>
          <w:tcPr>
            <w:tcW w:w="32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Non-GAAP net income per share:</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0.55</w:t>
            </w:r>
          </w:p>
        </w:tc>
        <w:tc>
          <w:tcPr>
            <w:tcW w:w="8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500"/>
              <w:spacing w:after="0"/>
              <w:rPr>
                <w:sz w:val="20"/>
                <w:szCs w:val="20"/>
                <w:color w:val="auto"/>
              </w:rPr>
            </w:pPr>
            <w:r>
              <w:rPr>
                <w:rFonts w:ascii="Arial" w:cs="Arial" w:eastAsia="Arial" w:hAnsi="Arial"/>
                <w:sz w:val="18"/>
                <w:szCs w:val="18"/>
                <w:color w:val="auto"/>
              </w:rPr>
              <w:t>Diluted</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0.16</w:t>
            </w:r>
          </w:p>
        </w:tc>
        <w:tc>
          <w:tcPr>
            <w:tcW w:w="160" w:type="dxa"/>
            <w:vAlign w:val="bottom"/>
          </w:tcPr>
          <w:p>
            <w:pPr>
              <w:spacing w:after="0"/>
              <w:rPr>
                <w:sz w:val="20"/>
                <w:szCs w:val="20"/>
                <w:color w:val="auto"/>
              </w:rPr>
            </w:pP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0.55</w:t>
            </w:r>
          </w:p>
        </w:tc>
        <w:tc>
          <w:tcPr>
            <w:tcW w:w="80" w:type="dxa"/>
            <w:vAlign w:val="bottom"/>
          </w:tcPr>
          <w:p>
            <w:pPr>
              <w:spacing w:after="0"/>
              <w:rPr>
                <w:sz w:val="20"/>
                <w:szCs w:val="20"/>
                <w:color w:val="auto"/>
              </w:rPr>
            </w:pPr>
          </w:p>
        </w:tc>
        <w:tc>
          <w:tcPr>
            <w:tcW w:w="32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660" w:type="dxa"/>
            <w:vAlign w:val="bottom"/>
            <w:tcBorders>
              <w:bottom w:val="single" w:sz="8" w:color="D9D9D9"/>
            </w:tcBorders>
          </w:tcPr>
          <w:p>
            <w:pPr>
              <w:spacing w:after="0"/>
              <w:rPr>
                <w:sz w:val="18"/>
                <w:szCs w:val="18"/>
                <w:color w:val="auto"/>
              </w:rPr>
            </w:pPr>
          </w:p>
        </w:tc>
        <w:tc>
          <w:tcPr>
            <w:tcW w:w="600" w:type="dxa"/>
            <w:vAlign w:val="bottom"/>
            <w:tcBorders>
              <w:bottom w:val="single" w:sz="8" w:color="D9D9D9"/>
            </w:tcBorders>
          </w:tcPr>
          <w:p>
            <w:pPr>
              <w:spacing w:after="0"/>
              <w:rPr>
                <w:sz w:val="18"/>
                <w:szCs w:val="18"/>
                <w:color w:val="auto"/>
              </w:rPr>
            </w:pPr>
          </w:p>
        </w:tc>
        <w:tc>
          <w:tcPr>
            <w:tcW w:w="14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960" w:type="dxa"/>
            <w:vAlign w:val="bottom"/>
            <w:tcBorders>
              <w:bottom w:val="single" w:sz="8" w:color="D9D9D9"/>
            </w:tcBorders>
          </w:tcPr>
          <w:p>
            <w:pPr>
              <w:spacing w:after="0"/>
              <w:rPr>
                <w:sz w:val="18"/>
                <w:szCs w:val="18"/>
                <w:color w:val="auto"/>
              </w:rPr>
            </w:pPr>
          </w:p>
        </w:tc>
        <w:tc>
          <w:tcPr>
            <w:tcW w:w="140" w:type="dxa"/>
            <w:vAlign w:val="bottom"/>
            <w:tcBorders>
              <w:bottom w:val="single" w:sz="8" w:color="D9D9D9"/>
            </w:tcBorders>
          </w:tcPr>
          <w:p>
            <w:pPr>
              <w:spacing w:after="0"/>
              <w:rPr>
                <w:sz w:val="18"/>
                <w:szCs w:val="18"/>
                <w:color w:val="auto"/>
              </w:rPr>
            </w:pPr>
          </w:p>
        </w:tc>
        <w:tc>
          <w:tcPr>
            <w:tcW w:w="16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60" w:type="dxa"/>
            <w:vAlign w:val="bottom"/>
            <w:tcBorders>
              <w:bottom w:val="single" w:sz="8" w:color="D9D9D9"/>
            </w:tcBorders>
          </w:tcPr>
          <w:p>
            <w:pPr>
              <w:spacing w:after="0"/>
              <w:rPr>
                <w:sz w:val="18"/>
                <w:szCs w:val="18"/>
                <w:color w:val="auto"/>
              </w:rPr>
            </w:pPr>
          </w:p>
        </w:tc>
        <w:tc>
          <w:tcPr>
            <w:tcW w:w="200" w:type="dxa"/>
            <w:vAlign w:val="bottom"/>
            <w:tcBorders>
              <w:bottom w:val="single" w:sz="8" w:color="D9D9D9"/>
            </w:tcBorders>
          </w:tcPr>
          <w:p>
            <w:pPr>
              <w:spacing w:after="0"/>
              <w:rPr>
                <w:sz w:val="18"/>
                <w:szCs w:val="18"/>
                <w:color w:val="auto"/>
              </w:rPr>
            </w:pPr>
          </w:p>
        </w:tc>
        <w:tc>
          <w:tcPr>
            <w:tcW w:w="880" w:type="dxa"/>
            <w:vAlign w:val="bottom"/>
            <w:tcBorders>
              <w:bottom w:val="single" w:sz="8" w:color="D9D9D9"/>
            </w:tcBorders>
          </w:tcPr>
          <w:p>
            <w:pPr>
              <w:spacing w:after="0"/>
              <w:rPr>
                <w:sz w:val="18"/>
                <w:szCs w:val="18"/>
                <w:color w:val="auto"/>
              </w:rPr>
            </w:pPr>
          </w:p>
        </w:tc>
        <w:tc>
          <w:tcPr>
            <w:tcW w:w="16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4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140" w:type="dxa"/>
            <w:vAlign w:val="bottom"/>
            <w:tcBorders>
              <w:bottom w:val="single" w:sz="8" w:color="D9D9D9"/>
            </w:tcBorders>
          </w:tcPr>
          <w:p>
            <w:pPr>
              <w:spacing w:after="0"/>
              <w:rPr>
                <w:sz w:val="18"/>
                <w:szCs w:val="18"/>
                <w:color w:val="auto"/>
              </w:rPr>
            </w:pPr>
          </w:p>
        </w:tc>
        <w:tc>
          <w:tcPr>
            <w:tcW w:w="960" w:type="dxa"/>
            <w:vAlign w:val="bottom"/>
            <w:tcBorders>
              <w:bottom w:val="single" w:sz="8" w:color="D9D9D9"/>
            </w:tcBorders>
          </w:tcPr>
          <w:p>
            <w:pPr>
              <w:spacing w:after="0"/>
              <w:rPr>
                <w:sz w:val="18"/>
                <w:szCs w:val="18"/>
                <w:color w:val="auto"/>
              </w:rPr>
            </w:pPr>
          </w:p>
        </w:tc>
        <w:tc>
          <w:tcPr>
            <w:tcW w:w="220" w:type="dxa"/>
            <w:vAlign w:val="bottom"/>
            <w:tcBorders>
              <w:bottom w:val="single" w:sz="8" w:color="D9D9D9"/>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20" w:type="dxa"/>
            <w:vAlign w:val="bottom"/>
            <w:tcBorders>
              <w:bottom w:val="single" w:sz="8" w:color="D9D9D9"/>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220" w:type="dxa"/>
            <w:vAlign w:val="bottom"/>
            <w:tcBorders>
              <w:bottom w:val="single" w:sz="8" w:color="D9D9D9"/>
            </w:tcBorders>
          </w:tcPr>
          <w:p>
            <w:pPr>
              <w:spacing w:after="0"/>
              <w:rPr>
                <w:sz w:val="18"/>
                <w:szCs w:val="18"/>
                <w:color w:val="auto"/>
              </w:rPr>
            </w:pPr>
          </w:p>
        </w:tc>
        <w:tc>
          <w:tcPr>
            <w:tcW w:w="90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D9D9D9"/>
            </w:tcBorders>
          </w:tcPr>
          <w:p>
            <w:pPr>
              <w:spacing w:after="0"/>
              <w:rPr>
                <w:sz w:val="19"/>
                <w:szCs w:val="19"/>
                <w:color w:val="auto"/>
              </w:rPr>
            </w:pPr>
          </w:p>
        </w:tc>
        <w:tc>
          <w:tcPr>
            <w:tcW w:w="600" w:type="dxa"/>
            <w:vAlign w:val="bottom"/>
            <w:tcBorders>
              <w:bottom w:val="single" w:sz="8" w:color="D9D9D9"/>
            </w:tcBorders>
          </w:tcPr>
          <w:p>
            <w:pPr>
              <w:spacing w:after="0"/>
              <w:rPr>
                <w:sz w:val="19"/>
                <w:szCs w:val="19"/>
                <w:color w:val="auto"/>
              </w:rPr>
            </w:pPr>
          </w:p>
        </w:tc>
        <w:tc>
          <w:tcPr>
            <w:tcW w:w="14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960" w:type="dxa"/>
            <w:vAlign w:val="bottom"/>
            <w:tcBorders>
              <w:bottom w:val="single" w:sz="8" w:color="D9D9D9"/>
            </w:tcBorders>
          </w:tcPr>
          <w:p>
            <w:pPr>
              <w:spacing w:after="0"/>
              <w:rPr>
                <w:sz w:val="19"/>
                <w:szCs w:val="19"/>
                <w:color w:val="auto"/>
              </w:rPr>
            </w:pPr>
          </w:p>
        </w:tc>
        <w:tc>
          <w:tcPr>
            <w:tcW w:w="140" w:type="dxa"/>
            <w:vAlign w:val="bottom"/>
            <w:tcBorders>
              <w:bottom w:val="single" w:sz="8" w:color="D9D9D9"/>
            </w:tcBorders>
          </w:tcPr>
          <w:p>
            <w:pPr>
              <w:spacing w:after="0"/>
              <w:rPr>
                <w:sz w:val="19"/>
                <w:szCs w:val="19"/>
                <w:color w:val="auto"/>
              </w:rPr>
            </w:pPr>
          </w:p>
        </w:tc>
        <w:tc>
          <w:tcPr>
            <w:tcW w:w="16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60" w:type="dxa"/>
            <w:vAlign w:val="bottom"/>
            <w:tcBorders>
              <w:bottom w:val="single" w:sz="8" w:color="D9D9D9"/>
            </w:tcBorders>
          </w:tcPr>
          <w:p>
            <w:pPr>
              <w:spacing w:after="0"/>
              <w:rPr>
                <w:sz w:val="19"/>
                <w:szCs w:val="19"/>
                <w:color w:val="auto"/>
              </w:rPr>
            </w:pPr>
          </w:p>
        </w:tc>
        <w:tc>
          <w:tcPr>
            <w:tcW w:w="200" w:type="dxa"/>
            <w:vAlign w:val="bottom"/>
            <w:tcBorders>
              <w:bottom w:val="single" w:sz="8" w:color="D9D9D9"/>
            </w:tcBorders>
          </w:tcPr>
          <w:p>
            <w:pPr>
              <w:spacing w:after="0"/>
              <w:rPr>
                <w:sz w:val="19"/>
                <w:szCs w:val="19"/>
                <w:color w:val="auto"/>
              </w:rPr>
            </w:pPr>
          </w:p>
        </w:tc>
        <w:tc>
          <w:tcPr>
            <w:tcW w:w="880" w:type="dxa"/>
            <w:vAlign w:val="bottom"/>
            <w:tcBorders>
              <w:bottom w:val="single" w:sz="8" w:color="D9D9D9"/>
            </w:tcBorders>
          </w:tcPr>
          <w:p>
            <w:pPr>
              <w:spacing w:after="0"/>
              <w:rPr>
                <w:sz w:val="19"/>
                <w:szCs w:val="19"/>
                <w:color w:val="auto"/>
              </w:rPr>
            </w:pPr>
          </w:p>
        </w:tc>
        <w:tc>
          <w:tcPr>
            <w:tcW w:w="16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4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140" w:type="dxa"/>
            <w:vAlign w:val="bottom"/>
            <w:tcBorders>
              <w:bottom w:val="single" w:sz="8" w:color="D9D9D9"/>
            </w:tcBorders>
          </w:tcPr>
          <w:p>
            <w:pPr>
              <w:spacing w:after="0"/>
              <w:rPr>
                <w:sz w:val="19"/>
                <w:szCs w:val="19"/>
                <w:color w:val="auto"/>
              </w:rPr>
            </w:pPr>
          </w:p>
        </w:tc>
        <w:tc>
          <w:tcPr>
            <w:tcW w:w="960" w:type="dxa"/>
            <w:vAlign w:val="bottom"/>
            <w:tcBorders>
              <w:bottom w:val="single" w:sz="8" w:color="D9D9D9"/>
            </w:tcBorders>
          </w:tcPr>
          <w:p>
            <w:pPr>
              <w:spacing w:after="0"/>
              <w:rPr>
                <w:sz w:val="19"/>
                <w:szCs w:val="19"/>
                <w:color w:val="auto"/>
              </w:rPr>
            </w:pPr>
          </w:p>
        </w:tc>
        <w:tc>
          <w:tcPr>
            <w:tcW w:w="22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220" w:type="dxa"/>
            <w:vAlign w:val="bottom"/>
            <w:tcBorders>
              <w:bottom w:val="single" w:sz="8" w:color="D9D9D9"/>
            </w:tcBorders>
          </w:tcPr>
          <w:p>
            <w:pPr>
              <w:spacing w:after="0"/>
              <w:rPr>
                <w:sz w:val="19"/>
                <w:szCs w:val="19"/>
                <w:color w:val="auto"/>
              </w:rPr>
            </w:pPr>
          </w:p>
        </w:tc>
        <w:tc>
          <w:tcPr>
            <w:tcW w:w="90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99.1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 REGARDING NON-GAAP FINANCIAL MEASURES</w:t>
      </w:r>
    </w:p>
    <w:p>
      <w:pPr>
        <w:spacing w:after="0" w:line="213"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CECO is providing certain non-GAAP historical financial measures as presented above as the Company believes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the GAAP statement of operations.</w:t>
      </w:r>
    </w:p>
    <w:p>
      <w:pPr>
        <w:spacing w:after="0" w:line="21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Non-GAAP operating income, non-GAAP net income, non-GAAP operating margin, non-GAAP net income per basic and diluted share and adjusted EBITDA, as we present them in the financial data included in this press release, have been adjusted to exclude the effects of amortization expenses for acquisition related intangible assets, contingent retention and earnout expenses, restructuring expenses primarily relating to severance and legal expenses, acquisition and integration expenses which include retention, legal, accounting, banking, and other expenses, executive transition expenses, loss on divestitures, net of selling costs necessary to complete the divestiture such as legal, accounting and compliance, intangible asset impairment and other nonrecurring or infrequent items and the associated tax benefit of these items. Management believes that these items are not necessarily indicative of the Company’s ongoing operations and their exclusion provides individuals with additional information to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211"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Non-GAAP operating income, non-GAAP net income, non-GAAP operating margin, non-GAAP net income per basic and diluted share and adjusted EBITDA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212"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auto"/>
        </w:rPr>
        <w:t>In accordance with the requirements of Regulation G issued by the Securities and Exchange Commission, non-GAAP operating income, non-GAAP net income, non-GAAP operating margin and non-GAAP net income per basic and diluted share and adjusted EBITDA stated in the tables above are reconciled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SAFE HARBOR</w:t>
      </w:r>
    </w:p>
    <w:p>
      <w:pPr>
        <w:spacing w:after="0" w:line="202"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Any statements contained in this Press Release,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2020, and include, but are not limited to: the sensitivity of our business to economic and financial market conditions generally and economic conditions in our service areas;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strategic transactions and our ability to repay or refinance it or incur additional debt in the future; the impact of federal, state or local government regulations; economic and political conditions generally; our ability to successfully realize the expected benefits of our restructuring program; our ability to successfully integrate acquired businesses and realize the synergies from strategic transactions; unpredictability and severity of catastrophic events, including cyber-security threats, acts of terrorism or outbreak of war or hostilities or public health crises, such as uncertainties regarding the extent and duration of impacts of matters associated with the novel coronavirus (“COVID-19”),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1)"/>
      <w:numFmt w:val="decimal"/>
      <w:start w:val="888"/>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2021-03-03T06:08:10Z</dcterms:created>
  <dcterms:modified xsi:type="dcterms:W3CDTF">2021-03-03T06:08:10Z</dcterms:modified>
</cp:coreProperties>
</file>