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SIEGEL LAURIE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14651 NORTH DALLAS PARKWAY SUITE 500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CECO ENVIRONMENTAL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5"/>
                <w:szCs w:val="5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shd w:val="clear" w:color="auto" w:fill="0000EE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"/>
                <w:szCs w:val="1"/>
                <w:color w:val="0000FF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"/>
                  <w:szCs w:val="1"/>
                  <w:color w:val="0000FF"/>
                </w:rPr>
                <w:t xml:space="preserve">CECO </w:t>
              </w:r>
              <w:r>
                <w:rPr>
                  <w:rFonts w:ascii="Times New Roman" w:cs="Times New Roman" w:eastAsia="Times New Roman" w:hAnsi="Times New Roman"/>
                  <w:sz w:val="1"/>
                  <w:szCs w:val="1"/>
                  <w:color w:val="000000"/>
                </w:rPr>
                <w:t>]</w:t>
              </w:r>
            </w:hyperlink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5,712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13,618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will vest one year from the date of grant.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Joycelynn Watkins-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994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9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Asiyanbi as Attorney-in-Fact</w:t>
        <w:tab/>
        <w:t>05/22/2024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Laurie Siegel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448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23626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2024-05-22T10:51:59Z</dcterms:created>
  <dcterms:modified xsi:type="dcterms:W3CDTF">2024-05-22T10:51:59Z</dcterms:modified>
</cp:coreProperties>
</file>