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double" w:sz="6" w:space="1" w:color="000000"/>
        </w:pBdr>
        <w:spacing w:before="0" w:after="0"/>
        <w:jc w:val="left"/>
        <w:rPr/>
      </w:pPr>
      <w:bookmarkStart w:id="0" w:name="ceco-20230509.htm"/>
      <w:bookmarkStart w:id="1" w:name="ksceco20230509"/>
      <w:bookmarkEnd w:id="0"/>
      <w:bookmarkEnd w:id="1"/>
      <w:r>
        <w:rPr/>
        <w:t> </w:t>
      </w:r>
    </w:p>
    <w:p>
      <w:pPr>
        <w:pStyle w:val="TextBody"/>
        <w:spacing w:before="80" w:after="0"/>
        <w:jc w:val="center"/>
        <w:rPr>
          <w:rFonts w:ascii="Times New Roman" w:hAnsi="Times New Roman"/>
          <w:sz w:val="20"/>
        </w:rPr>
      </w:pPr>
      <w:r>
        <w:rPr>
          <w:rFonts w:ascii="Times New Roman;serif" w:hAnsi="Times New Roman;serif"/>
          <w:b/>
          <w:sz w:val="32"/>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2"/>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spacing w:before="180" w:after="0"/>
        <w:jc w:val="center"/>
        <w:rPr>
          <w:rFonts w:ascii="Times New Roman;serif" w:hAnsi="Times New Roman;serif"/>
          <w:b/>
          <w:sz w:val="32"/>
        </w:rPr>
      </w:pPr>
      <w:r>
        <w:rPr>
          <w:rFonts w:ascii="Times New Roman;serif" w:hAnsi="Times New Roman;serif"/>
          <w:b/>
          <w:sz w:val="32"/>
        </w:rPr>
        <w:t>FORM 8-K</w:t>
      </w:r>
    </w:p>
    <w:p>
      <w:pPr>
        <w:pStyle w:val="TextBody"/>
        <w:spacing w:before="180" w:after="0"/>
        <w:jc w:val="center"/>
        <w:rPr>
          <w:rFonts w:ascii="Times New Roman" w:hAnsi="Times New Roman"/>
          <w:sz w:val="20"/>
        </w:rPr>
      </w:pPr>
      <w:r>
        <w:rPr>
          <w:rFonts w:ascii="Times New Roman;serif" w:hAnsi="Times New Roman;serif"/>
          <w:b/>
          <w:sz w:val="24"/>
        </w:rPr>
        <w:t>CURRENT REPORT</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Pursuant to Section 13 or 15(d)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of the Securities Exchange Act of 1934</w:t>
      </w:r>
      <w:r>
        <w:rPr>
          <w:rFonts w:ascii="Times New Roman" w:hAnsi="Times New Roman"/>
          <w:sz w:val="20"/>
        </w:rPr>
        <w:t xml:space="preserve"> </w:t>
      </w:r>
    </w:p>
    <w:p>
      <w:pPr>
        <w:pStyle w:val="TextBody"/>
        <w:spacing w:before="80" w:after="0"/>
        <w:jc w:val="center"/>
        <w:rPr>
          <w:rFonts w:ascii="Times New Roman;serif" w:hAnsi="Times New Roman;serif"/>
          <w:b/>
          <w:sz w:val="24"/>
        </w:rPr>
      </w:pPr>
      <w:r>
        <w:rPr>
          <w:rFonts w:ascii="Times New Roman;serif" w:hAnsi="Times New Roman;serif"/>
          <w:b/>
          <w:sz w:val="24"/>
        </w:rPr>
        <w:t>Date of Report (Date of earliest event reported): May 9, 2023</w:t>
      </w:r>
    </w:p>
    <w:p>
      <w:pPr>
        <w:pStyle w:val="TextBody"/>
        <w:spacing w:before="180" w:after="0"/>
        <w:jc w:val="center"/>
        <w:rPr>
          <w:rFonts w:ascii="Times New Roman;serif" w:hAnsi="Times New Roman;serif"/>
          <w:b/>
          <w:sz w:val="36"/>
        </w:rPr>
      </w:pPr>
      <w:r>
        <w:rPr>
          <w:rFonts w:ascii="Times New Roman;serif" w:hAnsi="Times New Roman;serif"/>
          <w:b/>
          <w:sz w:val="36"/>
        </w:rPr>
        <w:t>CECO ENVIRONMENTAL CORP.</w:t>
      </w:r>
    </w:p>
    <w:p>
      <w:pPr>
        <w:pStyle w:val="TextBody"/>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tbl>
      <w:tblPr>
        <w:tblW w:w="4841" w:type="dxa"/>
        <w:jc w:val="left"/>
        <w:tblInd w:w="0" w:type="dxa"/>
        <w:tblCellMar>
          <w:top w:w="28" w:type="dxa"/>
          <w:left w:w="28" w:type="dxa"/>
          <w:bottom w:w="28" w:type="dxa"/>
          <w:right w:w="28" w:type="dxa"/>
        </w:tblCellMar>
      </w:tblPr>
      <w:tblGrid>
        <w:gridCol w:w="2071"/>
        <w:gridCol w:w="109"/>
        <w:gridCol w:w="1066"/>
        <w:gridCol w:w="109"/>
        <w:gridCol w:w="1486"/>
      </w:tblGrid>
      <w:tr>
        <w:trPr/>
        <w:tc>
          <w:tcPr>
            <w:tcW w:w="20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071"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Delaware</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6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000-7099</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13-2566064</w:t>
            </w:r>
          </w:p>
        </w:tc>
      </w:tr>
      <w:tr>
        <w:trPr/>
        <w:tc>
          <w:tcPr>
            <w:tcW w:w="207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w:t>
            </w:r>
          </w:p>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of incorporation)</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6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(Commission</w:t>
            </w:r>
          </w:p>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File Number)</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Identification No.)</w:t>
            </w:r>
          </w:p>
        </w:tc>
      </w:tr>
    </w:tbl>
    <w:tbl>
      <w:tblPr>
        <w:tblW w:w="3966" w:type="dxa"/>
        <w:jc w:val="left"/>
        <w:tblInd w:w="0" w:type="dxa"/>
        <w:tblCellMar>
          <w:top w:w="28" w:type="dxa"/>
          <w:left w:w="28" w:type="dxa"/>
          <w:bottom w:w="28" w:type="dxa"/>
          <w:right w:w="28" w:type="dxa"/>
        </w:tblCellMar>
      </w:tblPr>
      <w:tblGrid>
        <w:gridCol w:w="2926"/>
        <w:gridCol w:w="109"/>
        <w:gridCol w:w="931"/>
      </w:tblGrid>
      <w:tr>
        <w:trPr/>
        <w:tc>
          <w:tcPr>
            <w:tcW w:w="29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14651 North Dallas Parkway</w:t>
            </w:r>
          </w:p>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Suite 500</w:t>
            </w:r>
          </w:p>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Dallas, TX</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31"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75254</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3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spacing w:before="180" w:after="0"/>
        <w:jc w:val="center"/>
        <w:rPr>
          <w:rFonts w:ascii="Times New Roman;serif" w:hAnsi="Times New Roman;serif"/>
          <w:b/>
          <w:sz w:val="20"/>
        </w:rPr>
      </w:pPr>
      <w:r>
        <w:rPr>
          <w:rFonts w:ascii="Times New Roman;serif" w:hAnsi="Times New Roman;serif"/>
          <w:b/>
          <w:sz w:val="20"/>
        </w:rPr>
        <w:t>Registrant’s telephone number, including area code: (214) 357-6181</w:t>
      </w:r>
    </w:p>
    <w:p>
      <w:pPr>
        <w:pStyle w:val="TextBody"/>
        <w:spacing w:before="180" w:after="0"/>
        <w:jc w:val="left"/>
        <w:rPr>
          <w:rFonts w:ascii="Times New Roman" w:hAnsi="Times New Roman"/>
          <w:sz w:val="20"/>
        </w:rPr>
      </w:pPr>
      <w:r>
        <w:rPr>
          <w:rFonts w:ascii="Times New Roman;serif" w:hAnsi="Times New Roman;serif"/>
          <w:b w:val="false"/>
          <w:sz w:val="18"/>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spacing w:before="100" w:after="0"/>
        <w:jc w:val="left"/>
        <w:rPr/>
      </w:pPr>
      <w:r>
        <w:rPr/>
        <w:t xml:space="preserve">☐ </w:t>
      </w:r>
      <w:r>
        <w:rPr>
          <w:rFonts w:ascii="Times New Roman;serif" w:hAnsi="Times New Roman;serif"/>
          <w:b w:val="false"/>
          <w:sz w:val="18"/>
        </w:rPr>
        <w:t>Written communications pursuant to Rule 425 under the Securities Act (17 CFR 230.425)</w:t>
      </w:r>
      <w:r>
        <w:rPr>
          <w:rFonts w:ascii="Times New Roman" w:hAnsi="Times New Roman"/>
          <w:sz w:val="20"/>
        </w:rPr>
        <w:t xml:space="preserve"> </w:t>
      </w:r>
    </w:p>
    <w:p>
      <w:pPr>
        <w:pStyle w:val="TextBody"/>
        <w:spacing w:before="100" w:after="0"/>
        <w:jc w:val="left"/>
        <w:rPr/>
      </w:pPr>
      <w:r>
        <w:rPr/>
        <w:t xml:space="preserve">☐ </w:t>
      </w:r>
      <w:r>
        <w:rPr>
          <w:rFonts w:ascii="Times New Roman;serif" w:hAnsi="Times New Roman;serif"/>
          <w:b w:val="false"/>
          <w:sz w:val="18"/>
        </w:rPr>
        <w:t>Soliciting material pursuant to Rule 14a-12 under the Exchange Act (17 CFR 240.14a-12)</w:t>
      </w:r>
      <w:r>
        <w:rPr>
          <w:rFonts w:ascii="Times New Roman" w:hAnsi="Times New Roman"/>
          <w:sz w:val="20"/>
        </w:rPr>
        <w:t xml:space="preserve"> </w:t>
      </w:r>
    </w:p>
    <w:p>
      <w:pPr>
        <w:pStyle w:val="TextBody"/>
        <w:spacing w:before="100" w:after="0"/>
        <w:jc w:val="left"/>
        <w:rPr/>
      </w:pPr>
      <w:r>
        <w:rPr/>
        <w:t xml:space="preserve">☐ </w:t>
      </w:r>
      <w:r>
        <w:rPr>
          <w:rFonts w:ascii="Times New Roman;serif" w:hAnsi="Times New Roman;serif"/>
          <w:b w:val="false"/>
          <w:sz w:val="18"/>
        </w:rPr>
        <w:t>Pre-commencement communications pursuant to Rule 14d-2(b) under the Exchange Act (17 CFR 240.14d-2(b))</w:t>
      </w:r>
      <w:r>
        <w:rPr>
          <w:rFonts w:ascii="Times New Roman" w:hAnsi="Times New Roman"/>
          <w:sz w:val="20"/>
        </w:rPr>
        <w:t xml:space="preserve"> </w:t>
      </w:r>
    </w:p>
    <w:p>
      <w:pPr>
        <w:pStyle w:val="TextBody"/>
        <w:spacing w:before="100" w:after="0"/>
        <w:jc w:val="left"/>
        <w:rPr/>
      </w:pPr>
      <w:r>
        <w:rPr/>
        <w:t xml:space="preserve">☐ </w:t>
      </w:r>
      <w:r>
        <w:rPr>
          <w:rFonts w:ascii="Times New Roman;serif" w:hAnsi="Times New Roman;serif"/>
          <w:b w:val="false"/>
          <w:sz w:val="18"/>
        </w:rPr>
        <w:t>Pre-commencement communications pursuant to Rule 13e-4(c) under the Exchange Act (17 CFR 240.13e-4(c))</w:t>
      </w:r>
      <w:r>
        <w:rPr>
          <w:rFonts w:ascii="Times New Roman" w:hAnsi="Times New Roman"/>
          <w:sz w:val="20"/>
        </w:rPr>
        <w:t xml:space="preserve"> </w:t>
      </w:r>
    </w:p>
    <w:p>
      <w:pPr>
        <w:pStyle w:val="TextBody"/>
        <w:spacing w:before="120" w:after="120"/>
        <w:jc w:val="center"/>
        <w:rPr>
          <w:rFonts w:ascii="Times New Roman;serif" w:hAnsi="Times New Roman;serif"/>
          <w:b w:val="false"/>
          <w:sz w:val="18"/>
        </w:rPr>
      </w:pPr>
      <w:r>
        <w:rPr>
          <w:rFonts w:ascii="Times New Roman;serif" w:hAnsi="Times New Roman;serif"/>
          <w:b w:val="false"/>
          <w:sz w:val="18"/>
        </w:rPr>
        <w:t>Securities registered pursuant to Section 12(b) of the Act:</w:t>
      </w:r>
    </w:p>
    <w:tbl>
      <w:tblPr>
        <w:tblW w:w="7533" w:type="dxa"/>
        <w:jc w:val="left"/>
        <w:tblInd w:w="0" w:type="dxa"/>
        <w:tblCellMar>
          <w:top w:w="28" w:type="dxa"/>
          <w:left w:w="28" w:type="dxa"/>
          <w:bottom w:w="28" w:type="dxa"/>
          <w:right w:w="28" w:type="dxa"/>
        </w:tblCellMar>
      </w:tblPr>
      <w:tblGrid>
        <w:gridCol w:w="3061"/>
        <w:gridCol w:w="1246"/>
        <w:gridCol w:w="3226"/>
      </w:tblGrid>
      <w:tr>
        <w:trPr/>
        <w:tc>
          <w:tcPr>
            <w:tcW w:w="306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3226" w:type="dxa"/>
            <w:tcBorders/>
            <w:shd w:fill="auto" w:val="clear"/>
            <w:vAlign w:val="center"/>
          </w:tcPr>
          <w:p>
            <w:pPr>
              <w:pStyle w:val="TableContents"/>
              <w:spacing w:before="0" w:after="283"/>
              <w:rPr>
                <w:sz w:val="4"/>
                <w:szCs w:val="4"/>
              </w:rPr>
            </w:pPr>
            <w:r>
              <w:rPr>
                <w:sz w:val="4"/>
                <w:szCs w:val="4"/>
              </w:rPr>
            </w:r>
          </w:p>
        </w:tc>
      </w:tr>
      <w:tr>
        <w:trPr/>
        <w:tc>
          <w:tcPr>
            <w:tcW w:w="3061" w:type="dxa"/>
            <w:tcBorders>
              <w:top w:val="single" w:sz="8" w:space="0" w:color="000000"/>
              <w:left w:val="single" w:sz="8" w:space="0" w:color="000000"/>
              <w:bottom w:val="single" w:sz="8" w:space="0" w:color="000000"/>
              <w:right w:val="single" w:sz="8" w:space="0" w:color="000000"/>
            </w:tcBorders>
            <w:shd w:fill="auto" w:val="clear"/>
            <w:tcMar>
              <w:left w:w="108" w:type="dxa"/>
              <w:right w:w="108" w:type="dxa"/>
            </w:tcMar>
            <w:vAlign w:val="center"/>
          </w:tcPr>
          <w:p>
            <w:pPr>
              <w:pStyle w:val="TableContents"/>
              <w:spacing w:before="0" w:after="44"/>
              <w:ind w:left="0" w:right="0" w:hanging="0"/>
              <w:jc w:val="center"/>
              <w:rPr>
                <w:rFonts w:ascii="Times New Roman;serif" w:hAnsi="Times New Roman;serif"/>
                <w:b w:val="false"/>
                <w:sz w:val="16"/>
              </w:rPr>
            </w:pPr>
            <w:r>
              <w:rPr>
                <w:rFonts w:ascii="Times New Roman;serif" w:hAnsi="Times New Roman;serif"/>
                <w:b w:val="false"/>
                <w:sz w:val="16"/>
              </w:rPr>
              <w:t>Title of each class</w:t>
            </w:r>
          </w:p>
        </w:tc>
        <w:tc>
          <w:tcPr>
            <w:tcW w:w="1246" w:type="dxa"/>
            <w:tcBorders>
              <w:top w:val="single" w:sz="8" w:space="0" w:color="000000"/>
              <w:bottom w:val="single" w:sz="8" w:space="0" w:color="000000"/>
              <w:right w:val="single" w:sz="8" w:space="0" w:color="000000"/>
            </w:tcBorders>
            <w:shd w:fill="auto" w:val="clear"/>
            <w:tcMar>
              <w:left w:w="0" w:type="dxa"/>
              <w:right w:w="108" w:type="dxa"/>
            </w:tcMar>
            <w:vAlign w:val="center"/>
          </w:tcPr>
          <w:p>
            <w:pPr>
              <w:pStyle w:val="TableContents"/>
              <w:spacing w:before="0" w:after="44"/>
              <w:ind w:left="0" w:right="0" w:hanging="0"/>
              <w:jc w:val="center"/>
              <w:rPr>
                <w:rFonts w:ascii="Times New Roman;serif" w:hAnsi="Times New Roman;serif"/>
                <w:b w:val="false"/>
                <w:sz w:val="16"/>
              </w:rPr>
            </w:pPr>
            <w:r>
              <w:rPr>
                <w:rFonts w:ascii="Times New Roman;serif" w:hAnsi="Times New Roman;serif"/>
                <w:b w:val="false"/>
                <w:sz w:val="16"/>
              </w:rPr>
              <w:t>Trading Symbol</w:t>
            </w:r>
          </w:p>
        </w:tc>
        <w:tc>
          <w:tcPr>
            <w:tcW w:w="3226" w:type="dxa"/>
            <w:tcBorders>
              <w:top w:val="single" w:sz="8" w:space="0" w:color="000000"/>
              <w:bottom w:val="single" w:sz="8" w:space="0" w:color="000000"/>
              <w:right w:val="single" w:sz="8" w:space="0" w:color="000000"/>
            </w:tcBorders>
            <w:shd w:fill="auto" w:val="clear"/>
            <w:tcMar>
              <w:left w:w="0" w:type="dxa"/>
              <w:right w:w="108" w:type="dxa"/>
            </w:tcMar>
            <w:vAlign w:val="center"/>
          </w:tcPr>
          <w:p>
            <w:pPr>
              <w:pStyle w:val="TableContents"/>
              <w:spacing w:before="0" w:after="44"/>
              <w:ind w:left="0" w:right="0" w:hanging="0"/>
              <w:jc w:val="center"/>
              <w:rPr>
                <w:rFonts w:ascii="Times New Roman;serif" w:hAnsi="Times New Roman;serif"/>
                <w:b w:val="false"/>
                <w:sz w:val="16"/>
              </w:rPr>
            </w:pPr>
            <w:r>
              <w:rPr>
                <w:rFonts w:ascii="Times New Roman;serif" w:hAnsi="Times New Roman;serif"/>
                <w:b w:val="false"/>
                <w:sz w:val="16"/>
              </w:rPr>
              <w:t>Name of each exchange on which registered</w:t>
            </w:r>
          </w:p>
        </w:tc>
      </w:tr>
      <w:tr>
        <w:trPr/>
        <w:tc>
          <w:tcPr>
            <w:tcW w:w="3061" w:type="dxa"/>
            <w:tcBorders>
              <w:left w:val="single" w:sz="8" w:space="0" w:color="000000"/>
              <w:bottom w:val="single" w:sz="8" w:space="0" w:color="000000"/>
              <w:right w:val="single" w:sz="8" w:space="0" w:color="000000"/>
            </w:tcBorders>
            <w:shd w:fill="auto" w:val="clear"/>
            <w:tcMar>
              <w:top w:w="0" w:type="dxa"/>
              <w:left w:w="108" w:type="dxa"/>
              <w:right w:w="108" w:type="dxa"/>
            </w:tcMar>
            <w:vAlign w:val="center"/>
          </w:tcPr>
          <w:p>
            <w:pPr>
              <w:pStyle w:val="TableContents"/>
              <w:spacing w:before="0" w:after="44"/>
              <w:ind w:left="0" w:right="0" w:hanging="0"/>
              <w:jc w:val="center"/>
              <w:rPr>
                <w:rFonts w:ascii="Times New Roman;serif" w:hAnsi="Times New Roman;serif"/>
                <w:b w:val="false"/>
                <w:sz w:val="16"/>
              </w:rPr>
            </w:pPr>
            <w:r>
              <w:rPr>
                <w:rFonts w:ascii="Times New Roman;serif" w:hAnsi="Times New Roman;serif"/>
                <w:b w:val="false"/>
                <w:sz w:val="16"/>
              </w:rPr>
              <w:t>Common Stock, par value $0.01 per share</w:t>
            </w:r>
          </w:p>
        </w:tc>
        <w:tc>
          <w:tcPr>
            <w:tcW w:w="1246" w:type="dxa"/>
            <w:tcBorders>
              <w:bottom w:val="single" w:sz="8" w:space="0" w:color="000000"/>
              <w:right w:val="single" w:sz="8" w:space="0" w:color="000000"/>
            </w:tcBorders>
            <w:shd w:fill="auto" w:val="clear"/>
            <w:tcMar>
              <w:top w:w="0" w:type="dxa"/>
              <w:left w:w="0" w:type="dxa"/>
              <w:right w:w="108" w:type="dxa"/>
            </w:tcMar>
            <w:vAlign w:val="center"/>
          </w:tcPr>
          <w:p>
            <w:pPr>
              <w:pStyle w:val="TableContents"/>
              <w:spacing w:before="0" w:after="44"/>
              <w:ind w:left="0" w:right="0" w:hanging="0"/>
              <w:jc w:val="center"/>
              <w:rPr>
                <w:rFonts w:ascii="Times New Roman;serif" w:hAnsi="Times New Roman;serif"/>
                <w:b w:val="false"/>
                <w:sz w:val="16"/>
              </w:rPr>
            </w:pPr>
            <w:r>
              <w:rPr>
                <w:rFonts w:ascii="Times New Roman;serif" w:hAnsi="Times New Roman;serif"/>
                <w:b w:val="false"/>
                <w:sz w:val="16"/>
              </w:rPr>
              <w:t>CECO</w:t>
            </w:r>
          </w:p>
        </w:tc>
        <w:tc>
          <w:tcPr>
            <w:tcW w:w="3226" w:type="dxa"/>
            <w:tcBorders>
              <w:bottom w:val="single" w:sz="8" w:space="0" w:color="000000"/>
              <w:right w:val="single" w:sz="8" w:space="0" w:color="000000"/>
            </w:tcBorders>
            <w:shd w:fill="auto" w:val="clear"/>
            <w:tcMar>
              <w:top w:w="0" w:type="dxa"/>
              <w:left w:w="0" w:type="dxa"/>
              <w:right w:w="108" w:type="dxa"/>
            </w:tcMar>
            <w:vAlign w:val="center"/>
          </w:tcPr>
          <w:p>
            <w:pPr>
              <w:pStyle w:val="TableContents"/>
              <w:spacing w:before="0" w:after="44"/>
              <w:ind w:left="0" w:right="0" w:hanging="0"/>
              <w:jc w:val="center"/>
              <w:rPr>
                <w:rFonts w:ascii="Times New Roman;serif" w:hAnsi="Times New Roman;serif"/>
                <w:b w:val="false"/>
                <w:sz w:val="16"/>
              </w:rPr>
            </w:pPr>
            <w:r>
              <w:rPr>
                <w:rFonts w:ascii="Times New Roman;serif" w:hAnsi="Times New Roman;serif"/>
                <w:b w:val="false"/>
                <w:sz w:val="16"/>
              </w:rPr>
              <w:t>The NASDAQ Stock Market LLC</w:t>
            </w:r>
          </w:p>
        </w:tc>
      </w:tr>
    </w:tbl>
    <w:p>
      <w:pPr>
        <w:pStyle w:val="TextBody"/>
        <w:spacing w:before="180" w:after="0"/>
        <w:jc w:val="left"/>
        <w:rPr>
          <w:rFonts w:ascii="Times New Roman;serif" w:hAnsi="Times New Roman;serif"/>
          <w:b w:val="false"/>
          <w:sz w:val="18"/>
        </w:rPr>
      </w:pPr>
      <w:r>
        <w:rPr>
          <w:rFonts w:ascii="Times New Roman;serif" w:hAnsi="Times New Roman;serif"/>
          <w:b w:val="false"/>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spacing w:before="120" w:after="0"/>
        <w:jc w:val="left"/>
        <w:rPr>
          <w:rFonts w:ascii="Times New Roman" w:hAnsi="Times New Roman"/>
          <w:sz w:val="20"/>
        </w:rPr>
      </w:pPr>
      <w:r>
        <w:rPr>
          <w:rFonts w:ascii="Times New Roman;serif" w:hAnsi="Times New Roman;serif"/>
          <w:b w:val="false"/>
          <w:sz w:val="18"/>
        </w:rPr>
        <w:t xml:space="preserve">Emerging growth company </w:t>
      </w:r>
      <w:r>
        <w:rPr>
          <w:rFonts w:ascii="Times New Roman" w:hAnsi="Times New Roman"/>
          <w:sz w:val="20"/>
        </w:rPr>
        <w:t>☐</w:t>
      </w:r>
    </w:p>
    <w:p>
      <w:pPr>
        <w:pStyle w:val="TextBody"/>
        <w:spacing w:before="120" w:after="0"/>
        <w:jc w:val="left"/>
        <w:rPr>
          <w:rFonts w:ascii="Times New Roman" w:hAnsi="Times New Roman"/>
          <w:sz w:val="20"/>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sans-serif" w:hAnsi="Calibri;sans-serif"/>
          <w:b w:val="false"/>
          <w:sz w:val="18"/>
        </w:rPr>
        <w:t>.</w:t>
      </w:r>
      <w:r>
        <w:rPr>
          <w:rFonts w:ascii="Times New Roman" w:hAnsi="Times New Roman"/>
          <w:sz w:val="20"/>
        </w:rPr>
        <w:t xml:space="preserve"> ☐</w:t>
      </w:r>
    </w:p>
    <w:p>
      <w:pPr>
        <w:pStyle w:val="TextBody"/>
        <w:pBdr>
          <w:bottom w:val="double" w:sz="6" w:space="1" w:color="000000"/>
        </w:pBdr>
        <w:spacing w:before="0" w:after="0"/>
        <w:jc w:val="left"/>
        <w:rPr/>
      </w:pPr>
      <w:r>
        <w:rPr/>
        <w:t> </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sz w:val="20"/>
        </w:rPr>
        <w:t>Item 2.02. Results of Operations and Financial Condition.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May 9, 2023, CECO Environmental Corp. (the “Company”) issued a press release announcing its financial results for the first quarter ended March 31, 2023. A copy of the press release is furnished as Exhibit 99.1 to this report and is incorporated herein by reference.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Item 9.01. Financial Statements and Exhibits.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 Exhibits</w:t>
      </w:r>
      <w:r>
        <w:rPr>
          <w:rFonts w:ascii="Times New Roman" w:hAnsi="Times New Roman"/>
          <w:sz w:val="20"/>
        </w:rPr>
        <w:t xml:space="preserve"> </w:t>
      </w:r>
    </w:p>
    <w:tbl>
      <w:tblPr>
        <w:tblW w:w="7461" w:type="dxa"/>
        <w:jc w:val="left"/>
        <w:tblInd w:w="0" w:type="dxa"/>
        <w:tblCellMar>
          <w:top w:w="28" w:type="dxa"/>
          <w:left w:w="28" w:type="dxa"/>
          <w:bottom w:w="28" w:type="dxa"/>
          <w:right w:w="28" w:type="dxa"/>
        </w:tblCellMar>
      </w:tblPr>
      <w:tblGrid>
        <w:gridCol w:w="706"/>
        <w:gridCol w:w="109"/>
        <w:gridCol w:w="6646"/>
      </w:tblGrid>
      <w:tr>
        <w:trPr/>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46" w:type="dxa"/>
            <w:tcBorders/>
            <w:shd w:fill="auto" w:val="clear"/>
            <w:vAlign w:val="center"/>
          </w:tcPr>
          <w:p>
            <w:pPr>
              <w:pStyle w:val="TableContents"/>
              <w:spacing w:before="0" w:after="283"/>
              <w:rPr>
                <w:sz w:val="4"/>
                <w:szCs w:val="4"/>
              </w:rPr>
            </w:pPr>
            <w:r>
              <w:rPr>
                <w:sz w:val="4"/>
                <w:szCs w:val="4"/>
              </w:rPr>
            </w:r>
          </w:p>
        </w:tc>
      </w:tr>
      <w:tr>
        <w:trPr/>
        <w:tc>
          <w:tcPr>
            <w:tcW w:w="70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br/>
              <w:t>Number</w:t>
            </w:r>
          </w:p>
        </w:tc>
        <w:tc>
          <w:tcPr>
            <w:tcW w:w="109"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64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Exhibit Title</w:t>
            </w:r>
          </w:p>
        </w:tc>
      </w:tr>
      <w:tr>
        <w:trPr/>
        <w:tc>
          <w:tcPr>
            <w:tcW w:w="706" w:type="dxa"/>
            <w:tcBorders/>
            <w:shd w:fill="auto" w:val="clear"/>
            <w:vAlign w:val="center"/>
          </w:tcPr>
          <w:p>
            <w:pPr>
              <w:pStyle w:val="TableContents"/>
              <w:spacing w:before="0" w:after="0"/>
              <w:ind w:left="0" w:right="0" w:hanging="0"/>
              <w:jc w:val="left"/>
              <w:rPr/>
            </w:pPr>
            <w:r>
              <w:rPr/>
              <w:t> </w:t>
            </w:r>
          </w:p>
        </w:tc>
        <w:tc>
          <w:tcPr>
            <w:tcW w:w="6755" w:type="dxa"/>
            <w:gridSpan w:val="2"/>
            <w:tcBorders/>
            <w:shd w:fill="auto" w:val="clear"/>
            <w:vAlign w:val="center"/>
          </w:tcPr>
          <w:p>
            <w:pPr>
              <w:pStyle w:val="TableContents"/>
              <w:spacing w:before="0" w:after="0"/>
              <w:ind w:left="0" w:right="0" w:hanging="0"/>
              <w:jc w:val="left"/>
              <w:rPr/>
            </w:pPr>
            <w:r>
              <w:rPr/>
              <w:t> </w:t>
            </w:r>
          </w:p>
        </w:tc>
      </w:tr>
      <w:tr>
        <w:trPr/>
        <w:tc>
          <w:tcPr>
            <w:tcW w:w="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6646" w:type="dxa"/>
            <w:tcBorders/>
            <w:shd w:fill="auto" w:val="clear"/>
            <w:vAlign w:val="center"/>
          </w:tcPr>
          <w:p>
            <w:pPr>
              <w:pStyle w:val="TableContents"/>
              <w:spacing w:before="0" w:after="0"/>
              <w:ind w:left="0" w:right="0" w:hanging="0"/>
              <w:jc w:val="left"/>
              <w:rPr/>
            </w:pPr>
            <w:hyperlink w:anchor="ceco-ex99_1.htm">
              <w:r>
                <w:rPr>
                  <w:rStyle w:val="InternetLink"/>
                  <w:rFonts w:ascii="Times New Roman;serif" w:hAnsi="Times New Roman;serif"/>
                  <w:b w:val="false"/>
                  <w:sz w:val="20"/>
                  <w:u w:val="single"/>
                </w:rPr>
                <w:t>Press Release, CECO Environmental Reports First Quarter 2023 Results</w:t>
              </w:r>
            </w:hyperlink>
            <w:r>
              <w:rPr>
                <w:rFonts w:ascii="Times New Roman" w:hAnsi="Times New Roman"/>
                <w:sz w:val="20"/>
              </w:rPr>
              <w:t xml:space="preserve">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bl>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Signatures</w:t>
      </w:r>
    </w:p>
    <w:p>
      <w:pPr>
        <w:pStyle w:val="TextBody"/>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tbl>
      <w:tblPr>
        <w:tblW w:w="4721" w:type="dxa"/>
        <w:jc w:val="left"/>
        <w:tblInd w:w="0" w:type="dxa"/>
        <w:tblCellMar>
          <w:top w:w="28" w:type="dxa"/>
          <w:left w:w="28" w:type="dxa"/>
          <w:bottom w:w="28" w:type="dxa"/>
          <w:right w:w="28" w:type="dxa"/>
        </w:tblCellMar>
      </w:tblPr>
      <w:tblGrid>
        <w:gridCol w:w="1636"/>
        <w:gridCol w:w="109"/>
        <w:gridCol w:w="146"/>
        <w:gridCol w:w="109"/>
        <w:gridCol w:w="406"/>
        <w:gridCol w:w="109"/>
        <w:gridCol w:w="2206"/>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721" w:type="dxa"/>
            <w:gridSpan w:val="3"/>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CECO Environmental Corp.</w:t>
            </w:r>
          </w:p>
        </w:tc>
      </w:tr>
      <w:tr>
        <w:trPr/>
        <w:tc>
          <w:tcPr>
            <w:tcW w:w="1636" w:type="dxa"/>
            <w:tcBorders/>
            <w:shd w:fill="auto" w:val="clear"/>
            <w:vAlign w:val="center"/>
          </w:tcPr>
          <w:p>
            <w:pPr>
              <w:pStyle w:val="TableContents"/>
              <w:spacing w:before="0" w:after="0"/>
              <w:ind w:left="0" w:right="0" w:hanging="0"/>
              <w:jc w:val="left"/>
              <w:rPr/>
            </w:pPr>
            <w:r>
              <w:rPr/>
              <w:t> </w:t>
            </w:r>
          </w:p>
        </w:tc>
        <w:tc>
          <w:tcPr>
            <w:tcW w:w="255" w:type="dxa"/>
            <w:gridSpan w:val="2"/>
            <w:tcBorders/>
            <w:shd w:fill="auto" w:val="clear"/>
            <w:vAlign w:val="center"/>
          </w:tcPr>
          <w:p>
            <w:pPr>
              <w:pStyle w:val="TableContents"/>
              <w:spacing w:before="0" w:after="0"/>
              <w:ind w:left="0" w:right="0" w:hanging="0"/>
              <w:jc w:val="left"/>
              <w:rPr/>
            </w:pPr>
            <w:r>
              <w:rPr/>
              <w:t> </w:t>
            </w:r>
          </w:p>
        </w:tc>
        <w:tc>
          <w:tcPr>
            <w:tcW w:w="515" w:type="dxa"/>
            <w:gridSpan w:val="2"/>
            <w:tcBorders/>
            <w:shd w:fill="auto" w:val="clear"/>
            <w:vAlign w:val="center"/>
          </w:tcPr>
          <w:p>
            <w:pPr>
              <w:pStyle w:val="TableContents"/>
              <w:spacing w:before="0" w:after="0"/>
              <w:ind w:left="0" w:right="0" w:hanging="0"/>
              <w:jc w:val="left"/>
              <w:rPr/>
            </w:pPr>
            <w:r>
              <w:rPr/>
              <w:t> </w:t>
            </w:r>
          </w:p>
        </w:tc>
        <w:tc>
          <w:tcPr>
            <w:tcW w:w="2315" w:type="dxa"/>
            <w:gridSpan w:val="2"/>
            <w:tcBorders/>
            <w:shd w:fill="auto" w:val="cle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20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Paul M. Gohr</w:t>
            </w:r>
          </w:p>
        </w:tc>
      </w:tr>
      <w:tr>
        <w:trPr/>
        <w:tc>
          <w:tcPr>
            <w:tcW w:w="163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Paul M. Gohr</w:t>
            </w:r>
          </w:p>
        </w:tc>
      </w:tr>
      <w:tr>
        <w:trPr/>
        <w:tc>
          <w:tcPr>
            <w:tcW w:w="163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Accounting Officer</w:t>
            </w:r>
          </w:p>
        </w:tc>
      </w:tr>
    </w:tbl>
    <w:p>
      <w:pPr>
        <w:pStyle w:val="TextBody"/>
        <w:spacing w:before="0" w:after="0"/>
        <w:jc w:val="left"/>
        <w:rPr/>
      </w:pPr>
      <w:r>
        <w:rPr/>
        <w:t> </w:t>
      </w:r>
    </w:p>
    <w:p>
      <w:pPr>
        <w:pStyle w:val="HorizontalLine"/>
        <w:rPr/>
      </w:pPr>
      <w:r>
        <w:rPr/>
      </w:r>
      <w:r>
        <w:br w:type="page"/>
      </w:r>
    </w:p>
    <w:p>
      <w:pPr>
        <w:pStyle w:val="TextBody"/>
        <w:spacing w:before="0" w:after="0"/>
        <w:jc w:val="left"/>
        <w:rPr/>
      </w:pPr>
      <w:bookmarkStart w:id="2" w:name="ceco-ex99_1.htm"/>
      <w:bookmarkStart w:id="3" w:name="kscecoex99_1"/>
      <w:bookmarkEnd w:id="2"/>
      <w:bookmarkEnd w:id="3"/>
      <w:r>
        <w:rPr/>
        <w:drawing>
          <wp:inline distT="0" distB="0" distL="0" distR="0">
            <wp:extent cx="12287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571500"/>
                    </a:xfrm>
                    <a:prstGeom prst="rect">
                      <a:avLst/>
                    </a:prstGeom>
                  </pic:spPr>
                </pic:pic>
              </a:graphicData>
            </a:graphic>
          </wp:inline>
        </w:drawing>
      </w:r>
      <w:r>
        <w:rPr/>
        <w:t xml:space="preserve"> </w:t>
      </w:r>
      <w:r>
        <w:rPr>
          <w:rFonts w:ascii="Arial;sans-serif" w:hAnsi="Arial;sans-serif"/>
          <w:b/>
          <w:sz w:val="22"/>
        </w:rPr>
        <w:br/>
      </w:r>
      <w:r>
        <w:rPr>
          <w:rFonts w:ascii="Times New Roman" w:hAnsi="Times New Roman"/>
          <w:sz w:val="20"/>
        </w:rPr>
        <w:t> </w:t>
      </w:r>
    </w:p>
    <w:p>
      <w:pPr>
        <w:pStyle w:val="TextBody"/>
        <w:spacing w:before="0" w:after="0"/>
        <w:jc w:val="center"/>
        <w:rPr>
          <w:rFonts w:ascii="Times New Roman" w:hAnsi="Times New Roman"/>
          <w:sz w:val="20"/>
        </w:rPr>
      </w:pPr>
      <w:r>
        <w:rPr>
          <w:rFonts w:ascii="Times New Roman;serif" w:hAnsi="Times New Roman;serif"/>
          <w:b/>
          <w:sz w:val="20"/>
        </w:rPr>
        <w:t>CECO ENVIRONMENTAL REPORTS FIRST QUARTER 2023 RESULTS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i/>
          <w:sz w:val="20"/>
        </w:rPr>
        <w:t>Strong Orders Establish Record Backlog, Supports Sustained Revenue Growth</w:t>
        <w:br/>
        <w:t>Company Raises Full Year 2023 Outlook</w:t>
        <w:br/>
        <w:br/>
      </w:r>
      <w:r>
        <w:rPr>
          <w:rFonts w:ascii="Times New Roman" w:hAnsi="Times New Roman"/>
          <w:sz w:val="20"/>
        </w:rPr>
        <w:t> </w:t>
      </w:r>
    </w:p>
    <w:p>
      <w:pPr>
        <w:pStyle w:val="TextBody"/>
        <w:spacing w:before="240" w:after="240"/>
        <w:jc w:val="both"/>
        <w:rPr>
          <w:rFonts w:ascii="Times New Roman" w:hAnsi="Times New Roman"/>
          <w:sz w:val="20"/>
        </w:rPr>
      </w:pPr>
      <w:r>
        <w:rPr>
          <w:rFonts w:ascii="Times New Roman;serif" w:hAnsi="Times New Roman;serif"/>
          <w:b/>
          <w:sz w:val="20"/>
        </w:rPr>
        <w:t>DALLAS (May 9, 2023) -- CECO Environmental Corp. (Nasdaq: CECO) ("CECO")</w:t>
      </w:r>
      <w:r>
        <w:rPr>
          <w:rFonts w:ascii="Times New Roman;serif" w:hAnsi="Times New Roman;serif"/>
          <w:b w:val="false"/>
          <w:sz w:val="20"/>
        </w:rPr>
        <w:t>, a leading environmentally focused, diversified industrial company whose solutions protect people, the environment, and industrial equipment, today reported its financial results for the first quarter of 2023.</w:t>
      </w:r>
    </w:p>
    <w:p>
      <w:pPr>
        <w:pStyle w:val="TextBody"/>
        <w:spacing w:before="0" w:after="0"/>
        <w:jc w:val="left"/>
        <w:rPr>
          <w:rFonts w:ascii="Times New Roman" w:hAnsi="Times New Roman"/>
          <w:sz w:val="20"/>
        </w:rPr>
      </w:pPr>
      <w:r>
        <w:rPr>
          <w:rFonts w:ascii="Times New Roman;serif" w:hAnsi="Times New Roman;serif"/>
          <w:b/>
          <w:sz w:val="20"/>
          <w:u w:val="single"/>
        </w:rPr>
        <w:t>Highlights for the Quarter</w:t>
      </w:r>
      <w:r>
        <w:rPr>
          <w:rFonts w:ascii="Times New Roman;serif" w:hAnsi="Times New Roman;serif"/>
          <w:b/>
          <w:sz w:val="13"/>
        </w:rPr>
        <w:t>(1)</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Orders of $146.1 million, compared with $160.9 million; Record backlog of $356.1 million, up 26 percent; Record first quarter revenue of $112.6 million, up 22 percent; Net income of $2.0 million, compared with $2.8 million; non-GAAP net income of $3.6 million, compared to $5.0 million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GAAP EPS (diluted) of $0.06, compared with $0.08; non-GAAP EPS (diluted) of $0.10, compared to $0.14</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Adjusted EBITDA of $9.7 million, compared with $9.5 million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1"/>
        </w:rPr>
        <w:t>(1)</w:t>
      </w:r>
      <w:r>
        <w:rPr>
          <w:rFonts w:ascii="Times New Roman" w:hAnsi="Times New Roman"/>
          <w:sz w:val="20"/>
        </w:rPr>
        <w:t xml:space="preserve"> </w:t>
      </w:r>
      <w:r>
        <w:rPr>
          <w:rFonts w:ascii="Times New Roman;serif" w:hAnsi="Times New Roman;serif"/>
          <w:b w:val="false"/>
          <w:sz w:val="16"/>
        </w:rPr>
        <w:t>All comparisons are versus the comparable prior year period, unless otherwise stated.</w:t>
      </w:r>
    </w:p>
    <w:p>
      <w:pPr>
        <w:pStyle w:val="TextBody"/>
        <w:spacing w:before="0" w:after="0"/>
        <w:jc w:val="left"/>
        <w:rPr>
          <w:rFonts w:ascii="Times New Roman;serif" w:hAnsi="Times New Roman;serif"/>
          <w:b w:val="false"/>
          <w:sz w:val="16"/>
        </w:rPr>
      </w:pPr>
      <w:r>
        <w:rPr>
          <w:rFonts w:ascii="Times New Roman;serif" w:hAnsi="Times New Roman;serif"/>
          <w:b w:val="false"/>
          <w:sz w:val="16"/>
        </w:rPr>
        <w:t>Reconciliations of GAAP (reported) to non-GAAP measures are in the attached financial tables.</w:t>
      </w:r>
    </w:p>
    <w:p>
      <w:pPr>
        <w:pStyle w:val="TextBody"/>
        <w:spacing w:before="0" w:after="0"/>
        <w:jc w:val="left"/>
        <w:rPr/>
      </w:pPr>
      <w:r>
        <w:rPr/>
        <w:t> </w:t>
      </w:r>
    </w:p>
    <w:p>
      <w:pPr>
        <w:pStyle w:val="TextBody"/>
        <w:spacing w:before="0" w:after="0"/>
        <w:jc w:val="both"/>
        <w:rPr/>
      </w:pPr>
      <w:r>
        <w:rPr/>
        <w:t>“</w:t>
      </w:r>
      <w:r>
        <w:rPr>
          <w:rFonts w:ascii="Times New Roman;serif" w:hAnsi="Times New Roman;serif"/>
          <w:b w:val="false"/>
          <w:sz w:val="20"/>
        </w:rPr>
        <w:t>We entered 2023 with record backlog levels and strong momentum executing our growth model, and we maintained that momentum throughout the first quarter. I am pleased with our continued progress in our strategic diversity, and the balanced performance across our portfolio as we produced our third-highest orders quarter in company history, setting a record backlog even with record first quarter revenue levels,” said CECO Chief Executive Officer, Todd Gleason.</w:t>
      </w:r>
    </w:p>
    <w:p>
      <w:pPr>
        <w:pStyle w:val="TextBody"/>
        <w:spacing w:before="240" w:after="240"/>
        <w:jc w:val="both"/>
        <w:rPr>
          <w:rFonts w:ascii="Times New Roman" w:hAnsi="Times New Roman"/>
          <w:sz w:val="20"/>
        </w:rPr>
      </w:pPr>
      <w:r>
        <w:rPr>
          <w:rFonts w:ascii="Times New Roman;serif" w:hAnsi="Times New Roman;serif"/>
          <w:b w:val="false"/>
          <w:sz w:val="20"/>
        </w:rPr>
        <w:t>First quarter operating income was $5.5 million, up $0.3 million when compared to $5.2 million in the first quarter of 2022. On an adjusted basis, non-GAAP operating income was $7.7 million, down $0.1 million when compared to $7.8 million in the first quarter of 2022. Net income was $2.0 million in the quarter, down $0.8 million compared to $2.8 million in the first quarter of 2022. Non-GAAP net income was $3.6 million, down $1.4 million compared to $5.0 million in the first quarter of 2022. Adjusted EBITDA of $9.7 million was up $0.2 million compared to $9.5 million in the first quarter of 2022. Free cash flow in the quarter was $(14.5) million, down $13.6 million compared to $(0.9) million in the first quarter of 2022.</w:t>
      </w:r>
      <w:r>
        <w:rPr>
          <w:rFonts w:ascii="Times New Roman" w:hAnsi="Times New Roman"/>
          <w:sz w:val="20"/>
        </w:rPr>
        <w:t xml:space="preserve"> </w:t>
      </w:r>
    </w:p>
    <w:p>
      <w:pPr>
        <w:pStyle w:val="TextBody"/>
        <w:spacing w:before="120" w:after="120"/>
        <w:jc w:val="both"/>
        <w:rPr/>
      </w:pPr>
      <w:r>
        <w:rPr/>
        <w:t>“</w:t>
      </w:r>
      <w:r>
        <w:rPr>
          <w:rFonts w:ascii="Times New Roman;serif" w:hAnsi="Times New Roman;serif"/>
          <w:b w:val="false"/>
          <w:sz w:val="20"/>
        </w:rPr>
        <w:t>The strategic investment we have made to drive growth and sustainable performance will continue to yield long-term results. These investments include adding business development and operational excellence resources, building appropriate levels of working capital to support our record backlog, and rapidly integrating the six acquisitions we have made over the past 12 months. As is often the case, the first quarter resulted in use of cash as the timing of receiving customer payments moved into the second quarter, but we are confident in our ability to generate strong cash flows for the year. We also expect the remaining quarters of 2023 to provide even stronger revenues, operating income, and earnings per share generation as we leverage our investments,” added Gleason.</w:t>
      </w:r>
    </w:p>
    <w:p>
      <w:pPr>
        <w:pStyle w:val="TextBody"/>
        <w:spacing w:before="120" w:after="120"/>
        <w:jc w:val="both"/>
        <w:rPr>
          <w:rFonts w:ascii="Times New Roman" w:hAnsi="Times New Roman"/>
          <w:sz w:val="20"/>
        </w:rPr>
      </w:pPr>
      <w:r>
        <w:rPr>
          <w:rFonts w:ascii="Times New Roman;serif" w:hAnsi="Times New Roman;serif"/>
          <w:b w:val="false"/>
          <w:sz w:val="20"/>
        </w:rPr>
        <w:br/>
      </w:r>
      <w:r>
        <w:rPr>
          <w:rFonts w:ascii="Times New Roman;serif" w:hAnsi="Times New Roman;serif"/>
          <w:b/>
          <w:sz w:val="20"/>
        </w:rPr>
        <w:t>Company Raises Full Year 2023 Outlook</w:t>
      </w:r>
    </w:p>
    <w:p>
      <w:pPr>
        <w:pStyle w:val="TextBody"/>
        <w:spacing w:before="0" w:after="0"/>
        <w:jc w:val="both"/>
        <w:rPr>
          <w:rFonts w:ascii="Times New Roman" w:hAnsi="Times New Roman"/>
          <w:sz w:val="20"/>
        </w:rPr>
      </w:pPr>
      <w:r>
        <w:rPr>
          <w:rFonts w:ascii="Times New Roman;serif" w:hAnsi="Times New Roman;serif"/>
          <w:b w:val="false"/>
          <w:sz w:val="20"/>
        </w:rPr>
        <w:t>The Company updated its expected full year 2023 guidance to reflect revenue to exceed $485 million, up at least 15 percent year over year, from a previous range of $460 to $485 million. The Company also updated its expected full year 2023 adjusted EBITDA to exceed $50 million, up more than 18 percent year over year, from a previous range of $45 to $50 million.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"We are in an excellent position to deliver another tremendous year with strong top-line and bottom-line growth. With our record backlog levels, robust commercial programs sustaining a large and growing sales pipeline, and stronger operating excellence initiatives to drive margin expansion, we believe that CECO is poised to deliver significant short- and long-term value for our customers, employees, partners and shareholders,” stated Gleason. “Importantly, we expect 2023 to be another building block in our steady transformational journey to further advance our growing leadership in Industrial Air, Industrial Water and the Energy Transition for many years of strong operational and financial performance.”</w:t>
        <w:br/>
        <w:br/>
      </w:r>
      <w:r>
        <w:rPr>
          <w:rFonts w:ascii="Times New Roman" w:hAnsi="Times New Roman"/>
          <w:sz w:val="20"/>
        </w:rPr>
        <w:t> </w:t>
      </w:r>
    </w:p>
    <w:p>
      <w:pPr>
        <w:pStyle w:val="TextBody"/>
        <w:spacing w:before="240" w:after="0"/>
        <w:jc w:val="center"/>
        <w:rPr/>
      </w:pPr>
      <w:r>
        <w:rPr/>
        <w:t> </w:t>
      </w:r>
    </w:p>
    <w:p>
      <w:pPr>
        <w:pStyle w:val="TextBody"/>
        <w:spacing w:before="0" w:after="0"/>
        <w:jc w:val="left"/>
        <w:rPr/>
      </w:pPr>
      <w:r>
        <w:rPr/>
        <w:t> </w:t>
      </w:r>
    </w:p>
    <w:p>
      <w:pPr>
        <w:pStyle w:val="HorizontalLine"/>
        <w:rPr/>
      </w:pPr>
      <w:r>
        <w:rPr/>
      </w:r>
    </w:p>
    <w:p>
      <w:pPr>
        <w:pStyle w:val="TextBody"/>
        <w:spacing w:before="240" w:after="0"/>
        <w:jc w:val="center"/>
        <w:rPr>
          <w:rFonts w:ascii="Times New Roman;serif" w:hAnsi="Times New Roman;serif"/>
          <w:b/>
          <w:sz w:val="20"/>
        </w:rPr>
      </w:pPr>
      <w:r>
        <w:rPr>
          <w:rFonts w:ascii="Times New Roman;serif" w:hAnsi="Times New Roman;serif"/>
          <w:b/>
          <w:sz w:val="20"/>
        </w:rPr>
        <w:t>EARNINGS CONFERENCE CALL</w:t>
      </w:r>
    </w:p>
    <w:p>
      <w:pPr>
        <w:pStyle w:val="TextBody"/>
        <w:spacing w:before="120" w:after="120"/>
        <w:jc w:val="both"/>
        <w:rPr>
          <w:rFonts w:ascii="Times New Roman" w:hAnsi="Times New Roman"/>
          <w:sz w:val="20"/>
        </w:rPr>
      </w:pPr>
      <w:r>
        <w:rPr>
          <w:rFonts w:ascii="Times New Roman;serif" w:hAnsi="Times New Roman;serif"/>
          <w:b w:val="false"/>
          <w:sz w:val="20"/>
        </w:rPr>
        <w:br/>
        <w:t xml:space="preserve">A conference call is scheduled for today at 8:30 a.m. ET to discuss the first quarter 2023 financial results. Please visit the Investor Relations portion of the website (https://investors.cecoenviro.com) to listen to the call via webcast. The conference call may also be accessed by dialing 888-346-4547 (Toll-Free) within the U.S., or +1-412-317-5251 (Toll-Required) outside the U.S. </w:t>
        <w:br/>
      </w:r>
      <w:r>
        <w:rPr>
          <w:rFonts w:ascii="Times New Roman" w:hAnsi="Times New Roman"/>
          <w:sz w:val="20"/>
        </w:rPr>
        <w:t> </w:t>
      </w:r>
    </w:p>
    <w:p>
      <w:pPr>
        <w:pStyle w:val="TextBody"/>
        <w:spacing w:before="120" w:after="120"/>
        <w:jc w:val="both"/>
        <w:rPr>
          <w:rFonts w:ascii="Times New Roman" w:hAnsi="Times New Roman"/>
          <w:sz w:val="20"/>
        </w:rPr>
      </w:pPr>
      <w:r>
        <w:rPr>
          <w:rFonts w:ascii="Times New Roman;serif" w:hAnsi="Times New Roman;serif"/>
          <w:b w:val="false"/>
          <w:sz w:val="20"/>
        </w:rPr>
        <w:t>A replay of the conference call will be available on the Company’s website for a period of one year. The replay may also be accessed by dialing 877-344-7529 (Toll-Free) within the U.S., or +1-412-317-0088 (Toll-Required) outside the U.S. and entering access code 2502572.</w:t>
        <w:br/>
      </w:r>
      <w:r>
        <w:rPr>
          <w:rFonts w:ascii="Times New Roman" w:hAnsi="Times New Roman"/>
          <w:sz w:val="20"/>
        </w:rPr>
        <w:t> </w:t>
      </w:r>
    </w:p>
    <w:p>
      <w:pPr>
        <w:pStyle w:val="TextBody"/>
        <w:spacing w:before="120" w:after="120"/>
        <w:jc w:val="center"/>
        <w:rPr>
          <w:rFonts w:ascii="Times New Roman" w:hAnsi="Times New Roman"/>
          <w:sz w:val="20"/>
        </w:rPr>
      </w:pPr>
      <w:r>
        <w:rPr>
          <w:rFonts w:ascii="Times New Roman;serif" w:hAnsi="Times New Roman;serif"/>
          <w:b w:val="false"/>
          <w:sz w:val="20"/>
        </w:rPr>
        <w:br/>
      </w:r>
      <w:r>
        <w:rPr>
          <w:rFonts w:ascii="Times New Roman;serif" w:hAnsi="Times New Roman;serif"/>
          <w:b/>
          <w:sz w:val="20"/>
        </w:rPr>
        <w:t>ABOUT CECO ENVIRONMENTAL</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Dallas, Texas. For more information, please visit www.cecoenviro.com.</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Company Contact: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Peter Johansson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Chief Financial and Strategy Officer</w:t>
        <w:br/>
        <w:t>888-990-6670</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investor.relations@onececo.com</w:t>
        <w:br/>
        <w:br/>
        <w:t>Investor Relations Contact: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Steven Hooser</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Three Part Advisors, LLC</w:t>
      </w:r>
    </w:p>
    <w:p>
      <w:pPr>
        <w:pStyle w:val="TextBody"/>
        <w:spacing w:before="0" w:after="0"/>
        <w:jc w:val="both"/>
        <w:rPr>
          <w:rFonts w:ascii="Times New Roman;serif" w:hAnsi="Times New Roman;serif"/>
          <w:b w:val="false"/>
          <w:sz w:val="20"/>
        </w:rPr>
      </w:pPr>
      <w:r>
        <w:rPr>
          <w:rFonts w:ascii="Times New Roman;serif" w:hAnsi="Times New Roman;serif"/>
          <w:b w:val="false"/>
          <w:sz w:val="20"/>
        </w:rPr>
        <w:t>214-872-2710</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investor.relations@onececo.com</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Media Relations Contact:</w:t>
        <w:br/>
        <w:t>Kimberly Plaskett</w:t>
        <w:br/>
        <w:t>Corporate Communications Director</w:t>
        <w:br/>
        <w:t>CECO-Communications@onececo.com</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2"/>
        </w:rPr>
        <w:br/>
        <w:br/>
      </w:r>
      <w:r>
        <w:rPr>
          <w:rFonts w:ascii="Times New Roman" w:hAnsi="Times New Roman"/>
          <w:sz w:val="20"/>
        </w:rPr>
        <w:t> </w:t>
      </w:r>
    </w:p>
    <w:p>
      <w:pPr>
        <w:pStyle w:val="TextBody"/>
        <w:spacing w:before="0" w:after="0"/>
        <w:jc w:val="center"/>
        <w:rPr>
          <w:rFonts w:ascii="Times New Roman" w:hAnsi="Times New Roman"/>
          <w:sz w:val="20"/>
        </w:rPr>
      </w:pPr>
      <w:r>
        <w:rPr>
          <w:rFonts w:ascii="Arial;sans-serif" w:hAnsi="Arial;sans-serif"/>
          <w:b w:val="false"/>
          <w:sz w:val="22"/>
        </w:rPr>
        <w:t># # #</w:t>
        <w:br/>
        <w:br/>
      </w:r>
      <w:r>
        <w:rPr>
          <w:rFonts w:ascii="Times New Roman" w:hAnsi="Times New Roman"/>
          <w:sz w:val="20"/>
        </w:rPr>
        <w:t> </w:t>
      </w:r>
    </w:p>
    <w:p>
      <w:pPr>
        <w:pStyle w:val="TextBody"/>
        <w:spacing w:before="0" w:after="0"/>
        <w:jc w:val="center"/>
        <w:rPr/>
      </w:pPr>
      <w:r>
        <w:rPr/>
        <w:t> </w:t>
      </w:r>
    </w:p>
    <w:p>
      <w:pPr>
        <w:pStyle w:val="TextBody"/>
        <w:spacing w:before="0" w:after="0"/>
        <w:jc w:val="left"/>
        <w:rPr/>
      </w:pPr>
      <w:r>
        <w:rPr/>
        <w:t> </w:t>
      </w:r>
    </w:p>
    <w:p>
      <w:pPr>
        <w:pStyle w:val="TextBody"/>
        <w:spacing w:before="0" w:after="200"/>
        <w:jc w:val="both"/>
        <w:rPr/>
      </w:pPr>
      <w:r>
        <w:rPr/>
        <w:t> </w:t>
      </w:r>
    </w:p>
    <w:p>
      <w:pPr>
        <w:pStyle w:val="TextBody"/>
        <w:spacing w:before="0" w:after="0"/>
        <w:jc w:val="left"/>
        <w:rPr/>
      </w:pPr>
      <w:r>
        <w:rPr/>
        <w:t> </w:t>
      </w:r>
    </w:p>
    <w:p>
      <w:pPr>
        <w:pStyle w:val="HorizontalLine"/>
        <w:rPr/>
      </w:pPr>
      <w:r>
        <w:rPr/>
      </w:r>
    </w:p>
    <w:p>
      <w:pPr>
        <w:pStyle w:val="TextBody"/>
        <w:spacing w:before="0" w:after="200"/>
        <w:jc w:val="center"/>
        <w:rPr>
          <w:rFonts w:ascii="Times New Roman;serif" w:hAnsi="Times New Roman;serif"/>
          <w:b/>
          <w:sz w:val="20"/>
        </w:rPr>
      </w:pPr>
      <w:r>
        <w:rPr>
          <w:rFonts w:ascii="Times New Roman;serif" w:hAnsi="Times New Roman;serif"/>
          <w:b/>
          <w:sz w:val="20"/>
        </w:rPr>
        <w:t>CECO ENVIRONMENTAL CORP. AND SUBSIDIARIES</w:t>
        <w:br/>
        <w:t>CONDENSED CONSOLIDATED BALANCE SHEETS</w:t>
      </w:r>
    </w:p>
    <w:p>
      <w:pPr>
        <w:pStyle w:val="TextBody"/>
        <w:spacing w:before="0" w:after="200"/>
        <w:jc w:val="center"/>
        <w:rPr/>
      </w:pPr>
      <w:r>
        <w:rPr/>
        <w:t> </w:t>
      </w:r>
    </w:p>
    <w:tbl>
      <w:tblPr>
        <w:tblW w:w="10205" w:type="dxa"/>
        <w:jc w:val="left"/>
        <w:tblInd w:w="0" w:type="dxa"/>
        <w:tblCellMar>
          <w:top w:w="28" w:type="dxa"/>
          <w:left w:w="28" w:type="dxa"/>
          <w:bottom w:w="28" w:type="dxa"/>
          <w:right w:w="28" w:type="dxa"/>
        </w:tblCellMar>
      </w:tblPr>
      <w:tblGrid>
        <w:gridCol w:w="6246"/>
        <w:gridCol w:w="146"/>
        <w:gridCol w:w="264"/>
        <w:gridCol w:w="978"/>
        <w:gridCol w:w="166"/>
        <w:gridCol w:w="146"/>
        <w:gridCol w:w="311"/>
        <w:gridCol w:w="1155"/>
        <w:gridCol w:w="793"/>
      </w:tblGrid>
      <w:tr>
        <w:trPr/>
        <w:tc>
          <w:tcPr>
            <w:tcW w:w="6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 share data)</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(unaudited)</w:t>
              <w:b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4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hanging="0"/>
              <w:jc w:val="righ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45,522</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1,063</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109,889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83,086</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Costs and estimated earnings in excess of billings on uncompleted contracts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79,817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71,016</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 net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26,526</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12,174</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income taxes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1,271</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2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275,452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240,658</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 net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20,828</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 from operating leases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11,373</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207,788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183,197</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 finite life, net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35,251</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 indefinite life</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9,508</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829</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charges and other assets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3,077</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2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567,568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504,721</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LIABILITIES AND SHAREHOLDERS’ EQUITY</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hanging="0"/>
              <w:jc w:val="righ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debt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3,579</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111,586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107,198</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Billings in excess of costs and estimated earnings on uncompleted contracts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32,716</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Notes payable</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w:t>
            </w:r>
          </w:p>
        </w:tc>
        <w:tc>
          <w:tcPr>
            <w:tcW w:w="793" w:type="dxa"/>
            <w:tcBorders/>
            <w:shd w:fill="auto" w:val="clear"/>
            <w:vAlign w:val="center"/>
          </w:tcPr>
          <w:p>
            <w:pPr>
              <w:pStyle w:val="TableContents"/>
              <w:spacing w:before="0" w:after="0"/>
              <w:ind w:left="0" w:right="0" w:firstLine="200"/>
              <w:jc w:val="righ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payable</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3,207</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2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171,553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146,700</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15,129</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Debt, less current portion</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141,415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107,625</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liability, net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8,666</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8,453</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2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345,386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286,573</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Shareholders’ equity:</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Preferred stock, $.01 par value; 10,000 shares authorized, none issued</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w:t>
            </w:r>
          </w:p>
        </w:tc>
        <w:tc>
          <w:tcPr>
            <w:tcW w:w="793" w:type="dxa"/>
            <w:tcBorders/>
            <w:shd w:fill="auto" w:val="clear"/>
            <w:vAlign w:val="center"/>
          </w:tcPr>
          <w:p>
            <w:pPr>
              <w:pStyle w:val="TableContents"/>
              <w:spacing w:before="0" w:after="0"/>
              <w:ind w:left="0" w:right="0" w:firstLine="200"/>
              <w:jc w:val="righ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Common stock, $.01 par value; 100,000,000 shares authorized, 34,556,620 and</w:t>
              <w:br/>
              <w:t xml:space="preserve">34,381,668 shares issued and outstanding at March 31, 2023 and </w:t>
              <w:br/>
              <w:t>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 in excess of par value</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250,971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250,174</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loss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(19,298</w:t>
            </w:r>
          </w:p>
        </w:tc>
        <w:tc>
          <w:tcPr>
            <w:tcW w:w="793"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(17,996</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2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CECO shareholders' equity</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216,767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213,224</w:t>
            </w:r>
          </w:p>
        </w:tc>
        <w:tc>
          <w:tcPr>
            <w:tcW w:w="793" w:type="dxa"/>
            <w:tcBorders/>
            <w:shd w:fill="auto" w:val="clear"/>
            <w:vAlign w:val="center"/>
          </w:tcPr>
          <w:p>
            <w:pPr>
              <w:pStyle w:val="TableContents"/>
              <w:spacing w:before="0" w:after="0"/>
              <w:ind w:left="0" w:right="0" w:firstLine="400"/>
              <w:jc w:val="left"/>
              <w:rPr/>
            </w:pPr>
            <w:r>
              <w:rPr/>
              <w:t> </w:t>
            </w:r>
          </w:p>
        </w:tc>
      </w:tr>
      <w:tr>
        <w:trPr/>
        <w:tc>
          <w:tcPr>
            <w:tcW w:w="62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4,924</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2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shareholders' equity</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222,182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218,148</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24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liabilities and shareholders' equity</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567,568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504,721</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CECO ENVIRONMENTAL CORP. AND SUBSIDIARIES</w:t>
      </w:r>
    </w:p>
    <w:p>
      <w:pPr>
        <w:pStyle w:val="TextBody"/>
        <w:spacing w:before="0" w:after="0"/>
        <w:jc w:val="center"/>
        <w:rPr>
          <w:rFonts w:ascii="Times New Roman;serif" w:hAnsi="Times New Roman;serif"/>
          <w:b/>
          <w:sz w:val="20"/>
        </w:rPr>
      </w:pPr>
      <w:r>
        <w:rPr>
          <w:rFonts w:ascii="Times New Roman;serif" w:hAnsi="Times New Roman;serif"/>
          <w:b/>
          <w:sz w:val="20"/>
        </w:rPr>
        <w:t>CONDENSED CONSOLIDATED STATEMENTS OF INCOME</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8194" w:type="dxa"/>
        <w:jc w:val="left"/>
        <w:tblInd w:w="0" w:type="dxa"/>
        <w:tblCellMar>
          <w:top w:w="28" w:type="dxa"/>
          <w:left w:w="28" w:type="dxa"/>
          <w:bottom w:w="28" w:type="dxa"/>
          <w:right w:w="28" w:type="dxa"/>
        </w:tblCellMar>
      </w:tblPr>
      <w:tblGrid>
        <w:gridCol w:w="4831"/>
        <w:gridCol w:w="146"/>
        <w:gridCol w:w="211"/>
        <w:gridCol w:w="1036"/>
        <w:gridCol w:w="166"/>
        <w:gridCol w:w="146"/>
        <w:gridCol w:w="211"/>
        <w:gridCol w:w="1036"/>
        <w:gridCol w:w="411"/>
      </w:tblGrid>
      <w:tr>
        <w:trPr/>
        <w:tc>
          <w:tcPr>
            <w:tcW w:w="48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8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 share data)</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92,436</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66,008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26,428</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18,652</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and earnout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1,452</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and integration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5,202</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(458</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3,922</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2,810</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attributable to CECO Environmental Corp.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per share:</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common shares outstanding:</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34,441,905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35,051,034</w:t>
            </w:r>
          </w:p>
        </w:tc>
        <w:tc>
          <w:tcPr>
            <w:tcW w:w="411" w:type="dxa"/>
            <w:tcBorders/>
            <w:shd w:fill="auto" w:val="clear"/>
            <w:vAlign w:val="center"/>
          </w:tcPr>
          <w:p>
            <w:pPr>
              <w:pStyle w:val="TableContents"/>
              <w:spacing w:before="0" w:after="0"/>
              <w:ind w:left="0" w:right="0" w:firstLine="200"/>
              <w:jc w:val="left"/>
              <w:rPr/>
            </w:pPr>
            <w:r>
              <w:rPr/>
              <w:t> </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35,198,668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35,199,201</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CECO ENVIRONMENTAL CORP. AND SUBSIDIARIES</w:t>
      </w:r>
    </w:p>
    <w:p>
      <w:pPr>
        <w:pStyle w:val="TextBody"/>
        <w:spacing w:before="0" w:after="0"/>
        <w:jc w:val="center"/>
        <w:rPr>
          <w:rFonts w:ascii="Times New Roman;serif" w:hAnsi="Times New Roman;serif"/>
          <w:b/>
          <w:sz w:val="20"/>
        </w:rPr>
      </w:pPr>
      <w:r>
        <w:rPr>
          <w:rFonts w:ascii="Times New Roman;serif" w:hAnsi="Times New Roman;serif"/>
          <w:b/>
          <w:sz w:val="20"/>
        </w:rPr>
        <w:t>CONDENSED CONSOLIDATED STATEMENTS OF CASH FLOWS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8645" w:type="dxa"/>
        <w:jc w:val="left"/>
        <w:tblInd w:w="0" w:type="dxa"/>
        <w:tblCellMar>
          <w:top w:w="28" w:type="dxa"/>
          <w:left w:w="28" w:type="dxa"/>
          <w:bottom w:w="28" w:type="dxa"/>
          <w:right w:w="28" w:type="dxa"/>
        </w:tblCellMar>
      </w:tblPr>
      <w:tblGrid>
        <w:gridCol w:w="5536"/>
        <w:gridCol w:w="146"/>
        <w:gridCol w:w="227"/>
        <w:gridCol w:w="768"/>
        <w:gridCol w:w="193"/>
        <w:gridCol w:w="169"/>
        <w:gridCol w:w="227"/>
        <w:gridCol w:w="768"/>
        <w:gridCol w:w="611"/>
      </w:tblGrid>
      <w:tr>
        <w:trPr/>
        <w:tc>
          <w:tcPr>
            <w:tcW w:w="55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55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(in thousands)</w:t>
            </w:r>
          </w:p>
        </w:tc>
        <w:tc>
          <w:tcPr>
            <w:tcW w:w="146" w:type="dxa"/>
            <w:tcBorders/>
            <w:shd w:fill="auto" w:val="clear"/>
            <w:vAlign w:val="center"/>
          </w:tcPr>
          <w:p>
            <w:pPr>
              <w:pStyle w:val="TableContents"/>
              <w:spacing w:before="0" w:after="0"/>
              <w:ind w:left="0" w:right="0" w:hanging="0"/>
              <w:jc w:val="left"/>
              <w:rPr/>
            </w:pPr>
            <w:r>
              <w:rPr/>
              <w:t> </w:t>
            </w:r>
          </w:p>
        </w:tc>
        <w:tc>
          <w:tcPr>
            <w:tcW w:w="9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income</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2,469</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2,810</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Adjustments to reconcile net income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400"/>
              <w:jc w:val="right"/>
              <w:rPr/>
            </w:pPr>
            <w:r>
              <w:rPr/>
              <w:t> </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2,885</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2,288</w:t>
            </w:r>
          </w:p>
        </w:tc>
        <w:tc>
          <w:tcPr>
            <w:tcW w:w="611" w:type="dxa"/>
            <w:tcBorders/>
            <w:shd w:fill="auto" w:val="clear"/>
            <w:vAlign w:val="center"/>
          </w:tcPr>
          <w:p>
            <w:pPr>
              <w:pStyle w:val="TableContents"/>
              <w:spacing w:before="0" w:after="0"/>
              <w:ind w:left="0" w:right="0" w:firstLine="400"/>
              <w:jc w:val="left"/>
              <w:rPr/>
            </w:pPr>
            <w:r>
              <w:rPr/>
              <w:t> </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Unrealized foreign currency (gain) loss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(92</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263</w:t>
            </w:r>
          </w:p>
        </w:tc>
        <w:tc>
          <w:tcPr>
            <w:tcW w:w="611" w:type="dxa"/>
            <w:tcBorders/>
            <w:shd w:fill="auto" w:val="clear"/>
            <w:vAlign w:val="center"/>
          </w:tcPr>
          <w:p>
            <w:pPr>
              <w:pStyle w:val="TableContents"/>
              <w:spacing w:before="0" w:after="0"/>
              <w:ind w:left="0" w:right="0" w:firstLine="400"/>
              <w:jc w:val="left"/>
              <w:rPr/>
            </w:pPr>
            <w:r>
              <w:rPr/>
              <w:t> </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Gain on sale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Debt discount amortization</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91</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93</w:t>
            </w:r>
          </w:p>
        </w:tc>
        <w:tc>
          <w:tcPr>
            <w:tcW w:w="611" w:type="dxa"/>
            <w:tcBorders/>
            <w:shd w:fill="auto" w:val="clear"/>
            <w:vAlign w:val="center"/>
          </w:tcPr>
          <w:p>
            <w:pPr>
              <w:pStyle w:val="TableContents"/>
              <w:spacing w:before="0" w:after="0"/>
              <w:ind w:left="0" w:right="0" w:firstLine="400"/>
              <w:jc w:val="left"/>
              <w:rPr/>
            </w:pPr>
            <w:r>
              <w:rPr/>
              <w:t> </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806</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877</w:t>
            </w:r>
          </w:p>
        </w:tc>
        <w:tc>
          <w:tcPr>
            <w:tcW w:w="611" w:type="dxa"/>
            <w:tcBorders/>
            <w:shd w:fill="auto" w:val="clear"/>
            <w:vAlign w:val="center"/>
          </w:tcPr>
          <w:p>
            <w:pPr>
              <w:pStyle w:val="TableContents"/>
              <w:spacing w:before="0" w:after="0"/>
              <w:ind w:left="0" w:right="0" w:firstLine="400"/>
              <w:jc w:val="left"/>
              <w:rPr/>
            </w:pPr>
            <w:r>
              <w:rPr/>
              <w:t> </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Bad debt expense</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611" w:type="dxa"/>
            <w:tcBorders/>
            <w:shd w:fill="auto" w:val="clear"/>
            <w:vAlign w:val="center"/>
          </w:tcPr>
          <w:p>
            <w:pPr>
              <w:pStyle w:val="TableContents"/>
              <w:spacing w:before="0" w:after="0"/>
              <w:ind w:left="0" w:right="0" w:firstLine="400"/>
              <w:jc w:val="left"/>
              <w:rPr/>
            </w:pPr>
            <w:r>
              <w:rPr/>
              <w:t> </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Inventory reserve expense</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175</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213</w:t>
            </w:r>
          </w:p>
        </w:tc>
        <w:tc>
          <w:tcPr>
            <w:tcW w:w="611" w:type="dxa"/>
            <w:tcBorders/>
            <w:shd w:fill="auto" w:val="clear"/>
            <w:vAlign w:val="center"/>
          </w:tcPr>
          <w:p>
            <w:pPr>
              <w:pStyle w:val="TableContents"/>
              <w:spacing w:before="0" w:after="0"/>
              <w:ind w:left="0" w:right="0" w:hanging="0"/>
              <w:jc w:val="left"/>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Changes in operating assets and liabilities, net of acquisitions:</w:t>
            </w:r>
          </w:p>
        </w:tc>
        <w:tc>
          <w:tcPr>
            <w:tcW w:w="146"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(22,786</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(18,964</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Costs and estimated earnings in excess of billings on uncompleted contracts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(8,418</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1,515</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Inventories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(2,191</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(3,316</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572</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(878</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charges and other assets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(325</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996</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(1,056</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7,452</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Billings in excess of costs and estimated earnings on uncompleted contracts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16,838</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7,615</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Income taxes payable</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137</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(1,038</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(1,341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(12,021</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Acquisitions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(2,513</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(665</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proceeds from sale of assets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pPr>
            <w:r>
              <w:rPr/>
              <w:t>—</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cash paid for acquisitions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(24,142</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(19,583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(26,655</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(20,241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Borrowings on revolving credit lines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54,800</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17,800</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Repayments on revolving credit lines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(20,000</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(7,200</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Borrowing on long-term debt</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pPr>
            <w:r>
              <w:rPr/>
              <w:t>—</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11,000</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Repayments of long-term debt</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(826</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(643</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financing fees paid</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pPr>
            <w:r>
              <w:rPr/>
              <w:t>—</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(130</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Payments on finance leases and financing liability</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(225</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(145</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employee stock purchase plan and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610</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Noncontrolling interest distributions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(900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34,359</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19,859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Effect of exchange rate changes on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(1,111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(4,381</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(1,695</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cash equivalents and restricted cash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46,585</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31,995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cash equivalents and restricted cash at end of period</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42,204</w:t>
            </w:r>
          </w:p>
        </w:tc>
        <w:tc>
          <w:tcPr>
            <w:tcW w:w="1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30,300</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paid during the period for:</w:t>
            </w:r>
          </w:p>
        </w:tc>
        <w:tc>
          <w:tcPr>
            <w:tcW w:w="146" w:type="dxa"/>
            <w:tcBorders/>
            <w:shd w:fill="auto" w:val="clear"/>
            <w:vAlign w:val="center"/>
          </w:tcPr>
          <w:p>
            <w:pPr>
              <w:pStyle w:val="TableContents"/>
              <w:spacing w:before="0" w:after="0"/>
              <w:ind w:left="0" w:right="0" w:hanging="0"/>
              <w:jc w:val="left"/>
              <w:rPr/>
            </w:pPr>
            <w:r>
              <w:rPr/>
              <w:t> </w:t>
            </w:r>
          </w:p>
        </w:tc>
        <w:tc>
          <w:tcPr>
            <w:tcW w:w="9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righ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Interest</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2,338</w:t>
            </w:r>
          </w:p>
        </w:tc>
        <w:tc>
          <w:tcPr>
            <w:tcW w:w="1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812</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Income taxes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1,290</w:t>
            </w:r>
          </w:p>
        </w:tc>
        <w:tc>
          <w:tcPr>
            <w:tcW w:w="1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390</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CECO ENVIRONMENTAL CORP. AND SUBSIDIARIES</w:t>
      </w:r>
    </w:p>
    <w:p>
      <w:pPr>
        <w:pStyle w:val="TextBody"/>
        <w:spacing w:before="0" w:after="0"/>
        <w:jc w:val="center"/>
        <w:rPr>
          <w:rFonts w:ascii="Times New Roman;serif" w:hAnsi="Times New Roman;serif"/>
          <w:b/>
          <w:sz w:val="20"/>
        </w:rPr>
      </w:pPr>
      <w:r>
        <w:rPr>
          <w:rFonts w:ascii="Times New Roman;serif" w:hAnsi="Times New Roman;serif"/>
          <w:b/>
          <w:sz w:val="20"/>
        </w:rPr>
        <w:t>RECONCILIATION OF GAAP TO NON-GAAP MEASURES</w:t>
      </w:r>
    </w:p>
    <w:p>
      <w:pPr>
        <w:pStyle w:val="TextBody"/>
        <w:spacing w:before="0" w:after="0"/>
        <w:jc w:val="center"/>
        <w:rPr/>
      </w:pPr>
      <w:r>
        <w:rPr/>
        <w:t> </w:t>
      </w:r>
    </w:p>
    <w:tbl>
      <w:tblPr>
        <w:tblW w:w="7851" w:type="dxa"/>
        <w:jc w:val="left"/>
        <w:tblInd w:w="0" w:type="dxa"/>
        <w:tblCellMar>
          <w:top w:w="28" w:type="dxa"/>
          <w:left w:w="28" w:type="dxa"/>
          <w:bottom w:w="28" w:type="dxa"/>
          <w:right w:w="28" w:type="dxa"/>
        </w:tblCellMar>
      </w:tblPr>
      <w:tblGrid>
        <w:gridCol w:w="4636"/>
        <w:gridCol w:w="146"/>
        <w:gridCol w:w="318"/>
        <w:gridCol w:w="544"/>
        <w:gridCol w:w="409"/>
        <w:gridCol w:w="220"/>
        <w:gridCol w:w="318"/>
        <w:gridCol w:w="544"/>
        <w:gridCol w:w="716"/>
      </w:tblGrid>
      <w:tr>
        <w:trPr/>
        <w:tc>
          <w:tcPr>
            <w:tcW w:w="4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46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millions, except ratios)</w:t>
            </w:r>
          </w:p>
        </w:tc>
        <w:tc>
          <w:tcPr>
            <w:tcW w:w="146" w:type="dxa"/>
            <w:tcBorders/>
            <w:shd w:fill="auto" w:val="clear"/>
            <w:vAlign w:val="center"/>
          </w:tcPr>
          <w:p>
            <w:pPr>
              <w:pStyle w:val="TableContents"/>
              <w:spacing w:before="0" w:after="0"/>
              <w:ind w:left="0" w:right="0" w:hanging="0"/>
              <w:jc w:val="center"/>
              <w:rPr/>
            </w:pPr>
            <w:r>
              <w:rPr/>
              <w:t> </w:t>
            </w:r>
          </w:p>
        </w:tc>
        <w:tc>
          <w:tcPr>
            <w:tcW w:w="8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0" w:type="dxa"/>
            <w:tcBorders/>
            <w:shd w:fill="auto" w:val="clear"/>
            <w:vAlign w:val="center"/>
          </w:tcPr>
          <w:p>
            <w:pPr>
              <w:pStyle w:val="TableContents"/>
              <w:spacing w:before="0" w:after="0"/>
              <w:ind w:left="0" w:right="0" w:hanging="0"/>
              <w:jc w:val="center"/>
              <w:rPr/>
            </w:pPr>
            <w:r>
              <w:rPr/>
              <w:t> </w:t>
            </w:r>
          </w:p>
        </w:tc>
        <w:tc>
          <w:tcPr>
            <w:tcW w:w="8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as reported in accordance with GAAP</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409"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716" w:type="dxa"/>
            <w:tcBorders/>
            <w:shd w:fill="auto" w:val="clear"/>
            <w:vAlign w:val="center"/>
          </w:tcPr>
          <w:p>
            <w:pPr>
              <w:pStyle w:val="TableContents"/>
              <w:spacing w:before="0" w:after="0"/>
              <w:ind w:left="0" w:right="0" w:firstLine="200"/>
              <w:jc w:val="left"/>
              <w:rPr/>
            </w:pPr>
            <w:r>
              <w:rPr/>
              <w:t> </w:t>
            </w:r>
          </w:p>
        </w:tc>
      </w:tr>
      <w:tr>
        <w:trPr/>
        <w:tc>
          <w:tcPr>
            <w:tcW w:w="463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Operating margin in accordance with GAAP</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4.9</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5.6</w:t>
            </w:r>
          </w:p>
        </w:tc>
        <w:tc>
          <w:tcPr>
            <w:tcW w:w="716" w:type="dxa"/>
            <w:tcBorders/>
            <w:shd w:fill="auto" w:val="clear"/>
            <w:vAlign w:val="center"/>
          </w:tcPr>
          <w:p>
            <w:pPr>
              <w:pStyle w:val="TableContents"/>
              <w:spacing w:before="0" w:after="0"/>
              <w:ind w:left="0" w:right="0" w:firstLine="400"/>
              <w:jc w:val="left"/>
              <w:rPr>
                <w:rFonts w:ascii="Times New Roman;serif" w:hAnsi="Times New Roman;serif"/>
                <w:b w:val="false"/>
                <w:i/>
                <w:sz w:val="20"/>
              </w:rPr>
            </w:pPr>
            <w:r>
              <w:rPr>
                <w:rFonts w:ascii="Times New Roman;serif" w:hAnsi="Times New Roman;serif"/>
                <w:b w:val="false"/>
                <w:i/>
                <w:sz w:val="20"/>
              </w:rPr>
              <w:t>%</w:t>
            </w:r>
          </w:p>
        </w:tc>
      </w:tr>
      <w:tr>
        <w:trPr/>
        <w:tc>
          <w:tcPr>
            <w:tcW w:w="463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and earnout expenses</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409"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716" w:type="dxa"/>
            <w:tcBorders/>
            <w:shd w:fill="auto" w:val="clear"/>
            <w:vAlign w:val="center"/>
          </w:tcPr>
          <w:p>
            <w:pPr>
              <w:pStyle w:val="TableContents"/>
              <w:spacing w:before="0" w:after="0"/>
              <w:ind w:left="0" w:right="0" w:firstLine="400"/>
              <w:jc w:val="left"/>
              <w:rPr/>
            </w:pPr>
            <w:r>
              <w:rPr/>
              <w:t> </w:t>
            </w:r>
          </w:p>
        </w:tc>
      </w:tr>
      <w:tr>
        <w:trPr/>
        <w:tc>
          <w:tcPr>
            <w:tcW w:w="463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Acquisition and integration expenses</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409"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716" w:type="dxa"/>
            <w:tcBorders/>
            <w:shd w:fill="auto" w:val="clear"/>
            <w:vAlign w:val="center"/>
          </w:tcPr>
          <w:p>
            <w:pPr>
              <w:pStyle w:val="TableContents"/>
              <w:spacing w:before="0" w:after="0"/>
              <w:ind w:left="0" w:right="0" w:firstLine="400"/>
              <w:jc w:val="left"/>
              <w:rPr/>
            </w:pPr>
            <w:r>
              <w:rPr/>
              <w:t> </w:t>
            </w:r>
          </w:p>
        </w:tc>
      </w:tr>
      <w:tr>
        <w:trPr/>
        <w:tc>
          <w:tcPr>
            <w:tcW w:w="463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Restructuring expenses</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operating income</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409"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716" w:type="dxa"/>
            <w:tcBorders/>
            <w:shd w:fill="auto" w:val="clear"/>
            <w:vAlign w:val="center"/>
          </w:tcPr>
          <w:p>
            <w:pPr>
              <w:pStyle w:val="TableContents"/>
              <w:spacing w:before="0" w:after="0"/>
              <w:ind w:left="0" w:right="0" w:firstLine="200"/>
              <w:jc w:val="left"/>
              <w:rPr/>
            </w:pPr>
            <w:r>
              <w:rPr/>
              <w:t> </w:t>
            </w:r>
          </w:p>
        </w:tc>
      </w:tr>
      <w:tr>
        <w:trPr/>
        <w:tc>
          <w:tcPr>
            <w:tcW w:w="463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Non-GAAP operating margin</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6.8</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8.4</w:t>
            </w:r>
          </w:p>
        </w:tc>
        <w:tc>
          <w:tcPr>
            <w:tcW w:w="71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r>
    </w:tbl>
    <w:p>
      <w:pPr>
        <w:pStyle w:val="TextBody"/>
        <w:spacing w:before="0" w:after="0"/>
        <w:jc w:val="center"/>
        <w:rPr/>
      </w:pPr>
      <w:r>
        <w:rPr/>
        <w:t> </w:t>
      </w:r>
    </w:p>
    <w:p>
      <w:pPr>
        <w:pStyle w:val="TextBody"/>
        <w:spacing w:before="0" w:after="0"/>
        <w:jc w:val="center"/>
        <w:rPr/>
      </w:pPr>
      <w:r>
        <w:rPr/>
        <w:t> </w:t>
      </w:r>
    </w:p>
    <w:tbl>
      <w:tblPr>
        <w:tblW w:w="6931" w:type="dxa"/>
        <w:jc w:val="left"/>
        <w:tblInd w:w="0" w:type="dxa"/>
        <w:tblCellMar>
          <w:top w:w="28" w:type="dxa"/>
          <w:left w:w="28" w:type="dxa"/>
          <w:bottom w:w="28" w:type="dxa"/>
          <w:right w:w="28" w:type="dxa"/>
        </w:tblCellMar>
      </w:tblPr>
      <w:tblGrid>
        <w:gridCol w:w="3676"/>
        <w:gridCol w:w="146"/>
        <w:gridCol w:w="298"/>
        <w:gridCol w:w="641"/>
        <w:gridCol w:w="252"/>
        <w:gridCol w:w="222"/>
        <w:gridCol w:w="298"/>
        <w:gridCol w:w="641"/>
        <w:gridCol w:w="166"/>
        <w:gridCol w:w="591"/>
      </w:tblGrid>
      <w:tr>
        <w:trPr/>
        <w:tc>
          <w:tcPr>
            <w:tcW w:w="3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6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millions, except share data)</w:t>
            </w:r>
          </w:p>
        </w:tc>
        <w:tc>
          <w:tcPr>
            <w:tcW w:w="146" w:type="dxa"/>
            <w:tcBorders/>
            <w:shd w:fill="auto" w:val="clear"/>
            <w:vAlign w:val="center"/>
          </w:tcPr>
          <w:p>
            <w:pPr>
              <w:pStyle w:val="TableContents"/>
              <w:spacing w:before="0" w:after="0"/>
              <w:ind w:left="0" w:right="0" w:hanging="0"/>
              <w:jc w:val="left"/>
              <w:rPr/>
            </w:pPr>
            <w:r>
              <w:rPr/>
              <w:t> </w:t>
            </w:r>
          </w:p>
        </w:tc>
        <w:tc>
          <w:tcPr>
            <w:tcW w:w="9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2" w:type="dxa"/>
            <w:tcBorders/>
            <w:shd w:fill="auto" w:val="clear"/>
            <w:vAlign w:val="center"/>
          </w:tcPr>
          <w:p>
            <w:pPr>
              <w:pStyle w:val="TableContents"/>
              <w:spacing w:before="0" w:after="0"/>
              <w:ind w:left="0" w:right="0" w:hanging="0"/>
              <w:jc w:val="center"/>
              <w:rPr/>
            </w:pPr>
            <w:r>
              <w:rPr/>
              <w:t> </w:t>
            </w:r>
          </w:p>
        </w:tc>
        <w:tc>
          <w:tcPr>
            <w:tcW w:w="9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income as reported in accordance with GAAP</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Amortization and earnout expenses</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Acquisition and integration expenses</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0.5</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Restructuring expenses</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pPr>
            <w:r>
              <w:rPr/>
              <w:t>—</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0.1</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Foreign currency remeasurement</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(0.1</w:t>
            </w:r>
          </w:p>
        </w:tc>
        <w:tc>
          <w:tcPr>
            <w:tcW w:w="25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0.3</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Tax benefit expense of adjustments</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(0.5</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Non-GAAP net income</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Depreciation</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0.8</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Non-cash stock compensation</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0.8</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0.9</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Other (income) expense</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0.7</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0.2</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0.8</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0.5</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0.5</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9.5</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36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Earnings per share:</w:t>
            </w:r>
          </w:p>
        </w:tc>
        <w:tc>
          <w:tcPr>
            <w:tcW w:w="146"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Basic</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0.06</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0.08</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Diluted</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0.06</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0.08</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Non-GAAP net income per share:</w:t>
            </w:r>
          </w:p>
        </w:tc>
        <w:tc>
          <w:tcPr>
            <w:tcW w:w="146"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Basic</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0.10</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0.14</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67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Diluted</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0.10</w:t>
            </w:r>
          </w:p>
        </w:tc>
        <w:tc>
          <w:tcPr>
            <w:tcW w:w="25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0.14</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pPr>
      <w:r>
        <w:rPr/>
        <w:t> </w:t>
      </w:r>
    </w:p>
    <w:tbl>
      <w:tblPr>
        <w:tblW w:w="6259" w:type="dxa"/>
        <w:jc w:val="left"/>
        <w:tblInd w:w="0" w:type="dxa"/>
        <w:tblCellMar>
          <w:top w:w="28" w:type="dxa"/>
          <w:left w:w="28" w:type="dxa"/>
          <w:bottom w:w="28" w:type="dxa"/>
          <w:right w:w="28" w:type="dxa"/>
        </w:tblCellMar>
      </w:tblPr>
      <w:tblGrid>
        <w:gridCol w:w="3001"/>
        <w:gridCol w:w="146"/>
        <w:gridCol w:w="293"/>
        <w:gridCol w:w="719"/>
        <w:gridCol w:w="248"/>
        <w:gridCol w:w="218"/>
        <w:gridCol w:w="293"/>
        <w:gridCol w:w="584"/>
        <w:gridCol w:w="166"/>
        <w:gridCol w:w="591"/>
      </w:tblGrid>
      <w:tr>
        <w:trPr/>
        <w:tc>
          <w:tcPr>
            <w:tcW w:w="30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0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millions)</w:t>
            </w:r>
          </w:p>
        </w:tc>
        <w:tc>
          <w:tcPr>
            <w:tcW w:w="146" w:type="dxa"/>
            <w:tcBorders/>
            <w:shd w:fill="auto" w:val="clear"/>
            <w:vAlign w:val="center"/>
          </w:tcPr>
          <w:p>
            <w:pPr>
              <w:pStyle w:val="TableContents"/>
              <w:spacing w:before="0" w:after="0"/>
              <w:ind w:left="0" w:right="0" w:hanging="0"/>
              <w:jc w:val="center"/>
              <w:rPr/>
            </w:pPr>
            <w:r>
              <w:rPr/>
              <w:t> </w:t>
            </w:r>
          </w:p>
        </w:tc>
        <w:tc>
          <w:tcPr>
            <w:tcW w:w="10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8" w:type="dxa"/>
            <w:tcBorders/>
            <w:shd w:fill="auto" w:val="clear"/>
            <w:vAlign w:val="center"/>
          </w:tcPr>
          <w:p>
            <w:pPr>
              <w:pStyle w:val="TableContents"/>
              <w:spacing w:before="0" w:after="0"/>
              <w:ind w:left="0" w:right="0" w:hanging="0"/>
              <w:jc w:val="center"/>
              <w:rPr/>
            </w:pPr>
            <w:r>
              <w:rPr/>
              <w:t> </w:t>
            </w:r>
          </w:p>
        </w:tc>
        <w:tc>
          <w:tcPr>
            <w:tcW w:w="8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(12.0</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18"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8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300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Acquisitions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18"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Free cash flow</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(14.5</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18"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8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NOTE REGARDING NON-GAAP FINANCIAL MEASURES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Non-GAAP operating income, non-GAAP net income, non-GAAP operating margin, non-GAAP earnings per basic and diluted share, adjusted EBITDA and free cash flow, as we present them in the financial data included in this press release, have been adjusted to exclude the effects of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Non-GAAP operating income, non-GAAP net income, non-GAAP operating margin, non-GAAP earnings per basic and diluted share,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pStyle w:val="TextBody"/>
        <w:spacing w:before="0" w:after="0"/>
        <w:jc w:val="both"/>
        <w:rPr>
          <w:rFonts w:ascii="Times New Roman" w:hAnsi="Times New Roman"/>
          <w:sz w:val="20"/>
        </w:rPr>
      </w:pPr>
      <w:r>
        <w:rPr>
          <w:rFonts w:ascii="Times New Roman;serif" w:hAnsi="Times New Roman;serif"/>
          <w:b w:val="false"/>
          <w:sz w:val="20"/>
        </w:rPr>
        <w:t>In accordance with the requirements of Regulation G issued by the Securities and Exchange Commission, non-GAAP operating income, non-GAAP net income, non-GAAP operating margin, non-GAAP earnings per basic and diluted share, adjusted EBITDA and free cash flow stated in the tables above are reconciled to the most directly comparable GAAP financial measures.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The unavailable information could have a significant impact on our GAAP financial results.</w:t>
      </w:r>
    </w:p>
    <w:p>
      <w:pPr>
        <w:pStyle w:val="TextBody"/>
        <w:spacing w:before="0" w:after="0"/>
        <w:jc w:val="both"/>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SAFE HARBOR</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2022 and may be included in subsequently filed Quarterly Reports on Form 10-Q, and include, but are not limited to: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our ability to successfully realize the expected benefits of our restructuring program; our ability to successfully integrate acquired businesses and realize the synergies from strategic transactions; and the unpredictability and severity of catastrophic events, including cyber security threats, acts of terrorism or outbreak of war or hostilities or public health crises,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3587</Words>
  <CharactersWithSpaces>24258</CharactersWithSpaces>
  <Paragraphs>1468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