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156210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142240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660" w:space="720"/>
            <w:col w:w="3060" w:space="720"/>
            <w:col w:w="2240"/>
          </w:cols>
          <w:pgMar w:left="240" w:top="376" w:right="259" w:bottom="1440" w:gutter="0" w:footer="0" w:header="0"/>
          <w:type w:val="continuous"/>
        </w:sect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600" w:space="720"/>
            <w:col w:w="3000" w:space="720"/>
            <w:col w:w="2360"/>
          </w:cols>
          <w:pgMar w:left="240" w:top="376" w:right="259" w:bottom="1440" w:gutter="0" w:footer="0" w:header="0"/>
          <w:type w:val="continuous"/>
        </w:sect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14651 North Dallas Parkway</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75254</w:t>
      </w:r>
    </w:p>
    <w:p>
      <w:pPr>
        <w:spacing w:after="0" w:line="42" w:lineRule="exact"/>
        <w:rPr>
          <w:sz w:val="24"/>
          <w:szCs w:val="24"/>
          <w:color w:val="auto"/>
        </w:rPr>
      </w:pPr>
    </w:p>
    <w:p>
      <w:pPr>
        <w:sectPr>
          <w:pgSz w:w="11900" w:h="16838" w:orient="portrait"/>
          <w:cols w:equalWidth="0" w:num="2">
            <w:col w:w="7680" w:space="720"/>
            <w:col w:w="3000"/>
          </w:cols>
          <w:pgMar w:left="240" w:top="376" w:right="2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580" w:space="720"/>
            <w:col w:w="3100"/>
          </w:cols>
          <w:pgMar w:left="240" w:top="376"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157480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20"/>
        <w:spacing w:after="0" w:line="242"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firstLine="598"/>
        <w:spacing w:after="0" w:line="282" w:lineRule="auto"/>
        <w:rPr>
          <w:sz w:val="20"/>
          <w:szCs w:val="20"/>
          <w:color w:val="auto"/>
        </w:rPr>
      </w:pPr>
      <w:r>
        <w:rPr>
          <w:rFonts w:ascii="Times New Roman" w:cs="Times New Roman" w:eastAsia="Times New Roman" w:hAnsi="Times New Roman"/>
          <w:sz w:val="18"/>
          <w:szCs w:val="18"/>
          <w:color w:val="auto"/>
        </w:rPr>
        <w:t>On November 7, 2018, CECO Environmental Corp., a Delaware corporation, issued a press release announcing its financial results for the three and nine months ended September 30, 2018. A copy of the press release is furnished as Exhibit 99.1 to this report and is incorporated herein by reference.</w:t>
      </w:r>
    </w:p>
    <w:p>
      <w:pPr>
        <w:spacing w:after="0" w:line="162" w:lineRule="exact"/>
        <w:rPr>
          <w:sz w:val="20"/>
          <w:szCs w:val="20"/>
          <w:color w:val="auto"/>
        </w:rPr>
      </w:pPr>
    </w:p>
    <w:p>
      <w:pPr>
        <w:ind w:right="40" w:firstLine="598"/>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November 7, 2018.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900" w:type="dxa"/>
            <w:vAlign w:val="bottom"/>
            <w:tcBorders>
              <w:top w:val="single" w:sz="8" w:color="0000EE"/>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9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November 7, 2018</w:t>
      </w:r>
      <w:r>
        <w:rPr>
          <w:sz w:val="20"/>
          <w:szCs w:val="20"/>
          <w:color w:val="auto"/>
        </w:rPr>
        <w:tab/>
      </w:r>
      <w:r>
        <w:rPr>
          <w:rFonts w:ascii="Times New Roman" w:cs="Times New Roman" w:eastAsia="Times New Roman" w:hAnsi="Times New Roman"/>
          <w:sz w:val="18"/>
          <w:szCs w:val="18"/>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Matthew Eckl</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880"/>
          </w:cols>
          <w:pgMar w:left="240" w:top="117"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77470</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Third Quarter and Nine Months 2018 Results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Achieved Continued Sequential Revenue Growth and Improving Operating Results</w:t>
      </w:r>
    </w:p>
    <w:p>
      <w:pPr>
        <w:spacing w:after="0" w:line="228" w:lineRule="exact"/>
        <w:rPr>
          <w:sz w:val="20"/>
          <w:szCs w:val="20"/>
          <w:color w:val="auto"/>
        </w:rPr>
      </w:pPr>
    </w:p>
    <w:p>
      <w:pPr>
        <w:jc w:val="both"/>
        <w:ind w:left="120" w:right="60"/>
        <w:spacing w:after="0" w:line="246" w:lineRule="auto"/>
        <w:rPr>
          <w:sz w:val="20"/>
          <w:szCs w:val="20"/>
          <w:color w:val="auto"/>
        </w:rPr>
      </w:pPr>
      <w:r>
        <w:rPr>
          <w:rFonts w:ascii="Arial" w:cs="Arial" w:eastAsia="Arial" w:hAnsi="Arial"/>
          <w:sz w:val="20"/>
          <w:szCs w:val="20"/>
          <w:b w:val="1"/>
          <w:bCs w:val="1"/>
          <w:color w:val="auto"/>
        </w:rPr>
        <w:t xml:space="preserve">DALLAS, Texas, November 7, 2018 --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third quarter and first nine months of 2018.</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Highlights of the Third Quarter 2018*</w:t>
      </w:r>
    </w:p>
    <w:p>
      <w:pPr>
        <w:spacing w:after="0" w:line="24" w:lineRule="exact"/>
        <w:rPr>
          <w:sz w:val="20"/>
          <w:szCs w:val="20"/>
          <w:color w:val="auto"/>
        </w:rPr>
      </w:pP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Revenue of $88.3 million, compared with $85.0 million</w:t>
      </w:r>
    </w:p>
    <w:p>
      <w:pPr>
        <w:spacing w:after="0" w:line="7" w:lineRule="exact"/>
        <w:rPr>
          <w:rFonts w:ascii="Times New Roman" w:cs="Times New Roman" w:eastAsia="Times New Roman" w:hAnsi="Times New Roman"/>
          <w:sz w:val="19"/>
          <w:szCs w:val="19"/>
          <w:color w:val="auto"/>
        </w:rPr>
      </w:pP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Gross profit of $28.7 million (32.5% margin), compared with $27.1 million (31.9% margin)</w:t>
      </w:r>
    </w:p>
    <w:p>
      <w:pPr>
        <w:spacing w:after="0" w:line="10" w:lineRule="exact"/>
        <w:rPr>
          <w:rFonts w:ascii="Times New Roman" w:cs="Times New Roman" w:eastAsia="Times New Roman" w:hAnsi="Times New Roman"/>
          <w:sz w:val="19"/>
          <w:szCs w:val="19"/>
          <w:color w:val="auto"/>
        </w:rPr>
      </w:pPr>
    </w:p>
    <w:p>
      <w:pPr>
        <w:ind w:left="760" w:hanging="374"/>
        <w:spacing w:after="0" w:line="251" w:lineRule="auto"/>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Operating loss of $10.4 million (includes a $15.1 million non-cash impairment charge related to the sale of our Zhongli business), compared with operating income of $5.6 million</w:t>
      </w:r>
    </w:p>
    <w:p>
      <w:pPr>
        <w:spacing w:after="0" w:line="1" w:lineRule="exact"/>
        <w:rPr>
          <w:rFonts w:ascii="Times New Roman" w:cs="Times New Roman" w:eastAsia="Times New Roman" w:hAnsi="Times New Roman"/>
          <w:sz w:val="19"/>
          <w:szCs w:val="19"/>
          <w:color w:val="auto"/>
        </w:rPr>
      </w:pP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operating income of $6.5 million, compared with $5.3 million</w:t>
      </w:r>
    </w:p>
    <w:p>
      <w:pPr>
        <w:spacing w:after="0" w:line="10" w:lineRule="exact"/>
        <w:rPr>
          <w:rFonts w:ascii="Times New Roman" w:cs="Times New Roman" w:eastAsia="Times New Roman" w:hAnsi="Times New Roman"/>
          <w:sz w:val="19"/>
          <w:szCs w:val="19"/>
          <w:color w:val="auto"/>
        </w:rPr>
      </w:pP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loss was $12.9 million, compared with net income of $3.0 million</w:t>
      </w:r>
    </w:p>
    <w:p>
      <w:pPr>
        <w:spacing w:after="0" w:line="10" w:lineRule="exact"/>
        <w:rPr>
          <w:rFonts w:ascii="Times New Roman" w:cs="Times New Roman" w:eastAsia="Times New Roman" w:hAnsi="Times New Roman"/>
          <w:sz w:val="19"/>
          <w:szCs w:val="19"/>
          <w:color w:val="auto"/>
        </w:rPr>
      </w:pP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net income of $3.5 million, compared with $1.2 million</w:t>
      </w:r>
    </w:p>
    <w:p>
      <w:pPr>
        <w:spacing w:after="0" w:line="10" w:lineRule="exact"/>
        <w:rPr>
          <w:rFonts w:ascii="Times New Roman" w:cs="Times New Roman" w:eastAsia="Times New Roman" w:hAnsi="Times New Roman"/>
          <w:sz w:val="19"/>
          <w:szCs w:val="19"/>
          <w:color w:val="auto"/>
        </w:rPr>
      </w:pPr>
    </w:p>
    <w:p>
      <w:pPr>
        <w:ind w:left="760" w:hanging="374"/>
        <w:spacing w:after="0" w:line="236" w:lineRule="auto"/>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Net loss per diluted share was $0.37, compared with net income per diluted share of $0.09</w:t>
      </w:r>
    </w:p>
    <w:p>
      <w:pPr>
        <w:ind w:left="760" w:hanging="374"/>
        <w:spacing w:after="0" w:line="236" w:lineRule="auto"/>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Non-GAAP net income per diluted share of $0.10, compared with $0.03</w:t>
      </w:r>
    </w:p>
    <w:p>
      <w:pPr>
        <w:ind w:left="760" w:hanging="374"/>
        <w:spacing w:after="0" w:line="236" w:lineRule="auto"/>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Adjusted EBITDA of $8.3 million, compared with $6.9 million</w:t>
      </w:r>
    </w:p>
    <w:p>
      <w:pPr>
        <w:ind w:left="760" w:hanging="374"/>
        <w:spacing w:after="0" w:line="236" w:lineRule="auto"/>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Bookings of $97.5 million, compared with $71.0 million, an increase of 37% year over year</w:t>
      </w:r>
    </w:p>
    <w:p>
      <w:pPr>
        <w:ind w:left="760" w:hanging="374"/>
        <w:spacing w:after="0"/>
        <w:tabs>
          <w:tab w:leader="none" w:pos="76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Backlog of $211.4 million, compared with $168.9 million as of December 31, 2017</w:t>
      </w:r>
    </w:p>
    <w:p>
      <w:pPr>
        <w:spacing w:after="0" w:line="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 All comparisons are versus the comparable prior-year period, which include results from divestitures, unless otherwise stated.</w:t>
      </w:r>
    </w:p>
    <w:p>
      <w:pPr>
        <w:spacing w:after="0" w:line="201" w:lineRule="exact"/>
        <w:rPr>
          <w:sz w:val="20"/>
          <w:szCs w:val="20"/>
          <w:color w:val="auto"/>
        </w:rPr>
      </w:pPr>
    </w:p>
    <w:p>
      <w:pPr>
        <w:jc w:val="both"/>
        <w:ind w:right="80"/>
        <w:spacing w:after="0" w:line="234" w:lineRule="auto"/>
        <w:rPr>
          <w:sz w:val="20"/>
          <w:szCs w:val="20"/>
          <w:color w:val="auto"/>
        </w:rPr>
      </w:pPr>
      <w:r>
        <w:rPr>
          <w:rFonts w:ascii="Arial" w:cs="Arial" w:eastAsia="Arial" w:hAnsi="Arial"/>
          <w:sz w:val="20"/>
          <w:szCs w:val="20"/>
          <w:color w:val="auto"/>
        </w:rPr>
        <w:t>CECO’s Chief Executive Officer Dennis Sadlowski commented, “I continue to be excited about our growing momentum as we provided another quarter of strong operating results across CECO Environmental. We realized continued sequential revenue growth, generated improved gross margins, and our backlog continues to improve with another quarter of strong bookings, up 37% year over year and up 48%, excluding divestitures. A year after implementing our 4-3-3 operating strategy, I’m convinced that we’re on the right path as our financial results have shown. With emphasis on our three targeted end markets, there is significant growth potential ahead as we continue our laser focused execution of our strategic plan.”</w:t>
      </w:r>
    </w:p>
    <w:p>
      <w:pPr>
        <w:spacing w:after="0" w:line="181" w:lineRule="exact"/>
        <w:rPr>
          <w:sz w:val="20"/>
          <w:szCs w:val="20"/>
          <w:color w:val="auto"/>
        </w:rPr>
      </w:pPr>
    </w:p>
    <w:p>
      <w:pPr>
        <w:jc w:val="both"/>
        <w:ind w:right="100"/>
        <w:spacing w:after="0" w:line="239" w:lineRule="auto"/>
        <w:rPr>
          <w:sz w:val="20"/>
          <w:szCs w:val="20"/>
          <w:color w:val="auto"/>
        </w:rPr>
      </w:pPr>
      <w:r>
        <w:rPr>
          <w:rFonts w:ascii="Arial" w:cs="Arial" w:eastAsia="Arial" w:hAnsi="Arial"/>
          <w:sz w:val="20"/>
          <w:szCs w:val="20"/>
          <w:color w:val="auto"/>
        </w:rPr>
        <w:t>Mr. Sadlowski added, “Our recent actions to sell non-core businesses brings a further sharpening of focus on our large and winnable target markets as well as a stronger balance sheet to continue to execute on our growth. CECO’s focus on organic growth, improving operating margins and an asset light business model will continue to allow us to generate improving results and increasing returns for all our shareholders.”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THIRD QUARTER RESULTS</w:t>
      </w:r>
    </w:p>
    <w:p>
      <w:pPr>
        <w:spacing w:after="0" w:line="218" w:lineRule="exact"/>
        <w:rPr>
          <w:sz w:val="20"/>
          <w:szCs w:val="20"/>
          <w:color w:val="auto"/>
        </w:rPr>
      </w:pPr>
    </w:p>
    <w:p>
      <w:pPr>
        <w:jc w:val="both"/>
        <w:ind w:left="120" w:right="80"/>
        <w:spacing w:after="0" w:line="245" w:lineRule="auto"/>
        <w:rPr>
          <w:sz w:val="20"/>
          <w:szCs w:val="20"/>
          <w:color w:val="auto"/>
        </w:rPr>
      </w:pPr>
      <w:r>
        <w:rPr>
          <w:rFonts w:ascii="Arial" w:cs="Arial" w:eastAsia="Arial" w:hAnsi="Arial"/>
          <w:sz w:val="20"/>
          <w:szCs w:val="20"/>
          <w:color w:val="auto"/>
        </w:rPr>
        <w:t>Revenue in the third quarter of 2018 was $88.3 million, up 3.9% from $85.0 million in the prior- year period, and up 8.9% from $88.1 million in the second quarter of 2018. Revenue in the third quarter of 2017 included $6.9 million attributable to our divested businesses, Keystone and Strobic.</w:t>
      </w:r>
    </w:p>
    <w:p>
      <w:pPr>
        <w:spacing w:after="0" w:line="174" w:lineRule="exact"/>
        <w:rPr>
          <w:sz w:val="20"/>
          <w:szCs w:val="20"/>
          <w:color w:val="auto"/>
        </w:rPr>
      </w:pPr>
    </w:p>
    <w:p>
      <w:pPr>
        <w:jc w:val="both"/>
        <w:ind w:left="120" w:right="80"/>
        <w:spacing w:after="0" w:line="239" w:lineRule="auto"/>
        <w:rPr>
          <w:sz w:val="20"/>
          <w:szCs w:val="20"/>
          <w:color w:val="auto"/>
        </w:rPr>
      </w:pPr>
      <w:r>
        <w:rPr>
          <w:rFonts w:ascii="Arial" w:cs="Arial" w:eastAsia="Arial" w:hAnsi="Arial"/>
          <w:sz w:val="20"/>
          <w:szCs w:val="20"/>
          <w:color w:val="auto"/>
        </w:rPr>
        <w:t>Operating loss was $10.4 million for the third quarter of 2018, compared with operating income of $5.6 million in the prior-year period (6.6% margin). Operating loss in 2018, includes a $15.1 million non-cash impairment charge related to the sale of our Zhongli business. Operating income on a non-GAAP basis was $6.5 million for the third quarter of 2018 (7.4% margin), compared with $5.3 million in the prior-year period (6.2%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0540"/>
        <w:spacing w:after="0"/>
        <w:rPr>
          <w:sz w:val="20"/>
          <w:szCs w:val="20"/>
          <w:color w:val="auto"/>
        </w:rPr>
      </w:pPr>
      <w:r>
        <w:rPr>
          <w:rFonts w:ascii="Times New Roman" w:cs="Times New Roman" w:eastAsia="Times New Roman" w:hAnsi="Times New Roman"/>
          <w:sz w:val="17"/>
          <w:szCs w:val="17"/>
          <w:color w:val="auto"/>
        </w:rPr>
        <w:t>Exhibit 99.1</w:t>
      </w:r>
    </w:p>
    <w:p>
      <w:pPr>
        <w:spacing w:after="0" w:line="35" w:lineRule="exact"/>
        <w:rPr>
          <w:sz w:val="20"/>
          <w:szCs w:val="20"/>
          <w:color w:val="auto"/>
        </w:rPr>
      </w:pPr>
    </w:p>
    <w:p>
      <w:pPr>
        <w:jc w:val="both"/>
        <w:ind w:left="120" w:right="100"/>
        <w:spacing w:after="0" w:line="234" w:lineRule="auto"/>
        <w:rPr>
          <w:sz w:val="20"/>
          <w:szCs w:val="20"/>
          <w:color w:val="auto"/>
        </w:rPr>
      </w:pPr>
      <w:r>
        <w:rPr>
          <w:rFonts w:ascii="Arial" w:cs="Arial" w:eastAsia="Arial" w:hAnsi="Arial"/>
          <w:sz w:val="20"/>
          <w:szCs w:val="20"/>
          <w:color w:val="auto"/>
        </w:rPr>
        <w:t>Net loss was $12.9 million for the third quarter of 2018, compared with net income of $3.0 million in the prior-year period. Net loss in 2018 includes a $15.1 million non-cash impairment charge related to the sale of our Zhongli business. Net income on a non-GAAP basis was $3.5 million for the third quarter of 2018, compared with $1.2 million in the prior-year period.</w:t>
      </w:r>
    </w:p>
    <w:p>
      <w:pPr>
        <w:spacing w:after="0" w:line="179" w:lineRule="exact"/>
        <w:rPr>
          <w:sz w:val="20"/>
          <w:szCs w:val="20"/>
          <w:color w:val="auto"/>
        </w:rPr>
      </w:pPr>
    </w:p>
    <w:p>
      <w:pPr>
        <w:jc w:val="both"/>
        <w:ind w:left="120" w:right="80"/>
        <w:spacing w:after="0" w:line="245" w:lineRule="auto"/>
        <w:rPr>
          <w:sz w:val="20"/>
          <w:szCs w:val="20"/>
          <w:color w:val="auto"/>
        </w:rPr>
      </w:pPr>
      <w:r>
        <w:rPr>
          <w:rFonts w:ascii="Arial" w:cs="Arial" w:eastAsia="Arial" w:hAnsi="Arial"/>
          <w:sz w:val="20"/>
          <w:szCs w:val="20"/>
          <w:color w:val="auto"/>
        </w:rPr>
        <w:t>Net loss per diluted share was $0.37 for the third quarter of 2018, compared with net income per diluted share of $0.09 in the prior-year period. Non-GAAP net income per diluted share was $0.10 for the third quarter of 2018, compared with $0.03 for the prior-year period.</w:t>
      </w:r>
    </w:p>
    <w:p>
      <w:pPr>
        <w:spacing w:after="0" w:line="160"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20"/>
          <w:szCs w:val="20"/>
          <w:color w:val="auto"/>
        </w:rPr>
        <w:t>Cash and cash equivalents were $30.7 million and bank debt was $81.1 million, as of September 30, 2018, compared with $29.9 million and $117.7 million, respectively, as of December 31, 2017.</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18"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20"/>
          <w:szCs w:val="20"/>
          <w:color w:val="auto"/>
        </w:rPr>
        <w:t>Total backlog at September 30, 2018 was $211.4 million as compared with $168.9 million at December 31, 2017, and $153.9 million on September 30, 2017.</w:t>
      </w:r>
    </w:p>
    <w:p>
      <w:pPr>
        <w:spacing w:after="0" w:line="152"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20"/>
          <w:szCs w:val="20"/>
          <w:color w:val="auto"/>
        </w:rPr>
        <w:t>Bookings were $97.5 million for the third quarter of 2018, compared with $71.0 million in the prior-year period. Bookings in the 2017 quarter included $5.3 million attributable to the divested Keystone and Strobic businesses.</w:t>
      </w:r>
    </w:p>
    <w:p>
      <w:pPr>
        <w:spacing w:after="0" w:line="152" w:lineRule="exact"/>
        <w:rPr>
          <w:sz w:val="20"/>
          <w:szCs w:val="20"/>
          <w:color w:val="auto"/>
        </w:rPr>
      </w:pPr>
    </w:p>
    <w:p>
      <w:pPr>
        <w:jc w:val="both"/>
        <w:ind w:left="120" w:right="100"/>
        <w:spacing w:after="0" w:line="245" w:lineRule="auto"/>
        <w:rPr>
          <w:sz w:val="20"/>
          <w:szCs w:val="20"/>
          <w:color w:val="auto"/>
        </w:rPr>
      </w:pPr>
      <w:r>
        <w:rPr>
          <w:rFonts w:ascii="Arial" w:cs="Arial" w:eastAsia="Arial" w:hAnsi="Arial"/>
          <w:sz w:val="20"/>
          <w:szCs w:val="20"/>
          <w:color w:val="auto"/>
        </w:rPr>
        <w:t>For the first nine months of 2018, bookings were $292.9 million compared with $242.2 million for the prior-year period. Bookings in the first nine months of 2017 included $16.7 million attributable to the divested Keystone and Strobic businesses, compared with $4.0 million for the first nine months of 2018.</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YEAR-TO-DATE RESULTS</w:t>
      </w:r>
    </w:p>
    <w:p>
      <w:pPr>
        <w:spacing w:after="0" w:line="218" w:lineRule="exact"/>
        <w:rPr>
          <w:sz w:val="20"/>
          <w:szCs w:val="20"/>
          <w:color w:val="auto"/>
        </w:rPr>
      </w:pPr>
    </w:p>
    <w:p>
      <w:pPr>
        <w:jc w:val="both"/>
        <w:ind w:left="120" w:right="100"/>
        <w:spacing w:after="0" w:line="245" w:lineRule="auto"/>
        <w:rPr>
          <w:sz w:val="20"/>
          <w:szCs w:val="20"/>
          <w:color w:val="auto"/>
        </w:rPr>
      </w:pPr>
      <w:r>
        <w:rPr>
          <w:rFonts w:ascii="Arial" w:cs="Arial" w:eastAsia="Arial" w:hAnsi="Arial"/>
          <w:sz w:val="20"/>
          <w:szCs w:val="20"/>
          <w:color w:val="auto"/>
        </w:rPr>
        <w:t>Revenue in the first nine months of 2018 was $243.5 million, down 10.3% from $271.5 million in the prior-year period. Revenue in the first nine months of 2017 included $16.7 million attributable to our divested businesses, Keystone and Strobic, compared with $4.8 million for the first nine months of 2018.</w:t>
      </w:r>
    </w:p>
    <w:p>
      <w:pPr>
        <w:spacing w:after="0" w:line="160" w:lineRule="exact"/>
        <w:rPr>
          <w:sz w:val="20"/>
          <w:szCs w:val="20"/>
          <w:color w:val="auto"/>
        </w:rPr>
      </w:pPr>
    </w:p>
    <w:p>
      <w:pPr>
        <w:jc w:val="both"/>
        <w:ind w:left="120" w:right="100"/>
        <w:spacing w:after="0" w:line="245" w:lineRule="auto"/>
        <w:rPr>
          <w:sz w:val="20"/>
          <w:szCs w:val="20"/>
          <w:color w:val="auto"/>
        </w:rPr>
      </w:pPr>
      <w:r>
        <w:rPr>
          <w:rFonts w:ascii="Arial" w:cs="Arial" w:eastAsia="Arial" w:hAnsi="Arial"/>
          <w:sz w:val="20"/>
          <w:szCs w:val="20"/>
          <w:color w:val="auto"/>
        </w:rPr>
        <w:t>Operating income was $4.3 million for the first nine months of 2018 (1.8% margin), compared with $16.2 million in the prior-year period (6.0% margin). Operating income on a non-GAAP basis was $15.7 million for the first nine months of 2018 (6.4% margin), compared with $24.8 million in the prior-year period (9.1% margin).</w:t>
      </w:r>
    </w:p>
    <w:p>
      <w:pPr>
        <w:spacing w:after="0" w:line="160" w:lineRule="exact"/>
        <w:rPr>
          <w:sz w:val="20"/>
          <w:szCs w:val="20"/>
          <w:color w:val="auto"/>
        </w:rPr>
      </w:pPr>
    </w:p>
    <w:p>
      <w:pPr>
        <w:jc w:val="both"/>
        <w:ind w:left="120" w:right="100"/>
        <w:spacing w:after="0" w:line="245" w:lineRule="auto"/>
        <w:rPr>
          <w:sz w:val="20"/>
          <w:szCs w:val="20"/>
          <w:color w:val="auto"/>
        </w:rPr>
      </w:pPr>
      <w:r>
        <w:rPr>
          <w:rFonts w:ascii="Arial" w:cs="Arial" w:eastAsia="Arial" w:hAnsi="Arial"/>
          <w:sz w:val="20"/>
          <w:szCs w:val="20"/>
          <w:color w:val="auto"/>
        </w:rPr>
        <w:t>Net loss was $8.1 million for the first nine months of 2018, compared with net income of $8.6 million in the prior-year period. Net income on a non-GAAP basis was $7.1 million for the first nine months of 2018, compared with $11.2 million in the prior-year period.</w:t>
      </w:r>
    </w:p>
    <w:p>
      <w:pPr>
        <w:spacing w:after="0" w:line="174" w:lineRule="exact"/>
        <w:rPr>
          <w:sz w:val="20"/>
          <w:szCs w:val="20"/>
          <w:color w:val="auto"/>
        </w:rPr>
      </w:pPr>
    </w:p>
    <w:p>
      <w:pPr>
        <w:ind w:left="120" w:right="1120"/>
        <w:spacing w:after="0" w:line="245" w:lineRule="auto"/>
        <w:rPr>
          <w:sz w:val="20"/>
          <w:szCs w:val="20"/>
          <w:color w:val="auto"/>
        </w:rPr>
      </w:pPr>
      <w:r>
        <w:rPr>
          <w:rFonts w:ascii="Arial" w:cs="Arial" w:eastAsia="Arial" w:hAnsi="Arial"/>
          <w:sz w:val="20"/>
          <w:szCs w:val="20"/>
          <w:color w:val="auto"/>
        </w:rPr>
        <w:t>Net loss per diluted share was $0.23 for the first nine months of 2018, compared with net income of $0.25 in the prior-year period. Non-GAAP net income per diluted share was $0.20 for the first nine months of 2018, compared with $0.32 for the prior-year period.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14"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auto"/>
        </w:rPr>
        <w:t>A conference call is scheduled for today at 8:30 a.m. ET to discuss the third quarter 2018 financial results. The conference call may be accessed by dialing (888) 346-4547 (Toll Free) within North America, Canada (855) 669-9657 (Toll Free) or Toll/International (412) 317-5251.</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10540"/>
        <w:spacing w:after="0"/>
        <w:rPr>
          <w:sz w:val="20"/>
          <w:szCs w:val="20"/>
          <w:color w:val="auto"/>
        </w:rPr>
      </w:pPr>
      <w:r>
        <w:rPr>
          <w:rFonts w:ascii="Times New Roman" w:cs="Times New Roman" w:eastAsia="Times New Roman" w:hAnsi="Times New Roman"/>
          <w:sz w:val="17"/>
          <w:szCs w:val="17"/>
          <w:color w:val="auto"/>
        </w:rPr>
        <w:t>Exhibit 99.1</w:t>
      </w:r>
    </w:p>
    <w:p>
      <w:pPr>
        <w:spacing w:after="0" w:line="35" w:lineRule="exact"/>
        <w:rPr>
          <w:sz w:val="20"/>
          <w:szCs w:val="20"/>
          <w:color w:val="auto"/>
        </w:rPr>
      </w:pPr>
    </w:p>
    <w:p>
      <w:pPr>
        <w:ind w:left="120" w:right="220"/>
        <w:spacing w:after="0" w:line="264" w:lineRule="auto"/>
        <w:rPr>
          <w:sz w:val="20"/>
          <w:szCs w:val="20"/>
          <w:color w:val="auto"/>
        </w:rPr>
      </w:pPr>
      <w:r>
        <w:rPr>
          <w:rFonts w:ascii="Arial" w:cs="Arial" w:eastAsia="Arial" w:hAnsi="Arial"/>
          <w:sz w:val="19"/>
          <w:szCs w:val="19"/>
          <w:color w:val="auto"/>
        </w:rPr>
        <w:t>A replay of the conference call will be available on the Company’s website for 14 days. The replay may be accessed by dialing (877) 344-7529 (Toll-Free) within North America or Toll/International (412) 317-0088 and entering passcode 10125416.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190" w:lineRule="exact"/>
        <w:rPr>
          <w:sz w:val="20"/>
          <w:szCs w:val="20"/>
          <w:color w:val="auto"/>
        </w:rPr>
      </w:pPr>
    </w:p>
    <w:p>
      <w:pPr>
        <w:jc w:val="both"/>
        <w:ind w:left="120" w:right="80"/>
        <w:spacing w:after="0" w:line="233"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line="12" w:lineRule="exact"/>
        <w:rPr>
          <w:sz w:val="20"/>
          <w:szCs w:val="20"/>
          <w:color w:val="auto"/>
        </w:rPr>
      </w:pPr>
    </w:p>
    <w:p>
      <w:pPr>
        <w:ind w:right="854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10540"/>
        <w:spacing w:after="0"/>
        <w:rPr>
          <w:sz w:val="20"/>
          <w:szCs w:val="20"/>
          <w:color w:val="auto"/>
        </w:rPr>
      </w:pPr>
      <w:r>
        <w:rPr>
          <w:rFonts w:ascii="Times New Roman" w:cs="Times New Roman" w:eastAsia="Times New Roman" w:hAnsi="Times New Roman"/>
          <w:sz w:val="18"/>
          <w:szCs w:val="18"/>
          <w:color w:val="auto"/>
        </w:rPr>
        <w:t>Exhibit 99.1</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20" w:type="dxa"/>
            <w:vAlign w:val="bottom"/>
          </w:tcPr>
          <w:p>
            <w:pPr>
              <w:spacing w:after="0"/>
              <w:rPr>
                <w:sz w:val="12"/>
                <w:szCs w:val="12"/>
                <w:color w:val="auto"/>
              </w:rPr>
            </w:pPr>
          </w:p>
        </w:tc>
        <w:tc>
          <w:tcPr>
            <w:tcW w:w="184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4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73"/>
        </w:trPr>
        <w:tc>
          <w:tcPr>
            <w:tcW w:w="7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30,718</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67,804</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22,276</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5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170,361</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152,362</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38,548</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5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405,219</w:t>
            </w:r>
          </w:p>
        </w:tc>
        <w:tc>
          <w:tcPr>
            <w:tcW w:w="5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438,549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78,750</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Note payable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5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111,155</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29,542</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79,175</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7,942</w:t>
            </w:r>
          </w:p>
        </w:tc>
        <w:tc>
          <w:tcPr>
            <w:tcW w:w="5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227,814</w:t>
            </w:r>
          </w:p>
        </w:tc>
        <w:tc>
          <w:tcPr>
            <w:tcW w:w="52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251,980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34,950,463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34,707,924 shares issued and outstanding at September 30, 2018 and December 31, 2017,</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250,591</w:t>
            </w:r>
          </w:p>
        </w:tc>
        <w:tc>
          <w:tcPr>
            <w:tcW w:w="5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loss</w:t>
            </w:r>
          </w:p>
        </w:tc>
        <w:tc>
          <w:tcPr>
            <w:tcW w:w="220" w:type="dxa"/>
            <w:vAlign w:val="bottom"/>
          </w:tcPr>
          <w:p>
            <w:pPr>
              <w:spacing w:after="0"/>
              <w:rPr>
                <w:sz w:val="19"/>
                <w:szCs w:val="19"/>
                <w:color w:val="auto"/>
              </w:rPr>
            </w:pPr>
          </w:p>
        </w:tc>
        <w:tc>
          <w:tcPr>
            <w:tcW w:w="1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(60,355)</w:t>
            </w:r>
          </w:p>
        </w:tc>
        <w:tc>
          <w:tcPr>
            <w:tcW w:w="62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(52,673)</w:t>
            </w: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(12,825)</w:t>
            </w:r>
          </w:p>
        </w:tc>
        <w:tc>
          <w:tcPr>
            <w:tcW w:w="6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23"/>
        </w:trPr>
        <w:tc>
          <w:tcPr>
            <w:tcW w:w="7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177,761</w:t>
            </w:r>
          </w:p>
        </w:tc>
        <w:tc>
          <w:tcPr>
            <w:tcW w:w="5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treasury stock, at cost, 137,920 shares at September 30, 2018 and December 31, 2017</w:t>
            </w:r>
          </w:p>
        </w:tc>
        <w:tc>
          <w:tcPr>
            <w:tcW w:w="2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(356)</w:t>
            </w:r>
          </w:p>
        </w:tc>
        <w:tc>
          <w:tcPr>
            <w:tcW w:w="6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177,405</w:t>
            </w:r>
          </w:p>
        </w:tc>
        <w:tc>
          <w:tcPr>
            <w:tcW w:w="520" w:type="dxa"/>
            <w:vAlign w:val="bottom"/>
            <w:tcBorders>
              <w:bottom w:val="single" w:sz="8" w:color="CFF0FC"/>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186,569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405,219</w:t>
            </w:r>
          </w:p>
        </w:tc>
        <w:tc>
          <w:tcPr>
            <w:tcW w:w="5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438,549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tcBorders>
              <w:bottom w:val="single" w:sz="8" w:color="D9D9D9"/>
            </w:tcBorders>
          </w:tcPr>
          <w:p>
            <w:pPr>
              <w:spacing w:after="0"/>
              <w:rPr>
                <w:sz w:val="17"/>
                <w:szCs w:val="17"/>
                <w:color w:val="auto"/>
              </w:rPr>
            </w:pPr>
          </w:p>
        </w:tc>
        <w:tc>
          <w:tcPr>
            <w:tcW w:w="220" w:type="dxa"/>
            <w:vAlign w:val="bottom"/>
            <w:tcBorders>
              <w:bottom w:val="single" w:sz="8" w:color="D9D9D9"/>
            </w:tcBorders>
          </w:tcPr>
          <w:p>
            <w:pPr>
              <w:spacing w:after="0"/>
              <w:rPr>
                <w:sz w:val="17"/>
                <w:szCs w:val="17"/>
                <w:color w:val="auto"/>
              </w:rPr>
            </w:pPr>
          </w:p>
        </w:tc>
        <w:tc>
          <w:tcPr>
            <w:tcW w:w="1320" w:type="dxa"/>
            <w:vAlign w:val="bottom"/>
            <w:tcBorders>
              <w:bottom w:val="single" w:sz="8" w:color="D9D9D9"/>
            </w:tcBorders>
          </w:tcPr>
          <w:p>
            <w:pPr>
              <w:spacing w:after="0"/>
              <w:rPr>
                <w:sz w:val="17"/>
                <w:szCs w:val="17"/>
                <w:color w:val="auto"/>
              </w:rPr>
            </w:pPr>
          </w:p>
        </w:tc>
        <w:tc>
          <w:tcPr>
            <w:tcW w:w="520" w:type="dxa"/>
            <w:vAlign w:val="bottom"/>
            <w:tcBorders>
              <w:bottom w:val="single" w:sz="8" w:color="D9D9D9"/>
            </w:tcBorders>
          </w:tcPr>
          <w:p>
            <w:pPr>
              <w:spacing w:after="0"/>
              <w:rPr>
                <w:sz w:val="17"/>
                <w:szCs w:val="17"/>
                <w:color w:val="auto"/>
              </w:rPr>
            </w:pPr>
          </w:p>
        </w:tc>
        <w:tc>
          <w:tcPr>
            <w:tcW w:w="620" w:type="dxa"/>
            <w:vAlign w:val="bottom"/>
            <w:tcBorders>
              <w:bottom w:val="single" w:sz="8" w:color="D9D9D9"/>
            </w:tcBorders>
          </w:tcPr>
          <w:p>
            <w:pPr>
              <w:spacing w:after="0"/>
              <w:rPr>
                <w:sz w:val="17"/>
                <w:szCs w:val="17"/>
                <w:color w:val="auto"/>
              </w:rPr>
            </w:pPr>
          </w:p>
        </w:tc>
        <w:tc>
          <w:tcPr>
            <w:tcW w:w="1120" w:type="dxa"/>
            <w:vAlign w:val="bottom"/>
            <w:tcBorders>
              <w:bottom w:val="single" w:sz="8" w:color="D9D9D9"/>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1320" w:type="dxa"/>
            <w:vAlign w:val="bottom"/>
            <w:tcBorders>
              <w:bottom w:val="single" w:sz="8" w:color="D9D9D9"/>
            </w:tcBorders>
          </w:tcPr>
          <w:p>
            <w:pPr>
              <w:spacing w:after="0"/>
              <w:rPr>
                <w:sz w:val="19"/>
                <w:szCs w:val="19"/>
                <w:color w:val="auto"/>
              </w:rPr>
            </w:pPr>
          </w:p>
        </w:tc>
        <w:tc>
          <w:tcPr>
            <w:tcW w:w="520" w:type="dxa"/>
            <w:vAlign w:val="bottom"/>
            <w:tcBorders>
              <w:bottom w:val="single" w:sz="8" w:color="D9D9D9"/>
            </w:tcBorders>
          </w:tcPr>
          <w:p>
            <w:pPr>
              <w:spacing w:after="0"/>
              <w:rPr>
                <w:sz w:val="19"/>
                <w:szCs w:val="19"/>
                <w:color w:val="auto"/>
              </w:rPr>
            </w:pPr>
          </w:p>
        </w:tc>
        <w:tc>
          <w:tcPr>
            <w:tcW w:w="620" w:type="dxa"/>
            <w:vAlign w:val="bottom"/>
            <w:tcBorders>
              <w:bottom w:val="single" w:sz="8" w:color="D9D9D9"/>
            </w:tcBorders>
          </w:tcPr>
          <w:p>
            <w:pPr>
              <w:spacing w:after="0"/>
              <w:rPr>
                <w:sz w:val="19"/>
                <w:szCs w:val="19"/>
                <w:color w:val="auto"/>
              </w:rPr>
            </w:pPr>
          </w:p>
        </w:tc>
        <w:tc>
          <w:tcPr>
            <w:tcW w:w="1120" w:type="dxa"/>
            <w:vAlign w:val="bottom"/>
            <w:tcBorders>
              <w:bottom w:val="single" w:sz="8" w:color="D9D9D9"/>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Exhibit 99.1</w:t>
            </w:r>
          </w:p>
        </w:tc>
        <w:tc>
          <w:tcPr>
            <w:tcW w:w="0" w:type="dxa"/>
            <w:vAlign w:val="bottom"/>
          </w:tcPr>
          <w:p>
            <w:pPr>
              <w:spacing w:after="0"/>
              <w:rPr>
                <w:sz w:val="1"/>
                <w:szCs w:val="1"/>
                <w:color w:val="auto"/>
              </w:rPr>
            </w:pPr>
          </w:p>
        </w:tc>
      </w:tr>
      <w:tr>
        <w:trPr>
          <w:trHeight w:val="653"/>
        </w:trPr>
        <w:tc>
          <w:tcPr>
            <w:tcW w:w="3340" w:type="dxa"/>
            <w:vAlign w:val="bottom"/>
          </w:tcPr>
          <w:p>
            <w:pPr>
              <w:spacing w:after="0"/>
              <w:rPr>
                <w:sz w:val="24"/>
                <w:szCs w:val="24"/>
                <w:color w:val="auto"/>
              </w:rPr>
            </w:pPr>
          </w:p>
        </w:tc>
        <w:tc>
          <w:tcPr>
            <w:tcW w:w="5360" w:type="dxa"/>
            <w:vAlign w:val="bottom"/>
            <w:gridSpan w:val="7"/>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CECO ENVIRONMENTAL CORP.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gridSpan w:val="8"/>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398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340" w:type="dxa"/>
            <w:vAlign w:val="bottom"/>
            <w:tcBorders>
              <w:bottom w:val="single" w:sz="8" w:color="CFF0FC"/>
            </w:tcBorders>
            <w:vMerge w:val="continue"/>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271,508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161,725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183,960</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87,548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and earnout expenses (income)</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income, net</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(1,729)</w:t>
            </w: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(4,951)</w:t>
            </w:r>
          </w:p>
        </w:tc>
        <w:tc>
          <w:tcPr>
            <w:tcW w:w="0" w:type="dxa"/>
            <w:vAlign w:val="bottom"/>
          </w:tcPr>
          <w:p>
            <w:pPr>
              <w:spacing w:after="0"/>
              <w:rPr>
                <w:sz w:val="1"/>
                <w:szCs w:val="1"/>
                <w:color w:val="auto"/>
              </w:rPr>
            </w:pPr>
          </w:p>
        </w:tc>
      </w:tr>
      <w:tr>
        <w:trPr>
          <w:trHeight w:val="223"/>
        </w:trPr>
        <w:tc>
          <w:tcPr>
            <w:tcW w:w="33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25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FF0FC"/>
            </w:tcBorders>
            <w:vMerge w:val="continue"/>
          </w:tcPr>
          <w:p>
            <w:pPr>
              <w:spacing w:after="0"/>
              <w:rPr>
                <w:sz w:val="21"/>
                <w:szCs w:val="21"/>
                <w:color w:val="auto"/>
              </w:rPr>
            </w:pPr>
          </w:p>
        </w:tc>
        <w:tc>
          <w:tcPr>
            <w:tcW w:w="25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34,779,125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34,681,262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34,403,720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34,779,125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34,621,883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34,681,262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34,665,053</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D9D9D9"/>
            </w:tcBorders>
          </w:tcPr>
          <w:p>
            <w:pPr>
              <w:spacing w:after="0"/>
              <w:rPr>
                <w:sz w:val="18"/>
                <w:szCs w:val="18"/>
                <w:color w:val="auto"/>
              </w:rPr>
            </w:pPr>
          </w:p>
        </w:tc>
        <w:tc>
          <w:tcPr>
            <w:tcW w:w="25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02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98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02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D9D9D9"/>
            </w:tcBorders>
          </w:tcPr>
          <w:p>
            <w:pPr>
              <w:spacing w:after="0"/>
              <w:rPr>
                <w:sz w:val="19"/>
                <w:szCs w:val="19"/>
                <w:color w:val="auto"/>
              </w:rPr>
            </w:pPr>
          </w:p>
        </w:tc>
        <w:tc>
          <w:tcPr>
            <w:tcW w:w="25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02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98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02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240" w:top="121" w:right="179" w:bottom="1440" w:gutter="0" w:footer="0" w:header="0"/>
        </w:sectPr>
      </w:pPr>
    </w:p>
    <w:bookmarkStart w:id="9" w:name="page10"/>
    <w:bookmarkEnd w:id="9"/>
    <w:p>
      <w:pPr>
        <w:jc w:val="right"/>
        <w:ind w:right="40"/>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CECO ENVIRONMENTAL CORP. AND SUBSIDIARIES</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5"/>
                <w:szCs w:val="15"/>
                <w:color w:val="auto"/>
              </w:rPr>
            </w:pPr>
          </w:p>
        </w:tc>
        <w:tc>
          <w:tcPr>
            <w:tcW w:w="30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80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2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income as reported in accordance with GAAP</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(11.8)%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6.0%</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Legacy design repairs</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Plant, property and equipment valuation adjustment</w:t>
            </w:r>
          </w:p>
        </w:tc>
        <w:tc>
          <w:tcPr>
            <w:tcW w:w="18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and earnout expenses (income)</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divestitures, net of selling costs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Restructuring income, net</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8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Facility exit expenses</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7.4%</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6.2%</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40" w:type="dxa"/>
            <w:vAlign w:val="bottom"/>
            <w:tcBorders>
              <w:bottom w:val="single" w:sz="8" w:color="auto"/>
            </w:tcBorders>
            <w:gridSpan w:val="6"/>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as reported in accordance with GAAP</w:t>
            </w: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vMerge w:val="restart"/>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Legacy design repairs</w:t>
            </w:r>
          </w:p>
        </w:tc>
        <w:tc>
          <w:tcPr>
            <w:tcW w:w="7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Plant, property and equipment valuation adjustment</w:t>
            </w: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and earnout expenses (income)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on divestiture, net of selling costs</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Restructuring income, net</w:t>
            </w:r>
          </w:p>
        </w:tc>
        <w:tc>
          <w:tcPr>
            <w:tcW w:w="7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Facility exit expenses</w:t>
            </w:r>
          </w:p>
        </w:tc>
        <w:tc>
          <w:tcPr>
            <w:tcW w:w="7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7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expense of adjustments</w:t>
            </w:r>
          </w:p>
        </w:tc>
        <w:tc>
          <w:tcPr>
            <w:tcW w:w="7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780" w:type="dxa"/>
            <w:vAlign w:val="bottom"/>
            <w:tcBorders>
              <w:top w:val="single" w:sz="8" w:color="auto"/>
            </w:tcBorders>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Non-cash stock compensation (excluding executive transition</w:t>
            </w:r>
          </w:p>
        </w:tc>
        <w:tc>
          <w:tcPr>
            <w:tcW w:w="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costs)</w:t>
            </w:r>
          </w:p>
        </w:tc>
        <w:tc>
          <w:tcPr>
            <w:tcW w:w="7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108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net income per share:</w:t>
            </w: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2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080" w:type="dxa"/>
            <w:vAlign w:val="bottom"/>
            <w:gridSpan w:val="2"/>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D9D9D9"/>
            </w:tcBorders>
          </w:tcPr>
          <w:p>
            <w:pPr>
              <w:spacing w:after="0"/>
              <w:rPr>
                <w:sz w:val="18"/>
                <w:szCs w:val="18"/>
                <w:color w:val="auto"/>
              </w:rPr>
            </w:pPr>
          </w:p>
        </w:tc>
        <w:tc>
          <w:tcPr>
            <w:tcW w:w="780" w:type="dxa"/>
            <w:vAlign w:val="bottom"/>
            <w:tcBorders>
              <w:bottom w:val="single" w:sz="8" w:color="D9D9D9"/>
            </w:tcBorders>
          </w:tcPr>
          <w:p>
            <w:pPr>
              <w:spacing w:after="0"/>
              <w:rPr>
                <w:sz w:val="18"/>
                <w:szCs w:val="18"/>
                <w:color w:val="auto"/>
              </w:rPr>
            </w:pPr>
          </w:p>
        </w:tc>
        <w:tc>
          <w:tcPr>
            <w:tcW w:w="4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1020" w:type="dxa"/>
            <w:vAlign w:val="bottom"/>
            <w:tcBorders>
              <w:bottom w:val="single" w:sz="8" w:color="D9D9D9"/>
            </w:tcBorders>
          </w:tcPr>
          <w:p>
            <w:pPr>
              <w:spacing w:after="0"/>
              <w:rPr>
                <w:sz w:val="18"/>
                <w:szCs w:val="18"/>
                <w:color w:val="auto"/>
              </w:rPr>
            </w:pPr>
          </w:p>
        </w:tc>
        <w:tc>
          <w:tcPr>
            <w:tcW w:w="3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380" w:type="dxa"/>
            <w:vAlign w:val="bottom"/>
            <w:tcBorders>
              <w:bottom w:val="single" w:sz="8" w:color="D9D9D9"/>
            </w:tcBorders>
          </w:tcPr>
          <w:p>
            <w:pPr>
              <w:spacing w:after="0"/>
              <w:rPr>
                <w:sz w:val="18"/>
                <w:szCs w:val="18"/>
                <w:color w:val="auto"/>
              </w:rPr>
            </w:pPr>
          </w:p>
        </w:tc>
        <w:tc>
          <w:tcPr>
            <w:tcW w:w="700" w:type="dxa"/>
            <w:vAlign w:val="bottom"/>
            <w:tcBorders>
              <w:bottom w:val="single" w:sz="8" w:color="D9D9D9"/>
            </w:tcBorders>
          </w:tcPr>
          <w:p>
            <w:pPr>
              <w:spacing w:after="0"/>
              <w:rPr>
                <w:sz w:val="18"/>
                <w:szCs w:val="18"/>
                <w:color w:val="auto"/>
              </w:rPr>
            </w:pPr>
          </w:p>
        </w:tc>
        <w:tc>
          <w:tcPr>
            <w:tcW w:w="4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60" w:type="dxa"/>
            <w:vAlign w:val="bottom"/>
            <w:tcBorders>
              <w:bottom w:val="single" w:sz="8" w:color="D9D9D9"/>
            </w:tcBorders>
          </w:tcPr>
          <w:p>
            <w:pPr>
              <w:spacing w:after="0"/>
              <w:rPr>
                <w:sz w:val="18"/>
                <w:szCs w:val="18"/>
                <w:color w:val="auto"/>
              </w:rPr>
            </w:pPr>
          </w:p>
        </w:tc>
        <w:tc>
          <w:tcPr>
            <w:tcW w:w="30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D9D9D9"/>
            </w:tcBorders>
          </w:tcPr>
          <w:p>
            <w:pPr>
              <w:spacing w:after="0"/>
              <w:rPr>
                <w:sz w:val="19"/>
                <w:szCs w:val="19"/>
                <w:color w:val="auto"/>
              </w:rPr>
            </w:pPr>
          </w:p>
        </w:tc>
        <w:tc>
          <w:tcPr>
            <w:tcW w:w="780" w:type="dxa"/>
            <w:vAlign w:val="bottom"/>
            <w:tcBorders>
              <w:bottom w:val="single" w:sz="8" w:color="D9D9D9"/>
            </w:tcBorders>
          </w:tcPr>
          <w:p>
            <w:pPr>
              <w:spacing w:after="0"/>
              <w:rPr>
                <w:sz w:val="19"/>
                <w:szCs w:val="19"/>
                <w:color w:val="auto"/>
              </w:rPr>
            </w:pPr>
          </w:p>
        </w:tc>
        <w:tc>
          <w:tcPr>
            <w:tcW w:w="4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1020" w:type="dxa"/>
            <w:vAlign w:val="bottom"/>
            <w:tcBorders>
              <w:bottom w:val="single" w:sz="8" w:color="D9D9D9"/>
            </w:tcBorders>
          </w:tcPr>
          <w:p>
            <w:pPr>
              <w:spacing w:after="0"/>
              <w:rPr>
                <w:sz w:val="19"/>
                <w:szCs w:val="19"/>
                <w:color w:val="auto"/>
              </w:rPr>
            </w:pPr>
          </w:p>
        </w:tc>
        <w:tc>
          <w:tcPr>
            <w:tcW w:w="3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700" w:type="dxa"/>
            <w:vAlign w:val="bottom"/>
            <w:tcBorders>
              <w:bottom w:val="single" w:sz="8" w:color="D9D9D9"/>
            </w:tcBorders>
          </w:tcPr>
          <w:p>
            <w:pPr>
              <w:spacing w:after="0"/>
              <w:rPr>
                <w:sz w:val="19"/>
                <w:szCs w:val="19"/>
                <w:color w:val="auto"/>
              </w:rPr>
            </w:pPr>
          </w:p>
        </w:tc>
        <w:tc>
          <w:tcPr>
            <w:tcW w:w="4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63"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178"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loss on divestitures, net of selling costs, legacy design repairs, property, plant and equipment valuation adjustments, acquisition and integration expense activities including retention, legal, accounting, banking, amortization and contingent earn-out expenses, foreign currency re-measurement, executive transition expenses, facility exit expenses, restructuring expense,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2"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79" w:lineRule="exact"/>
        <w:rPr>
          <w:sz w:val="20"/>
          <w:szCs w:val="20"/>
          <w:color w:val="auto"/>
        </w:rPr>
      </w:pPr>
    </w:p>
    <w:p>
      <w:pPr>
        <w:ind w:right="240"/>
        <w:spacing w:after="0" w:line="239"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2713355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2875915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365" w:lineRule="exact"/>
        <w:rPr>
          <w:sz w:val="20"/>
          <w:szCs w:val="20"/>
          <w:color w:val="auto"/>
        </w:rPr>
      </w:pPr>
    </w:p>
    <w:p>
      <w:pPr>
        <w:jc w:val="both"/>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within the meaning of the Private Securities Litigation Reform Act of 1995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2017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w:t>
      </w:r>
      <w:r>
        <w:rPr>
          <w:rFonts w:ascii="Times New Roman" w:cs="Times New Roman" w:eastAsia="Times New Roman" w:hAnsi="Times New Roman"/>
          <w:sz w:val="17"/>
          <w:szCs w:val="17"/>
          <w:color w:val="auto"/>
        </w:rPr>
        <w:t>,</w:t>
      </w:r>
      <w:r>
        <w:rPr>
          <w:rFonts w:ascii="Arial" w:cs="Arial" w:eastAsia="Arial" w:hAnsi="Arial"/>
          <w:sz w:val="19"/>
          <w:szCs w:val="19"/>
          <w:color w:val="auto"/>
        </w:rPr>
        <w:t xml:space="preserve">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complete the divestiture of non-core assets, including Zhongli;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808080"/>
        </w:rPr>
        <w:t>P a g 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2020-01-10T22:11:29Z</dcterms:created>
  <dcterms:modified xsi:type="dcterms:W3CDTF">2020-01-10T22:11:29Z</dcterms:modified>
</cp:coreProperties>
</file>