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As filed with the Securities and Exchange Commission on April 24, 2019</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REGISTRATION STATEMENT</w:t>
      </w:r>
    </w:p>
    <w:p>
      <w:pPr>
        <w:jc w:val="center"/>
        <w:ind w:right="-2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0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82"/>
              <w:spacing w:after="0"/>
              <w:rPr>
                <w:sz w:val="20"/>
                <w:szCs w:val="20"/>
                <w:color w:val="auto"/>
              </w:rPr>
            </w:pPr>
            <w:r>
              <w:rPr>
                <w:rFonts w:ascii="Arial" w:cs="Arial" w:eastAsia="Arial" w:hAnsi="Arial"/>
                <w:sz w:val="18"/>
                <w:szCs w:val="18"/>
                <w:b w:val="1"/>
                <w:bCs w:val="1"/>
                <w:color w:val="auto"/>
                <w:w w:val="89"/>
              </w:rPr>
              <w:t>13-2566064</w:t>
            </w:r>
          </w:p>
        </w:tc>
      </w:tr>
      <w:tr>
        <w:trPr>
          <w:trHeight w:val="149"/>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8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14651 North Dallas Parkway, Suite 500</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Dallas, Texas 75254</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Phone: (214) 357-6181</w:t>
      </w:r>
    </w:p>
    <w:p>
      <w:pPr>
        <w:spacing w:after="0" w:line="2" w:lineRule="exact"/>
        <w:rPr>
          <w:sz w:val="24"/>
          <w:szCs w:val="24"/>
          <w:color w:val="auto"/>
        </w:rPr>
      </w:pPr>
    </w:p>
    <w:p>
      <w:pPr>
        <w:ind w:left="218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Matthew Eckl</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CECO Environmental Corp.</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14651 North Dallas Parkway, Suite 500</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Dallas, Texas 75254</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Telephone: (214) 357-6181</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Michael J. Solecki</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Jones Day</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901 Lakeside Avenue</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Cleveland, Ohio 44114-1190</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Phone: (216) 586-3939</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Fax: (216) 579-0212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20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this registration statement becomes effective.</w:t>
      </w:r>
    </w:p>
    <w:p>
      <w:pPr>
        <w:spacing w:after="0" w:line="241" w:lineRule="exact"/>
        <w:rPr>
          <w:sz w:val="24"/>
          <w:szCs w:val="24"/>
          <w:color w:val="auto"/>
        </w:rPr>
      </w:pPr>
    </w:p>
    <w:p>
      <w:pPr>
        <w:ind w:left="200" w:right="640" w:firstLine="441"/>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left="200" w:right="100" w:firstLine="441"/>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200" w:right="220" w:firstLine="441"/>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200" w:right="120" w:firstLine="441"/>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left="200" w:firstLine="441"/>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left="200" w:right="640" w:firstLine="441"/>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ectPr>
          <w:pgSz w:w="11900" w:h="16849" w:orient="portrait"/>
          <w:cols w:equalWidth="0" w:num="1">
            <w:col w:w="11160"/>
          </w:cols>
          <w:pgMar w:left="240" w:top="230" w:right="499" w:bottom="0" w:gutter="0" w:footer="0" w:header="0"/>
        </w:sectPr>
      </w:pPr>
    </w:p>
    <w:bookmarkStart w:id="1" w:name="page2"/>
    <w:bookmarkEnd w:id="1"/>
    <w:p>
      <w:pPr>
        <w:ind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Per Unit(1)(2)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Price(1)(3)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share(4)(12)</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Stock, par value $0.01 per share(5)(12)</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Depositary Shares(6)(12)</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Warrants(7)(12)</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Subscription Rights(8)(12)</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Debt Securities(9)(12)</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Purchase Contracts(10)(12)</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Units(11)(12)</w:t>
            </w: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right w:val="single" w:sz="8" w:color="auto"/>
            </w:tcBorders>
          </w:tcPr>
          <w:p>
            <w:pPr>
              <w:jc w:val="right"/>
              <w:ind w:right="184"/>
              <w:spacing w:after="0"/>
              <w:rPr>
                <w:sz w:val="20"/>
                <w:szCs w:val="20"/>
                <w:color w:val="auto"/>
              </w:rPr>
            </w:pPr>
            <w:r>
              <w:rPr>
                <w:rFonts w:ascii="Arial" w:cs="Arial" w:eastAsia="Arial" w:hAnsi="Arial"/>
                <w:sz w:val="18"/>
                <w:szCs w:val="18"/>
                <w:color w:val="auto"/>
              </w:rPr>
              <w:t>$150,000,000</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$150,000,000(13)</w:t>
            </w: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$18,180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specified as to each class of securities to be registered pursuant to General Instruction II.D. to Form S-3.</w:t>
      </w:r>
    </w:p>
    <w:p>
      <w:pPr>
        <w:spacing w:after="0" w:line="22" w:lineRule="exact"/>
        <w:rPr>
          <w:rFonts w:ascii="Arial" w:cs="Arial" w:eastAsia="Arial" w:hAnsi="Arial"/>
          <w:sz w:val="18"/>
          <w:szCs w:val="18"/>
          <w:color w:val="auto"/>
        </w:rPr>
      </w:pPr>
    </w:p>
    <w:p>
      <w:pPr>
        <w:ind w:left="440" w:right="50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offering price per unit will be determined from time to time by the registrant in connection with the issuance by the registrant of the securities registered hereunder.</w:t>
      </w: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note (13) below, there is being registered an indeterminate number of shares of common stock.</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note (13) below, there is being registered an indeterminate number of shares of preferred stock.</w:t>
      </w:r>
    </w:p>
    <w:p>
      <w:pPr>
        <w:spacing w:after="0" w:line="9" w:lineRule="exact"/>
        <w:rPr>
          <w:rFonts w:ascii="Arial" w:cs="Arial" w:eastAsia="Arial" w:hAnsi="Arial"/>
          <w:sz w:val="18"/>
          <w:szCs w:val="18"/>
          <w:color w:val="auto"/>
        </w:rPr>
      </w:pPr>
    </w:p>
    <w:p>
      <w:pPr>
        <w:ind w:left="440" w:right="4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note (13) below, there is being registered an indeterminate number of depositary shares. Each depositary share will be evidenced by depositary receipts issued pursuant to a deposit agreement. If the registrant elects to offer to the public fractional interests in shares of preferred stock, then depositary receipts will be distributed to those persons purchasing the fractional interests and the shares will be issued to the depositary under the deposit agreement.</w:t>
      </w:r>
    </w:p>
    <w:p>
      <w:pPr>
        <w:spacing w:after="0" w:line="1" w:lineRule="exact"/>
        <w:rPr>
          <w:rFonts w:ascii="Arial" w:cs="Arial" w:eastAsia="Arial" w:hAnsi="Arial"/>
          <w:sz w:val="18"/>
          <w:szCs w:val="18"/>
          <w:color w:val="auto"/>
        </w:rPr>
      </w:pPr>
    </w:p>
    <w:p>
      <w:pPr>
        <w:ind w:left="440" w:right="18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note (13) below, there is being registered hereunder an indeterminate amount and number of warrants. The warrants may represent the right to purchase shares of common stock.</w:t>
      </w: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note (13) below, there is being registered an indeterminate number of subscription rights.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note (13) below, there is being registered an indeterminate principal amount of debt securities.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note (13) below, there is being registered an indeterminate number of purchase contracts.</w:t>
      </w:r>
    </w:p>
    <w:p>
      <w:pPr>
        <w:spacing w:after="0" w:line="9" w:lineRule="exact"/>
        <w:rPr>
          <w:rFonts w:ascii="Arial" w:cs="Arial" w:eastAsia="Arial" w:hAnsi="Arial"/>
          <w:sz w:val="18"/>
          <w:szCs w:val="18"/>
          <w:color w:val="auto"/>
        </w:rPr>
      </w:pPr>
    </w:p>
    <w:p>
      <w:pPr>
        <w:ind w:left="440" w:right="32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note (13) below, there is being registered an indeterminate number of units. Each unit will be issued under a unit agreement and will represent an interest in a combination of one or more of the securities registered hereunder.</w:t>
      </w:r>
    </w:p>
    <w:p>
      <w:pPr>
        <w:ind w:left="440" w:right="100" w:hanging="436"/>
        <w:spacing w:after="0" w:line="265"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Subject to note (13) below, this registration statement also covers an indeterminate amount of securities as may be issued in exchange for, or upon conversion or exercise of, as the case may be, the securities registered hereunder. No separate consideration will be received for any securities registered hereunder that are issued in exchange for, or upon conversion of, as the case may be, the securities.</w:t>
      </w:r>
    </w:p>
    <w:p>
      <w:pPr>
        <w:ind w:left="440" w:right="100" w:hanging="436"/>
        <w:spacing w:after="0" w:line="287"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no event will the aggregate initial offering price of all securities issued from time to time pursuant to the prospectus contained in this registration statement exceed $150,000,000 or the equivalent thereof in one or more foreign currencies or foreign currency units. Such amount represents the offering price of any shares of common stock, preferred stock, depositary shares, subscription rights and purchase contracts, the principal amount of any debt securities issued at their stated principal amount, the issue price rather than the principal amount of any debt securities issued at an original issue discount, the issue price of any warrants and the exercise price of any securities issuable upon the exercise of warrants, including if in issued in the form of units. The aggregate principal amount of debt securities may be increased if any debt securities are issued at an original issue discount by an amount such that the offering price to be received by the registrant shall be equal to the above amount to be registered. Any offering of securities denominated other than in United States dollars will be treated as the equivalent of United States dollars based on the exchange rate applicable to the purchase of such securities at the time of initial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208915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right="66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167640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5"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FF4338"/>
        </w:rPr>
        <w:t>SUBJECT TO COMPLETION, DATED APRIL 24, 2019</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259"/>
        <w:spacing w:after="0"/>
        <w:rPr>
          <w:sz w:val="20"/>
          <w:szCs w:val="20"/>
          <w:color w:val="auto"/>
        </w:rPr>
      </w:pPr>
      <w:r>
        <w:rPr>
          <w:rFonts w:ascii="Arial" w:cs="Arial" w:eastAsia="Arial" w:hAnsi="Arial"/>
          <w:sz w:val="43"/>
          <w:szCs w:val="43"/>
          <w:b w:val="1"/>
          <w:bCs w:val="1"/>
          <w:color w:val="auto"/>
        </w:rPr>
        <w:t>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185420</wp:posOffset>
            </wp:positionV>
            <wp:extent cx="763270"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32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397510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00" w:right="180" w:firstLine="441"/>
        <w:spacing w:after="0" w:line="342" w:lineRule="auto"/>
        <w:rPr>
          <w:sz w:val="20"/>
          <w:szCs w:val="20"/>
          <w:color w:val="auto"/>
        </w:rPr>
      </w:pPr>
      <w:r>
        <w:rPr>
          <w:rFonts w:ascii="Arial" w:cs="Arial" w:eastAsia="Arial" w:hAnsi="Arial"/>
          <w:sz w:val="16"/>
          <w:szCs w:val="16"/>
          <w:color w:val="auto"/>
        </w:rPr>
        <w:t>We may offer and sell from time to time our common stock, preferred stock, depositary shares, warrants, subscription rights, debt securities and purchase contracts, as well as units that include any of these securities. We may sell any combination of these securities in one or more offerings.</w:t>
      </w:r>
    </w:p>
    <w:p>
      <w:pPr>
        <w:spacing w:after="0" w:line="124"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We will provide the specific terms of the securities to be offered in one or more supplements to this prospectus. You should read this prospectus and the applicable prospectus supplement carefully before you invest in our securities. This prospectus may not be used to offer and sell our securities unless accompanied by a prospectus supplement describing the method and terms of the offering of those offered securities.</w:t>
      </w:r>
    </w:p>
    <w:p>
      <w:pPr>
        <w:spacing w:after="0" w:line="14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may sell the securities directly or to or through underwriters or dealers, and also to other purchasers or through agents. The names of any underwriters or agents that are included in a sale of securities to you, and any applicable commissions or discounts, will be stated in an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372745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Our common stock is listed on the NASDAQ Stock Market under the symbol “CECE.” On April 23, 2019, the closing price of our common stock on the NASDAQ Stock Market was $7.87 per share. None of the other securities that we may offer under this prospectus are currently publicly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336550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right="10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356870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00"/>
        <w:spacing w:after="0"/>
        <w:tabs>
          <w:tab w:leader="none" w:pos="692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2019.</w:t>
      </w:r>
    </w:p>
    <w:p>
      <w:pPr>
        <w:sectPr>
          <w:pgSz w:w="11900" w:h="16838" w:orient="portrait"/>
          <w:cols w:equalWidth="0" w:num="1">
            <w:col w:w="11180"/>
          </w:cols>
          <w:pgMar w:left="240" w:top="459" w:right="47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700" w:type="dxa"/>
            <w:vAlign w:val="bottom"/>
          </w:tcPr>
          <w:p>
            <w:pPr>
              <w:jc w:val="right"/>
              <w:ind w:right="4691"/>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4280" w:type="dxa"/>
            <w:vAlign w:val="bottom"/>
            <w:gridSpan w:val="18"/>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67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264"/>
        </w:trPr>
        <w:tc>
          <w:tcPr>
            <w:tcW w:w="28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Where You Can Find More Information</w:t>
              </w:r>
            </w:hyperlink>
          </w:p>
        </w:tc>
        <w:tc>
          <w:tcPr>
            <w:tcW w:w="1400" w:type="dxa"/>
            <w:vAlign w:val="bottom"/>
            <w:gridSpan w:val="3"/>
          </w:tcPr>
          <w:p>
            <w:pPr>
              <w:spacing w:after="0"/>
              <w:rPr>
                <w:sz w:val="22"/>
                <w:szCs w:val="22"/>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42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Information We Incorporate By Reference</w:t>
              </w:r>
            </w:hyperlink>
          </w:p>
        </w:tc>
        <w:tc>
          <w:tcPr>
            <w:tcW w:w="6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304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The Company</w:t>
              </w:r>
            </w:hyperlink>
          </w:p>
        </w:tc>
        <w:tc>
          <w:tcPr>
            <w:tcW w:w="1240" w:type="dxa"/>
            <w:vAlign w:val="bottom"/>
            <w:gridSpan w:val="2"/>
          </w:tcPr>
          <w:p>
            <w:pPr>
              <w:spacing w:after="0"/>
              <w:rPr>
                <w:sz w:val="22"/>
                <w:szCs w:val="22"/>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1020" w:type="dxa"/>
            <w:vAlign w:val="bottom"/>
            <w:tcBorders>
              <w:top w:val="single" w:sz="8" w:color="0000EE"/>
            </w:tcBorders>
            <w:gridSpan w:val="4"/>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Risk Factors</w:t>
              </w:r>
            </w:hyperlink>
          </w:p>
        </w:tc>
        <w:tc>
          <w:tcPr>
            <w:tcW w:w="3260" w:type="dxa"/>
            <w:vAlign w:val="bottom"/>
            <w:gridSpan w:val="14"/>
          </w:tcPr>
          <w:p>
            <w:pPr>
              <w:spacing w:after="0"/>
              <w:rPr>
                <w:sz w:val="22"/>
                <w:szCs w:val="22"/>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264"/>
        </w:trPr>
        <w:tc>
          <w:tcPr>
            <w:tcW w:w="4280" w:type="dxa"/>
            <w:vAlign w:val="bottom"/>
            <w:gridSpan w:val="1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Disclosure Regarding Forward-Looking Statements</w:t>
              </w:r>
            </w:hyperlink>
          </w:p>
        </w:tc>
        <w:tc>
          <w:tcPr>
            <w:tcW w:w="6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2540" w:type="dxa"/>
            <w:vAlign w:val="bottom"/>
            <w:tcBorders>
              <w:top w:val="single" w:sz="8" w:color="0000EE"/>
            </w:tcBorders>
            <w:gridSpan w:val="12"/>
          </w:tcPr>
          <w:p>
            <w:pPr>
              <w:spacing w:after="0"/>
              <w:rPr>
                <w:sz w:val="22"/>
                <w:szCs w:val="22"/>
                <w:color w:val="auto"/>
              </w:rPr>
            </w:pPr>
          </w:p>
        </w:tc>
        <w:tc>
          <w:tcPr>
            <w:tcW w:w="560" w:type="dxa"/>
            <w:vAlign w:val="bottom"/>
          </w:tcPr>
          <w:p>
            <w:pPr>
              <w:spacing w:after="0"/>
              <w:rPr>
                <w:sz w:val="22"/>
                <w:szCs w:val="22"/>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20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Description of Capital Stock</w:t>
              </w:r>
            </w:hyperlink>
          </w:p>
        </w:tc>
        <w:tc>
          <w:tcPr>
            <w:tcW w:w="2220" w:type="dxa"/>
            <w:vAlign w:val="bottom"/>
            <w:gridSpan w:val="8"/>
          </w:tcPr>
          <w:p>
            <w:pPr>
              <w:spacing w:after="0"/>
              <w:rPr>
                <w:sz w:val="22"/>
                <w:szCs w:val="22"/>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24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Description of Depositary Shares</w:t>
              </w:r>
            </w:hyperlink>
          </w:p>
        </w:tc>
        <w:tc>
          <w:tcPr>
            <w:tcW w:w="1880" w:type="dxa"/>
            <w:vAlign w:val="bottom"/>
            <w:gridSpan w:val="6"/>
          </w:tcPr>
          <w:p>
            <w:pPr>
              <w:spacing w:after="0"/>
              <w:rPr>
                <w:sz w:val="22"/>
                <w:szCs w:val="22"/>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428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Description of Warrants</w:t>
              </w:r>
            </w:hyperlink>
          </w:p>
        </w:tc>
        <w:tc>
          <w:tcPr>
            <w:tcW w:w="6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264"/>
        </w:trPr>
        <w:tc>
          <w:tcPr>
            <w:tcW w:w="428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Description of Subscription Rights</w:t>
              </w:r>
            </w:hyperlink>
          </w:p>
        </w:tc>
        <w:tc>
          <w:tcPr>
            <w:tcW w:w="6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2500" w:type="dxa"/>
            <w:vAlign w:val="bottom"/>
            <w:tcBorders>
              <w:top w:val="single" w:sz="8" w:color="0000EE"/>
            </w:tcBorders>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Description of Debt Securities</w:t>
              </w:r>
            </w:hyperlink>
          </w:p>
        </w:tc>
        <w:tc>
          <w:tcPr>
            <w:tcW w:w="1780" w:type="dxa"/>
            <w:vAlign w:val="bottom"/>
            <w:gridSpan w:val="4"/>
          </w:tcPr>
          <w:p>
            <w:pPr>
              <w:spacing w:after="0"/>
              <w:rPr>
                <w:sz w:val="22"/>
                <w:szCs w:val="22"/>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264"/>
        </w:trPr>
        <w:tc>
          <w:tcPr>
            <w:tcW w:w="428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Description of Purchase Contracts</w:t>
              </w:r>
            </w:hyperlink>
          </w:p>
        </w:tc>
        <w:tc>
          <w:tcPr>
            <w:tcW w:w="6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14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Description of Units</w:t>
              </w:r>
            </w:hyperlink>
          </w:p>
        </w:tc>
        <w:tc>
          <w:tcPr>
            <w:tcW w:w="980" w:type="dxa"/>
            <w:vAlign w:val="bottom"/>
            <w:tcBorders>
              <w:top w:val="single" w:sz="8" w:color="0000EE"/>
            </w:tcBorders>
            <w:gridSpan w:val="6"/>
          </w:tcPr>
          <w:p>
            <w:pPr>
              <w:spacing w:after="0"/>
              <w:rPr>
                <w:sz w:val="22"/>
                <w:szCs w:val="22"/>
                <w:color w:val="auto"/>
              </w:rPr>
            </w:pPr>
          </w:p>
        </w:tc>
        <w:tc>
          <w:tcPr>
            <w:tcW w:w="1820" w:type="dxa"/>
            <w:vAlign w:val="bottom"/>
            <w:gridSpan w:val="5"/>
          </w:tcPr>
          <w:p>
            <w:pPr>
              <w:spacing w:after="0"/>
              <w:rPr>
                <w:sz w:val="22"/>
                <w:szCs w:val="22"/>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14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Plan of Distribution</w:t>
              </w:r>
            </w:hyperlink>
          </w:p>
        </w:tc>
        <w:tc>
          <w:tcPr>
            <w:tcW w:w="2840" w:type="dxa"/>
            <w:vAlign w:val="bottom"/>
            <w:gridSpan w:val="12"/>
          </w:tcPr>
          <w:p>
            <w:pPr>
              <w:spacing w:after="0"/>
              <w:rPr>
                <w:sz w:val="22"/>
                <w:szCs w:val="22"/>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4"/>
        </w:trPr>
        <w:tc>
          <w:tcPr>
            <w:tcW w:w="428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6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1000" w:type="dxa"/>
            <w:vAlign w:val="bottom"/>
            <w:tcBorders>
              <w:top w:val="single" w:sz="8" w:color="0000EE"/>
            </w:tcBorders>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3280" w:type="dxa"/>
            <w:vAlign w:val="bottom"/>
            <w:gridSpan w:val="15"/>
          </w:tcPr>
          <w:p>
            <w:pPr>
              <w:spacing w:after="0"/>
              <w:rPr>
                <w:sz w:val="22"/>
                <w:szCs w:val="22"/>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85"/>
        </w:trPr>
        <w:tc>
          <w:tcPr>
            <w:tcW w:w="5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00" w:type="dxa"/>
            <w:vAlign w:val="bottom"/>
          </w:tcPr>
          <w:p>
            <w:pPr>
              <w:jc w:val="right"/>
              <w:ind w:right="5291"/>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we may from time to time sell any combination of the securities described in this prospectus in one or more offerings.</w:t>
      </w:r>
    </w:p>
    <w:p>
      <w:pPr>
        <w:spacing w:after="0" w:line="181"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a prospectus supplement that will contain specific information about the terms of that offering.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prospectus supplement together with additional information under the heading “Where You Can Find More Information” and “Information We Incorporate By Reference.”</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not authorized anyone to provide you with different information from the information contained or incorporated by reference in this prospectus and in any prospectus supplement or in any free writing prospectus that we may provide you. You should not assume that the information contained in this prospectus, any prospectus supplement, any document incorporated by reference or any free writing prospectus is accurate as of any date, other than the date mentioned on the cover page of these documents.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93"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Unless we otherwise state or the context otherwise indicates, all references in this prospectus to “CECO,” “us,” “our,” or “we” mean CECO Environmental Corp. and its consolidated subsidiaries.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24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are subject to the informational reporting requirements of the Securities Exchange Act of 1934, or the Exchange Act. We file reports, proxy statements and other information with the SEC. Our SEC filings are available at the SEC’s website at http://www.sec.gov. You may also inspect our SEC reports and other information at our website at http://www.cecoenviro.com. The information contained on or accessible through our website is not a part of this prospectus, other than the documents that we file with the SEC that are expressly incorporated by reference into this prospectus.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Information We Incorporate By Reference</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SEC allows us to “incorporate by reference” into this prospectus the information in documents we file with it,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Any statement contained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w:t>
      </w:r>
    </w:p>
    <w:p>
      <w:pPr>
        <w:spacing w:after="0" w:line="16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We incorporate by reference the documents listed below and any future documents that we file with the SEC under Sections 13(a), 13(c), 14 or 15(d) of the Exchange Act (1) after the date of the initial filing of the registration statement of which this prospectus forms a part prior to the effectiveness of the registration statement and (2) after the date of this prospectus until the offering of the securities is terminated:</w:t>
      </w:r>
    </w:p>
    <w:p>
      <w:pPr>
        <w:spacing w:after="0" w:line="71" w:lineRule="exact"/>
        <w:rPr>
          <w:sz w:val="20"/>
          <w:szCs w:val="20"/>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2018; and</w:t>
      </w:r>
    </w:p>
    <w:p>
      <w:pPr>
        <w:spacing w:after="0" w:line="130" w:lineRule="exact"/>
        <w:rPr>
          <w:rFonts w:ascii="Arial" w:cs="Arial" w:eastAsia="Arial" w:hAnsi="Arial"/>
          <w:sz w:val="18"/>
          <w:szCs w:val="18"/>
          <w:color w:val="auto"/>
        </w:rPr>
      </w:pPr>
    </w:p>
    <w:p>
      <w:pPr>
        <w:ind w:left="1060" w:hanging="316"/>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10 filed with the SEC on December 13, 1992 pursuant to Section 12(g) of the Exchange Act, together with all amendments or reports filed for the purpose of updating such description.</w:t>
      </w:r>
    </w:p>
    <w:p>
      <w:pPr>
        <w:spacing w:after="0" w:line="12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will not, however, incorporate by reference in this prospectus any documents or portions thereof that are not deemed “filed” with the SEC, including any information furnished pursuant to Item 2.02 or Item 7.01 of our current reports on Form 8-K unless, and except to the extent, specified in such current reports.</w:t>
      </w:r>
    </w:p>
    <w:p>
      <w:pPr>
        <w:spacing w:after="0" w:line="18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We will provide you with a copy of any of these filings (other than an exhibit to these filings, unless the exhibit is specifically incorporated by reference into the filing requested) at no cost, if you submit a request to us by writing or telephoning us at the following address and telephone number:</w:t>
      </w:r>
    </w:p>
    <w:p>
      <w:pPr>
        <w:spacing w:after="0" w:line="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14651 North Dallas Parkway, Suite 500</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Dallas, Texas 75254</w:t>
      </w:r>
    </w:p>
    <w:p>
      <w:pPr>
        <w:spacing w:after="0" w:line="9" w:lineRule="exact"/>
        <w:rPr>
          <w:sz w:val="20"/>
          <w:szCs w:val="20"/>
          <w:color w:val="auto"/>
        </w:rPr>
      </w:pPr>
    </w:p>
    <w:p>
      <w:pPr>
        <w:ind w:left="5580" w:hanging="428"/>
        <w:spacing w:after="0"/>
        <w:tabs>
          <w:tab w:leader="none" w:pos="5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990-6670</w:t>
      </w:r>
    </w:p>
    <w:p>
      <w:pPr>
        <w:spacing w:after="0" w:line="9" w:lineRule="exact"/>
        <w:rPr>
          <w:rFonts w:ascii="Arial" w:cs="Arial" w:eastAsia="Arial" w:hAnsi="Arial"/>
          <w:sz w:val="18"/>
          <w:szCs w:val="18"/>
          <w:color w:val="auto"/>
        </w:rPr>
      </w:pPr>
    </w:p>
    <w:p>
      <w:pPr>
        <w:ind w:left="466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240" w:top="459" w:right="5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CECO Environmental is a global leader 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 CECO serves both established and emerging industries in regions around the world working to improve air quality, optimize the energy value chain, and provide customized engineered solutions in multiple applications that include oil and gas, power generation, water and wastewater, battery production, poly silicon fabrication, chemical and petrochemical processing, along with a wide range of other industries.</w:t>
      </w:r>
    </w:p>
    <w:p>
      <w:pPr>
        <w:spacing w:after="0" w:line="193"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To achieve our mission of being a world-class global leader in the markets we serve and to maximize the availability, reliability and efficiency of our customers’ operating assets, we continue to focus on increasing our recurring revenue stream from aftermarket parts and services, as well as continuously improving the efficiencies and capabilities of our technologies. CECO has over $5 billion of installed equipment base with end users, which we target to expand and grow a higher recurring revenue of aftermarket products and services. We also continue to focus on operational excellence strategies as a central theme to improving our earnings and cash flows.</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believe we succeed in winning customer orders because of the relationships we have developed, the long history of performance and reliability of our systems and products, our ability to deliver products in compliance with our customers’ needs and our advanced technical engineering capabilities on complex projects. We work closely with our customers to design, custom-engineer and fabricate our systems and products to meet their specific needs. Our customers include some of the largest natural gas processors, transmission and distribution companies, refineries, power generators, boiler manufacturers, compressor manufacturers, metals and minerals, industrial manufacturing, engineering and construction companies in the world. Reliable product performance, timely delivery, customer satisfaction and advanced engineering are critical in maintaining our competitive position.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operate through three reportable segments, as follows: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Energy Solutions Segment</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Our Energy Solutions segment improves air quality and solves fluid handling needs with market leading, highly engineered and customized solutions for the power generation, oil &amp; gas, and petrochemical industries. Our offerings in this space include solutions such as natural gas turbine exhaust systems, selective catalytic reduction and selective non-catalytic reduction systems, acoustical components and silencers, silencer and precipitator applications, the design and manufacture of technologies for flue gas dampers, diverters, expansion joints, gas and liquid separation and filtration equipment, secondary separators (nuclear plant reactor vessels), and fluid catalytic cracking unit cyclones for processing in power generation, refining, oil production and petrochemical plants, as well as a variety of other industries.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Industrial Solutions Segment</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Industrial Solutions segment improves air quality with a compelling solution set of air pollution control technologies that enable our customers to reduce their carbon footprint, lower energy consumption, minimize waste and meet compliance targets for toxic emissions, fumes, volatile organic compounds, process and industrial odors. With a powerful suite of products and solutions to address air quality needs in the industrial markets, our offerings include chemical and biological scrubbers, fabric filters and cartridge collectors, thermal and catalytic oxidation systems, cyclones, separators, gas absorbers and industrial ventilation systems. This segment also provides component parts for industrial air systems and provides cost effective alternatives to traditional duct components, as well as custom metal engineered fabrication services. These products and services are applicable to a wide variety of industries.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Fluid Handling Solutions Segment</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Fluid Handling Solutions segment provides solutions for mission-critical applications to a wide variety of industries including, but not limited to, chemical, petrochemical, pharmaceutical, wastewater treatment, desalination, aquarium and aquaculture, plating and metal finishing, and food and beverage. To meet the needs of these markets, we design and manufacture high quality pumps and specialty filtration solutions including centrifugal pumps for corrosive, abrasive and high-temperature liquids, filter products for air and liquid filtration, precious metal recovery systems, carbonate precipitators, and technologically advanced air movement and exhaust systems.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CECO was incorporated in the State of New York in 1966 and reincorporated in the State of Delaware in January 2002. CECO has been publicly traded since January 1, 1978 and its common stock trades on the NASDAQ Stock Market under the symbol “CECE.” Our principal executive offices are located at 14651 North Dallas Parkway, Suite 500, Dallas, Texas 75254. Our telephone number is (214) 357-6181. Our website is http://www.cecoenviro.com. The information contained on or accessible through our website is not part of this prospectus, other than the documents that we file with the SEC that are expressly incorporated by reference into this prospectus.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An investment in our securities involves risk. We urge you to carefully consider the risks and other information described under the caption “Risk Factors” in our most recent annual report on Form 10-K and in our most recent quarterly reports on Form 10-Q, which are incorporated herein by reference and may be amended, supplemented or superseded from time to time by other reports we file with the SEC in the future. Any of the risks, as well as additional risks and uncertainties not currently known to us or that we currently deem immaterial, could materially and adversely affect our results of operations or financial condition.</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24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This prospectus, including the documents incorporated by reference, contains, and any prospectus supplement may contain, “forward-looking statements” as defined in the Private Securities Litigation Reform Act of 1995. Forward-looking statements speak only as of the date they are made and give our current expectations or forecasts of future events. These forward-looking statements can be identified by the use of forward-looking words, such as “anticipate,” “believe,” “estimate,” “expect,” “forecast,” “goal,” “intend,” “plan,” “predict,” “project,” “seek,” “target,” “could,” “may,” “should” or “would” or other similar expressions that convey the uncertainty of future events or outcomes. When considering these forward-looking statements, you should keep in mind the risk factors and other cautionary statements contained in this prospectus.</w:t>
      </w:r>
    </w:p>
    <w:p>
      <w:pPr>
        <w:spacing w:after="0" w:line="178"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These forward-looking statements include, but are not limited to, statements that relate to, or statements that are subject to risks, contingencies or uncertainties that relate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our service areas; dependence on fixed price contracts and the risks associated therewith, including actual costs exceeding estimates; fluctuations in operating results from period to period due to cyclicality or seasonality of the business; the effect of growth on our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our ability to successfully complete the divestiture of non-core assets; the effect of competition in the Industrial Solutions segment, Energy Solutions segment and Fluid Handling Solutions segment industries; and the other risks that are discussed in Item 1A, “Risk Factors” and in the Company’s Annual Report on Form 10-K for the year ended December 31, 2018. Many of these risks are beyond management’s ability to control or predict. Should one or more of these risks or uncertainties materialize, or should the assumptions prove incorrect, actual results may vary in material aspects from those currently anticipated.</w:t>
      </w:r>
    </w:p>
    <w:p>
      <w:pPr>
        <w:spacing w:after="0" w:line="17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prospectus. We do not undertake any obligation to review or confirm analysts’ expectations or estimates or to release publicly any revisions to any forward-looking statement to reflect events or circumstances after the date of this prospectus or to reflect the occurrence of unanticipated events.</w:t>
      </w:r>
    </w:p>
    <w:p>
      <w:pPr>
        <w:spacing w:after="0" w:line="15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disclose important factors that could cause our actual results to differ materially from our expectations implied by our forward-looking statements under “Risk Factors” and “Management’s Discussion and Analysis of Financial Condition and Results of Operations” of the documents we incorporate by reference and elsewhere in this prospectus.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 results of operations, prospects and ability to service our debt.</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Unless we inform you otherwise in the applicable prospectus supplement, we expect to use the net proceeds from the sale of securities for general corporate purposes. These purposes may include, but are not limited to:</w:t>
      </w:r>
    </w:p>
    <w:p>
      <w:pPr>
        <w:spacing w:after="0" w:line="76"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 or refinancing of outstanding indebtedness or other corporate obligations;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additions to working capital;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Pending any specific application, we may initially invest funds in short-term marketable securities or apply them to the reduction of short-term indebtedness.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24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the discussion that follows, we have summarized selected provisions of our certificate of incorporation and bylaws relating to our capital stock. This summary is not complete. This discussion is qualified in its entirety by reference to our certificate of incorporation and bylaws. You should read the provisions of our certificate of incorporation and bylaws as currently in effect for provisions that may be important to you. We have filed copies of those documents with the SEC, and they are incorporated by reference as exhibits to the registration statement of which this prospectus forms a part. See “Information We Incorporate By Reference.”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authorized capital stock consists of:</w:t>
      </w:r>
    </w:p>
    <w:p>
      <w:pPr>
        <w:spacing w:after="0" w:line="131"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100,000,000 shares of common stock, $0.01 par value per share;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10,000 shares of preferred stock, $0.01 par value per share, issuable in series.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our stockholders and do not have cumulative voting rights. Holders of a majority of the shares of common stock entitled to vote in any election of our directors may elect all of the directors standing for election. Holders of our common stock are entitled to receive ratably such dividends, if any, as may be declared by our board of directors out of funds legally available therefor, subject to any preferential dividend rights of outstanding preferred stock. Upon our liquidation, dissolution or winding up, the holders of common stock are entitled to receive ratably our net assets available after the payment of all debts and other liabilities and subject to the prior rights of any outstanding preferred stock. Holders of our common stock have no preemptive, subscription, redemption or conversion rights.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outstanding shares of our common stock are fully paid and non-assessable.</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rights, preferences and privileges of holders of our common stock are subject to, and may be adversely affected by, the rights of the holders of shares of any series of preferred stock which we may designate and issue.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have no outstanding shares of preferred stock. Our board of directors, without further action by our stockholders, is authorized to issue an aggregate of 10,000 shares of preferred stock. Our board of directors may issue preferred stock with dividend rates, redemption prices, preferences on liquidation or dissolution, conversion rights, voting rights and any other preferences, which rights and preferences could adversely affect the voting power of the holders of common stock. The issuance of preferred stock, while providing desirable flexibility in connection with possible acquisitions or other corporate purposes, could have the effect of making it more difficult for a third party to acquire us, or could discourage or delay a third party from acquiring control of us.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Directors’ Liability</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Pursuant to the provisions of the General Corporation Law of the State of Delaware (“DGCL”), we have adopted provisions in our certificate of incorporation and bylaws that require us to indemnify our officers and directors to the fullest extent permitted by law, and eliminate the personal liability of our directors to us or our stockholders for monetary damages for breach of their duty of due care except (a) for any breach of the directors’ duty of loyalty to the corporation or its stockholders, (b) for acts or omissions not in good faith or which involve intentional misconduct or a knowing violation of law, (c) for acts relating to unlawful payment of a dividend or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312" w:lineRule="auto"/>
        <w:rPr>
          <w:sz w:val="20"/>
          <w:szCs w:val="20"/>
          <w:color w:val="auto"/>
        </w:rPr>
      </w:pPr>
      <w:r>
        <w:rPr>
          <w:rFonts w:ascii="Arial" w:cs="Arial" w:eastAsia="Arial" w:hAnsi="Arial"/>
          <w:sz w:val="16"/>
          <w:szCs w:val="16"/>
          <w:color w:val="auto"/>
        </w:rPr>
        <w:t>an unlawful stock purchase or redemption or (d) for any transaction from which the director derived an improper personal benefit. These provisions do not eliminate a director’s duty of care. Moreover, the provisions do not apply to claims against a director for violation of certain laws, including federal securities laws. We believe that these provisions will assist it in attracting or retaining qualified individuals to serve as directors and officers.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certificate of incorporation and bylaws provide for mandatory indemnification of officers and directors of the corporation, including a director or officer of the corporation who is serving at the request of the corporation as a director, officer, employee or agent of another corporation, partnership, joint venture, trust or other enterprise, to the fullest extent permitted under the DGCL. We may also, at our discretion, provide the same benefits of indemnification to any employee or agent of the corporation.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Provisions of our certificate of incorporation and bylaws may have the effect of making it more difficult for a third party to acquire, or of discouraging a third party from attempting to acquire, control of us. These provisions are expected to discourage coercive takeover practices and inadequate takeover bids and to encourage persons seeking to acquire control of us to first negotiate with us. These provisions could limit the price investors might be willing to pay in the future for our common stock. We believe that the benefits of increased protection of our ability to negotiate with the proponent of an unfriendly or unsolicited acquisition proposal outweigh the disadvantage of discouraging these proposals, because among other things, negotiation may result in an improvement of their terms. These provisions could limit the price that investors might be willing to pay in the future for shares of our common stock. These provisions include:</w:t>
      </w:r>
    </w:p>
    <w:p>
      <w:pPr>
        <w:spacing w:after="0" w:line="83"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Procedures for advance notification of stockholder nominations and proposals;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the board of directors to alter our bylaws without stockholder approval.</w:t>
      </w:r>
    </w:p>
    <w:p>
      <w:pPr>
        <w:spacing w:after="0" w:line="225" w:lineRule="exact"/>
        <w:rPr>
          <w:sz w:val="20"/>
          <w:szCs w:val="20"/>
          <w:color w:val="auto"/>
        </w:rPr>
      </w:pPr>
    </w:p>
    <w:p>
      <w:pPr>
        <w:ind w:left="200" w:right="380" w:firstLine="441"/>
        <w:spacing w:after="0" w:line="297" w:lineRule="auto"/>
        <w:rPr>
          <w:sz w:val="20"/>
          <w:szCs w:val="20"/>
          <w:color w:val="auto"/>
        </w:rPr>
      </w:pPr>
      <w:r>
        <w:rPr>
          <w:rFonts w:ascii="Arial" w:cs="Arial" w:eastAsia="Arial" w:hAnsi="Arial"/>
          <w:sz w:val="16"/>
          <w:szCs w:val="16"/>
          <w:color w:val="auto"/>
        </w:rPr>
        <w:t>In addition, subject to applicable limitations, our board of directors has the authority to issue up to 10,000 shares of preferred stock and to determine the price, rights, preferences, privileges and restrictions, including voting rights, of those shares without any further vote or action by the stockholders. The issuance of preferred stock, while providing flexibility in connection with possible financings or acquisitions or other corporate purposes, could have the effect of making it more difficult for a third party to acquire a majority of our outstanding voting stock. These and other provisions contained in our certificate of incorporation and bylaws could have the effect of delaying or preventing a change in control.</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may offer depositary shares representing fractional shares of our preferred stock of any series. The following description sets forth certain general terms and provisions of the depositary shares that we may offer pursuant to this prospectus. The particular terms of the depositary shares, including the fraction of a preferred share that such depositary share will represent, and the extent, if any, to which the general terms and provisions may apply to the depositary shares so offered, will be described in the applicable prospectus supplement.</w:t>
      </w:r>
    </w:p>
    <w:p>
      <w:pPr>
        <w:spacing w:after="0" w:line="17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shares of preferred stock represented by depositary shares will be deposited under a depositary agreement between us and a bank or trust company that meets certain requirements and is selected by us, which we refer to as the bank depositary. Each owner of a depositary share will be entitled to all the rights and preferences of the shares of preferred stock represented by the depositary share. The depositary shares will be evidenced by depositary receipts issued pursuant to the depositary agreement. Depositary receipts will be distributed to those persons purchasing the fractional shares of preferred stock in accordance with the terms of the offering. The deposit agreement will also contain provisions relating to the manner in which any subscription or similar rights we offer to holders of the preferred stock will be made available to the holders of depositary shares.</w:t>
      </w:r>
    </w:p>
    <w:p>
      <w:pPr>
        <w:spacing w:after="0" w:line="165"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The following description is a general summary of some common provisions of a depositary agreement and the related depositary receipts. The description below and in any prospectus supplement does not include all of the terms of the depositary agreement and the related depositary receipts. Copies of the form of depositary agreement and the depositary receipts relating to any particular issue of depositary shares will be filed with the SEC each time we issue depositary shares, and you should read those documents for provisions that may be important to you. For more information on how you can obtain copies of the forms of the depositary agreement and the related depositary receipts, see “Where You Can Find More Information.”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If we pay a cash distribution or dividend on a series of preferred stock represented by depositary shares, the bank depositary will distribute these dividends to the record holders of these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this property and distribute the net proceeds from this sale to the record holders of the depositary shares.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Upon receipt of notice of any meeting at which the holders of the preferred stock represented by depositary shares are entitled to vote, the bank depositary will mail the notice to the record holders of the depositary shares relating to the preferred stock. Each record holder of these depositary shares on the record date (which will be the same date as the record date for the preferred stock) may instruct the bank depositary as to how to vote the preferred stock represented by this holder’s depositary shares. The bank depositary will endeavor, insofar as practicable, to vote the amount of the preferred stock represented by such depositary shares in accordance with these instructions, and we will take all action which the bank depositary deems necessary in order to enable the bank depositary to do so. The bank depositary will abstain from voting shares of the preferred stock to the extent it does not receive specific instructions from the holders of depositary shares representing this preferred stock.</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 of the Depositary Agreement</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this amendment has been approved by the holders of at least a majority of the depositary shares then outstanding. The depositary agreement may be terminated by the bank depositary or us only if:</w:t>
      </w:r>
    </w:p>
    <w:p>
      <w:pPr>
        <w:spacing w:after="0" w:line="92"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has been a final distribution in respect of the preferred stock in connection with any liquidation, dissolution or winding up of the Company and this distribution has been distributed to the holders of depositary receipts.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Charges of Bank Depositary</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We will pay all transfer and other taxes and governmental charges arising solely from the existence of the depositary arrangements. We will pay charges of the bank depositary in connection with the initial deposit of the preferred stock and any redemption of the preferred stock. Holders of depositary receipts will pay other transfer and other taxes and governmental charges and any other charges, including a fee for the withdrawal of shares of preferred stock upon surrender of depositary receipts, as are expressly provided in the depositary agreement to be for their accounts.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of Preferred Stock</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Except as may be provided otherwise in the applicable prospectus supplement,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Fractional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this holder at the same time a new depositary receipt evidencing the excess number of depositary shares. Holders of preferred stock thus withdrawn may not thereafter deposit those shares under the depositary agreement or receive depositary receipts evidencing depositary shares therefor.</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The bank depositary will forward to holders of depositary receipts all reports and communications from us that are delivered to the bank depositary and that we are required to furnish to the holders of preferred stock.</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Neither the bank depositary nor we will be liable if we are prevented or delayed by law or any circumstance beyond our control in performing our obligations under the depositary agreement. The obligations of the bank depositary and us under the depositary agreement will be limited to performance in good faith of our duties thereunder, and we will not be obligated to prosecute or defend any legal proceeding in respect of any depositary shares or shares of preferred stock unless satisfactory indemnity is furnished. We may rely upon written advice of counsel or accountants, or upon information provided by persons presenting shares of preferred stock for deposit, holders of depositary receipts or other persons believed to be competent and on documents believed to be genuine.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and Removal of Bank Depositary</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bank depositary may resign at any time by delivering to us notice of its election to do so, and we may at any time remove the bank depositary. Any such resignation or removal will take effect upon the appointment of a successor bank depositary and the successor’s acceptance of this appointment. The successor bank depositary must be appointed within 60 days after delivery of the notice of resignation or removal and must be a bank or trust company meeting the requirements of the depositary agreement.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We may issue warrants for the purchase of common stock, preferred stock, depositary shares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4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Debt Warrants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debt securities will describe the terms of those warrants, including the following:</w:t>
      </w:r>
    </w:p>
    <w:p>
      <w:pPr>
        <w:spacing w:after="0" w:line="76"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the warrants;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that the warrants are issued with and the number of warrants issued with each debt security;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debt securities issued with them will be separately transferable;</w:t>
      </w:r>
    </w:p>
    <w:p>
      <w:pPr>
        <w:spacing w:after="0" w:line="142" w:lineRule="exact"/>
        <w:rPr>
          <w:rFonts w:ascii="Arial" w:cs="Arial" w:eastAsia="Arial" w:hAnsi="Arial"/>
          <w:sz w:val="17"/>
          <w:szCs w:val="17"/>
          <w:color w:val="auto"/>
        </w:rPr>
      </w:pPr>
    </w:p>
    <w:p>
      <w:pPr>
        <w:ind w:left="1060" w:right="22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warrant and the price at which the debt securities may be purchased upon exercise;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relating to book-entry procedures,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Warrants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common stock, preferred stock or depositary shares will describe the terms of the common stock warrants and preferred stock warrants, including the following:</w:t>
      </w:r>
    </w:p>
    <w:p>
      <w:pPr>
        <w:spacing w:after="0" w:line="76"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designation and terms of the common stock, preferred stock or depositary shares that may be purchased upon exercise of the warrants;</w:t>
      </w:r>
    </w:p>
    <w:p>
      <w:pPr>
        <w:spacing w:after="0" w:line="153" w:lineRule="exact"/>
        <w:rPr>
          <w:rFonts w:ascii="Arial" w:cs="Arial" w:eastAsia="Arial" w:hAnsi="Arial"/>
          <w:sz w:val="16"/>
          <w:szCs w:val="16"/>
          <w:color w:val="auto"/>
        </w:rPr>
      </w:pPr>
    </w:p>
    <w:p>
      <w:pPr>
        <w:ind w:left="1060" w:right="50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142" w:lineRule="exact"/>
        <w:rPr>
          <w:rFonts w:ascii="Arial" w:cs="Arial" w:eastAsia="Arial" w:hAnsi="Arial"/>
          <w:sz w:val="17"/>
          <w:szCs w:val="17"/>
          <w:color w:val="auto"/>
        </w:rPr>
      </w:pPr>
    </w:p>
    <w:p>
      <w:pPr>
        <w:ind w:left="1060" w:right="36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or depositary shares that may be purchased upon exercise of a warrant and the price at which the shares may be purchased upon exercise;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Each warrant will entitle the holder of the warrant to purchase at the exercise price set forth in the applicable prospectus supplement the number of shares of common stock, preferred stock or depositary shares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54"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Until a holder exercises the warrants to purchase our common stock, preferred stock, depositary shares or debt securities, the holder will not have any rights as a holder of our common stock, preferred stock, depositary shares or debt securities, as the case may be, by virtue of ownership of warrants.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issue to our shareholders subscription rights to purchase our common stock, preferred stock, depositary shares or debt securities. The following description sets forth certain general terms and provisions of the subscription rights that we may offer pursuant to this prospectus. The particular terms of the subscription rights and the extent, if any, to which the general terms and provisions may apply to the subscription rights so offered will be described in the applicable prospectus supplement.</w:t>
      </w:r>
    </w:p>
    <w:p>
      <w:pPr>
        <w:spacing w:after="0" w:line="18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Subscription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 or offer these securities to other parties who are not our shareholders. A copy of the form of subscription rights certificate will be filed with the SEC each time we issue subscription rights, and you should read that document for provisions that may be important to you. For more information on how you can obtain a copy of any subscription rights certificate, see “Where You Can Find More Information.”</w:t>
      </w:r>
    </w:p>
    <w:p>
      <w:pPr>
        <w:spacing w:after="0" w:line="165"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applicable prospectus supplement relating to any subscription rights will describe the terms of the offered subscription rights, including, where applicable, the following:</w:t>
      </w:r>
    </w:p>
    <w:p>
      <w:pPr>
        <w:spacing w:after="0" w:line="76"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exercise price for the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subscription rights issued to each shareholder;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30" w:lineRule="exact"/>
        <w:rPr>
          <w:rFonts w:ascii="Arial" w:cs="Arial" w:eastAsia="Arial" w:hAnsi="Arial"/>
          <w:sz w:val="18"/>
          <w:szCs w:val="18"/>
          <w:color w:val="auto"/>
        </w:rPr>
      </w:pPr>
    </w:p>
    <w:p>
      <w:pPr>
        <w:ind w:left="1060" w:right="80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terms, procedures and limitations relating to the exchange and exercise of the subscription rights;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on which the right to exercise the subscription rights will commence and the date on which the right will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the subscription rights include an over-subscription privilege with respect to unsubscribed securities;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material terms of any standby underwriting arrangement entered into by us in connection with the subscription rights offering.</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420" w:firstLine="441"/>
        <w:spacing w:after="0" w:line="286" w:lineRule="auto"/>
        <w:rPr>
          <w:sz w:val="20"/>
          <w:szCs w:val="20"/>
          <w:color w:val="auto"/>
        </w:rPr>
      </w:pPr>
      <w:r>
        <w:rPr>
          <w:rFonts w:ascii="Arial" w:cs="Arial" w:eastAsia="Arial" w:hAnsi="Arial"/>
          <w:sz w:val="17"/>
          <w:szCs w:val="17"/>
          <w:color w:val="auto"/>
        </w:rPr>
        <w:t>The following description sets forth certain general terms and provisions of the debt securities that we may issue, which may be issued as convertible or exchangeable debt securities. We will set forth the particular terms of the debt securities we offer in a prospectus supplement and the extent, if any, to which the following general terms and provisions will apply to particular debt securities.</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debt securities will be issued under an indenture to be entered into between us and Wilmington Trust, National Association, as trustee. The indenture, and any supplemental indentures thereto, will be subject to, and governed by, the Trust Indenture Act of 1939, as amended. The following description of general terms and provisions relating to the debt securities and the indenture under which the debt securities will be issued is a summary only and therefore is not complete and is subject to, and qualified in its entirety by reference to, the terms and provisions of the indenture. The form of the indenture has been filed with the SEC as an exhibit to the registration statement, of which this prospectus forms a part, and you should read the indenture for provisions that may be important to you. For more information on how you can obtain a copy of the form of the indenture, see “Where You Can Find More Information.”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Unless otherwise specified in a prospectus supplement, the debt securities will be our direct, unsecured obligations and will rank equally with all of our existing and future senior unsecured indebtedness senior in right of payment to all of our subordinated indebtedness.</w:t>
      </w:r>
    </w:p>
    <w:p>
      <w:pPr>
        <w:spacing w:after="0" w:line="14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The indenture does not limit the aggregate principal amount of debt securities that may be issued under it and provides that debt securities may be issued under it from time to time in one or more series. We may specify a maximum aggregate principal amount for the debt securities of any series.</w:t>
      </w:r>
    </w:p>
    <w:p>
      <w:pPr>
        <w:spacing w:after="0" w:line="124"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Unless otherwise specified in the applicable prospectus supplement, the indenture does not afford the holders of the debt securities the right to require us to repurchase or redeem the debt securities in the event of a highly-leveraged transaction.</w:t>
      </w:r>
    </w:p>
    <w:p>
      <w:pPr>
        <w:spacing w:after="0" w:line="17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We are not obligated to issue all debt securities of one series at the same time and, unless otherwise provided in the applicable prospectus supplement, we may reopen a series, without the consent of the holders of the outstanding debt securities of that series, for the issuance of additional debt securities of that series. Additional debt securities of a particular series will have the same terms and conditions as outstanding debt securities of such series, except for the issue date and, in some cases, the public offering price and the first interest payment date, and will be consolidated with, and form a single series with, such outstanding debt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additional debt securities are not fungible with the outstanding debt securities of such series for U.S. federal income tax purposes, the additional debt securities will have a separate CUSIP number.</w:t>
      </w:r>
    </w:p>
    <w:p>
      <w:pPr>
        <w:spacing w:after="0" w:line="16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will set forth in a prospectus supplement relating to any debt securities being offered, the aggregate principal amount and the following terms of the debt securities, if applicable:</w:t>
      </w:r>
    </w:p>
    <w:p>
      <w:pPr>
        <w:spacing w:after="0" w:line="76"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of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the debt securities will be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series of debt securities;</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will be senior debt securities or subordinated debt securities, and if they are subordinated debt securities, the terms of the subordination;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on which the principal on the series of debt securities is payable;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316"/>
        <w:spacing w:after="0" w:line="25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such rate or rates (including any commodity, commodity index, stock exchange index or financial index) at which the series of debt securities will bear interest, if any, the date or dates from which such interest, if any, will accrue, the date or dates on which such interest, if any,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right, if any to extend the interest periods and the duration of that extension;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and interest, if any, on, the debt securities will be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conditions upon which the debt securities may be redeemed;</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obligation we may have to redeem or purchase the debt securities pursuant to any sinking fund or analogous provisions or at the option of a holder of the debt securities;</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the debt securities at the option of the holders of the debt securities and other detailed terms and provisions of such repurchase obligations;</w:t>
      </w:r>
    </w:p>
    <w:p>
      <w:pPr>
        <w:spacing w:after="0" w:line="75"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minimum denominations of $2,000 and integral multiples of $1,000 in excess thereof;</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if any, on the debt securities will be made if other than U.S. dollars;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60" w:right="66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described in this prospectus or in the indenture and any change in the acceleration provisions described in this prospectus or in the indenture with respect to the debt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addition to or change in the covenants described in this prospectus or in the indenture with respect to the debt securities;</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such debt securities);</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series of debt securities, if other than appointed in the indenture;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provisions relating to conversion of the debt securities.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is not intended to be an exclusive list of the terms that may be applicable to any offered debt securities.</w:t>
      </w:r>
    </w:p>
    <w:p>
      <w:pPr>
        <w:spacing w:after="0" w:line="22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the indenture does not limit our ability to issue convertible, exchangeable or subordinated debt securities. Any conversion, exchange or subordination provisions of debt securities will be described in the relevant prospectus supplement. Such terms may include provisions for conversion or exchange, either mandatory, at the option of the holder or at our option, in which case the number of shares of common stock or other securities to be received by the holders of debt securities would be calculated as of a time and in the manner stated in the prospectus supplement.</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w:t>
      </w:r>
    </w:p>
    <w:p>
      <w:pPr>
        <w:spacing w:after="0" w:line="16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and Transfer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Debt securities may be transferred or exchanged at the office of the registrar or co-registrar designated by us.</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event of any redemption of debt securities of any series, we will not be required to:</w:t>
      </w:r>
    </w:p>
    <w:p>
      <w:pPr>
        <w:spacing w:after="0" w:line="131" w:lineRule="exact"/>
        <w:rPr>
          <w:sz w:val="20"/>
          <w:szCs w:val="20"/>
          <w:color w:val="auto"/>
        </w:rPr>
      </w:pPr>
    </w:p>
    <w:p>
      <w:pPr>
        <w:ind w:left="1060" w:right="420" w:hanging="316"/>
        <w:spacing w:after="0" w:line="34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issue, register the transfer of, or exchange, any debt security of that series during a period beginning at the opening of 15 business days before the day of sending of a notice of redemption and ending at the close of business on the day such notice is sent; or</w:t>
      </w:r>
    </w:p>
    <w:p>
      <w:pPr>
        <w:spacing w:after="0" w:line="29" w:lineRule="exact"/>
        <w:rPr>
          <w:rFonts w:ascii="Arial" w:cs="Arial" w:eastAsia="Arial" w:hAnsi="Arial"/>
          <w:sz w:val="16"/>
          <w:szCs w:val="16"/>
          <w:color w:val="auto"/>
        </w:rPr>
      </w:pPr>
    </w:p>
    <w:p>
      <w:pPr>
        <w:ind w:left="1060" w:right="46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called or being called for redemption, in whole or in part, except the unredeemed portion of any series being redeemed in part.</w:t>
      </w:r>
    </w:p>
    <w:p>
      <w:pPr>
        <w:spacing w:after="0" w:line="17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may initially appoint the trustee as the registrar. Any transfer agent, in addition to the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131"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registered in the name of a depositary that we will identify in a prospectus supplement;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deposited with the trustee as custodian for the depositary or its nominee;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76" w:lineRule="exact"/>
        <w:rPr>
          <w:sz w:val="20"/>
          <w:szCs w:val="20"/>
          <w:color w:val="auto"/>
        </w:rPr>
      </w:pPr>
    </w:p>
    <w:p>
      <w:pPr>
        <w:ind w:left="1060" w:right="60" w:hanging="316"/>
        <w:spacing w:after="0" w:line="34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depositary has notified us that it is unwilling or unable to continue as depositary or has ceased to be qualified to act as depositary, and in either case we fail to appoint a successor depositary registered as a clearing agency under the Exchange Act within 90 days of such event;</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execute and deliver to the trustee an officer’s certificate to the effect that such global securities shall be so exchangeable;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event of default with respect to the debt securities represented by such global securities shall have occurred and be continuing.</w:t>
      </w:r>
    </w:p>
    <w:p>
      <w:pPr>
        <w:spacing w:after="0" w:line="16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87"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registered in their names;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 not be entitled to physical delivery of certificated debt securities;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will not be considered to be holders of those debt securities under the indenture.</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 Each person owning a beneficial interest in a global security must rely on the procedures of the depositary (and, if such person is not a participant, on procedures of the participant through which such person owns its interest) to exercise any rights of a holder under the indenture.</w:t>
      </w:r>
    </w:p>
    <w:p>
      <w:pPr>
        <w:spacing w:after="0" w:line="158"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by any participant, with respect to interests of persons held by participants on their behalf. Payments, transfers and exchanges relating to beneficial interests in a global security will be subject to policies and procedures of the depositary. The depositary policies and procedures may change from time to time. Neither we nor the trustee will have any responsibility or liability for the depositary’s acts or omissions or any participant’s records with respect to beneficial interests in a global security.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provisions of this subsection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w:t>
      </w:r>
    </w:p>
    <w:p>
      <w:pPr>
        <w:spacing w:after="0" w:line="187"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1" w:lineRule="exact"/>
        <w:rPr>
          <w:sz w:val="20"/>
          <w:szCs w:val="20"/>
          <w:color w:val="auto"/>
        </w:rPr>
      </w:pPr>
    </w:p>
    <w:p>
      <w:pPr>
        <w:ind w:left="200" w:right="660" w:firstLine="441"/>
        <w:spacing w:after="0" w:line="342" w:lineRule="auto"/>
        <w:rPr>
          <w:sz w:val="20"/>
          <w:szCs w:val="20"/>
          <w:color w:val="auto"/>
        </w:rPr>
      </w:pPr>
      <w:r>
        <w:rPr>
          <w:rFonts w:ascii="Arial" w:cs="Arial" w:eastAsia="Arial" w:hAnsi="Arial"/>
          <w:sz w:val="16"/>
          <w:szCs w:val="16"/>
          <w:color w:val="auto"/>
        </w:rPr>
        <w:t>Subject to any applicable abandoned property law, all moneys paid by us to a paying agent for payment on any debt security that remain unclaimed at the end of two years after such payment was due will be repaid to us. Thereafter, the holder may look only to us for such payment.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Except as otherwise set forth in the applicable prospectus supplement, we may not merge or consolidate with or into any other person, in a transaction in which we are not the surviving corporation, or sell, convey,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transfer, lease or otherwise dispose of all or substantially all of the properties and assets of us and our subsidiaries, taken as a whole, to any person, unless:</w:t>
      </w:r>
    </w:p>
    <w:p>
      <w:pPr>
        <w:spacing w:after="0" w:line="76"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successor or transferee is a U.S. corporation, limited liability company, partnership, trust or other entity;</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successor or transferee assumes our obligations on the debt securities and under the indenture pursuant to a supplemental indenture in form reasonably satisfactory to the trustee;</w:t>
      </w:r>
    </w:p>
    <w:p>
      <w:pPr>
        <w:spacing w:after="0" w:line="75"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and treating our obligations in connection with or as a result of such transaction as having been incurred as of the time of such transaction, no default or event of default under the indenture shall have occurred and be continuing;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have been delivered to the trustee in connection with the foregoing.</w:t>
      </w:r>
    </w:p>
    <w:p>
      <w:pPr>
        <w:spacing w:after="0" w:line="225"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the event of the above transaction, if there is a successor or transferee, then the successor or transferee will expressly assume all of our obligations under the indenture and automatically be substituted for us in the indenture and as issuer of the debt securities and may exercise every right and power of ours under the indenture with the same effect as if such successor or transferee had been named in our place in the indenture; provided, however, that the predecessor company will not be relieved of the obligation to pay principal and interest on the debt securities except in the case of a sale of all of the assets of us and our subsidiaries.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60" w:right="16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in the payment of any interest on any debt security of that series when it becomes due and payable, and continuance of that default for a period of 30 days;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debt security of that series when due and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on our part to comply with the covenant described under “—Consolidation, Merger and Sale of Assets”;</w:t>
      </w:r>
    </w:p>
    <w:p>
      <w:pPr>
        <w:spacing w:after="0" w:line="130" w:lineRule="exact"/>
        <w:rPr>
          <w:rFonts w:ascii="Arial" w:cs="Arial" w:eastAsia="Arial" w:hAnsi="Arial"/>
          <w:sz w:val="18"/>
          <w:szCs w:val="18"/>
          <w:color w:val="auto"/>
        </w:rPr>
      </w:pPr>
    </w:p>
    <w:p>
      <w:pPr>
        <w:ind w:left="1060" w:right="40" w:hanging="316"/>
        <w:spacing w:after="0" w:line="276"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or any supplemental indenture with respect to such series (other than a covenant or warranty that has been included in the indenture or supplemental indenture solely for the benefit of a series of debt securities other than that series), which default continues uncured for a period of 60 days after (1) we receive written notice from the trustee or (2) we and the trustee receive written notice from the holders of not less than 25% in aggregate principal amount of the outstanding debt securities of that series as provided in the indenture;</w:t>
      </w:r>
    </w:p>
    <w:p>
      <w:pPr>
        <w:spacing w:after="0" w:line="77" w:lineRule="exact"/>
        <w:rPr>
          <w:rFonts w:ascii="Arial" w:cs="Arial" w:eastAsia="Arial" w:hAnsi="Arial"/>
          <w:sz w:val="17"/>
          <w:szCs w:val="17"/>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our company or our significant subsidiaries;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debt securities of that series that is described in the applicable prospectus supplement.</w:t>
      </w:r>
    </w:p>
    <w:p>
      <w:pPr>
        <w:spacing w:after="0" w:line="248"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will promptly deliver to the trustee written notice of any event which with the giving of notice and the lapse of time would become a covenant event of default, or any other event of default provided with respect to debt securities of that series that is described in the applicable prospectus supplement, along with a description of the status and what action we are taking or propose to take with respect to such event of default.</w:t>
      </w:r>
    </w:p>
    <w:p>
      <w:pPr>
        <w:spacing w:after="0" w:line="14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18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color w:val="auto"/>
        </w:rPr>
        <w:t>If an event of default (other than an event of default resulting from certain events of bankruptcy, insolvency or reorganization of our company) with respect to debt securities of any series at the time outstanding occurs and is continuing, then the trustee or the holders of not less than 25% in aggregate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of our company,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the holders of a majority in aggregate principal amount of the outstanding debt securities of that series may rescind and annul the acceleration if the rescission and annulment would not conflict with any judgment or decree already rendered and if all events of default with respect to that series, other than the non-payment of principal and interest, if any, with respect to debt securities of that series that has become due and payable solely because of the acceleration, have been cured or waived and all sums paid or advanced by the trustee and the reasonable compensation expenses and disbursements of the trustee and its agents and counsel have been paid as provided in the indenture.</w:t>
      </w:r>
    </w:p>
    <w:p>
      <w:pPr>
        <w:spacing w:after="0" w:line="17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indenture provides that the trustee will be under no obligation to exercise any of its rights or powers under the indenture at the request of any holder of outstanding debt securities, unless the trustee receives security or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153" w:lineRule="exact"/>
        <w:rPr>
          <w:rFonts w:ascii="Arial" w:cs="Arial" w:eastAsia="Arial" w:hAnsi="Arial"/>
          <w:sz w:val="16"/>
          <w:szCs w:val="16"/>
          <w:color w:val="auto"/>
        </w:rPr>
      </w:pPr>
    </w:p>
    <w:p>
      <w:pPr>
        <w:ind w:left="1060" w:right="100" w:hanging="316"/>
        <w:spacing w:after="0" w:line="259"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 and offered security or indemnity satisfactory to the trustee, to institute the proceeding as trustee, and the trustee has not received from the holders of a majority in aggregate principal amount of the outstanding debt securities of that series a direction inconsistent with that request and has failed to institute the proceeding within 60 days.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Notwithstanding the foregoing, the holder of any debt security will have an absolute and unconditional right to receive payment of the principal of, and premium and any interest on, that debt security on or after the due dates expressed in that debt security and to institute suit for the enforcement of such payment.</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We may amend or modify the indenture without the consent of any holder of debt securities of the series affected by the modifications or amendments in order to:</w:t>
      </w:r>
    </w:p>
    <w:p>
      <w:pPr>
        <w:spacing w:after="0" w:line="76"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130" w:lineRule="exact"/>
        <w:rPr>
          <w:rFonts w:ascii="Arial" w:cs="Arial" w:eastAsia="Arial" w:hAnsi="Arial"/>
          <w:sz w:val="18"/>
          <w:szCs w:val="18"/>
          <w:color w:val="auto"/>
        </w:rPr>
      </w:pPr>
    </w:p>
    <w:p>
      <w:pPr>
        <w:jc w:val="both"/>
        <w:ind w:left="1060" w:right="560" w:hanging="316"/>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conform the text of the indenture, including any supplemental indenture, or the debt securities to any corresponding provision of this “Description of Debt Securities” or description of the debt securities found in the prospectus supplement as evidenced by an officer’s certificate;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for the issuance of additional debt securities;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for the assumption of our obligations in the case of a merger or consolidation and our discharge upon such assumption provided that the provision under “Consolidation, Merger and Sale of Assets” of the indenture is complied with;</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covenants or make any change that would provide any additional rights or benefits to the holders of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guarantees with respect to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secure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or appoint a successor or separate trustee;</w:t>
      </w:r>
    </w:p>
    <w:p>
      <w:pPr>
        <w:spacing w:after="0" w:line="130"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of debt securities in any material respect, as evidenced by an officer’s certificate;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or maintain the qualification of the indenture under the Trust Indenture Act of 1939, as amended.</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Other amendments and modifications of the indenture or the debt securities issued may be made with the consent of the holders of at least a majority of the aggregate principal amount of the outstanding debt securities of the affected series, and our compliance with any provision of the indenture with respect to the debt securities may be waived by written notice to the trustee by the holders of a majority of the aggregate principal amount of the outstanding debt securities of the affected series. However, no modification or amendment may, without the consent of the holder of each outstanding debt security of the affected series:</w:t>
      </w:r>
    </w:p>
    <w:p>
      <w:pPr>
        <w:spacing w:after="0" w:line="94" w:lineRule="exact"/>
        <w:rPr>
          <w:sz w:val="20"/>
          <w:szCs w:val="20"/>
          <w:color w:val="auto"/>
        </w:rPr>
      </w:pPr>
    </w:p>
    <w:p>
      <w:pPr>
        <w:ind w:left="1060" w:right="34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amount, any premium or change the stated maturity of any debt security or alter or waive any of the provisions with respect to the redemption or repurchase of the debt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place of payment or currency in which principal, any premium or interest is paid;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 a payment default with respect to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any change to the amendment and modification provisions in the indenture; or</w:t>
      </w:r>
    </w:p>
    <w:p>
      <w:pPr>
        <w:spacing w:after="0" w:line="130" w:lineRule="exact"/>
        <w:rPr>
          <w:rFonts w:ascii="Arial" w:cs="Arial" w:eastAsia="Arial" w:hAnsi="Arial"/>
          <w:sz w:val="18"/>
          <w:szCs w:val="18"/>
          <w:color w:val="auto"/>
        </w:rPr>
      </w:pPr>
    </w:p>
    <w:p>
      <w:pPr>
        <w:ind w:left="1060" w:right="520" w:hanging="316"/>
        <w:spacing w:after="0" w:line="342" w:lineRule="auto"/>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reduce the percentage in principal amount outstanding of debt securities, the consent of the holders of which is required for any of the foregoing modifications or otherwise necessary to modify, supplement or amend the indenture or to waive any past default.</w:t>
      </w:r>
    </w:p>
    <w:p>
      <w:pPr>
        <w:spacing w:after="0" w:line="124"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 affected series may, on behalf of the holders of all debt securities of such series, waive our compliance with provisions of the indenture. Prior to the acceleration of the maturity of the debt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6" w:lineRule="auto"/>
        <w:rPr>
          <w:sz w:val="20"/>
          <w:szCs w:val="20"/>
          <w:color w:val="auto"/>
        </w:rPr>
      </w:pPr>
      <w:r>
        <w:rPr>
          <w:rFonts w:ascii="Arial" w:cs="Arial" w:eastAsia="Arial" w:hAnsi="Arial"/>
          <w:sz w:val="17"/>
          <w:szCs w:val="17"/>
          <w:color w:val="auto"/>
        </w:rPr>
        <w:t>securities of any series pursuant to the terms of the indenture, the holders of a majority in aggregate principal amount of the outstanding debt securities of such series may, on behalf of the holders of all the debt securities of such series, waive any past default under the indenture with respect to such debt securities and its consequences, except (i) a default with respect to such series in the payment of the principal of, or premium or any interest on, the debt securities of such series or (ii) a default or event of default in respect of a covenant or provision that cannot be modified or amended without the consent of all of the holders of the outstanding debt securities of the affected series.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 provides that, in certain circumstances, we may be discharged from any and all obligations in respect of the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of any series (except for certain obligations to register the transfer or exchange of debt securities, to replace stolen, lost or mutilated debt securities, and to maintain paying agencies and certain provisions relating to the treatment of funds held by paying agents). We will be so discharged upon the deposit with the trustee, in trust, of money and/or U.S. government obligations that, through the payment of interest and principal in accordance with their terms, will provide money in an amount sufficient in the written opinion of a nationally recognized firm of independent public accountants, a nationally recognized investment bank or a nationally recognized appraisal firm to pay and discharge each installment of principal, premium and interest in accordance with the terms of the indenture and the debt securities of that series.</w:t>
      </w:r>
    </w:p>
    <w:p>
      <w:pPr>
        <w:spacing w:after="0" w:line="178"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U.S. federal income tax law, in either case to the effect that, and based thereon such opinion shall confirm that, the beneficial owners of the debt securities of the applicable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Defeasance of Certain Covenants</w:t>
      </w:r>
      <w:r>
        <w:rPr>
          <w:rFonts w:ascii="Arial" w:cs="Arial" w:eastAsia="Arial" w:hAnsi="Arial"/>
          <w:sz w:val="17"/>
          <w:szCs w:val="17"/>
          <w:color w:val="auto"/>
        </w:rPr>
        <w:t>. The indenture provides that, upon compliance with certain conditions, we may be released from our obligation</w:t>
      </w:r>
      <w:r>
        <w:rPr>
          <w:rFonts w:ascii="Arial" w:cs="Arial" w:eastAsia="Arial" w:hAnsi="Arial"/>
          <w:sz w:val="17"/>
          <w:szCs w:val="17"/>
          <w:i w:val="1"/>
          <w:iCs w:val="1"/>
          <w:color w:val="auto"/>
        </w:rPr>
        <w:t xml:space="preserve"> </w:t>
      </w:r>
      <w:r>
        <w:rPr>
          <w:rFonts w:ascii="Arial" w:cs="Arial" w:eastAsia="Arial" w:hAnsi="Arial"/>
          <w:sz w:val="17"/>
          <w:szCs w:val="17"/>
          <w:color w:val="auto"/>
        </w:rPr>
        <w:t>to comply with certain covenants set forth in the indenture and any supplemental indenture, and any failure to comply with those covenants will not constitute a default or an event of default with respect to the debt securities of the applicable series, or covenant defeasance. If we exercise our covenant defeasance option with respect to a series of debt securities, payment of such debt securities may not be accelerated because of an event of default related to certain events of bankruptcy, insolvency or reorganization of our significant subsidiaries.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060" w:hanging="316"/>
        <w:spacing w:after="0" w:line="302"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depositing with the trustee money and/or U.S. government obligations that, through the payment of interest and principal in accordance with their terms, will provide money in an amount sufficient in the written opinion of a nationally recognized firm of independent public accountants, a nationally recognized investment bank or a nationally recognized appraisal firm to pay and discharge each installment of principal of, premium and interest in accordance with the terms of the indenture and the debt securities of the applicable series; and</w:t>
      </w:r>
    </w:p>
    <w:p>
      <w:pPr>
        <w:spacing w:after="0" w:line="59" w:lineRule="exact"/>
        <w:rPr>
          <w:rFonts w:ascii="Arial" w:cs="Arial" w:eastAsia="Arial" w:hAnsi="Arial"/>
          <w:sz w:val="16"/>
          <w:szCs w:val="16"/>
          <w:color w:val="auto"/>
        </w:rPr>
      </w:pPr>
    </w:p>
    <w:p>
      <w:pPr>
        <w:jc w:val="both"/>
        <w:ind w:left="1060" w:right="160" w:hanging="316"/>
        <w:spacing w:after="0" w:line="259"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beneficial owners of the debt securities of the applicable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indenture and the debt securities will be governed by, and construed in accordance with, the internal laws of the State of New York.</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40"/>
          </w:cols>
          <w:pgMar w:left="240" w:top="459" w:right="12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issue purchase contracts, including contracts obligating holders to purchase from us, and obligating us to sell to the holders, a specified number of common shares or other securities at a future date or dates. The price per security of the securities and the number of securities may be fixed at the time the purchase contracts are issued or may be determined by reference to a specific formula set forth in the purchase contracts. The purchase contracts also may require us to make periodic payments to the holders of the purchase contracts, or vice versa, and those payments may be unsecured or refunded on some basis. The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purchase contracts.</w:t>
      </w:r>
    </w:p>
    <w:p>
      <w:pPr>
        <w:spacing w:after="0" w:line="189"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securities related to the purchase contracts may be pledged to a collateral agent for our benefit pursuant to a pledge agreement to secure the obligations of holders of purchase contracts to purchase the underlying security or property under the related purchase contracts. The rights of holders of purchase contracts to the related pledged securities will be subject to our security interest therein created by the pledge agreement. No holder of purchase contracts will be permitted to withdraw the pledged securities related to such purchase contracts from the pledge arrangement.</w:t>
      </w:r>
    </w:p>
    <w:p>
      <w:pPr>
        <w:spacing w:after="0" w:line="154"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The prospectus supplement relating to any particular issuance of purchase contracts will describe the terms of the purchase contracts. The description in the prospectus supplement will not necessarily be complete, and reference will be made to the purchase contracts, and, if applicable, collateral or depositary arrangements, relating to the purchase contracts, which will be filed with the SEC each time we issue purchase contracts. U.S. federal income tax considerations applicable to the purchase contracts will also be discussed in the prospectus supplement.</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66"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9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060" w:right="60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sell the offered securities in and outside the United States:</w:t>
      </w:r>
    </w:p>
    <w:p>
      <w:pPr>
        <w:spacing w:after="0" w:line="131" w:lineRule="exact"/>
        <w:rPr>
          <w:sz w:val="20"/>
          <w:szCs w:val="20"/>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 rights offering;</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block trades in which dealers will attempt to sell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purchases by a dealer as principal and resales by the dealer for its account;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prospectus supplement will include the following information:</w:t>
      </w:r>
    </w:p>
    <w:p>
      <w:pPr>
        <w:spacing w:after="0" w:line="131"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price or initial public offering price of the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underwriters are used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89"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agreement, we may retain a dealer-manager to manage a subscription rights offering for us.</w:t>
      </w:r>
    </w:p>
    <w:p>
      <w:pPr>
        <w:spacing w:after="0" w:line="14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During and after an offering through underwriters, the underwriters may purchase and sell the securities in the open market. These transactions may include overallotment and stabilizing transactions and purchases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88"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dealers are used in the sale of securities, we will sell the securities to them as principals. They may then resell those securities to the public at varying prices determined by the dealers at the time of resale. We will include in the prospectus supplement the names of the dealers and the terms of the transaction.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may sell the securities directly. In this case, no underwriters or agents would be involved. We may also sell the securities through agents designated from time to time at fixed prices or at varying prices determined at the time of sale.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w:t>
      </w:r>
    </w:p>
    <w:p>
      <w:pPr>
        <w:spacing w:after="0" w:line="154"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may sell the securities directly to institutional investors or others who may be deemed to be underwriters within the meaning of the Securities Act with respect to any sale of those securities. We will describe the terms of any sales of these securities in the prospectus supplement.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Remarketing Arrangements</w:t>
      </w:r>
    </w:p>
    <w:p>
      <w:pPr>
        <w:spacing w:after="0" w:line="12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Delayed Delivery Contracts</w:t>
      </w:r>
    </w:p>
    <w:p>
      <w:pPr>
        <w:spacing w:after="0" w:line="12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underwriters or remarketing firms may be required to make. Agents, dealers, underwriters and remarketing firms may be customers of, engage in transactions with or perform services for us in the ordinary course of their businesses.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Jones Day will pass upon the validity of the securities being offered hereby.</w:t>
      </w: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consolidated financial statements as of December 31, 2018 and 2017 and for each of the three years in the period ended December 31, 2018 and management’s assessment of the effectiveness of internal control over financial reporting as of December 31, 2018 incorporated by reference in this Prospectus have been so incorporated in reliance on the reports of BDO USA, LLP, an independent registered public accounting firm, incorporated herein by reference, given on the authority of said firm as experts in auditing and accounting.</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following table sets forth the estimated expenses in connection with the issuance and distribution of an assumed amount of $150,000,000 of securities registered under this registration statement, other than any underwriting discounts and commissions. All of the expenses will be borne by us except as otherwise indicated.</w:t>
      </w:r>
    </w:p>
    <w:p>
      <w:pPr>
        <w:spacing w:after="0" w:line="22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18,180</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Trustee’s fees and expenses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Printing expenses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4"/>
        </w:trPr>
        <w:tc>
          <w:tcPr>
            <w:tcW w:w="4580" w:type="dxa"/>
            <w:vAlign w:val="bottom"/>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6946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4" w:lineRule="exact"/>
        <w:rPr>
          <w:sz w:val="20"/>
          <w:szCs w:val="20"/>
          <w:color w:val="auto"/>
        </w:rPr>
      </w:pPr>
    </w:p>
    <w:p>
      <w:pPr>
        <w:ind w:left="420" w:hanging="216"/>
        <w:spacing w:after="0" w:line="259"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Estimated expenses are not presently known. The foregoing sets forth the general categories of expenses (other than underwriting discounts and commissions) that we anticipate we will incur in connection with the offering of securities under this registration statement on Form S-3. An estimate of the aggregate expenses in connection with the issuance and distribution of the securities being offered will be included in the applicable prospectus supplement.</w:t>
      </w:r>
    </w:p>
    <w:p>
      <w:pPr>
        <w:spacing w:after="0" w:line="331"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Pursuant to the provisions of the General Corporation Law of the State of Delaware (“DGCL”), CECO has adopted provisions in its certificate of incorporation and bylaws that require CECO to indemnify its officers and directors to the fullest extent permitted by law, and eliminate the personal liability of its directors to CECO or CECO’s stockholders for monetary damages for breach of their duty of due care except (a) for any breach of the directors’ duty of loyalty to the corporation or its stockholders, (b) for acts or omissions not in good faith or which involve intentional misconduct or a knowing violation of law, (c) for acts relating to unlawful payment of a dividend or an unlawful stock purchase or redemption or (d) for any transaction from which the director derived an improper personal benefit. These provisions do not eliminate a director’s duty of care. Moreover, the provisions do not apply to claims against a director for violation of certain laws, including federal securities laws.</w:t>
      </w:r>
    </w:p>
    <w:p>
      <w:pPr>
        <w:spacing w:after="0" w:line="17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CECO’s certificate of incorporation and bylaws provide for mandatory indemnification of officers and directors of the corporation, including a director or officer of the corporation who is serving at the request of the corporation as a director, officer, employee or agent of another corporation, partnership, joint venture, trust or other enterprise, to the fullest extent permitted under the DGCL. CECO may also, at its discretion, provide the same benefits of indemnification to any employee or agent of the corporation. Also, CECO is authorized to purchase insurance on behalf of an individual for liabilities incurred whether or not CECO would have the power or obligation to indemnify him or her under our bylaws.</w:t>
      </w:r>
    </w:p>
    <w:p>
      <w:pPr>
        <w:spacing w:after="0" w:line="317"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documents are exhibits to the registration statement:</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4"/>
                <w:szCs w:val="24"/>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Form of Underwriting Agreement.</w:t>
            </w:r>
          </w:p>
        </w:tc>
        <w:tc>
          <w:tcPr>
            <w:tcW w:w="700" w:type="dxa"/>
            <w:vAlign w:val="bottom"/>
            <w:tcBorders>
              <w:top w:val="single" w:sz="8" w:color="auto"/>
            </w:tcBorders>
          </w:tcPr>
          <w:p>
            <w:pPr>
              <w:spacing w:after="0"/>
              <w:rPr>
                <w:sz w:val="24"/>
                <w:szCs w:val="24"/>
                <w:color w:val="auto"/>
              </w:rPr>
            </w:pPr>
          </w:p>
        </w:tc>
        <w:tc>
          <w:tcPr>
            <w:tcW w:w="4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740" w:type="dxa"/>
            <w:vAlign w:val="bottom"/>
          </w:tcPr>
          <w:p>
            <w:pPr>
              <w:spacing w:after="0"/>
              <w:rPr>
                <w:sz w:val="24"/>
                <w:szCs w:val="24"/>
                <w:color w:val="auto"/>
              </w:rPr>
            </w:pPr>
          </w:p>
        </w:tc>
        <w:tc>
          <w:tcPr>
            <w:tcW w:w="9040" w:type="dxa"/>
            <w:vAlign w:val="bottom"/>
            <w:tcBorders>
              <w:bottom w:val="single" w:sz="8" w:color="0000EE"/>
            </w:tcBorders>
            <w:gridSpan w:val="6"/>
          </w:tcPr>
          <w:p>
            <w:pPr>
              <w:spacing w:after="0"/>
              <w:rPr>
                <w:rFonts w:ascii="Arial" w:cs="Arial" w:eastAsia="Arial" w:hAnsi="Arial"/>
                <w:sz w:val="18"/>
                <w:szCs w:val="18"/>
                <w:color w:val="0000EE"/>
                <w:w w:val="92"/>
              </w:rPr>
            </w:pPr>
            <w:hyperlink r:id="rId58">
              <w:r>
                <w:rPr>
                  <w:rFonts w:ascii="Arial" w:cs="Arial" w:eastAsia="Arial" w:hAnsi="Arial"/>
                  <w:sz w:val="18"/>
                  <w:szCs w:val="18"/>
                  <w:color w:val="0000EE"/>
                  <w:w w:val="92"/>
                </w:rPr>
                <w:t>Certificate of Incorporation (Incorporated by reference to Exhibit 3(i) to CECO’s Annual Report on Form 10-K (Commission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No. 000-07099) for the fiscal year ended December 31, 2001).</w:t>
              </w:r>
            </w:hyperlink>
          </w:p>
        </w:tc>
        <w:tc>
          <w:tcPr>
            <w:tcW w:w="50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24"/>
                <w:szCs w:val="24"/>
                <w:color w:val="auto"/>
              </w:rPr>
            </w:pPr>
          </w:p>
        </w:tc>
        <w:tc>
          <w:tcPr>
            <w:tcW w:w="9520" w:type="dxa"/>
            <w:vAlign w:val="bottom"/>
            <w:tcBorders>
              <w:bottom w:val="single" w:sz="8" w:color="0000EE"/>
            </w:tcBorders>
            <w:gridSpan w:val="7"/>
          </w:tcPr>
          <w:p>
            <w:pPr>
              <w:spacing w:after="0"/>
              <w:rPr>
                <w:rFonts w:ascii="Arial" w:cs="Arial" w:eastAsia="Arial" w:hAnsi="Arial"/>
                <w:sz w:val="18"/>
                <w:szCs w:val="18"/>
                <w:color w:val="0000EE"/>
                <w:w w:val="91"/>
              </w:rPr>
            </w:pPr>
            <w:hyperlink r:id="rId59">
              <w:r>
                <w:rPr>
                  <w:rFonts w:ascii="Arial" w:cs="Arial" w:eastAsia="Arial" w:hAnsi="Arial"/>
                  <w:sz w:val="18"/>
                  <w:szCs w:val="18"/>
                  <w:color w:val="0000EE"/>
                  <w:w w:val="91"/>
                </w:rPr>
                <w:t>Amended and Restated Bylaws (Incorporated by reference to Exhibit 3.1 to CECO’s Current Report on Form 8-K (Commission No.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000-07099) filed on December 13, 2017)</w:t>
              </w:r>
            </w:hyperlink>
          </w:p>
        </w:tc>
        <w:tc>
          <w:tcPr>
            <w:tcW w:w="65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740" w:type="dxa"/>
            <w:vAlign w:val="bottom"/>
          </w:tcPr>
          <w:p>
            <w:pPr>
              <w:spacing w:after="0"/>
              <w:rPr>
                <w:sz w:val="24"/>
                <w:szCs w:val="24"/>
                <w:color w:val="auto"/>
              </w:rPr>
            </w:pPr>
          </w:p>
        </w:tc>
        <w:tc>
          <w:tcPr>
            <w:tcW w:w="2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Form of Debt Securities Indenture.</w:t>
            </w:r>
          </w:p>
        </w:tc>
        <w:tc>
          <w:tcPr>
            <w:tcW w:w="70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24"/>
                <w:szCs w:val="24"/>
                <w:color w:val="auto"/>
              </w:rPr>
            </w:pPr>
          </w:p>
        </w:tc>
        <w:tc>
          <w:tcPr>
            <w:tcW w:w="9520" w:type="dxa"/>
            <w:vAlign w:val="bottom"/>
            <w:gridSpan w:val="7"/>
          </w:tcPr>
          <w:p>
            <w:pPr>
              <w:spacing w:after="0"/>
              <w:rPr>
                <w:sz w:val="20"/>
                <w:szCs w:val="20"/>
                <w:color w:val="auto"/>
              </w:rPr>
            </w:pPr>
            <w:r>
              <w:rPr>
                <w:rFonts w:ascii="Arial" w:cs="Arial" w:eastAsia="Arial" w:hAnsi="Arial"/>
                <w:sz w:val="18"/>
                <w:szCs w:val="18"/>
                <w:color w:val="auto"/>
              </w:rPr>
              <w:t>Form of Debt Securities.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740" w:type="dxa"/>
            <w:vAlign w:val="bottom"/>
          </w:tcPr>
          <w:p>
            <w:pPr>
              <w:spacing w:after="0"/>
              <w:rPr>
                <w:sz w:val="24"/>
                <w:szCs w:val="24"/>
                <w:color w:val="auto"/>
              </w:rPr>
            </w:pPr>
          </w:p>
        </w:tc>
        <w:tc>
          <w:tcPr>
            <w:tcW w:w="9520" w:type="dxa"/>
            <w:vAlign w:val="bottom"/>
            <w:gridSpan w:val="7"/>
          </w:tcPr>
          <w:p>
            <w:pPr>
              <w:spacing w:after="0"/>
              <w:rPr>
                <w:sz w:val="20"/>
                <w:szCs w:val="20"/>
                <w:color w:val="auto"/>
              </w:rPr>
            </w:pPr>
            <w:r>
              <w:rPr>
                <w:rFonts w:ascii="Arial" w:cs="Arial" w:eastAsia="Arial" w:hAnsi="Arial"/>
                <w:sz w:val="18"/>
                <w:szCs w:val="18"/>
                <w:color w:val="auto"/>
              </w:rPr>
              <w:t>Preferred Stock Certificate of Amendment.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740" w:type="dxa"/>
            <w:vAlign w:val="bottom"/>
          </w:tcPr>
          <w:p>
            <w:pPr>
              <w:spacing w:after="0"/>
              <w:rPr>
                <w:sz w:val="24"/>
                <w:szCs w:val="24"/>
                <w:color w:val="auto"/>
              </w:rPr>
            </w:pPr>
          </w:p>
        </w:tc>
        <w:tc>
          <w:tcPr>
            <w:tcW w:w="9520" w:type="dxa"/>
            <w:vAlign w:val="bottom"/>
            <w:gridSpan w:val="7"/>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60" w:type="dxa"/>
            <w:vAlign w:val="bottom"/>
            <w:gridSpan w:val="5"/>
          </w:tcPr>
          <w:p>
            <w:pPr>
              <w:ind w:left="1160"/>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7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7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4"/>
                <w:szCs w:val="24"/>
                <w:color w:val="auto"/>
              </w:rPr>
            </w:pPr>
          </w:p>
        </w:tc>
        <w:tc>
          <w:tcPr>
            <w:tcW w:w="4580" w:type="dxa"/>
            <w:vAlign w:val="bottom"/>
            <w:gridSpan w:val="4"/>
          </w:tcPr>
          <w:p>
            <w:pPr>
              <w:spacing w:after="0"/>
              <w:rPr>
                <w:sz w:val="20"/>
                <w:szCs w:val="20"/>
                <w:color w:val="auto"/>
              </w:rPr>
            </w:pPr>
            <w:r>
              <w:rPr>
                <w:rFonts w:ascii="Arial" w:cs="Arial" w:eastAsia="Arial" w:hAnsi="Arial"/>
                <w:sz w:val="18"/>
                <w:szCs w:val="18"/>
                <w:color w:val="auto"/>
              </w:rPr>
              <w:t>Form of Warrant Certificate.</w:t>
            </w:r>
          </w:p>
        </w:tc>
        <w:tc>
          <w:tcPr>
            <w:tcW w:w="720" w:type="dxa"/>
            <w:vAlign w:val="bottom"/>
            <w:tcBorders>
              <w:top w:val="single" w:sz="8" w:color="auto"/>
            </w:tcBorders>
          </w:tcPr>
          <w:p>
            <w:pPr>
              <w:spacing w:after="0"/>
              <w:rPr>
                <w:sz w:val="24"/>
                <w:szCs w:val="24"/>
                <w:color w:val="auto"/>
              </w:rPr>
            </w:pPr>
          </w:p>
        </w:tc>
        <w:tc>
          <w:tcPr>
            <w:tcW w:w="27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24"/>
                <w:szCs w:val="24"/>
                <w:color w:val="auto"/>
              </w:rPr>
            </w:pPr>
          </w:p>
        </w:tc>
        <w:tc>
          <w:tcPr>
            <w:tcW w:w="8080" w:type="dxa"/>
            <w:vAlign w:val="bottom"/>
            <w:gridSpan w:val="7"/>
          </w:tcPr>
          <w:p>
            <w:pPr>
              <w:spacing w:after="0"/>
              <w:rPr>
                <w:sz w:val="20"/>
                <w:szCs w:val="20"/>
                <w:color w:val="auto"/>
              </w:rPr>
            </w:pPr>
            <w:r>
              <w:rPr>
                <w:rFonts w:ascii="Arial" w:cs="Arial" w:eastAsia="Arial" w:hAnsi="Arial"/>
                <w:sz w:val="18"/>
                <w:szCs w:val="18"/>
                <w:color w:val="auto"/>
              </w:rPr>
              <w:t>Form of Depositary Agreement.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24"/>
                <w:szCs w:val="24"/>
                <w:color w:val="auto"/>
              </w:rPr>
            </w:pPr>
          </w:p>
        </w:tc>
        <w:tc>
          <w:tcPr>
            <w:tcW w:w="8080" w:type="dxa"/>
            <w:vAlign w:val="bottom"/>
            <w:gridSpan w:val="7"/>
          </w:tcPr>
          <w:p>
            <w:pPr>
              <w:spacing w:after="0"/>
              <w:rPr>
                <w:sz w:val="20"/>
                <w:szCs w:val="20"/>
                <w:color w:val="auto"/>
              </w:rPr>
            </w:pPr>
            <w:r>
              <w:rPr>
                <w:rFonts w:ascii="Arial" w:cs="Arial" w:eastAsia="Arial" w:hAnsi="Arial"/>
                <w:sz w:val="18"/>
                <w:szCs w:val="18"/>
                <w:color w:val="auto"/>
              </w:rPr>
              <w:t>Form of Depositary Receipt.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640" w:type="dxa"/>
            <w:vAlign w:val="bottom"/>
          </w:tcPr>
          <w:p>
            <w:pPr>
              <w:spacing w:after="0"/>
              <w:rPr>
                <w:sz w:val="24"/>
                <w:szCs w:val="24"/>
                <w:color w:val="auto"/>
              </w:rPr>
            </w:pPr>
          </w:p>
        </w:tc>
        <w:tc>
          <w:tcPr>
            <w:tcW w:w="8080" w:type="dxa"/>
            <w:vAlign w:val="bottom"/>
            <w:gridSpan w:val="7"/>
          </w:tcPr>
          <w:p>
            <w:pPr>
              <w:spacing w:after="0"/>
              <w:rPr>
                <w:sz w:val="20"/>
                <w:szCs w:val="20"/>
                <w:color w:val="auto"/>
              </w:rPr>
            </w:pPr>
            <w:r>
              <w:rPr>
                <w:rFonts w:ascii="Arial" w:cs="Arial" w:eastAsia="Arial" w:hAnsi="Arial"/>
                <w:sz w:val="18"/>
                <w:szCs w:val="18"/>
                <w:color w:val="auto"/>
              </w:rPr>
              <w:t>Form of Subscription Rights Certificate.</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640" w:type="dxa"/>
            <w:vAlign w:val="bottom"/>
          </w:tcPr>
          <w:p>
            <w:pPr>
              <w:spacing w:after="0"/>
              <w:rPr>
                <w:sz w:val="24"/>
                <w:szCs w:val="24"/>
                <w:color w:val="auto"/>
              </w:rPr>
            </w:pPr>
          </w:p>
        </w:tc>
        <w:tc>
          <w:tcPr>
            <w:tcW w:w="8080" w:type="dxa"/>
            <w:vAlign w:val="bottom"/>
            <w:gridSpan w:val="7"/>
          </w:tcPr>
          <w:p>
            <w:pPr>
              <w:spacing w:after="0"/>
              <w:rPr>
                <w:sz w:val="20"/>
                <w:szCs w:val="20"/>
                <w:color w:val="auto"/>
              </w:rPr>
            </w:pPr>
            <w:r>
              <w:rPr>
                <w:rFonts w:ascii="Arial" w:cs="Arial" w:eastAsia="Arial" w:hAnsi="Arial"/>
                <w:sz w:val="18"/>
                <w:szCs w:val="18"/>
                <w:color w:val="auto"/>
              </w:rPr>
              <w:t>Form of Purchase Contract.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4.12*</w:t>
            </w:r>
          </w:p>
        </w:tc>
        <w:tc>
          <w:tcPr>
            <w:tcW w:w="640" w:type="dxa"/>
            <w:vAlign w:val="bottom"/>
          </w:tcPr>
          <w:p>
            <w:pPr>
              <w:spacing w:after="0"/>
              <w:rPr>
                <w:sz w:val="24"/>
                <w:szCs w:val="24"/>
                <w:color w:val="auto"/>
              </w:rPr>
            </w:pPr>
          </w:p>
        </w:tc>
        <w:tc>
          <w:tcPr>
            <w:tcW w:w="8080" w:type="dxa"/>
            <w:vAlign w:val="bottom"/>
            <w:gridSpan w:val="7"/>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4.13*</w:t>
            </w:r>
          </w:p>
        </w:tc>
        <w:tc>
          <w:tcPr>
            <w:tcW w:w="640" w:type="dxa"/>
            <w:vAlign w:val="bottom"/>
          </w:tcPr>
          <w:p>
            <w:pPr>
              <w:spacing w:after="0"/>
              <w:rPr>
                <w:sz w:val="24"/>
                <w:szCs w:val="24"/>
                <w:color w:val="auto"/>
              </w:rPr>
            </w:pPr>
          </w:p>
        </w:tc>
        <w:tc>
          <w:tcPr>
            <w:tcW w:w="8080" w:type="dxa"/>
            <w:vAlign w:val="bottom"/>
            <w:gridSpan w:val="7"/>
          </w:tcPr>
          <w:p>
            <w:pPr>
              <w:spacing w:after="0"/>
              <w:rPr>
                <w:sz w:val="20"/>
                <w:szCs w:val="20"/>
                <w:color w:val="auto"/>
              </w:rPr>
            </w:pPr>
            <w:r>
              <w:rPr>
                <w:rFonts w:ascii="Arial" w:cs="Arial" w:eastAsia="Arial" w:hAnsi="Arial"/>
                <w:sz w:val="18"/>
                <w:szCs w:val="18"/>
                <w:color w:val="auto"/>
              </w:rPr>
              <w:t>Form of Unit Certificate.</w:t>
            </w:r>
          </w:p>
        </w:tc>
        <w:tc>
          <w:tcPr>
            <w:tcW w:w="0" w:type="dxa"/>
            <w:vAlign w:val="bottom"/>
          </w:tcPr>
          <w:p>
            <w:pPr>
              <w:spacing w:after="0"/>
              <w:rPr>
                <w:sz w:val="1"/>
                <w:szCs w:val="1"/>
                <w:color w:val="auto"/>
              </w:rPr>
            </w:pP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1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Opinion of Jones Day.</w:t>
            </w:r>
          </w:p>
        </w:tc>
        <w:tc>
          <w:tcPr>
            <w:tcW w:w="64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43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37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640" w:type="dxa"/>
            <w:vAlign w:val="bottom"/>
          </w:tcPr>
          <w:p>
            <w:pPr>
              <w:spacing w:after="0"/>
              <w:rPr>
                <w:sz w:val="24"/>
                <w:szCs w:val="24"/>
                <w:color w:val="auto"/>
              </w:rPr>
            </w:pPr>
          </w:p>
        </w:tc>
        <w:tc>
          <w:tcPr>
            <w:tcW w:w="56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Consent of Jones Day (Included in Exhibit 5.1 to this Registration Statement).</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4"/>
                <w:szCs w:val="24"/>
                <w:color w:val="auto"/>
              </w:rPr>
            </w:pPr>
          </w:p>
        </w:tc>
        <w:tc>
          <w:tcPr>
            <w:tcW w:w="8080" w:type="dxa"/>
            <w:vAlign w:val="bottom"/>
            <w:gridSpan w:val="7"/>
          </w:tcPr>
          <w:p>
            <w:pPr>
              <w:spacing w:after="0"/>
              <w:rPr>
                <w:sz w:val="20"/>
                <w:szCs w:val="20"/>
                <w:color w:val="auto"/>
              </w:rPr>
            </w:pPr>
            <w:r>
              <w:rPr>
                <w:rFonts w:ascii="Arial" w:cs="Arial" w:eastAsia="Arial" w:hAnsi="Arial"/>
                <w:sz w:val="18"/>
                <w:szCs w:val="18"/>
                <w:color w:val="0000EE"/>
              </w:rPr>
              <w:t>Power of Attorney.</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7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25.1</w:t>
            </w:r>
          </w:p>
        </w:tc>
        <w:tc>
          <w:tcPr>
            <w:tcW w:w="640" w:type="dxa"/>
            <w:vAlign w:val="bottom"/>
          </w:tcPr>
          <w:p>
            <w:pPr>
              <w:spacing w:after="0"/>
              <w:rPr>
                <w:sz w:val="24"/>
                <w:szCs w:val="24"/>
                <w:color w:val="auto"/>
              </w:rPr>
            </w:pPr>
          </w:p>
        </w:tc>
        <w:tc>
          <w:tcPr>
            <w:tcW w:w="80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Form T-1 Statement of Eligibility under Trust Indenture Act of 1939 of Trustee under Debt Securities Indenture.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To be filed either by amendment or as an exhibit to a report filed under the Exchange Act, and incorporated herein by reference.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620" w:right="40" w:hanging="538"/>
        <w:spacing w:after="0" w:line="277"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which we refer to as the Securities Act or the Act;</w:t>
      </w:r>
    </w:p>
    <w:p>
      <w:pPr>
        <w:spacing w:after="0" w:line="75" w:lineRule="exact"/>
        <w:rPr>
          <w:rFonts w:ascii="Arial" w:cs="Arial" w:eastAsia="Arial" w:hAnsi="Arial"/>
          <w:sz w:val="18"/>
          <w:szCs w:val="18"/>
          <w:color w:val="auto"/>
        </w:rPr>
      </w:pPr>
    </w:p>
    <w:p>
      <w:pPr>
        <w:ind w:left="1620" w:right="40" w:hanging="538"/>
        <w:spacing w:after="0" w:line="272" w:lineRule="auto"/>
        <w:tabs>
          <w:tab w:leader="none" w:pos="16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83" w:lineRule="exact"/>
        <w:rPr>
          <w:rFonts w:ascii="Arial" w:cs="Arial" w:eastAsia="Arial" w:hAnsi="Arial"/>
          <w:sz w:val="17"/>
          <w:szCs w:val="17"/>
          <w:color w:val="auto"/>
        </w:rPr>
      </w:pPr>
    </w:p>
    <w:p>
      <w:pPr>
        <w:ind w:left="1620" w:right="160" w:hanging="538"/>
        <w:spacing w:after="0" w:line="277"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w:t>
      </w:r>
    </w:p>
    <w:p>
      <w:pPr>
        <w:spacing w:after="0" w:line="131" w:lineRule="exact"/>
        <w:rPr>
          <w:sz w:val="20"/>
          <w:szCs w:val="20"/>
          <w:color w:val="auto"/>
        </w:rPr>
      </w:pPr>
    </w:p>
    <w:p>
      <w:pPr>
        <w:ind w:left="2060" w:right="80" w:hanging="425"/>
        <w:spacing w:after="0" w:line="302" w:lineRule="auto"/>
        <w:tabs>
          <w:tab w:leader="none" w:pos="20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Paragraphs (1)(i), (ii), and (iii) of this Item 17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under the Exchange Act that is part of the registration statement.</w:t>
      </w:r>
    </w:p>
    <w:p>
      <w:pPr>
        <w:spacing w:after="0" w:line="59" w:lineRule="exact"/>
        <w:rPr>
          <w:rFonts w:ascii="Arial" w:cs="Arial" w:eastAsia="Arial" w:hAnsi="Arial"/>
          <w:sz w:val="16"/>
          <w:szCs w:val="16"/>
          <w:color w:val="auto"/>
        </w:rPr>
      </w:pPr>
    </w:p>
    <w:p>
      <w:pPr>
        <w:jc w:val="both"/>
        <w:ind w:left="1060" w:hanging="424"/>
        <w:spacing w:after="0" w:line="264"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060" w:right="48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700" w:hanging="538"/>
        <w:spacing w:after="0" w:line="342" w:lineRule="auto"/>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under the Exchange Act shall be deemed to be part of the registration statement as of the date the filed prospectus was deemed part of and included in the registration statement; and</w:t>
      </w:r>
    </w:p>
    <w:p>
      <w:pPr>
        <w:spacing w:after="0" w:line="29" w:lineRule="exact"/>
        <w:rPr>
          <w:rFonts w:ascii="Arial" w:cs="Arial" w:eastAsia="Arial" w:hAnsi="Arial"/>
          <w:sz w:val="16"/>
          <w:szCs w:val="16"/>
          <w:color w:val="auto"/>
        </w:rPr>
      </w:pPr>
    </w:p>
    <w:p>
      <w:pPr>
        <w:ind w:left="1620" w:hanging="538"/>
        <w:spacing w:after="0" w:line="287" w:lineRule="auto"/>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 xml:space="preserve">bona fide </w:t>
      </w:r>
      <w:r>
        <w:rPr>
          <w:rFonts w:ascii="Arial" w:cs="Arial" w:eastAsia="Arial" w:hAnsi="Arial"/>
          <w:sz w:val="16"/>
          <w:szCs w:val="16"/>
          <w:color w:val="auto"/>
        </w:rPr>
        <w:t>offering thereof.</w:t>
      </w:r>
      <w:r>
        <w:rPr>
          <w:rFonts w:ascii="Arial" w:cs="Arial" w:eastAsia="Arial" w:hAnsi="Arial"/>
          <w:sz w:val="16"/>
          <w:szCs w:val="16"/>
          <w:i w:val="1"/>
          <w:iCs w:val="1"/>
          <w:color w:val="auto"/>
        </w:rPr>
        <w:t xml:space="preserve"> Provided, however</w:t>
      </w:r>
      <w:r>
        <w:rPr>
          <w:rFonts w:ascii="Arial" w:cs="Arial" w:eastAsia="Arial" w:hAnsi="Arial"/>
          <w:sz w:val="16"/>
          <w:szCs w:val="16"/>
          <w:color w:val="auto"/>
        </w:rPr>
        <w:t>, that no statement made in a registration statement or prospectus that is part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or made in a document incorporated or deemed incorporated by reference into the registration statement or prospectus that is a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4" w:lineRule="exact"/>
        <w:rPr>
          <w:rFonts w:ascii="Arial" w:cs="Arial" w:eastAsia="Arial" w:hAnsi="Arial"/>
          <w:sz w:val="16"/>
          <w:szCs w:val="16"/>
          <w:color w:val="auto"/>
        </w:rPr>
      </w:pPr>
    </w:p>
    <w:p>
      <w:pPr>
        <w:ind w:left="1060" w:right="48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w:t>
      </w:r>
    </w:p>
    <w:p>
      <w:pPr>
        <w:spacing w:after="0" w:line="75" w:lineRule="exact"/>
        <w:rPr>
          <w:rFonts w:ascii="Arial" w:cs="Arial" w:eastAsia="Arial" w:hAnsi="Arial"/>
          <w:sz w:val="18"/>
          <w:szCs w:val="18"/>
          <w:color w:val="auto"/>
        </w:rPr>
      </w:pPr>
    </w:p>
    <w:p>
      <w:pPr>
        <w:ind w:left="1060" w:right="480"/>
        <w:spacing w:after="0" w:line="259"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2" w:lineRule="exact"/>
        <w:rPr>
          <w:rFonts w:ascii="Arial" w:cs="Arial" w:eastAsia="Arial" w:hAnsi="Arial"/>
          <w:sz w:val="18"/>
          <w:szCs w:val="18"/>
          <w:color w:val="auto"/>
        </w:rPr>
      </w:pPr>
    </w:p>
    <w:p>
      <w:pPr>
        <w:ind w:left="1620" w:right="140" w:hanging="538"/>
        <w:spacing w:after="0" w:line="277"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620" w:right="200" w:hanging="538"/>
        <w:spacing w:after="0" w:line="277"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620" w:right="500" w:hanging="538"/>
        <w:spacing w:after="0" w:line="277"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1060" w:right="40" w:hanging="424"/>
        <w:spacing w:after="0" w:line="25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1060" w:right="40" w:hanging="424"/>
        <w:spacing w:after="0" w:line="25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93" w:lineRule="exact"/>
        <w:rPr>
          <w:rFonts w:ascii="Arial" w:cs="Arial" w:eastAsia="Arial" w:hAnsi="Arial"/>
          <w:sz w:val="18"/>
          <w:szCs w:val="18"/>
          <w:color w:val="auto"/>
        </w:rPr>
      </w:pPr>
    </w:p>
    <w:p>
      <w:pPr>
        <w:ind w:left="1060" w:right="120" w:hanging="424"/>
        <w:spacing w:after="0" w:line="297"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spacing w:after="0" w:line="286" w:lineRule="auto"/>
        <w:rPr>
          <w:sz w:val="20"/>
          <w:szCs w:val="20"/>
          <w:color w:val="auto"/>
        </w:rPr>
      </w:pPr>
      <w:r>
        <w:rPr>
          <w:rFonts w:ascii="Arial" w:cs="Arial" w:eastAsia="Arial" w:hAnsi="Arial"/>
          <w:sz w:val="17"/>
          <w:szCs w:val="17"/>
          <w:color w:val="auto"/>
        </w:rPr>
        <w:t>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60"/>
          </w:cols>
          <w:pgMar w:left="24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on April 24, 2019.</w:t>
      </w:r>
    </w:p>
    <w:p>
      <w:pPr>
        <w:spacing w:after="0" w:line="20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CECO ENVIRONMENTAL CORP.</w:t>
      </w:r>
    </w:p>
    <w:p>
      <w:pPr>
        <w:spacing w:after="0" w:line="27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5901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S-3 has been signed below by the following persons in the capacities indicated as of April 24, 2019:</w:t>
      </w:r>
    </w:p>
    <w:p>
      <w:pPr>
        <w:sectPr>
          <w:pgSz w:w="11900" w:h="16838" w:orient="portrait"/>
          <w:cols w:equalWidth="0" w:num="1">
            <w:col w:w="11040"/>
          </w:cols>
          <w:pgMar w:left="240" w:top="459" w:right="619" w:bottom="1440" w:gutter="0" w:footer="0" w:header="0"/>
        </w:sectPr>
      </w:pPr>
    </w:p>
    <w:p>
      <w:pPr>
        <w:spacing w:after="0" w:line="189" w:lineRule="exact"/>
        <w:rPr>
          <w:sz w:val="20"/>
          <w:szCs w:val="20"/>
          <w:color w:val="auto"/>
        </w:rPr>
      </w:pPr>
    </w:p>
    <w:p>
      <w:pPr>
        <w:jc w:val="center"/>
        <w:ind w:left="820"/>
        <w:spacing w:after="0"/>
        <w:rPr>
          <w:sz w:val="20"/>
          <w:szCs w:val="20"/>
          <w:color w:val="auto"/>
        </w:rPr>
      </w:pPr>
      <w:r>
        <w:rPr>
          <w:rFonts w:ascii="Arial" w:cs="Arial" w:eastAsia="Arial" w:hAnsi="Arial"/>
          <w:sz w:val="14"/>
          <w:szCs w:val="14"/>
          <w:b w:val="1"/>
          <w:bCs w:val="1"/>
          <w:u w:val="single" w:color="auto"/>
          <w:color w:val="auto"/>
        </w:rPr>
        <w:t>Signature</w:t>
      </w:r>
    </w:p>
    <w:p>
      <w:pPr>
        <w:spacing w:after="0" w:line="25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184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jc w:val="center"/>
        <w:ind w:left="820"/>
        <w:spacing w:after="0"/>
        <w:rPr>
          <w:sz w:val="20"/>
          <w:szCs w:val="20"/>
          <w:color w:val="auto"/>
        </w:rPr>
      </w:pPr>
      <w:r>
        <w:rPr>
          <w:rFonts w:ascii="Arial" w:cs="Arial" w:eastAsia="Arial" w:hAnsi="Arial"/>
          <w:sz w:val="17"/>
          <w:szCs w:val="17"/>
          <w:color w:val="auto"/>
        </w:rPr>
        <w:t>Dennis S. Sadlowski</w:t>
      </w:r>
    </w:p>
    <w:p>
      <w:pPr>
        <w:spacing w:after="0" w:line="264"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184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Matthew Eckl</w:t>
      </w:r>
    </w:p>
    <w:p>
      <w:pPr>
        <w:spacing w:after="0" w:line="252"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184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Paul Gohr</w:t>
      </w:r>
    </w:p>
    <w:p>
      <w:pPr>
        <w:spacing w:after="0" w:line="252"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184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Jason DeZwirek</w:t>
      </w:r>
    </w:p>
    <w:p>
      <w:pPr>
        <w:spacing w:after="0" w:line="252"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18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jc w:val="center"/>
        <w:ind w:left="820"/>
        <w:spacing w:after="0"/>
        <w:rPr>
          <w:sz w:val="20"/>
          <w:szCs w:val="20"/>
          <w:color w:val="auto"/>
        </w:rPr>
      </w:pPr>
      <w:r>
        <w:rPr>
          <w:rFonts w:ascii="Arial" w:cs="Arial" w:eastAsia="Arial" w:hAnsi="Arial"/>
          <w:sz w:val="16"/>
          <w:szCs w:val="16"/>
          <w:color w:val="auto"/>
        </w:rPr>
        <w:t>Valerie Gentile Sachs</w:t>
      </w:r>
    </w:p>
    <w:p>
      <w:pPr>
        <w:spacing w:after="0" w:line="275"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18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Eric M. Goldberg</w:t>
      </w:r>
    </w:p>
    <w:p>
      <w:pPr>
        <w:spacing w:after="0" w:line="252"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184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David B. Liner</w:t>
      </w:r>
    </w:p>
    <w:p>
      <w:pPr>
        <w:spacing w:after="0" w:line="252"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18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jc w:val="center"/>
        <w:ind w:left="820"/>
        <w:spacing w:after="0"/>
        <w:rPr>
          <w:sz w:val="20"/>
          <w:szCs w:val="20"/>
          <w:color w:val="auto"/>
        </w:rPr>
      </w:pPr>
      <w:r>
        <w:rPr>
          <w:rFonts w:ascii="Arial" w:cs="Arial" w:eastAsia="Arial" w:hAnsi="Arial"/>
          <w:sz w:val="16"/>
          <w:szCs w:val="16"/>
          <w:color w:val="auto"/>
        </w:rPr>
        <w:t>Claudio A. Mannarino</w:t>
      </w:r>
    </w:p>
    <w:p>
      <w:pPr>
        <w:spacing w:after="0" w:line="275"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18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Jonathan Pollack</w:t>
      </w:r>
    </w:p>
    <w:p>
      <w:pPr>
        <w:spacing w:after="0" w:line="252"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718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Munish Nanda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u w:val="single" w:color="auto"/>
          <w:color w:val="auto"/>
        </w:rPr>
        <w:t>Title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Director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and Director</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456" w:lineRule="exact"/>
        <w:rPr>
          <w:sz w:val="20"/>
          <w:szCs w:val="20"/>
          <w:color w:val="auto"/>
        </w:rPr>
      </w:pPr>
    </w:p>
    <w:p>
      <w:pPr>
        <w:sectPr>
          <w:pgSz w:w="11900" w:h="16838" w:orient="portrait"/>
          <w:cols w:equalWidth="0" w:num="2">
            <w:col w:w="3880" w:space="720"/>
            <w:col w:w="6440"/>
          </w:cols>
          <w:pgMar w:left="240" w:top="459" w:right="619" w:bottom="1440" w:gutter="0" w:footer="0" w:header="0"/>
          <w:type w:val="continuous"/>
        </w:sectPr>
      </w:pPr>
    </w:p>
    <w:p>
      <w:pPr>
        <w:spacing w:after="0" w:line="52" w:lineRule="exact"/>
        <w:rPr>
          <w:sz w:val="20"/>
          <w:szCs w:val="20"/>
          <w:color w:val="auto"/>
        </w:rPr>
      </w:pPr>
    </w:p>
    <w:p>
      <w:pPr>
        <w:ind w:left="420" w:right="460" w:hanging="216"/>
        <w:spacing w:after="0" w:line="342" w:lineRule="auto"/>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undersigned by signing his name hereto does sign and execute this registration statement on Form S-3 pursuant to the Power of Attorney executed by the above-named directors and officers of the registrant, which is being filed herewith on behalf of such directors and officers.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7959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560"/>
        <w:spacing w:after="0"/>
        <w:tabs>
          <w:tab w:leader="none" w:pos="9440" w:val="left"/>
        </w:tabs>
        <w:rPr>
          <w:sz w:val="20"/>
          <w:szCs w:val="20"/>
          <w:color w:val="auto"/>
        </w:rPr>
      </w:pPr>
      <w:r>
        <w:rPr>
          <w:rFonts w:ascii="Arial" w:cs="Arial" w:eastAsia="Arial" w:hAnsi="Arial"/>
          <w:sz w:val="18"/>
          <w:szCs w:val="18"/>
          <w:color w:val="auto"/>
        </w:rPr>
        <w:t>Matthew Eckl, Attorney-in-Fact</w:t>
      </w:r>
      <w:r>
        <w:rPr>
          <w:sz w:val="20"/>
          <w:szCs w:val="20"/>
          <w:color w:val="auto"/>
        </w:rPr>
        <w:tab/>
      </w:r>
      <w:r>
        <w:rPr>
          <w:rFonts w:ascii="Arial" w:cs="Arial" w:eastAsia="Arial" w:hAnsi="Arial"/>
          <w:sz w:val="17"/>
          <w:szCs w:val="17"/>
          <w:color w:val="auto"/>
        </w:rPr>
        <w:t>April 24, 2019</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40"/>
          </w:cols>
          <w:pgMar w:left="240" w:top="459" w:right="61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CECO ENVIRONMENTAL CORP.</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WILMINGTON TRUST, NATIONAL ASSOCIATION,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3360" w:type="dxa"/>
        <w:tblCellMar>
          <w:top w:w="0" w:type="dxa"/>
          <w:left w:w="0" w:type="dxa"/>
          <w:bottom w:w="0" w:type="dxa"/>
          <w:right w:w="0" w:type="dxa"/>
        </w:tblCellMar>
      </w:tblPr>
      <w:tr>
        <w:trPr>
          <w:trHeight w:val="234"/>
        </w:trPr>
        <w:tc>
          <w:tcPr>
            <w:tcW w:w="1880" w:type="dxa"/>
            <w:vAlign w:val="bottom"/>
          </w:tcPr>
          <w:p>
            <w:pPr>
              <w:ind w:left="620"/>
              <w:spacing w:after="0"/>
              <w:rPr>
                <w:sz w:val="20"/>
                <w:szCs w:val="20"/>
                <w:color w:val="auto"/>
              </w:rPr>
            </w:pPr>
            <w:r>
              <w:rPr>
                <w:rFonts w:ascii="Arial" w:cs="Arial" w:eastAsia="Arial" w:hAnsi="Arial"/>
                <w:sz w:val="18"/>
                <w:szCs w:val="18"/>
                <w:b w:val="1"/>
                <w:bCs w:val="1"/>
                <w:color w:val="auto"/>
              </w:rPr>
              <w:t>INDENTURE</w:t>
            </w:r>
          </w:p>
        </w:tc>
        <w:tc>
          <w:tcPr>
            <w:tcW w:w="420" w:type="dxa"/>
            <w:vAlign w:val="bottom"/>
          </w:tcPr>
          <w:p>
            <w:pPr>
              <w:spacing w:after="0"/>
              <w:rPr>
                <w:sz w:val="20"/>
                <w:szCs w:val="20"/>
                <w:color w:val="auto"/>
              </w:rPr>
            </w:pPr>
          </w:p>
        </w:tc>
      </w:tr>
      <w:tr>
        <w:trPr>
          <w:trHeight w:val="432"/>
        </w:trPr>
        <w:tc>
          <w:tcPr>
            <w:tcW w:w="1880" w:type="dxa"/>
            <w:vAlign w:val="bottom"/>
          </w:tcPr>
          <w:p>
            <w:pPr>
              <w:ind w:left="200"/>
              <w:spacing w:after="0"/>
              <w:rPr>
                <w:sz w:val="20"/>
                <w:szCs w:val="20"/>
                <w:color w:val="auto"/>
              </w:rPr>
            </w:pPr>
            <w:r>
              <w:rPr>
                <w:rFonts w:ascii="Arial" w:cs="Arial" w:eastAsia="Arial" w:hAnsi="Arial"/>
                <w:sz w:val="18"/>
                <w:szCs w:val="18"/>
                <w:b w:val="1"/>
                <w:bCs w:val="1"/>
                <w:color w:val="auto"/>
              </w:rPr>
              <w:t>Dated as of [</w:t>
            </w:r>
          </w:p>
        </w:tc>
        <w:tc>
          <w:tcPr>
            <w:tcW w:w="4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r>
      <w:tr>
        <w:trPr>
          <w:trHeight w:val="365"/>
        </w:trPr>
        <w:tc>
          <w:tcPr>
            <w:tcW w:w="1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0020"/>
          </w:cols>
          <w:pgMar w:left="1440" w:top="121" w:right="43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80" w:type="dxa"/>
            <w:vAlign w:val="bottom"/>
            <w:gridSpan w:val="2"/>
          </w:tcPr>
          <w:p>
            <w:pPr>
              <w:jc w:val="right"/>
              <w:ind w:right="4133"/>
              <w:spacing w:after="0"/>
              <w:rPr>
                <w:sz w:val="20"/>
                <w:szCs w:val="20"/>
                <w:color w:val="auto"/>
              </w:rPr>
            </w:pPr>
            <w:r>
              <w:rPr>
                <w:rFonts w:ascii="Arial" w:cs="Arial" w:eastAsia="Arial" w:hAnsi="Arial"/>
                <w:sz w:val="18"/>
                <w:szCs w:val="18"/>
                <w:b w:val="1"/>
                <w:bCs w:val="1"/>
                <w:color w:val="auto"/>
              </w:rPr>
              <w:t>CROSS-REFERENCE TABLE*</w:t>
            </w:r>
          </w:p>
        </w:tc>
      </w:tr>
      <w:tr>
        <w:trPr>
          <w:trHeight w:val="378"/>
        </w:trPr>
        <w:tc>
          <w:tcPr>
            <w:tcW w:w="2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Trust Indenture</w:t>
            </w:r>
          </w:p>
        </w:tc>
        <w:tc>
          <w:tcPr>
            <w:tcW w:w="722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Arial" w:cs="Arial" w:eastAsia="Arial" w:hAnsi="Arial"/>
                <w:sz w:val="14"/>
                <w:szCs w:val="14"/>
                <w:b w:val="1"/>
                <w:bCs w:val="1"/>
                <w:i w:val="1"/>
                <w:iCs w:val="1"/>
                <w:color w:val="auto"/>
              </w:rPr>
              <w:t>Indenture</w:t>
            </w:r>
          </w:p>
        </w:tc>
      </w:tr>
      <w:tr>
        <w:trPr>
          <w:trHeight w:val="182"/>
        </w:trPr>
        <w:tc>
          <w:tcPr>
            <w:tcW w:w="2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Act Section</w:t>
            </w:r>
          </w:p>
        </w:tc>
        <w:tc>
          <w:tcPr>
            <w:tcW w:w="7220" w:type="dxa"/>
            <w:vAlign w:val="bottom"/>
          </w:tcPr>
          <w:p>
            <w:pPr>
              <w:spacing w:after="0"/>
              <w:rPr>
                <w:sz w:val="15"/>
                <w:szCs w:val="15"/>
                <w:color w:val="auto"/>
              </w:rPr>
            </w:pPr>
          </w:p>
        </w:tc>
        <w:tc>
          <w:tcPr>
            <w:tcW w:w="860" w:type="dxa"/>
            <w:vAlign w:val="bottom"/>
          </w:tcPr>
          <w:p>
            <w:pPr>
              <w:jc w:val="right"/>
              <w:ind w:right="133"/>
              <w:spacing w:after="0"/>
              <w:rPr>
                <w:sz w:val="20"/>
                <w:szCs w:val="20"/>
                <w:color w:val="auto"/>
              </w:rPr>
            </w:pPr>
            <w:r>
              <w:rPr>
                <w:rFonts w:ascii="Arial" w:cs="Arial" w:eastAsia="Arial" w:hAnsi="Arial"/>
                <w:sz w:val="14"/>
                <w:szCs w:val="14"/>
                <w:b w:val="1"/>
                <w:bCs w:val="1"/>
                <w:i w:val="1"/>
                <w:iCs w:val="1"/>
                <w:color w:val="auto"/>
              </w:rPr>
              <w:t>Section</w:t>
            </w:r>
          </w:p>
        </w:tc>
      </w:tr>
      <w:tr>
        <w:trPr>
          <w:trHeight w:val="189"/>
        </w:trPr>
        <w:tc>
          <w:tcPr>
            <w:tcW w:w="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1"/>
              </w:rPr>
              <w:t>310(a)(1)</w:t>
            </w:r>
          </w:p>
        </w:tc>
        <w:tc>
          <w:tcPr>
            <w:tcW w:w="220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7.10</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(a)(2)</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(a)(3)</w:t>
            </w:r>
          </w:p>
        </w:tc>
        <w:tc>
          <w:tcPr>
            <w:tcW w:w="7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(a)(4)</w:t>
            </w:r>
          </w:p>
        </w:tc>
        <w:tc>
          <w:tcPr>
            <w:tcW w:w="7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(a)(5)</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(b)</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w:t>
            </w:r>
          </w:p>
        </w:tc>
        <w:tc>
          <w:tcPr>
            <w:tcW w:w="7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311(a)</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7.11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(b)</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7.11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w:t>
            </w:r>
          </w:p>
        </w:tc>
        <w:tc>
          <w:tcPr>
            <w:tcW w:w="7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312(a)</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(b)</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11.03</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11.03</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313(a)</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7.06</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(b)(2)</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7.06; 7.07</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7.06; 11.02</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(d)</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7.06</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314(a)</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4.03; 4.04;</w:t>
            </w:r>
          </w:p>
        </w:tc>
      </w:tr>
      <w:tr>
        <w:trPr>
          <w:trHeight w:val="216"/>
        </w:trPr>
        <w:tc>
          <w:tcPr>
            <w:tcW w:w="7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11.02</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(b)</w:t>
            </w:r>
          </w:p>
        </w:tc>
        <w:tc>
          <w:tcPr>
            <w:tcW w:w="7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(c)(l)</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11.04</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(c)(2)</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11.04</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(c)(3)</w:t>
            </w:r>
          </w:p>
        </w:tc>
        <w:tc>
          <w:tcPr>
            <w:tcW w:w="7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(d)</w:t>
            </w:r>
          </w:p>
        </w:tc>
        <w:tc>
          <w:tcPr>
            <w:tcW w:w="7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(e)</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11.05</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(f)</w:t>
            </w:r>
          </w:p>
        </w:tc>
        <w:tc>
          <w:tcPr>
            <w:tcW w:w="7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315(a)</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7.01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(b)</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7.05; 11.02</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7.01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(d)</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7.01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(e)</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6.11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316(a) (last sentence)</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(a)(l)(A)</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(a)(l)(B)</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6.04</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(a)(2)</w:t>
            </w:r>
          </w:p>
        </w:tc>
        <w:tc>
          <w:tcPr>
            <w:tcW w:w="7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(b)</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6.07</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317(a)(l)</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6.08</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(a)(2)</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6.09</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(b)</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318(a)</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11.01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(b)</w:t>
            </w:r>
          </w:p>
        </w:tc>
        <w:tc>
          <w:tcPr>
            <w:tcW w:w="7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(c)</w:t>
            </w:r>
          </w:p>
        </w:tc>
        <w:tc>
          <w:tcPr>
            <w:tcW w:w="8080" w:type="dxa"/>
            <w:vAlign w:val="bottom"/>
            <w:gridSpan w:val="2"/>
          </w:tcPr>
          <w:p>
            <w:pPr>
              <w:jc w:val="right"/>
              <w:spacing w:after="0"/>
              <w:rPr>
                <w:sz w:val="20"/>
                <w:szCs w:val="20"/>
                <w:color w:val="auto"/>
              </w:rPr>
            </w:pPr>
            <w:r>
              <w:rPr>
                <w:rFonts w:ascii="Arial" w:cs="Arial" w:eastAsia="Arial" w:hAnsi="Arial"/>
                <w:sz w:val="18"/>
                <w:szCs w:val="18"/>
                <w:color w:val="auto"/>
              </w:rPr>
              <w:t>11.01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N.A. means not applicable.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This Cross Reference Table is not part of this Indenture.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20" w:type="dxa"/>
            <w:vAlign w:val="bottom"/>
            <w:gridSpan w:val="3"/>
            <w:vMerge w:val="restart"/>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28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8120" w:type="dxa"/>
            <w:vAlign w:val="bottom"/>
            <w:gridSpan w:val="3"/>
            <w:vMerge w:val="continue"/>
          </w:tcPr>
          <w:p>
            <w:pPr>
              <w:spacing w:after="0"/>
              <w:rPr>
                <w:sz w:val="19"/>
                <w:szCs w:val="19"/>
                <w:color w:val="auto"/>
              </w:rPr>
            </w:pPr>
          </w:p>
        </w:tc>
        <w:tc>
          <w:tcPr>
            <w:tcW w:w="256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5"/>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1.01</w:t>
            </w:r>
          </w:p>
        </w:tc>
        <w:tc>
          <w:tcPr>
            <w:tcW w:w="6520" w:type="dxa"/>
            <w:vAlign w:val="bottom"/>
          </w:tcPr>
          <w:p>
            <w:pPr>
              <w:ind w:left="340"/>
              <w:spacing w:after="0"/>
              <w:rPr>
                <w:sz w:val="20"/>
                <w:szCs w:val="20"/>
                <w:color w:val="auto"/>
              </w:rPr>
            </w:pPr>
            <w:r>
              <w:rPr>
                <w:rFonts w:ascii="Arial" w:cs="Arial" w:eastAsia="Arial" w:hAnsi="Arial"/>
                <w:sz w:val="18"/>
                <w:szCs w:val="18"/>
                <w:color w:val="auto"/>
              </w:rPr>
              <w:t>Definitions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1.02</w:t>
            </w:r>
          </w:p>
        </w:tc>
        <w:tc>
          <w:tcPr>
            <w:tcW w:w="6520" w:type="dxa"/>
            <w:vAlign w:val="bottom"/>
          </w:tcPr>
          <w:p>
            <w:pPr>
              <w:ind w:left="340"/>
              <w:spacing w:after="0"/>
              <w:rPr>
                <w:sz w:val="20"/>
                <w:szCs w:val="20"/>
                <w:color w:val="auto"/>
              </w:rPr>
            </w:pPr>
            <w:r>
              <w:rPr>
                <w:rFonts w:ascii="Arial" w:cs="Arial" w:eastAsia="Arial" w:hAnsi="Arial"/>
                <w:sz w:val="18"/>
                <w:szCs w:val="18"/>
                <w:color w:val="auto"/>
              </w:rPr>
              <w:t>Other Definitions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1.03</w:t>
            </w:r>
          </w:p>
        </w:tc>
        <w:tc>
          <w:tcPr>
            <w:tcW w:w="6520" w:type="dxa"/>
            <w:vAlign w:val="bottom"/>
          </w:tcPr>
          <w:p>
            <w:pPr>
              <w:ind w:left="340"/>
              <w:spacing w:after="0"/>
              <w:rPr>
                <w:sz w:val="20"/>
                <w:szCs w:val="20"/>
                <w:color w:val="auto"/>
              </w:rPr>
            </w:pPr>
            <w:r>
              <w:rPr>
                <w:rFonts w:ascii="Arial" w:cs="Arial" w:eastAsia="Arial" w:hAnsi="Arial"/>
                <w:sz w:val="18"/>
                <w:szCs w:val="18"/>
                <w:color w:val="auto"/>
              </w:rPr>
              <w:t>Incorporation by Reference of Trust Indenture Act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1.04</w:t>
            </w:r>
          </w:p>
        </w:tc>
        <w:tc>
          <w:tcPr>
            <w:tcW w:w="6520" w:type="dxa"/>
            <w:vAlign w:val="bottom"/>
          </w:tcPr>
          <w:p>
            <w:pPr>
              <w:ind w:left="340"/>
              <w:spacing w:after="0"/>
              <w:rPr>
                <w:sz w:val="20"/>
                <w:szCs w:val="20"/>
                <w:color w:val="auto"/>
              </w:rPr>
            </w:pPr>
            <w:r>
              <w:rPr>
                <w:rFonts w:ascii="Arial" w:cs="Arial" w:eastAsia="Arial" w:hAnsi="Arial"/>
                <w:sz w:val="18"/>
                <w:szCs w:val="18"/>
                <w:color w:val="auto"/>
              </w:rPr>
              <w:t>Rules of Construction</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ARTICLE 2</w:t>
            </w:r>
          </w:p>
        </w:tc>
        <w:tc>
          <w:tcPr>
            <w:tcW w:w="7120" w:type="dxa"/>
            <w:vAlign w:val="bottom"/>
            <w:gridSpan w:val="2"/>
          </w:tcPr>
          <w:p>
            <w:pPr>
              <w:ind w:left="100"/>
              <w:spacing w:after="0"/>
              <w:rPr>
                <w:sz w:val="20"/>
                <w:szCs w:val="20"/>
                <w:color w:val="auto"/>
              </w:rPr>
            </w:pPr>
            <w:r>
              <w:rPr>
                <w:rFonts w:ascii="Arial" w:cs="Arial" w:eastAsia="Arial" w:hAnsi="Arial"/>
                <w:sz w:val="18"/>
                <w:szCs w:val="18"/>
                <w:color w:val="auto"/>
              </w:rPr>
              <w:t>THE NOTES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2.01</w:t>
            </w:r>
          </w:p>
        </w:tc>
        <w:tc>
          <w:tcPr>
            <w:tcW w:w="6520" w:type="dxa"/>
            <w:vAlign w:val="bottom"/>
          </w:tcPr>
          <w:p>
            <w:pPr>
              <w:ind w:left="340"/>
              <w:spacing w:after="0"/>
              <w:rPr>
                <w:sz w:val="20"/>
                <w:szCs w:val="20"/>
                <w:color w:val="auto"/>
              </w:rPr>
            </w:pPr>
            <w:r>
              <w:rPr>
                <w:rFonts w:ascii="Arial" w:cs="Arial" w:eastAsia="Arial" w:hAnsi="Arial"/>
                <w:sz w:val="18"/>
                <w:szCs w:val="18"/>
                <w:color w:val="auto"/>
              </w:rPr>
              <w:t>Issuable in Series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2.02</w:t>
            </w:r>
          </w:p>
        </w:tc>
        <w:tc>
          <w:tcPr>
            <w:tcW w:w="6520" w:type="dxa"/>
            <w:vAlign w:val="bottom"/>
          </w:tcPr>
          <w:p>
            <w:pPr>
              <w:ind w:left="340"/>
              <w:spacing w:after="0"/>
              <w:rPr>
                <w:sz w:val="20"/>
                <w:szCs w:val="20"/>
                <w:color w:val="auto"/>
              </w:rPr>
            </w:pPr>
            <w:r>
              <w:rPr>
                <w:rFonts w:ascii="Arial" w:cs="Arial" w:eastAsia="Arial" w:hAnsi="Arial"/>
                <w:sz w:val="18"/>
                <w:szCs w:val="18"/>
                <w:color w:val="auto"/>
              </w:rPr>
              <w:t>Establishment of Terms of Series of Notes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2.03</w:t>
            </w:r>
          </w:p>
        </w:tc>
        <w:tc>
          <w:tcPr>
            <w:tcW w:w="6520" w:type="dxa"/>
            <w:vAlign w:val="bottom"/>
          </w:tcPr>
          <w:p>
            <w:pPr>
              <w:ind w:left="340"/>
              <w:spacing w:after="0"/>
              <w:rPr>
                <w:sz w:val="20"/>
                <w:szCs w:val="20"/>
                <w:color w:val="auto"/>
              </w:rPr>
            </w:pPr>
            <w:r>
              <w:rPr>
                <w:rFonts w:ascii="Arial" w:cs="Arial" w:eastAsia="Arial" w:hAnsi="Arial"/>
                <w:sz w:val="18"/>
                <w:szCs w:val="18"/>
                <w:color w:val="auto"/>
              </w:rPr>
              <w:t>Execution and Authentication</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2.04</w:t>
            </w:r>
          </w:p>
        </w:tc>
        <w:tc>
          <w:tcPr>
            <w:tcW w:w="6520" w:type="dxa"/>
            <w:vAlign w:val="bottom"/>
          </w:tcPr>
          <w:p>
            <w:pPr>
              <w:ind w:left="340"/>
              <w:spacing w:after="0"/>
              <w:rPr>
                <w:sz w:val="20"/>
                <w:szCs w:val="20"/>
                <w:color w:val="auto"/>
              </w:rPr>
            </w:pPr>
            <w:r>
              <w:rPr>
                <w:rFonts w:ascii="Arial" w:cs="Arial" w:eastAsia="Arial" w:hAnsi="Arial"/>
                <w:sz w:val="18"/>
                <w:szCs w:val="18"/>
                <w:color w:val="auto"/>
              </w:rPr>
              <w:t>Registrar and Paying Agent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2.05</w:t>
            </w:r>
          </w:p>
        </w:tc>
        <w:tc>
          <w:tcPr>
            <w:tcW w:w="6520" w:type="dxa"/>
            <w:vAlign w:val="bottom"/>
          </w:tcPr>
          <w:p>
            <w:pPr>
              <w:ind w:left="340"/>
              <w:spacing w:after="0"/>
              <w:rPr>
                <w:sz w:val="20"/>
                <w:szCs w:val="20"/>
                <w:color w:val="auto"/>
              </w:rPr>
            </w:pPr>
            <w:r>
              <w:rPr>
                <w:rFonts w:ascii="Arial" w:cs="Arial" w:eastAsia="Arial" w:hAnsi="Arial"/>
                <w:sz w:val="18"/>
                <w:szCs w:val="18"/>
                <w:color w:val="auto"/>
              </w:rPr>
              <w:t>Paying Agent to Hold Money in Trust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2.06</w:t>
            </w:r>
          </w:p>
        </w:tc>
        <w:tc>
          <w:tcPr>
            <w:tcW w:w="6520" w:type="dxa"/>
            <w:vAlign w:val="bottom"/>
          </w:tcPr>
          <w:p>
            <w:pPr>
              <w:ind w:left="340"/>
              <w:spacing w:after="0"/>
              <w:rPr>
                <w:sz w:val="20"/>
                <w:szCs w:val="20"/>
                <w:color w:val="auto"/>
              </w:rPr>
            </w:pPr>
            <w:r>
              <w:rPr>
                <w:rFonts w:ascii="Arial" w:cs="Arial" w:eastAsia="Arial" w:hAnsi="Arial"/>
                <w:sz w:val="18"/>
                <w:szCs w:val="18"/>
                <w:color w:val="auto"/>
              </w:rPr>
              <w:t>Holder Lists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2.07</w:t>
            </w:r>
          </w:p>
        </w:tc>
        <w:tc>
          <w:tcPr>
            <w:tcW w:w="6520" w:type="dxa"/>
            <w:vAlign w:val="bottom"/>
          </w:tcPr>
          <w:p>
            <w:pPr>
              <w:ind w:left="340"/>
              <w:spacing w:after="0"/>
              <w:rPr>
                <w:sz w:val="20"/>
                <w:szCs w:val="20"/>
                <w:color w:val="auto"/>
              </w:rPr>
            </w:pPr>
            <w:r>
              <w:rPr>
                <w:rFonts w:ascii="Arial" w:cs="Arial" w:eastAsia="Arial" w:hAnsi="Arial"/>
                <w:sz w:val="18"/>
                <w:szCs w:val="18"/>
                <w:color w:val="auto"/>
              </w:rPr>
              <w:t>Transfer and Exchange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2.08</w:t>
            </w:r>
          </w:p>
        </w:tc>
        <w:tc>
          <w:tcPr>
            <w:tcW w:w="6520" w:type="dxa"/>
            <w:vAlign w:val="bottom"/>
          </w:tcPr>
          <w:p>
            <w:pPr>
              <w:ind w:left="340"/>
              <w:spacing w:after="0"/>
              <w:rPr>
                <w:sz w:val="20"/>
                <w:szCs w:val="20"/>
                <w:color w:val="auto"/>
              </w:rPr>
            </w:pPr>
            <w:r>
              <w:rPr>
                <w:rFonts w:ascii="Arial" w:cs="Arial" w:eastAsia="Arial" w:hAnsi="Arial"/>
                <w:sz w:val="18"/>
                <w:szCs w:val="18"/>
                <w:color w:val="auto"/>
              </w:rPr>
              <w:t>Replacement Notes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2.09</w:t>
            </w:r>
          </w:p>
        </w:tc>
        <w:tc>
          <w:tcPr>
            <w:tcW w:w="6520" w:type="dxa"/>
            <w:vAlign w:val="bottom"/>
          </w:tcPr>
          <w:p>
            <w:pPr>
              <w:ind w:left="340"/>
              <w:spacing w:after="0"/>
              <w:rPr>
                <w:sz w:val="20"/>
                <w:szCs w:val="20"/>
                <w:color w:val="auto"/>
              </w:rPr>
            </w:pPr>
            <w:r>
              <w:rPr>
                <w:rFonts w:ascii="Arial" w:cs="Arial" w:eastAsia="Arial" w:hAnsi="Arial"/>
                <w:sz w:val="18"/>
                <w:szCs w:val="18"/>
                <w:color w:val="auto"/>
              </w:rPr>
              <w:t>Outstanding Notes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2.10</w:t>
            </w:r>
          </w:p>
        </w:tc>
        <w:tc>
          <w:tcPr>
            <w:tcW w:w="6520" w:type="dxa"/>
            <w:vAlign w:val="bottom"/>
          </w:tcPr>
          <w:p>
            <w:pPr>
              <w:ind w:left="340"/>
              <w:spacing w:after="0"/>
              <w:rPr>
                <w:sz w:val="20"/>
                <w:szCs w:val="20"/>
                <w:color w:val="auto"/>
              </w:rPr>
            </w:pPr>
            <w:r>
              <w:rPr>
                <w:rFonts w:ascii="Arial" w:cs="Arial" w:eastAsia="Arial" w:hAnsi="Arial"/>
                <w:sz w:val="18"/>
                <w:szCs w:val="18"/>
                <w:color w:val="auto"/>
              </w:rPr>
              <w:t>Treasury Notes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2.11</w:t>
            </w:r>
          </w:p>
        </w:tc>
        <w:tc>
          <w:tcPr>
            <w:tcW w:w="6520" w:type="dxa"/>
            <w:vAlign w:val="bottom"/>
          </w:tcPr>
          <w:p>
            <w:pPr>
              <w:ind w:left="340"/>
              <w:spacing w:after="0"/>
              <w:rPr>
                <w:sz w:val="20"/>
                <w:szCs w:val="20"/>
                <w:color w:val="auto"/>
              </w:rPr>
            </w:pPr>
            <w:r>
              <w:rPr>
                <w:rFonts w:ascii="Arial" w:cs="Arial" w:eastAsia="Arial" w:hAnsi="Arial"/>
                <w:sz w:val="18"/>
                <w:szCs w:val="18"/>
                <w:color w:val="auto"/>
              </w:rPr>
              <w:t>Temporary Notes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2.12</w:t>
            </w:r>
          </w:p>
        </w:tc>
        <w:tc>
          <w:tcPr>
            <w:tcW w:w="6520" w:type="dxa"/>
            <w:vAlign w:val="bottom"/>
          </w:tcPr>
          <w:p>
            <w:pPr>
              <w:ind w:left="340"/>
              <w:spacing w:after="0"/>
              <w:rPr>
                <w:sz w:val="20"/>
                <w:szCs w:val="20"/>
                <w:color w:val="auto"/>
              </w:rPr>
            </w:pPr>
            <w:r>
              <w:rPr>
                <w:rFonts w:ascii="Arial" w:cs="Arial" w:eastAsia="Arial" w:hAnsi="Arial"/>
                <w:sz w:val="18"/>
                <w:szCs w:val="18"/>
                <w:color w:val="auto"/>
              </w:rPr>
              <w:t>Cancellation</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2.13</w:t>
            </w:r>
          </w:p>
        </w:tc>
        <w:tc>
          <w:tcPr>
            <w:tcW w:w="6520" w:type="dxa"/>
            <w:vAlign w:val="bottom"/>
          </w:tcPr>
          <w:p>
            <w:pPr>
              <w:ind w:left="340"/>
              <w:spacing w:after="0"/>
              <w:rPr>
                <w:sz w:val="20"/>
                <w:szCs w:val="20"/>
                <w:color w:val="auto"/>
              </w:rPr>
            </w:pPr>
            <w:r>
              <w:rPr>
                <w:rFonts w:ascii="Arial" w:cs="Arial" w:eastAsia="Arial" w:hAnsi="Arial"/>
                <w:sz w:val="18"/>
                <w:szCs w:val="18"/>
                <w:color w:val="auto"/>
              </w:rPr>
              <w:t>Defaulted Interest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2.14</w:t>
            </w:r>
          </w:p>
        </w:tc>
        <w:tc>
          <w:tcPr>
            <w:tcW w:w="6520" w:type="dxa"/>
            <w:vAlign w:val="bottom"/>
          </w:tcPr>
          <w:p>
            <w:pPr>
              <w:ind w:left="340"/>
              <w:spacing w:after="0"/>
              <w:rPr>
                <w:sz w:val="20"/>
                <w:szCs w:val="20"/>
                <w:color w:val="auto"/>
              </w:rPr>
            </w:pPr>
            <w:r>
              <w:rPr>
                <w:rFonts w:ascii="Arial" w:cs="Arial" w:eastAsia="Arial" w:hAnsi="Arial"/>
                <w:sz w:val="18"/>
                <w:szCs w:val="18"/>
                <w:color w:val="auto"/>
              </w:rPr>
              <w:t>Global Notes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2.15</w:t>
            </w:r>
          </w:p>
        </w:tc>
        <w:tc>
          <w:tcPr>
            <w:tcW w:w="6520" w:type="dxa"/>
            <w:vAlign w:val="bottom"/>
          </w:tcPr>
          <w:p>
            <w:pPr>
              <w:ind w:left="340"/>
              <w:spacing w:after="0"/>
              <w:rPr>
                <w:sz w:val="20"/>
                <w:szCs w:val="20"/>
                <w:color w:val="auto"/>
              </w:rPr>
            </w:pPr>
            <w:r>
              <w:rPr>
                <w:rFonts w:ascii="Arial" w:cs="Arial" w:eastAsia="Arial" w:hAnsi="Arial"/>
                <w:sz w:val="18"/>
                <w:szCs w:val="18"/>
                <w:color w:val="auto"/>
              </w:rPr>
              <w:t>CUSIP Number</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8120" w:type="dxa"/>
            <w:vAlign w:val="bottom"/>
            <w:gridSpan w:val="3"/>
          </w:tcPr>
          <w:p>
            <w:pPr>
              <w:spacing w:after="0"/>
              <w:rPr>
                <w:sz w:val="20"/>
                <w:szCs w:val="20"/>
                <w:color w:val="auto"/>
              </w:rPr>
            </w:pPr>
            <w:r>
              <w:rPr>
                <w:rFonts w:ascii="Arial" w:cs="Arial" w:eastAsia="Arial" w:hAnsi="Arial"/>
                <w:sz w:val="18"/>
                <w:szCs w:val="18"/>
                <w:color w:val="auto"/>
              </w:rPr>
              <w:t>ARTICLE 3  REDEMPTION AND PREPAYMENT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3.01</w:t>
            </w:r>
          </w:p>
        </w:tc>
        <w:tc>
          <w:tcPr>
            <w:tcW w:w="6520" w:type="dxa"/>
            <w:vAlign w:val="bottom"/>
          </w:tcPr>
          <w:p>
            <w:pPr>
              <w:ind w:left="340"/>
              <w:spacing w:after="0"/>
              <w:rPr>
                <w:sz w:val="20"/>
                <w:szCs w:val="20"/>
                <w:color w:val="auto"/>
              </w:rPr>
            </w:pPr>
            <w:r>
              <w:rPr>
                <w:rFonts w:ascii="Arial" w:cs="Arial" w:eastAsia="Arial" w:hAnsi="Arial"/>
                <w:sz w:val="18"/>
                <w:szCs w:val="18"/>
                <w:color w:val="auto"/>
              </w:rPr>
              <w:t>Notice to Trustee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3.02</w:t>
            </w:r>
          </w:p>
        </w:tc>
        <w:tc>
          <w:tcPr>
            <w:tcW w:w="6520" w:type="dxa"/>
            <w:vAlign w:val="bottom"/>
          </w:tcPr>
          <w:p>
            <w:pPr>
              <w:ind w:left="340"/>
              <w:spacing w:after="0"/>
              <w:rPr>
                <w:sz w:val="20"/>
                <w:szCs w:val="20"/>
                <w:color w:val="auto"/>
              </w:rPr>
            </w:pPr>
            <w:r>
              <w:rPr>
                <w:rFonts w:ascii="Arial" w:cs="Arial" w:eastAsia="Arial" w:hAnsi="Arial"/>
                <w:sz w:val="18"/>
                <w:szCs w:val="18"/>
                <w:color w:val="auto"/>
              </w:rPr>
              <w:t>Selection of Notes to Be Redeemed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3.03</w:t>
            </w:r>
          </w:p>
        </w:tc>
        <w:tc>
          <w:tcPr>
            <w:tcW w:w="6520" w:type="dxa"/>
            <w:vAlign w:val="bottom"/>
          </w:tcPr>
          <w:p>
            <w:pPr>
              <w:ind w:left="340"/>
              <w:spacing w:after="0"/>
              <w:rPr>
                <w:sz w:val="20"/>
                <w:szCs w:val="20"/>
                <w:color w:val="auto"/>
              </w:rPr>
            </w:pPr>
            <w:r>
              <w:rPr>
                <w:rFonts w:ascii="Arial" w:cs="Arial" w:eastAsia="Arial" w:hAnsi="Arial"/>
                <w:sz w:val="18"/>
                <w:szCs w:val="18"/>
                <w:color w:val="auto"/>
              </w:rPr>
              <w:t>Notice of Redemption</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3.04</w:t>
            </w:r>
          </w:p>
        </w:tc>
        <w:tc>
          <w:tcPr>
            <w:tcW w:w="6520" w:type="dxa"/>
            <w:vAlign w:val="bottom"/>
          </w:tcPr>
          <w:p>
            <w:pPr>
              <w:ind w:left="340"/>
              <w:spacing w:after="0"/>
              <w:rPr>
                <w:sz w:val="20"/>
                <w:szCs w:val="20"/>
                <w:color w:val="auto"/>
              </w:rPr>
            </w:pPr>
            <w:r>
              <w:rPr>
                <w:rFonts w:ascii="Arial" w:cs="Arial" w:eastAsia="Arial" w:hAnsi="Arial"/>
                <w:sz w:val="18"/>
                <w:szCs w:val="18"/>
                <w:color w:val="auto"/>
              </w:rPr>
              <w:t>Effect of Notice of Redemption</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3.05</w:t>
            </w:r>
          </w:p>
        </w:tc>
        <w:tc>
          <w:tcPr>
            <w:tcW w:w="6520" w:type="dxa"/>
            <w:vAlign w:val="bottom"/>
          </w:tcPr>
          <w:p>
            <w:pPr>
              <w:ind w:left="340"/>
              <w:spacing w:after="0"/>
              <w:rPr>
                <w:sz w:val="20"/>
                <w:szCs w:val="20"/>
                <w:color w:val="auto"/>
              </w:rPr>
            </w:pPr>
            <w:r>
              <w:rPr>
                <w:rFonts w:ascii="Arial" w:cs="Arial" w:eastAsia="Arial" w:hAnsi="Arial"/>
                <w:sz w:val="18"/>
                <w:szCs w:val="18"/>
                <w:color w:val="auto"/>
              </w:rPr>
              <w:t>Deposit of Redemption Price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3.06</w:t>
            </w:r>
          </w:p>
        </w:tc>
        <w:tc>
          <w:tcPr>
            <w:tcW w:w="6520" w:type="dxa"/>
            <w:vAlign w:val="bottom"/>
          </w:tcPr>
          <w:p>
            <w:pPr>
              <w:ind w:left="340"/>
              <w:spacing w:after="0"/>
              <w:rPr>
                <w:sz w:val="20"/>
                <w:szCs w:val="20"/>
                <w:color w:val="auto"/>
              </w:rPr>
            </w:pPr>
            <w:r>
              <w:rPr>
                <w:rFonts w:ascii="Arial" w:cs="Arial" w:eastAsia="Arial" w:hAnsi="Arial"/>
                <w:sz w:val="18"/>
                <w:szCs w:val="18"/>
                <w:color w:val="auto"/>
              </w:rPr>
              <w:t>Notes Redeemed in Part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ARTICLE 4</w:t>
            </w:r>
          </w:p>
        </w:tc>
        <w:tc>
          <w:tcPr>
            <w:tcW w:w="7120" w:type="dxa"/>
            <w:vAlign w:val="bottom"/>
            <w:gridSpan w:val="2"/>
          </w:tcPr>
          <w:p>
            <w:pPr>
              <w:ind w:left="120"/>
              <w:spacing w:after="0"/>
              <w:rPr>
                <w:sz w:val="20"/>
                <w:szCs w:val="20"/>
                <w:color w:val="auto"/>
              </w:rPr>
            </w:pPr>
            <w:r>
              <w:rPr>
                <w:rFonts w:ascii="Arial" w:cs="Arial" w:eastAsia="Arial" w:hAnsi="Arial"/>
                <w:sz w:val="18"/>
                <w:szCs w:val="18"/>
                <w:color w:val="auto"/>
              </w:rPr>
              <w:t>COVENANTS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0"/>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4.01</w:t>
            </w:r>
          </w:p>
        </w:tc>
        <w:tc>
          <w:tcPr>
            <w:tcW w:w="6520" w:type="dxa"/>
            <w:vAlign w:val="bottom"/>
          </w:tcPr>
          <w:p>
            <w:pPr>
              <w:ind w:left="340"/>
              <w:spacing w:after="0"/>
              <w:rPr>
                <w:sz w:val="20"/>
                <w:szCs w:val="20"/>
                <w:color w:val="auto"/>
              </w:rPr>
            </w:pPr>
            <w:r>
              <w:rPr>
                <w:rFonts w:ascii="Arial" w:cs="Arial" w:eastAsia="Arial" w:hAnsi="Arial"/>
                <w:sz w:val="18"/>
                <w:szCs w:val="18"/>
                <w:color w:val="auto"/>
              </w:rPr>
              <w:t>Payment of Principal and Interest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4.02</w:t>
            </w:r>
          </w:p>
        </w:tc>
        <w:tc>
          <w:tcPr>
            <w:tcW w:w="6520" w:type="dxa"/>
            <w:vAlign w:val="bottom"/>
          </w:tcPr>
          <w:p>
            <w:pPr>
              <w:ind w:left="340"/>
              <w:spacing w:after="0"/>
              <w:rPr>
                <w:sz w:val="20"/>
                <w:szCs w:val="20"/>
                <w:color w:val="auto"/>
              </w:rPr>
            </w:pPr>
            <w:r>
              <w:rPr>
                <w:rFonts w:ascii="Arial" w:cs="Arial" w:eastAsia="Arial" w:hAnsi="Arial"/>
                <w:sz w:val="18"/>
                <w:szCs w:val="18"/>
                <w:color w:val="auto"/>
              </w:rPr>
              <w:t>Maintenance of Office or Agency</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4.03</w:t>
            </w:r>
          </w:p>
        </w:tc>
        <w:tc>
          <w:tcPr>
            <w:tcW w:w="6520" w:type="dxa"/>
            <w:vAlign w:val="bottom"/>
          </w:tcPr>
          <w:p>
            <w:pPr>
              <w:ind w:left="340"/>
              <w:spacing w:after="0"/>
              <w:rPr>
                <w:sz w:val="20"/>
                <w:szCs w:val="20"/>
                <w:color w:val="auto"/>
              </w:rPr>
            </w:pPr>
            <w:r>
              <w:rPr>
                <w:rFonts w:ascii="Arial" w:cs="Arial" w:eastAsia="Arial" w:hAnsi="Arial"/>
                <w:sz w:val="18"/>
                <w:szCs w:val="18"/>
                <w:color w:val="auto"/>
              </w:rPr>
              <w:t>Reports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4.04</w:t>
            </w:r>
          </w:p>
        </w:tc>
        <w:tc>
          <w:tcPr>
            <w:tcW w:w="6520" w:type="dxa"/>
            <w:vAlign w:val="bottom"/>
          </w:tcPr>
          <w:p>
            <w:pPr>
              <w:ind w:left="340"/>
              <w:spacing w:after="0"/>
              <w:rPr>
                <w:sz w:val="20"/>
                <w:szCs w:val="20"/>
                <w:color w:val="auto"/>
              </w:rPr>
            </w:pPr>
            <w:r>
              <w:rPr>
                <w:rFonts w:ascii="Arial" w:cs="Arial" w:eastAsia="Arial" w:hAnsi="Arial"/>
                <w:sz w:val="18"/>
                <w:szCs w:val="18"/>
                <w:color w:val="auto"/>
              </w:rPr>
              <w:t>Compliance Certificate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4.05</w:t>
            </w:r>
          </w:p>
        </w:tc>
        <w:tc>
          <w:tcPr>
            <w:tcW w:w="6520" w:type="dxa"/>
            <w:vAlign w:val="bottom"/>
          </w:tcPr>
          <w:p>
            <w:pPr>
              <w:ind w:left="340"/>
              <w:spacing w:after="0"/>
              <w:rPr>
                <w:sz w:val="20"/>
                <w:szCs w:val="20"/>
                <w:color w:val="auto"/>
              </w:rPr>
            </w:pPr>
            <w:r>
              <w:rPr>
                <w:rFonts w:ascii="Arial" w:cs="Arial" w:eastAsia="Arial" w:hAnsi="Arial"/>
                <w:sz w:val="18"/>
                <w:szCs w:val="18"/>
                <w:color w:val="auto"/>
              </w:rPr>
              <w:t>Taxes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4.06</w:t>
            </w:r>
          </w:p>
        </w:tc>
        <w:tc>
          <w:tcPr>
            <w:tcW w:w="6520" w:type="dxa"/>
            <w:vAlign w:val="bottom"/>
          </w:tcPr>
          <w:p>
            <w:pPr>
              <w:ind w:left="340"/>
              <w:spacing w:after="0"/>
              <w:rPr>
                <w:sz w:val="20"/>
                <w:szCs w:val="20"/>
                <w:color w:val="auto"/>
              </w:rPr>
            </w:pPr>
            <w:r>
              <w:rPr>
                <w:rFonts w:ascii="Arial" w:cs="Arial" w:eastAsia="Arial" w:hAnsi="Arial"/>
                <w:sz w:val="18"/>
                <w:szCs w:val="18"/>
                <w:color w:val="auto"/>
              </w:rPr>
              <w:t>Stay, Extension and Usury Laws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4.07</w:t>
            </w:r>
          </w:p>
        </w:tc>
        <w:tc>
          <w:tcPr>
            <w:tcW w:w="6520" w:type="dxa"/>
            <w:vAlign w:val="bottom"/>
          </w:tcPr>
          <w:p>
            <w:pPr>
              <w:ind w:left="340"/>
              <w:spacing w:after="0"/>
              <w:rPr>
                <w:sz w:val="20"/>
                <w:szCs w:val="20"/>
                <w:color w:val="auto"/>
              </w:rPr>
            </w:pPr>
            <w:r>
              <w:rPr>
                <w:rFonts w:ascii="Arial" w:cs="Arial" w:eastAsia="Arial" w:hAnsi="Arial"/>
                <w:sz w:val="18"/>
                <w:szCs w:val="18"/>
                <w:color w:val="auto"/>
              </w:rPr>
              <w:t>Corporate Existence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ARTICLE 5</w:t>
            </w:r>
          </w:p>
        </w:tc>
        <w:tc>
          <w:tcPr>
            <w:tcW w:w="7120" w:type="dxa"/>
            <w:vAlign w:val="bottom"/>
            <w:gridSpan w:val="2"/>
          </w:tcPr>
          <w:p>
            <w:pPr>
              <w:ind w:left="120"/>
              <w:spacing w:after="0"/>
              <w:rPr>
                <w:sz w:val="20"/>
                <w:szCs w:val="20"/>
                <w:color w:val="auto"/>
              </w:rPr>
            </w:pPr>
            <w:r>
              <w:rPr>
                <w:rFonts w:ascii="Arial" w:cs="Arial" w:eastAsia="Arial" w:hAnsi="Arial"/>
                <w:sz w:val="18"/>
                <w:szCs w:val="18"/>
                <w:color w:val="auto"/>
              </w:rPr>
              <w:t>SUCCESSORS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5.01</w:t>
            </w:r>
          </w:p>
        </w:tc>
        <w:tc>
          <w:tcPr>
            <w:tcW w:w="6520" w:type="dxa"/>
            <w:vAlign w:val="bottom"/>
          </w:tcPr>
          <w:p>
            <w:pPr>
              <w:ind w:left="340"/>
              <w:spacing w:after="0"/>
              <w:rPr>
                <w:sz w:val="20"/>
                <w:szCs w:val="20"/>
                <w:color w:val="auto"/>
              </w:rPr>
            </w:pPr>
            <w:r>
              <w:rPr>
                <w:rFonts w:ascii="Arial" w:cs="Arial" w:eastAsia="Arial" w:hAnsi="Arial"/>
                <w:sz w:val="18"/>
                <w:szCs w:val="18"/>
                <w:color w:val="auto"/>
              </w:rPr>
              <w:t>Merger, Consolidation, or Sale of Assets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5.02</w:t>
            </w:r>
          </w:p>
        </w:tc>
        <w:tc>
          <w:tcPr>
            <w:tcW w:w="6520" w:type="dxa"/>
            <w:vAlign w:val="bottom"/>
          </w:tcPr>
          <w:p>
            <w:pPr>
              <w:ind w:left="340"/>
              <w:spacing w:after="0"/>
              <w:rPr>
                <w:sz w:val="20"/>
                <w:szCs w:val="20"/>
                <w:color w:val="auto"/>
              </w:rPr>
            </w:pPr>
            <w:r>
              <w:rPr>
                <w:rFonts w:ascii="Arial" w:cs="Arial" w:eastAsia="Arial" w:hAnsi="Arial"/>
                <w:sz w:val="18"/>
                <w:szCs w:val="18"/>
                <w:color w:val="auto"/>
              </w:rPr>
              <w:t>Successor Corporation Substituted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8120" w:type="dxa"/>
            <w:vAlign w:val="bottom"/>
            <w:gridSpan w:val="3"/>
          </w:tcPr>
          <w:p>
            <w:pPr>
              <w:spacing w:after="0"/>
              <w:rPr>
                <w:sz w:val="20"/>
                <w:szCs w:val="20"/>
                <w:color w:val="auto"/>
              </w:rPr>
            </w:pPr>
            <w:r>
              <w:rPr>
                <w:rFonts w:ascii="Arial" w:cs="Arial" w:eastAsia="Arial" w:hAnsi="Arial"/>
                <w:sz w:val="18"/>
                <w:szCs w:val="18"/>
                <w:color w:val="auto"/>
              </w:rPr>
              <w:t>ARTICLE 6  DEFAULTS AND REMEDIES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0"/>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6.01</w:t>
            </w:r>
          </w:p>
        </w:tc>
        <w:tc>
          <w:tcPr>
            <w:tcW w:w="6520" w:type="dxa"/>
            <w:vAlign w:val="bottom"/>
          </w:tcPr>
          <w:p>
            <w:pPr>
              <w:ind w:left="340"/>
              <w:spacing w:after="0"/>
              <w:rPr>
                <w:sz w:val="20"/>
                <w:szCs w:val="20"/>
                <w:color w:val="auto"/>
              </w:rPr>
            </w:pPr>
            <w:r>
              <w:rPr>
                <w:rFonts w:ascii="Arial" w:cs="Arial" w:eastAsia="Arial" w:hAnsi="Arial"/>
                <w:sz w:val="18"/>
                <w:szCs w:val="18"/>
                <w:color w:val="auto"/>
              </w:rPr>
              <w:t>Events of Default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6.02</w:t>
            </w:r>
          </w:p>
        </w:tc>
        <w:tc>
          <w:tcPr>
            <w:tcW w:w="6520" w:type="dxa"/>
            <w:vAlign w:val="bottom"/>
          </w:tcPr>
          <w:p>
            <w:pPr>
              <w:ind w:left="340"/>
              <w:spacing w:after="0"/>
              <w:rPr>
                <w:sz w:val="20"/>
                <w:szCs w:val="20"/>
                <w:color w:val="auto"/>
              </w:rPr>
            </w:pPr>
            <w:r>
              <w:rPr>
                <w:rFonts w:ascii="Arial" w:cs="Arial" w:eastAsia="Arial" w:hAnsi="Arial"/>
                <w:sz w:val="18"/>
                <w:szCs w:val="18"/>
                <w:color w:val="auto"/>
              </w:rPr>
              <w:t>Acceleration</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6.03</w:t>
            </w:r>
          </w:p>
        </w:tc>
        <w:tc>
          <w:tcPr>
            <w:tcW w:w="6520" w:type="dxa"/>
            <w:vAlign w:val="bottom"/>
          </w:tcPr>
          <w:p>
            <w:pPr>
              <w:ind w:left="340"/>
              <w:spacing w:after="0"/>
              <w:rPr>
                <w:sz w:val="20"/>
                <w:szCs w:val="20"/>
                <w:color w:val="auto"/>
              </w:rPr>
            </w:pPr>
            <w:r>
              <w:rPr>
                <w:rFonts w:ascii="Arial" w:cs="Arial" w:eastAsia="Arial" w:hAnsi="Arial"/>
                <w:sz w:val="18"/>
                <w:szCs w:val="18"/>
                <w:color w:val="auto"/>
              </w:rPr>
              <w:t>Other Remedies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1600" w:type="dxa"/>
            <w:vAlign w:val="bottom"/>
            <w:gridSpan w:val="2"/>
          </w:tcPr>
          <w:p>
            <w:pPr>
              <w:ind w:left="360"/>
              <w:spacing w:after="0"/>
              <w:rPr>
                <w:sz w:val="20"/>
                <w:szCs w:val="20"/>
                <w:color w:val="auto"/>
              </w:rPr>
            </w:pPr>
            <w:r>
              <w:rPr>
                <w:rFonts w:ascii="Arial" w:cs="Arial" w:eastAsia="Arial" w:hAnsi="Arial"/>
                <w:sz w:val="18"/>
                <w:szCs w:val="18"/>
                <w:color w:val="auto"/>
              </w:rPr>
              <w:t>Section 6.04</w:t>
            </w:r>
          </w:p>
        </w:tc>
        <w:tc>
          <w:tcPr>
            <w:tcW w:w="6520" w:type="dxa"/>
            <w:vAlign w:val="bottom"/>
          </w:tcPr>
          <w:p>
            <w:pPr>
              <w:ind w:left="340"/>
              <w:spacing w:after="0"/>
              <w:rPr>
                <w:sz w:val="20"/>
                <w:szCs w:val="20"/>
                <w:color w:val="auto"/>
              </w:rPr>
            </w:pPr>
            <w:r>
              <w:rPr>
                <w:rFonts w:ascii="Arial" w:cs="Arial" w:eastAsia="Arial" w:hAnsi="Arial"/>
                <w:sz w:val="18"/>
                <w:szCs w:val="18"/>
                <w:color w:val="auto"/>
              </w:rPr>
              <w:t>Waiver of Past Defaults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2"/>
            <w:vMerge w:val="restart"/>
          </w:tcPr>
          <w:p>
            <w:pPr>
              <w:ind w:left="360"/>
              <w:spacing w:after="0"/>
              <w:rPr>
                <w:sz w:val="20"/>
                <w:szCs w:val="20"/>
                <w:color w:val="auto"/>
              </w:rPr>
            </w:pPr>
            <w:r>
              <w:rPr>
                <w:rFonts w:ascii="Arial" w:cs="Arial" w:eastAsia="Arial" w:hAnsi="Arial"/>
                <w:sz w:val="18"/>
                <w:szCs w:val="18"/>
                <w:color w:val="auto"/>
              </w:rPr>
              <w:t>Section 6.05</w:t>
            </w:r>
          </w:p>
        </w:tc>
        <w:tc>
          <w:tcPr>
            <w:tcW w:w="7940" w:type="dxa"/>
            <w:vAlign w:val="bottom"/>
            <w:vMerge w:val="restart"/>
          </w:tcPr>
          <w:p>
            <w:pPr>
              <w:ind w:left="20"/>
              <w:spacing w:after="0"/>
              <w:rPr>
                <w:sz w:val="20"/>
                <w:szCs w:val="20"/>
                <w:color w:val="auto"/>
              </w:rPr>
            </w:pPr>
            <w:r>
              <w:rPr>
                <w:rFonts w:ascii="Arial" w:cs="Arial" w:eastAsia="Arial" w:hAnsi="Arial"/>
                <w:sz w:val="18"/>
                <w:szCs w:val="18"/>
                <w:color w:val="auto"/>
              </w:rPr>
              <w:t>Control by Majority</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920" w:type="dxa"/>
            <w:vAlign w:val="bottom"/>
            <w:gridSpan w:val="2"/>
            <w:vMerge w:val="continue"/>
          </w:tcPr>
          <w:p>
            <w:pPr>
              <w:spacing w:after="0"/>
              <w:rPr>
                <w:sz w:val="16"/>
                <w:szCs w:val="16"/>
                <w:color w:val="auto"/>
              </w:rPr>
            </w:pPr>
          </w:p>
        </w:tc>
        <w:tc>
          <w:tcPr>
            <w:tcW w:w="794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6.06</w:t>
            </w:r>
          </w:p>
        </w:tc>
        <w:tc>
          <w:tcPr>
            <w:tcW w:w="7940" w:type="dxa"/>
            <w:vAlign w:val="bottom"/>
          </w:tcPr>
          <w:p>
            <w:pPr>
              <w:ind w:left="20"/>
              <w:spacing w:after="0"/>
              <w:rPr>
                <w:sz w:val="20"/>
                <w:szCs w:val="20"/>
                <w:color w:val="auto"/>
              </w:rPr>
            </w:pPr>
            <w:r>
              <w:rPr>
                <w:rFonts w:ascii="Arial" w:cs="Arial" w:eastAsia="Arial" w:hAnsi="Arial"/>
                <w:sz w:val="18"/>
                <w:szCs w:val="18"/>
                <w:color w:val="auto"/>
              </w:rPr>
              <w:t>Limitation on Suits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6.07</w:t>
            </w:r>
          </w:p>
        </w:tc>
        <w:tc>
          <w:tcPr>
            <w:tcW w:w="7940" w:type="dxa"/>
            <w:vAlign w:val="bottom"/>
          </w:tcPr>
          <w:p>
            <w:pPr>
              <w:ind w:left="20"/>
              <w:spacing w:after="0"/>
              <w:rPr>
                <w:sz w:val="20"/>
                <w:szCs w:val="20"/>
                <w:color w:val="auto"/>
              </w:rPr>
            </w:pPr>
            <w:r>
              <w:rPr>
                <w:rFonts w:ascii="Arial" w:cs="Arial" w:eastAsia="Arial" w:hAnsi="Arial"/>
                <w:sz w:val="18"/>
                <w:szCs w:val="18"/>
                <w:color w:val="auto"/>
              </w:rPr>
              <w:t>Rights of Holders of Notes to Receive Payment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6.08</w:t>
            </w:r>
          </w:p>
        </w:tc>
        <w:tc>
          <w:tcPr>
            <w:tcW w:w="7940" w:type="dxa"/>
            <w:vAlign w:val="bottom"/>
          </w:tcPr>
          <w:p>
            <w:pPr>
              <w:ind w:left="20"/>
              <w:spacing w:after="0"/>
              <w:rPr>
                <w:sz w:val="20"/>
                <w:szCs w:val="20"/>
                <w:color w:val="auto"/>
              </w:rPr>
            </w:pPr>
            <w:r>
              <w:rPr>
                <w:rFonts w:ascii="Arial" w:cs="Arial" w:eastAsia="Arial" w:hAnsi="Arial"/>
                <w:sz w:val="18"/>
                <w:szCs w:val="18"/>
                <w:color w:val="auto"/>
              </w:rPr>
              <w:t>Collection Suit by Trustee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6.09</w:t>
            </w:r>
          </w:p>
        </w:tc>
        <w:tc>
          <w:tcPr>
            <w:tcW w:w="7940" w:type="dxa"/>
            <w:vAlign w:val="bottom"/>
          </w:tcPr>
          <w:p>
            <w:pPr>
              <w:ind w:left="20"/>
              <w:spacing w:after="0"/>
              <w:rPr>
                <w:sz w:val="20"/>
                <w:szCs w:val="20"/>
                <w:color w:val="auto"/>
              </w:rPr>
            </w:pPr>
            <w:r>
              <w:rPr>
                <w:rFonts w:ascii="Arial" w:cs="Arial" w:eastAsia="Arial" w:hAnsi="Arial"/>
                <w:sz w:val="18"/>
                <w:szCs w:val="18"/>
                <w:color w:val="auto"/>
              </w:rPr>
              <w:t>Trustee May File Proofs of Claim</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6.10</w:t>
            </w:r>
          </w:p>
        </w:tc>
        <w:tc>
          <w:tcPr>
            <w:tcW w:w="7940" w:type="dxa"/>
            <w:vAlign w:val="bottom"/>
          </w:tcPr>
          <w:p>
            <w:pPr>
              <w:ind w:left="20"/>
              <w:spacing w:after="0"/>
              <w:rPr>
                <w:sz w:val="20"/>
                <w:szCs w:val="20"/>
                <w:color w:val="auto"/>
              </w:rPr>
            </w:pPr>
            <w:r>
              <w:rPr>
                <w:rFonts w:ascii="Arial" w:cs="Arial" w:eastAsia="Arial" w:hAnsi="Arial"/>
                <w:sz w:val="18"/>
                <w:szCs w:val="18"/>
                <w:color w:val="auto"/>
              </w:rPr>
              <w:t>Priorities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6.11</w:t>
            </w:r>
          </w:p>
        </w:tc>
        <w:tc>
          <w:tcPr>
            <w:tcW w:w="7940" w:type="dxa"/>
            <w:vAlign w:val="bottom"/>
          </w:tcPr>
          <w:p>
            <w:pPr>
              <w:ind w:left="20"/>
              <w:spacing w:after="0"/>
              <w:rPr>
                <w:sz w:val="20"/>
                <w:szCs w:val="20"/>
                <w:color w:val="auto"/>
              </w:rPr>
            </w:pPr>
            <w:r>
              <w:rPr>
                <w:rFonts w:ascii="Arial" w:cs="Arial" w:eastAsia="Arial" w:hAnsi="Arial"/>
                <w:sz w:val="18"/>
                <w:szCs w:val="18"/>
                <w:color w:val="auto"/>
              </w:rPr>
              <w:t>Undertaking for Costs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6.12</w:t>
            </w:r>
          </w:p>
        </w:tc>
        <w:tc>
          <w:tcPr>
            <w:tcW w:w="7940" w:type="dxa"/>
            <w:vAlign w:val="bottom"/>
          </w:tcPr>
          <w:p>
            <w:pPr>
              <w:ind w:left="20"/>
              <w:spacing w:after="0"/>
              <w:rPr>
                <w:sz w:val="20"/>
                <w:szCs w:val="20"/>
                <w:color w:val="auto"/>
              </w:rPr>
            </w:pPr>
            <w:r>
              <w:rPr>
                <w:rFonts w:ascii="Arial" w:cs="Arial" w:eastAsia="Arial" w:hAnsi="Arial"/>
                <w:sz w:val="18"/>
                <w:szCs w:val="18"/>
                <w:color w:val="auto"/>
              </w:rPr>
              <w:t>Restoration of Rights and Remedies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6.13</w:t>
            </w:r>
          </w:p>
        </w:tc>
        <w:tc>
          <w:tcPr>
            <w:tcW w:w="7940" w:type="dxa"/>
            <w:vAlign w:val="bottom"/>
          </w:tcPr>
          <w:p>
            <w:pPr>
              <w:ind w:left="20"/>
              <w:spacing w:after="0"/>
              <w:rPr>
                <w:sz w:val="20"/>
                <w:szCs w:val="20"/>
                <w:color w:val="auto"/>
              </w:rPr>
            </w:pPr>
            <w:r>
              <w:rPr>
                <w:rFonts w:ascii="Arial" w:cs="Arial" w:eastAsia="Arial" w:hAnsi="Arial"/>
                <w:sz w:val="18"/>
                <w:szCs w:val="18"/>
                <w:color w:val="auto"/>
              </w:rPr>
              <w:t>Waiver of Stay, Extension or Usury Laws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ARTICLE 7</w:t>
            </w:r>
          </w:p>
        </w:tc>
        <w:tc>
          <w:tcPr>
            <w:tcW w:w="880" w:type="dxa"/>
            <w:vAlign w:val="bottom"/>
          </w:tcPr>
          <w:p>
            <w:pPr>
              <w:ind w:left="60"/>
              <w:spacing w:after="0"/>
              <w:rPr>
                <w:sz w:val="20"/>
                <w:szCs w:val="20"/>
                <w:color w:val="auto"/>
              </w:rPr>
            </w:pPr>
            <w:r>
              <w:rPr>
                <w:rFonts w:ascii="Arial" w:cs="Arial" w:eastAsia="Arial" w:hAnsi="Arial"/>
                <w:sz w:val="18"/>
                <w:szCs w:val="18"/>
                <w:color w:val="auto"/>
                <w:w w:val="95"/>
              </w:rPr>
              <w:t>TRUSTEE</w:t>
            </w:r>
          </w:p>
        </w:tc>
        <w:tc>
          <w:tcPr>
            <w:tcW w:w="79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0"/>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7.01</w:t>
            </w:r>
          </w:p>
        </w:tc>
        <w:tc>
          <w:tcPr>
            <w:tcW w:w="7940" w:type="dxa"/>
            <w:vAlign w:val="bottom"/>
          </w:tcPr>
          <w:p>
            <w:pPr>
              <w:ind w:left="20"/>
              <w:spacing w:after="0"/>
              <w:rPr>
                <w:sz w:val="20"/>
                <w:szCs w:val="20"/>
                <w:color w:val="auto"/>
              </w:rPr>
            </w:pPr>
            <w:r>
              <w:rPr>
                <w:rFonts w:ascii="Arial" w:cs="Arial" w:eastAsia="Arial" w:hAnsi="Arial"/>
                <w:sz w:val="18"/>
                <w:szCs w:val="18"/>
                <w:color w:val="auto"/>
              </w:rPr>
              <w:t>Duties of Trustee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7.02</w:t>
            </w:r>
          </w:p>
        </w:tc>
        <w:tc>
          <w:tcPr>
            <w:tcW w:w="7940" w:type="dxa"/>
            <w:vAlign w:val="bottom"/>
          </w:tcPr>
          <w:p>
            <w:pPr>
              <w:ind w:left="20"/>
              <w:spacing w:after="0"/>
              <w:rPr>
                <w:sz w:val="20"/>
                <w:szCs w:val="20"/>
                <w:color w:val="auto"/>
              </w:rPr>
            </w:pPr>
            <w:r>
              <w:rPr>
                <w:rFonts w:ascii="Arial" w:cs="Arial" w:eastAsia="Arial" w:hAnsi="Arial"/>
                <w:sz w:val="18"/>
                <w:szCs w:val="18"/>
                <w:color w:val="auto"/>
              </w:rPr>
              <w:t>Rights of Trustee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7.03</w:t>
            </w:r>
          </w:p>
        </w:tc>
        <w:tc>
          <w:tcPr>
            <w:tcW w:w="7940" w:type="dxa"/>
            <w:vAlign w:val="bottom"/>
          </w:tcPr>
          <w:p>
            <w:pPr>
              <w:ind w:left="20"/>
              <w:spacing w:after="0"/>
              <w:rPr>
                <w:sz w:val="20"/>
                <w:szCs w:val="20"/>
                <w:color w:val="auto"/>
              </w:rPr>
            </w:pPr>
            <w:r>
              <w:rPr>
                <w:rFonts w:ascii="Arial" w:cs="Arial" w:eastAsia="Arial" w:hAnsi="Arial"/>
                <w:sz w:val="18"/>
                <w:szCs w:val="18"/>
                <w:color w:val="auto"/>
              </w:rPr>
              <w:t>Individual Rights of Trustee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7.04</w:t>
            </w:r>
          </w:p>
        </w:tc>
        <w:tc>
          <w:tcPr>
            <w:tcW w:w="7940" w:type="dxa"/>
            <w:vAlign w:val="bottom"/>
          </w:tcPr>
          <w:p>
            <w:pPr>
              <w:ind w:left="20"/>
              <w:spacing w:after="0"/>
              <w:rPr>
                <w:sz w:val="20"/>
                <w:szCs w:val="20"/>
                <w:color w:val="auto"/>
              </w:rPr>
            </w:pPr>
            <w:r>
              <w:rPr>
                <w:rFonts w:ascii="Arial" w:cs="Arial" w:eastAsia="Arial" w:hAnsi="Arial"/>
                <w:sz w:val="18"/>
                <w:szCs w:val="18"/>
                <w:color w:val="auto"/>
              </w:rPr>
              <w:t>Trustee’s Disclaimer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7.05</w:t>
            </w:r>
          </w:p>
        </w:tc>
        <w:tc>
          <w:tcPr>
            <w:tcW w:w="7940" w:type="dxa"/>
            <w:vAlign w:val="bottom"/>
          </w:tcPr>
          <w:p>
            <w:pPr>
              <w:ind w:left="20"/>
              <w:spacing w:after="0"/>
              <w:rPr>
                <w:sz w:val="20"/>
                <w:szCs w:val="20"/>
                <w:color w:val="auto"/>
              </w:rPr>
            </w:pPr>
            <w:r>
              <w:rPr>
                <w:rFonts w:ascii="Arial" w:cs="Arial" w:eastAsia="Arial" w:hAnsi="Arial"/>
                <w:sz w:val="18"/>
                <w:szCs w:val="18"/>
                <w:color w:val="auto"/>
              </w:rPr>
              <w:t>Notice of Defaults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7.06</w:t>
            </w:r>
          </w:p>
        </w:tc>
        <w:tc>
          <w:tcPr>
            <w:tcW w:w="7940" w:type="dxa"/>
            <w:vAlign w:val="bottom"/>
          </w:tcPr>
          <w:p>
            <w:pPr>
              <w:ind w:left="20"/>
              <w:spacing w:after="0"/>
              <w:rPr>
                <w:sz w:val="20"/>
                <w:szCs w:val="20"/>
                <w:color w:val="auto"/>
              </w:rPr>
            </w:pPr>
            <w:r>
              <w:rPr>
                <w:rFonts w:ascii="Arial" w:cs="Arial" w:eastAsia="Arial" w:hAnsi="Arial"/>
                <w:sz w:val="18"/>
                <w:szCs w:val="18"/>
                <w:color w:val="auto"/>
              </w:rPr>
              <w:t>Reports by Trustee to Holders of the Notes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7.07</w:t>
            </w:r>
          </w:p>
        </w:tc>
        <w:tc>
          <w:tcPr>
            <w:tcW w:w="7940" w:type="dxa"/>
            <w:vAlign w:val="bottom"/>
          </w:tcPr>
          <w:p>
            <w:pPr>
              <w:ind w:left="20"/>
              <w:spacing w:after="0"/>
              <w:rPr>
                <w:sz w:val="20"/>
                <w:szCs w:val="20"/>
                <w:color w:val="auto"/>
              </w:rPr>
            </w:pPr>
            <w:r>
              <w:rPr>
                <w:rFonts w:ascii="Arial" w:cs="Arial" w:eastAsia="Arial" w:hAnsi="Arial"/>
                <w:sz w:val="18"/>
                <w:szCs w:val="18"/>
                <w:color w:val="auto"/>
              </w:rPr>
              <w:t>Compensation and Indemnity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7.08</w:t>
            </w:r>
          </w:p>
        </w:tc>
        <w:tc>
          <w:tcPr>
            <w:tcW w:w="7940" w:type="dxa"/>
            <w:vAlign w:val="bottom"/>
          </w:tcPr>
          <w:p>
            <w:pPr>
              <w:ind w:left="20"/>
              <w:spacing w:after="0"/>
              <w:rPr>
                <w:sz w:val="20"/>
                <w:szCs w:val="20"/>
                <w:color w:val="auto"/>
              </w:rPr>
            </w:pPr>
            <w:r>
              <w:rPr>
                <w:rFonts w:ascii="Arial" w:cs="Arial" w:eastAsia="Arial" w:hAnsi="Arial"/>
                <w:sz w:val="18"/>
                <w:szCs w:val="18"/>
                <w:color w:val="auto"/>
              </w:rPr>
              <w:t>Replacement of Trustee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7.09</w:t>
            </w:r>
          </w:p>
        </w:tc>
        <w:tc>
          <w:tcPr>
            <w:tcW w:w="7940" w:type="dxa"/>
            <w:vAlign w:val="bottom"/>
          </w:tcPr>
          <w:p>
            <w:pPr>
              <w:ind w:left="20"/>
              <w:spacing w:after="0"/>
              <w:rPr>
                <w:sz w:val="20"/>
                <w:szCs w:val="20"/>
                <w:color w:val="auto"/>
              </w:rPr>
            </w:pPr>
            <w:r>
              <w:rPr>
                <w:rFonts w:ascii="Arial" w:cs="Arial" w:eastAsia="Arial" w:hAnsi="Arial"/>
                <w:sz w:val="18"/>
                <w:szCs w:val="18"/>
                <w:color w:val="auto"/>
              </w:rPr>
              <w:t>Successor Trustee by Merger, etc</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7.10</w:t>
            </w:r>
          </w:p>
        </w:tc>
        <w:tc>
          <w:tcPr>
            <w:tcW w:w="7940" w:type="dxa"/>
            <w:vAlign w:val="bottom"/>
          </w:tcPr>
          <w:p>
            <w:pPr>
              <w:ind w:left="20"/>
              <w:spacing w:after="0"/>
              <w:rPr>
                <w:sz w:val="20"/>
                <w:szCs w:val="20"/>
                <w:color w:val="auto"/>
              </w:rPr>
            </w:pPr>
            <w:r>
              <w:rPr>
                <w:rFonts w:ascii="Arial" w:cs="Arial" w:eastAsia="Arial" w:hAnsi="Arial"/>
                <w:sz w:val="18"/>
                <w:szCs w:val="18"/>
                <w:color w:val="auto"/>
              </w:rPr>
              <w:t>Eligibility; Disqualification</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7.11</w:t>
            </w:r>
          </w:p>
        </w:tc>
        <w:tc>
          <w:tcPr>
            <w:tcW w:w="7940" w:type="dxa"/>
            <w:vAlign w:val="bottom"/>
          </w:tcPr>
          <w:p>
            <w:pPr>
              <w:ind w:left="20"/>
              <w:spacing w:after="0"/>
              <w:rPr>
                <w:sz w:val="20"/>
                <w:szCs w:val="20"/>
                <w:color w:val="auto"/>
              </w:rPr>
            </w:pPr>
            <w:r>
              <w:rPr>
                <w:rFonts w:ascii="Arial" w:cs="Arial" w:eastAsia="Arial" w:hAnsi="Arial"/>
                <w:sz w:val="18"/>
                <w:szCs w:val="18"/>
                <w:color w:val="auto"/>
              </w:rPr>
              <w:t>Preferential Collection of Claims Against Company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9860" w:type="dxa"/>
            <w:vAlign w:val="bottom"/>
            <w:gridSpan w:val="3"/>
          </w:tcPr>
          <w:p>
            <w:pPr>
              <w:spacing w:after="0"/>
              <w:rPr>
                <w:sz w:val="20"/>
                <w:szCs w:val="20"/>
                <w:color w:val="auto"/>
              </w:rPr>
            </w:pPr>
            <w:r>
              <w:rPr>
                <w:rFonts w:ascii="Arial" w:cs="Arial" w:eastAsia="Arial" w:hAnsi="Arial"/>
                <w:sz w:val="18"/>
                <w:szCs w:val="18"/>
                <w:color w:val="auto"/>
              </w:rPr>
              <w:t>ARTICLE 8  LEGAL DEFEASANCE AND COVENANT DEFEASANCE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0"/>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8.01</w:t>
            </w:r>
          </w:p>
        </w:tc>
        <w:tc>
          <w:tcPr>
            <w:tcW w:w="7940" w:type="dxa"/>
            <w:vAlign w:val="bottom"/>
          </w:tcPr>
          <w:p>
            <w:pPr>
              <w:ind w:left="20"/>
              <w:spacing w:after="0"/>
              <w:rPr>
                <w:sz w:val="20"/>
                <w:szCs w:val="20"/>
                <w:color w:val="auto"/>
              </w:rPr>
            </w:pPr>
            <w:r>
              <w:rPr>
                <w:rFonts w:ascii="Arial" w:cs="Arial" w:eastAsia="Arial" w:hAnsi="Arial"/>
                <w:sz w:val="18"/>
                <w:szCs w:val="18"/>
                <w:color w:val="auto"/>
              </w:rPr>
              <w:t>Option to Effect Legal Defeasance or Covenant Defeasance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8.02</w:t>
            </w:r>
          </w:p>
        </w:tc>
        <w:tc>
          <w:tcPr>
            <w:tcW w:w="7940" w:type="dxa"/>
            <w:vAlign w:val="bottom"/>
          </w:tcPr>
          <w:p>
            <w:pPr>
              <w:ind w:left="20"/>
              <w:spacing w:after="0"/>
              <w:rPr>
                <w:sz w:val="20"/>
                <w:szCs w:val="20"/>
                <w:color w:val="auto"/>
              </w:rPr>
            </w:pPr>
            <w:r>
              <w:rPr>
                <w:rFonts w:ascii="Arial" w:cs="Arial" w:eastAsia="Arial" w:hAnsi="Arial"/>
                <w:sz w:val="18"/>
                <w:szCs w:val="18"/>
                <w:color w:val="auto"/>
              </w:rPr>
              <w:t>Legal Defeasance and Discharge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8.03</w:t>
            </w:r>
          </w:p>
        </w:tc>
        <w:tc>
          <w:tcPr>
            <w:tcW w:w="7940" w:type="dxa"/>
            <w:vAlign w:val="bottom"/>
          </w:tcPr>
          <w:p>
            <w:pPr>
              <w:ind w:left="20"/>
              <w:spacing w:after="0"/>
              <w:rPr>
                <w:sz w:val="20"/>
                <w:szCs w:val="20"/>
                <w:color w:val="auto"/>
              </w:rPr>
            </w:pPr>
            <w:r>
              <w:rPr>
                <w:rFonts w:ascii="Arial" w:cs="Arial" w:eastAsia="Arial" w:hAnsi="Arial"/>
                <w:sz w:val="18"/>
                <w:szCs w:val="18"/>
                <w:color w:val="auto"/>
              </w:rPr>
              <w:t>Covenant Defeasance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8.04</w:t>
            </w:r>
          </w:p>
        </w:tc>
        <w:tc>
          <w:tcPr>
            <w:tcW w:w="7940" w:type="dxa"/>
            <w:vAlign w:val="bottom"/>
          </w:tcPr>
          <w:p>
            <w:pPr>
              <w:ind w:left="20"/>
              <w:spacing w:after="0"/>
              <w:rPr>
                <w:sz w:val="20"/>
                <w:szCs w:val="20"/>
                <w:color w:val="auto"/>
              </w:rPr>
            </w:pPr>
            <w:r>
              <w:rPr>
                <w:rFonts w:ascii="Arial" w:cs="Arial" w:eastAsia="Arial" w:hAnsi="Arial"/>
                <w:sz w:val="18"/>
                <w:szCs w:val="18"/>
                <w:color w:val="auto"/>
              </w:rPr>
              <w:t>Conditions to Legal or Covenant Defeasance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8.05</w:t>
            </w:r>
          </w:p>
        </w:tc>
        <w:tc>
          <w:tcPr>
            <w:tcW w:w="7940" w:type="dxa"/>
            <w:vAlign w:val="bottom"/>
          </w:tcPr>
          <w:p>
            <w:pPr>
              <w:ind w:left="2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8.06</w:t>
            </w:r>
          </w:p>
        </w:tc>
        <w:tc>
          <w:tcPr>
            <w:tcW w:w="7940" w:type="dxa"/>
            <w:vAlign w:val="bottom"/>
          </w:tcPr>
          <w:p>
            <w:pPr>
              <w:ind w:left="20"/>
              <w:spacing w:after="0"/>
              <w:rPr>
                <w:sz w:val="20"/>
                <w:szCs w:val="20"/>
                <w:color w:val="auto"/>
              </w:rPr>
            </w:pPr>
            <w:r>
              <w:rPr>
                <w:rFonts w:ascii="Arial" w:cs="Arial" w:eastAsia="Arial" w:hAnsi="Arial"/>
                <w:sz w:val="18"/>
                <w:szCs w:val="18"/>
                <w:color w:val="auto"/>
              </w:rPr>
              <w:t>Repayment to Company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8.07</w:t>
            </w:r>
          </w:p>
        </w:tc>
        <w:tc>
          <w:tcPr>
            <w:tcW w:w="7940" w:type="dxa"/>
            <w:vAlign w:val="bottom"/>
          </w:tcPr>
          <w:p>
            <w:pPr>
              <w:ind w:left="20"/>
              <w:spacing w:after="0"/>
              <w:rPr>
                <w:sz w:val="20"/>
                <w:szCs w:val="20"/>
                <w:color w:val="auto"/>
              </w:rPr>
            </w:pPr>
            <w:r>
              <w:rPr>
                <w:rFonts w:ascii="Arial" w:cs="Arial" w:eastAsia="Arial" w:hAnsi="Arial"/>
                <w:sz w:val="18"/>
                <w:szCs w:val="18"/>
                <w:color w:val="auto"/>
              </w:rPr>
              <w:t>Reinstatement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32"/>
        </w:trPr>
        <w:tc>
          <w:tcPr>
            <w:tcW w:w="9860" w:type="dxa"/>
            <w:vAlign w:val="bottom"/>
            <w:gridSpan w:val="3"/>
          </w:tcPr>
          <w:p>
            <w:pPr>
              <w:spacing w:after="0"/>
              <w:rPr>
                <w:sz w:val="20"/>
                <w:szCs w:val="20"/>
                <w:color w:val="auto"/>
              </w:rPr>
            </w:pPr>
            <w:r>
              <w:rPr>
                <w:rFonts w:ascii="Arial" w:cs="Arial" w:eastAsia="Arial" w:hAnsi="Arial"/>
                <w:sz w:val="18"/>
                <w:szCs w:val="18"/>
                <w:color w:val="auto"/>
              </w:rPr>
              <w:t>ARTICLE 9  AMENDMENT, SUPPLEMENT AND WAIVER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0"/>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9.01</w:t>
            </w:r>
          </w:p>
        </w:tc>
        <w:tc>
          <w:tcPr>
            <w:tcW w:w="7940" w:type="dxa"/>
            <w:vAlign w:val="bottom"/>
          </w:tcPr>
          <w:p>
            <w:pPr>
              <w:ind w:left="20"/>
              <w:spacing w:after="0"/>
              <w:rPr>
                <w:sz w:val="20"/>
                <w:szCs w:val="20"/>
                <w:color w:val="auto"/>
              </w:rPr>
            </w:pPr>
            <w:r>
              <w:rPr>
                <w:rFonts w:ascii="Arial" w:cs="Arial" w:eastAsia="Arial" w:hAnsi="Arial"/>
                <w:sz w:val="18"/>
                <w:szCs w:val="18"/>
                <w:color w:val="auto"/>
              </w:rPr>
              <w:t>Without Consent of Holders of Notes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9.02</w:t>
            </w:r>
          </w:p>
        </w:tc>
        <w:tc>
          <w:tcPr>
            <w:tcW w:w="7940" w:type="dxa"/>
            <w:vAlign w:val="bottom"/>
          </w:tcPr>
          <w:p>
            <w:pPr>
              <w:ind w:left="20"/>
              <w:spacing w:after="0"/>
              <w:rPr>
                <w:sz w:val="20"/>
                <w:szCs w:val="20"/>
                <w:color w:val="auto"/>
              </w:rPr>
            </w:pPr>
            <w:r>
              <w:rPr>
                <w:rFonts w:ascii="Arial" w:cs="Arial" w:eastAsia="Arial" w:hAnsi="Arial"/>
                <w:sz w:val="18"/>
                <w:szCs w:val="18"/>
                <w:color w:val="auto"/>
              </w:rPr>
              <w:t>With Consent of Holders of Notes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9.03</w:t>
            </w:r>
          </w:p>
        </w:tc>
        <w:tc>
          <w:tcPr>
            <w:tcW w:w="7940" w:type="dxa"/>
            <w:vAlign w:val="bottom"/>
          </w:tcPr>
          <w:p>
            <w:pPr>
              <w:ind w:left="20"/>
              <w:spacing w:after="0"/>
              <w:rPr>
                <w:sz w:val="20"/>
                <w:szCs w:val="20"/>
                <w:color w:val="auto"/>
              </w:rPr>
            </w:pPr>
            <w:r>
              <w:rPr>
                <w:rFonts w:ascii="Arial" w:cs="Arial" w:eastAsia="Arial" w:hAnsi="Arial"/>
                <w:sz w:val="18"/>
                <w:szCs w:val="18"/>
                <w:color w:val="auto"/>
              </w:rPr>
              <w:t>Compliance with Trust Indenture Act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9.04</w:t>
            </w:r>
          </w:p>
        </w:tc>
        <w:tc>
          <w:tcPr>
            <w:tcW w:w="7940" w:type="dxa"/>
            <w:vAlign w:val="bottom"/>
          </w:tcPr>
          <w:p>
            <w:pPr>
              <w:ind w:left="20"/>
              <w:spacing w:after="0"/>
              <w:rPr>
                <w:sz w:val="20"/>
                <w:szCs w:val="20"/>
                <w:color w:val="auto"/>
              </w:rPr>
            </w:pPr>
            <w:r>
              <w:rPr>
                <w:rFonts w:ascii="Arial" w:cs="Arial" w:eastAsia="Arial" w:hAnsi="Arial"/>
                <w:sz w:val="18"/>
                <w:szCs w:val="18"/>
                <w:color w:val="auto"/>
              </w:rPr>
              <w:t>Revocation and Effect of Consents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9.05</w:t>
            </w:r>
          </w:p>
        </w:tc>
        <w:tc>
          <w:tcPr>
            <w:tcW w:w="7940" w:type="dxa"/>
            <w:vAlign w:val="bottom"/>
          </w:tcPr>
          <w:p>
            <w:pPr>
              <w:ind w:left="20"/>
              <w:spacing w:after="0"/>
              <w:rPr>
                <w:sz w:val="20"/>
                <w:szCs w:val="20"/>
                <w:color w:val="auto"/>
              </w:rPr>
            </w:pPr>
            <w:r>
              <w:rPr>
                <w:rFonts w:ascii="Arial" w:cs="Arial" w:eastAsia="Arial" w:hAnsi="Arial"/>
                <w:sz w:val="18"/>
                <w:szCs w:val="18"/>
                <w:color w:val="auto"/>
              </w:rPr>
              <w:t>Notation on or Exchange of Notes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9.06</w:t>
            </w:r>
          </w:p>
        </w:tc>
        <w:tc>
          <w:tcPr>
            <w:tcW w:w="7940" w:type="dxa"/>
            <w:vAlign w:val="bottom"/>
          </w:tcPr>
          <w:p>
            <w:pPr>
              <w:ind w:left="20"/>
              <w:spacing w:after="0"/>
              <w:rPr>
                <w:sz w:val="20"/>
                <w:szCs w:val="20"/>
                <w:color w:val="auto"/>
              </w:rPr>
            </w:pPr>
            <w:r>
              <w:rPr>
                <w:rFonts w:ascii="Arial" w:cs="Arial" w:eastAsia="Arial" w:hAnsi="Arial"/>
                <w:sz w:val="18"/>
                <w:szCs w:val="18"/>
                <w:color w:val="auto"/>
              </w:rPr>
              <w:t>Trustee to Sign Amendments, etc</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2"/>
        </w:trPr>
        <w:tc>
          <w:tcPr>
            <w:tcW w:w="9860" w:type="dxa"/>
            <w:vAlign w:val="bottom"/>
            <w:gridSpan w:val="3"/>
          </w:tcPr>
          <w:p>
            <w:pPr>
              <w:spacing w:after="0"/>
              <w:rPr>
                <w:sz w:val="20"/>
                <w:szCs w:val="20"/>
                <w:color w:val="auto"/>
              </w:rPr>
            </w:pPr>
            <w:r>
              <w:rPr>
                <w:rFonts w:ascii="Arial" w:cs="Arial" w:eastAsia="Arial" w:hAnsi="Arial"/>
                <w:sz w:val="18"/>
                <w:szCs w:val="18"/>
                <w:color w:val="auto"/>
              </w:rPr>
              <w:t>ARTICLE 10  SATISFACTION AND DISCHARGE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0"/>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10.01</w:t>
            </w:r>
          </w:p>
        </w:tc>
        <w:tc>
          <w:tcPr>
            <w:tcW w:w="7940" w:type="dxa"/>
            <w:vAlign w:val="bottom"/>
          </w:tcPr>
          <w:p>
            <w:pPr>
              <w:ind w:left="20"/>
              <w:spacing w:after="0"/>
              <w:rPr>
                <w:sz w:val="20"/>
                <w:szCs w:val="20"/>
                <w:color w:val="auto"/>
              </w:rPr>
            </w:pPr>
            <w:r>
              <w:rPr>
                <w:rFonts w:ascii="Arial" w:cs="Arial" w:eastAsia="Arial" w:hAnsi="Arial"/>
                <w:sz w:val="18"/>
                <w:szCs w:val="18"/>
                <w:color w:val="auto"/>
              </w:rPr>
              <w:t>Satisfaction and Discharge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10.02</w:t>
            </w:r>
          </w:p>
        </w:tc>
        <w:tc>
          <w:tcPr>
            <w:tcW w:w="7940" w:type="dxa"/>
            <w:vAlign w:val="bottom"/>
          </w:tcPr>
          <w:p>
            <w:pPr>
              <w:ind w:left="20"/>
              <w:spacing w:after="0"/>
              <w:rPr>
                <w:sz w:val="20"/>
                <w:szCs w:val="20"/>
                <w:color w:val="auto"/>
              </w:rPr>
            </w:pPr>
            <w:r>
              <w:rPr>
                <w:rFonts w:ascii="Arial" w:cs="Arial" w:eastAsia="Arial" w:hAnsi="Arial"/>
                <w:sz w:val="18"/>
                <w:szCs w:val="18"/>
                <w:color w:val="auto"/>
              </w:rPr>
              <w:t>Application of Trust Money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ARTICLE 11</w:t>
            </w: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MISCELLANEOUS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0"/>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11.01</w:t>
            </w:r>
          </w:p>
        </w:tc>
        <w:tc>
          <w:tcPr>
            <w:tcW w:w="7940" w:type="dxa"/>
            <w:vAlign w:val="bottom"/>
          </w:tcPr>
          <w:p>
            <w:pPr>
              <w:ind w:left="20"/>
              <w:spacing w:after="0"/>
              <w:rPr>
                <w:sz w:val="20"/>
                <w:szCs w:val="20"/>
                <w:color w:val="auto"/>
              </w:rPr>
            </w:pPr>
            <w:r>
              <w:rPr>
                <w:rFonts w:ascii="Arial" w:cs="Arial" w:eastAsia="Arial" w:hAnsi="Arial"/>
                <w:sz w:val="18"/>
                <w:szCs w:val="18"/>
                <w:color w:val="auto"/>
              </w:rPr>
              <w:t>Trust Indenture Act Controls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11.02</w:t>
            </w:r>
          </w:p>
        </w:tc>
        <w:tc>
          <w:tcPr>
            <w:tcW w:w="7940" w:type="dxa"/>
            <w:vAlign w:val="bottom"/>
          </w:tcPr>
          <w:p>
            <w:pPr>
              <w:ind w:left="20"/>
              <w:spacing w:after="0"/>
              <w:rPr>
                <w:sz w:val="20"/>
                <w:szCs w:val="20"/>
                <w:color w:val="auto"/>
              </w:rPr>
            </w:pPr>
            <w:r>
              <w:rPr>
                <w:rFonts w:ascii="Arial" w:cs="Arial" w:eastAsia="Arial" w:hAnsi="Arial"/>
                <w:sz w:val="18"/>
                <w:szCs w:val="18"/>
                <w:color w:val="auto"/>
              </w:rPr>
              <w:t>Notices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11.03</w:t>
            </w:r>
          </w:p>
        </w:tc>
        <w:tc>
          <w:tcPr>
            <w:tcW w:w="7940" w:type="dxa"/>
            <w:vAlign w:val="bottom"/>
          </w:tcPr>
          <w:p>
            <w:pPr>
              <w:ind w:left="20"/>
              <w:spacing w:after="0"/>
              <w:rPr>
                <w:sz w:val="20"/>
                <w:szCs w:val="20"/>
                <w:color w:val="auto"/>
              </w:rPr>
            </w:pPr>
            <w:r>
              <w:rPr>
                <w:rFonts w:ascii="Arial" w:cs="Arial" w:eastAsia="Arial" w:hAnsi="Arial"/>
                <w:sz w:val="18"/>
                <w:szCs w:val="18"/>
                <w:color w:val="auto"/>
              </w:rPr>
              <w:t>Communication by Holders of Notes with Other Holders of Notes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1920" w:type="dxa"/>
            <w:vAlign w:val="bottom"/>
            <w:gridSpan w:val="2"/>
          </w:tcPr>
          <w:p>
            <w:pPr>
              <w:ind w:left="360"/>
              <w:spacing w:after="0"/>
              <w:rPr>
                <w:sz w:val="20"/>
                <w:szCs w:val="20"/>
                <w:color w:val="auto"/>
              </w:rPr>
            </w:pPr>
            <w:r>
              <w:rPr>
                <w:rFonts w:ascii="Arial" w:cs="Arial" w:eastAsia="Arial" w:hAnsi="Arial"/>
                <w:sz w:val="18"/>
                <w:szCs w:val="18"/>
                <w:color w:val="auto"/>
              </w:rPr>
              <w:t>Section 11.04</w:t>
            </w:r>
          </w:p>
        </w:tc>
        <w:tc>
          <w:tcPr>
            <w:tcW w:w="7940" w:type="dxa"/>
            <w:vAlign w:val="bottom"/>
          </w:tcPr>
          <w:p>
            <w:pPr>
              <w:ind w:left="20"/>
              <w:spacing w:after="0"/>
              <w:rPr>
                <w:sz w:val="20"/>
                <w:szCs w:val="20"/>
                <w:color w:val="auto"/>
              </w:rPr>
            </w:pPr>
            <w:r>
              <w:rPr>
                <w:rFonts w:ascii="Arial" w:cs="Arial" w:eastAsia="Arial" w:hAnsi="Arial"/>
                <w:sz w:val="18"/>
                <w:szCs w:val="18"/>
                <w:color w:val="auto"/>
              </w:rPr>
              <w:t>Certificate and Opinion as to Conditions Precedent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0" w:right="479" w:bottom="1440" w:gutter="0" w:footer="0" w:header="0"/>
        </w:sectPr>
      </w:pPr>
    </w:p>
    <w:bookmarkStart w:id="42" w:name="page43"/>
    <w:bookmarkEnd w:id="42"/>
    <w:p>
      <w:pPr>
        <w:jc w:val="center"/>
        <w:ind w:right="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vMerge w:val="restart"/>
          </w:tcPr>
          <w:p>
            <w:pPr>
              <w:spacing w:after="0"/>
              <w:rPr>
                <w:sz w:val="20"/>
                <w:szCs w:val="20"/>
                <w:color w:val="auto"/>
              </w:rPr>
            </w:pPr>
            <w:r>
              <w:rPr>
                <w:rFonts w:ascii="Arial" w:cs="Arial" w:eastAsia="Arial" w:hAnsi="Arial"/>
                <w:sz w:val="18"/>
                <w:szCs w:val="18"/>
                <w:color w:val="auto"/>
              </w:rPr>
              <w:t>Section 11.05</w:t>
            </w:r>
          </w:p>
        </w:tc>
        <w:tc>
          <w:tcPr>
            <w:tcW w:w="7320" w:type="dxa"/>
            <w:vAlign w:val="bottom"/>
            <w:vMerge w:val="restart"/>
          </w:tcPr>
          <w:p>
            <w:pPr>
              <w:ind w:left="300"/>
              <w:spacing w:after="0"/>
              <w:rPr>
                <w:sz w:val="20"/>
                <w:szCs w:val="20"/>
                <w:color w:val="auto"/>
              </w:rPr>
            </w:pPr>
            <w:r>
              <w:rPr>
                <w:rFonts w:ascii="Arial" w:cs="Arial" w:eastAsia="Arial" w:hAnsi="Arial"/>
                <w:sz w:val="18"/>
                <w:szCs w:val="18"/>
                <w:color w:val="auto"/>
              </w:rPr>
              <w:t>Statements Required in Certificate or Opinion</w:t>
            </w: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280" w:type="dxa"/>
            <w:vAlign w:val="bottom"/>
            <w:vMerge w:val="continue"/>
          </w:tcPr>
          <w:p>
            <w:pPr>
              <w:spacing w:after="0"/>
              <w:rPr>
                <w:sz w:val="16"/>
                <w:szCs w:val="16"/>
                <w:color w:val="auto"/>
              </w:rPr>
            </w:pPr>
          </w:p>
        </w:tc>
        <w:tc>
          <w:tcPr>
            <w:tcW w:w="7320" w:type="dxa"/>
            <w:vAlign w:val="bottom"/>
            <w:vMerge w:val="continue"/>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11.06</w:t>
            </w:r>
          </w:p>
        </w:tc>
        <w:tc>
          <w:tcPr>
            <w:tcW w:w="7320" w:type="dxa"/>
            <w:vAlign w:val="bottom"/>
          </w:tcPr>
          <w:p>
            <w:pPr>
              <w:ind w:left="300"/>
              <w:spacing w:after="0"/>
              <w:rPr>
                <w:sz w:val="20"/>
                <w:szCs w:val="20"/>
                <w:color w:val="auto"/>
              </w:rPr>
            </w:pPr>
            <w:r>
              <w:rPr>
                <w:rFonts w:ascii="Arial" w:cs="Arial" w:eastAsia="Arial" w:hAnsi="Arial"/>
                <w:sz w:val="18"/>
                <w:szCs w:val="18"/>
                <w:color w:val="auto"/>
              </w:rPr>
              <w:t>Rules by Trustee and Agents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11.07</w:t>
            </w:r>
          </w:p>
        </w:tc>
        <w:tc>
          <w:tcPr>
            <w:tcW w:w="7320" w:type="dxa"/>
            <w:vAlign w:val="bottom"/>
          </w:tcPr>
          <w:p>
            <w:pPr>
              <w:ind w:left="300"/>
              <w:spacing w:after="0"/>
              <w:rPr>
                <w:sz w:val="20"/>
                <w:szCs w:val="20"/>
                <w:color w:val="auto"/>
              </w:rPr>
            </w:pPr>
            <w:r>
              <w:rPr>
                <w:rFonts w:ascii="Arial" w:cs="Arial" w:eastAsia="Arial" w:hAnsi="Arial"/>
                <w:sz w:val="18"/>
                <w:szCs w:val="18"/>
                <w:color w:val="auto"/>
              </w:rPr>
              <w:t>Calculation of Foreign Currency Amounts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11.08</w:t>
            </w:r>
          </w:p>
        </w:tc>
        <w:tc>
          <w:tcPr>
            <w:tcW w:w="7320" w:type="dxa"/>
            <w:vAlign w:val="bottom"/>
          </w:tcPr>
          <w:p>
            <w:pPr>
              <w:ind w:left="300"/>
              <w:spacing w:after="0"/>
              <w:rPr>
                <w:sz w:val="20"/>
                <w:szCs w:val="20"/>
                <w:color w:val="auto"/>
              </w:rPr>
            </w:pPr>
            <w:r>
              <w:rPr>
                <w:rFonts w:ascii="Arial" w:cs="Arial" w:eastAsia="Arial" w:hAnsi="Arial"/>
                <w:sz w:val="18"/>
                <w:szCs w:val="18"/>
                <w:color w:val="auto"/>
              </w:rPr>
              <w:t>No Personal Liability of Directors, Officers, Employees and Shareholders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11.09</w:t>
            </w:r>
          </w:p>
        </w:tc>
        <w:tc>
          <w:tcPr>
            <w:tcW w:w="7320" w:type="dxa"/>
            <w:vAlign w:val="bottom"/>
          </w:tcPr>
          <w:p>
            <w:pPr>
              <w:ind w:left="300"/>
              <w:spacing w:after="0"/>
              <w:rPr>
                <w:sz w:val="20"/>
                <w:szCs w:val="20"/>
                <w:color w:val="auto"/>
              </w:rPr>
            </w:pPr>
            <w:r>
              <w:rPr>
                <w:rFonts w:ascii="Arial" w:cs="Arial" w:eastAsia="Arial" w:hAnsi="Arial"/>
                <w:sz w:val="18"/>
                <w:szCs w:val="18"/>
                <w:color w:val="auto"/>
              </w:rPr>
              <w:t>Governing Law; Submission to Jurisdiction</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11.10</w:t>
            </w:r>
          </w:p>
        </w:tc>
        <w:tc>
          <w:tcPr>
            <w:tcW w:w="7320" w:type="dxa"/>
            <w:vAlign w:val="bottom"/>
          </w:tcPr>
          <w:p>
            <w:pPr>
              <w:ind w:left="300"/>
              <w:spacing w:after="0"/>
              <w:rPr>
                <w:sz w:val="20"/>
                <w:szCs w:val="20"/>
                <w:color w:val="auto"/>
              </w:rPr>
            </w:pPr>
            <w:r>
              <w:rPr>
                <w:rFonts w:ascii="Arial" w:cs="Arial" w:eastAsia="Arial" w:hAnsi="Arial"/>
                <w:sz w:val="18"/>
                <w:szCs w:val="18"/>
                <w:color w:val="auto"/>
              </w:rPr>
              <w:t>No Adverse Interpretation of Other Agreements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11.11</w:t>
            </w:r>
          </w:p>
        </w:tc>
        <w:tc>
          <w:tcPr>
            <w:tcW w:w="7320" w:type="dxa"/>
            <w:vAlign w:val="bottom"/>
          </w:tcPr>
          <w:p>
            <w:pPr>
              <w:ind w:left="300"/>
              <w:spacing w:after="0"/>
              <w:rPr>
                <w:sz w:val="20"/>
                <w:szCs w:val="20"/>
                <w:color w:val="auto"/>
              </w:rPr>
            </w:pPr>
            <w:r>
              <w:rPr>
                <w:rFonts w:ascii="Arial" w:cs="Arial" w:eastAsia="Arial" w:hAnsi="Arial"/>
                <w:sz w:val="18"/>
                <w:szCs w:val="18"/>
                <w:color w:val="auto"/>
              </w:rPr>
              <w:t>Successors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11.12</w:t>
            </w:r>
          </w:p>
        </w:tc>
        <w:tc>
          <w:tcPr>
            <w:tcW w:w="732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11.13</w:t>
            </w:r>
          </w:p>
        </w:tc>
        <w:tc>
          <w:tcPr>
            <w:tcW w:w="7320" w:type="dxa"/>
            <w:vAlign w:val="bottom"/>
          </w:tcPr>
          <w:p>
            <w:pPr>
              <w:ind w:left="300"/>
              <w:spacing w:after="0"/>
              <w:rPr>
                <w:sz w:val="20"/>
                <w:szCs w:val="20"/>
                <w:color w:val="auto"/>
              </w:rPr>
            </w:pPr>
            <w:r>
              <w:rPr>
                <w:rFonts w:ascii="Arial" w:cs="Arial" w:eastAsia="Arial" w:hAnsi="Arial"/>
                <w:sz w:val="18"/>
                <w:szCs w:val="18"/>
                <w:color w:val="auto"/>
              </w:rPr>
              <w:t>Counterpart Originals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11.14</w:t>
            </w:r>
          </w:p>
        </w:tc>
        <w:tc>
          <w:tcPr>
            <w:tcW w:w="7320" w:type="dxa"/>
            <w:vAlign w:val="bottom"/>
          </w:tcPr>
          <w:p>
            <w:pPr>
              <w:ind w:left="300"/>
              <w:spacing w:after="0"/>
              <w:rPr>
                <w:sz w:val="20"/>
                <w:szCs w:val="20"/>
                <w:color w:val="auto"/>
              </w:rPr>
            </w:pPr>
            <w:r>
              <w:rPr>
                <w:rFonts w:ascii="Arial" w:cs="Arial" w:eastAsia="Arial" w:hAnsi="Arial"/>
                <w:sz w:val="18"/>
                <w:szCs w:val="18"/>
                <w:color w:val="auto"/>
              </w:rPr>
              <w:t>Table of Contents, Headings, etc</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11.15</w:t>
            </w:r>
          </w:p>
        </w:tc>
        <w:tc>
          <w:tcPr>
            <w:tcW w:w="7320" w:type="dxa"/>
            <w:vAlign w:val="bottom"/>
          </w:tcPr>
          <w:p>
            <w:pPr>
              <w:ind w:left="300"/>
              <w:spacing w:after="0"/>
              <w:rPr>
                <w:sz w:val="20"/>
                <w:szCs w:val="20"/>
                <w:color w:val="auto"/>
              </w:rPr>
            </w:pPr>
            <w:r>
              <w:rPr>
                <w:rFonts w:ascii="Arial" w:cs="Arial" w:eastAsia="Arial" w:hAnsi="Arial"/>
                <w:sz w:val="18"/>
                <w:szCs w:val="18"/>
                <w:color w:val="auto"/>
              </w:rPr>
              <w:t>Waiver of Jury Trial</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11.16</w:t>
            </w:r>
          </w:p>
        </w:tc>
        <w:tc>
          <w:tcPr>
            <w:tcW w:w="7320" w:type="dxa"/>
            <w:vAlign w:val="bottom"/>
          </w:tcPr>
          <w:p>
            <w:pPr>
              <w:ind w:left="300"/>
              <w:spacing w:after="0"/>
              <w:rPr>
                <w:sz w:val="20"/>
                <w:szCs w:val="20"/>
                <w:color w:val="auto"/>
              </w:rPr>
            </w:pPr>
            <w:r>
              <w:rPr>
                <w:rFonts w:ascii="Arial" w:cs="Arial" w:eastAsia="Arial" w:hAnsi="Arial"/>
                <w:sz w:val="18"/>
                <w:szCs w:val="18"/>
                <w:color w:val="auto"/>
              </w:rPr>
              <w:t>Patriot Act Compliance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620"/>
          </w:cols>
          <w:pgMar w:left="800" w:top="270" w:right="479" w:bottom="1440" w:gutter="0" w:footer="0" w:header="0"/>
        </w:sectPr>
      </w:pPr>
    </w:p>
    <w:bookmarkStart w:id="43" w:name="page44"/>
    <w:bookmarkEnd w:id="43"/>
    <w:p>
      <w:pPr>
        <w:ind w:right="1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 ], by and between CECO Environmental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Wilmington Trust, National Association, a national banking association organized and existing under the laws of the United States of America,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Company and the Trustee agree as follows for the benefit of each other and for the equal and ratable benefit of the Holders of the Notes issued under this Indenture.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REFERENCE</w:t>
      </w:r>
    </w:p>
    <w:p>
      <w:pPr>
        <w:spacing w:after="0" w:line="31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i w:val="1"/>
          <w:iCs w:val="1"/>
          <w:color w:val="auto"/>
        </w:rPr>
        <w:t>Definitions.</w:t>
      </w:r>
    </w:p>
    <w:p>
      <w:pPr>
        <w:spacing w:after="0" w:line="121"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have correlative meanings.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Registrar, co-registrar, Custodian, Paying Agent or additional paying agent.</w:t>
      </w:r>
    </w:p>
    <w:p>
      <w:pPr>
        <w:spacing w:after="0" w:line="225"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Procedures</w:t>
      </w:r>
      <w:r>
        <w:rPr>
          <w:rFonts w:ascii="Arial" w:cs="Arial" w:eastAsia="Arial" w:hAnsi="Arial"/>
          <w:sz w:val="16"/>
          <w:szCs w:val="16"/>
          <w:color w:val="auto"/>
        </w:rPr>
        <w:t>” means, with respect to any payment, tender, redemption, transfer, exchange, or conversion of or for beneficial interests in any Global Note, the rules and procedures of the Depositary that apply to such payment, tender, redemption, transfer, exchange, or conversion.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440" w:right="360" w:firstLine="428"/>
        <w:spacing w:after="0" w:line="277" w:lineRule="auto"/>
        <w:tabs>
          <w:tab w:leader="none" w:pos="12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committee thereof duly authorized to act on behalf of such board;</w:t>
      </w:r>
    </w:p>
    <w:p>
      <w:pPr>
        <w:spacing w:after="0" w:line="62" w:lineRule="exact"/>
        <w:rPr>
          <w:rFonts w:ascii="Arial" w:cs="Arial" w:eastAsia="Arial" w:hAnsi="Arial"/>
          <w:sz w:val="18"/>
          <w:szCs w:val="18"/>
          <w:color w:val="auto"/>
        </w:rPr>
      </w:pPr>
    </w:p>
    <w:p>
      <w:pPr>
        <w:ind w:left="1260" w:hanging="392"/>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17" w:lineRule="exact"/>
        <w:rPr>
          <w:rFonts w:ascii="Arial" w:cs="Arial" w:eastAsia="Arial" w:hAnsi="Arial"/>
          <w:sz w:val="18"/>
          <w:szCs w:val="18"/>
          <w:color w:val="auto"/>
        </w:rPr>
      </w:pPr>
    </w:p>
    <w:p>
      <w:pPr>
        <w:ind w:left="440" w:right="340" w:firstLine="428"/>
        <w:spacing w:after="0" w:line="277" w:lineRule="auto"/>
        <w:tabs>
          <w:tab w:leader="none" w:pos="12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62" w:lineRule="exact"/>
        <w:rPr>
          <w:rFonts w:ascii="Arial" w:cs="Arial" w:eastAsia="Arial" w:hAnsi="Arial"/>
          <w:sz w:val="18"/>
          <w:szCs w:val="18"/>
          <w:color w:val="auto"/>
        </w:rPr>
      </w:pPr>
    </w:p>
    <w:p>
      <w:pPr>
        <w:ind w:left="1260" w:hanging="392"/>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1"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Legal Holiday. If a payment date falls on a day that is not a Business Day, the related payment shall be made on the next succeeding Business Day as if made on the date the payment is due, and no interest shall accrue on such payment for the intervening period.</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w:t>
      </w:r>
      <w:r>
        <w:rPr>
          <w:rFonts w:ascii="Arial" w:cs="Arial" w:eastAsia="Arial" w:hAnsi="Arial"/>
          <w:sz w:val="18"/>
          <w:szCs w:val="18"/>
          <w:color w:val="auto"/>
        </w:rPr>
        <w:t>” means, at the time any determination is to be made, the amount of the liability in respect of a capital lease that would at that time be required to be capitalized on a balance sheet prepared in accordance with GAAP.</w:t>
      </w:r>
    </w:p>
    <w:p>
      <w:pPr>
        <w:sectPr>
          <w:pgSz w:w="11900" w:h="16838" w:orient="portrait"/>
          <w:cols w:equalWidth="0" w:num="1">
            <w:col w:w="11020"/>
          </w:cols>
          <w:pgMar w:left="440" w:top="274" w:right="43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260" w:hanging="392"/>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440" w:right="580" w:firstLine="428"/>
        <w:spacing w:after="0" w:line="277" w:lineRule="auto"/>
        <w:tabs>
          <w:tab w:leader="none" w:pos="12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260" w:hanging="392"/>
        <w:spacing w:after="0"/>
        <w:tabs>
          <w:tab w:leader="none" w:pos="1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140" w:lineRule="exact"/>
        <w:rPr>
          <w:rFonts w:ascii="Arial" w:cs="Arial" w:eastAsia="Arial" w:hAnsi="Arial"/>
          <w:sz w:val="16"/>
          <w:szCs w:val="16"/>
          <w:color w:val="auto"/>
        </w:rPr>
      </w:pPr>
    </w:p>
    <w:p>
      <w:pPr>
        <w:ind w:left="440" w:right="280" w:firstLine="428"/>
        <w:spacing w:after="0" w:line="277" w:lineRule="auto"/>
        <w:tabs>
          <w:tab w:leader="none" w:pos="12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CECO Environmental Corp., and, subject to Article 5, any and all successors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Order</w:t>
      </w:r>
      <w:r>
        <w:rPr>
          <w:rFonts w:ascii="Arial" w:cs="Arial" w:eastAsia="Arial" w:hAnsi="Arial"/>
          <w:sz w:val="18"/>
          <w:szCs w:val="18"/>
          <w:color w:val="auto"/>
        </w:rPr>
        <w:t>” means a written order signed in the name of the Company by an Officer of the Company.</w:t>
      </w:r>
    </w:p>
    <w:p>
      <w:pPr>
        <w:spacing w:after="0" w:line="225" w:lineRule="exact"/>
        <w:rPr>
          <w:sz w:val="20"/>
          <w:szCs w:val="20"/>
          <w:color w:val="auto"/>
        </w:rPr>
      </w:pPr>
    </w:p>
    <w:p>
      <w:pPr>
        <w:jc w:val="both"/>
        <w:ind w:right="14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Trust Office of the Trustee</w:t>
      </w:r>
      <w:r>
        <w:rPr>
          <w:rFonts w:ascii="Arial" w:cs="Arial" w:eastAsia="Arial" w:hAnsi="Arial"/>
          <w:sz w:val="17"/>
          <w:szCs w:val="17"/>
          <w:color w:val="auto"/>
        </w:rPr>
        <w:t>” means the corporate trust office of the Trustee, which office as of the date of this instrument is located at 50 South Sixth Street, Suite 1290, Minneapolis MN 55402, Attention: CECO Environmental Corp., Administrator, or, in the case of any of such office or agency, such other address as the Trustee may designate from time to time by notice to the Company.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Trustee, as custodian for the Depositary with respect to any Global Notes, or any successor entity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Notes of any Series issuable or issued in whole or in part in the form of one or more Global Notes, the Person designated as Depositary (including its nominee) for such Series by the Company, which Depositary shall be a clearing agency registered under the Exchange Act; and if at any time there is more than one such Person, “Depositary” as used with respect to the Notes of any Series shall mean the Depositary with respect to the Notes of such Series.</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Note</w:t>
      </w:r>
      <w:r>
        <w:rPr>
          <w:rFonts w:ascii="Arial" w:cs="Arial" w:eastAsia="Arial" w:hAnsi="Arial"/>
          <w:sz w:val="18"/>
          <w:szCs w:val="18"/>
          <w:color w:val="auto"/>
        </w:rPr>
        <w:t>” means any Note that provides for an amount less than the stated principal amount thereof to be due and payable upon declaration of acceleration of the maturity thereof pursuant to Section 6.02.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Currency</w:t>
      </w:r>
      <w:r>
        <w:rPr>
          <w:rFonts w:ascii="Arial" w:cs="Arial" w:eastAsia="Arial" w:hAnsi="Arial"/>
          <w:sz w:val="16"/>
          <w:szCs w:val="16"/>
          <w:color w:val="auto"/>
        </w:rPr>
        <w:t>” means any currency or currency unit issued by a government other than the government of The United States of America.</w:t>
      </w:r>
    </w:p>
    <w:p>
      <w:pPr>
        <w:spacing w:after="0" w:line="248"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this Indenture.</w:t>
      </w:r>
    </w:p>
    <w:p>
      <w:pPr>
        <w:spacing w:after="0" w:line="187"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Global Note</w:t>
      </w:r>
      <w:r>
        <w:rPr>
          <w:rFonts w:ascii="Arial" w:cs="Arial" w:eastAsia="Arial" w:hAnsi="Arial"/>
          <w:sz w:val="16"/>
          <w:szCs w:val="16"/>
          <w:color w:val="auto"/>
        </w:rPr>
        <w:t>” or “</w:t>
      </w:r>
      <w:r>
        <w:rPr>
          <w:rFonts w:ascii="Arial" w:cs="Arial" w:eastAsia="Arial" w:hAnsi="Arial"/>
          <w:sz w:val="16"/>
          <w:szCs w:val="16"/>
          <w:u w:val="single" w:color="auto"/>
          <w:color w:val="auto"/>
        </w:rPr>
        <w:t>Global Notes</w:t>
      </w:r>
      <w:r>
        <w:rPr>
          <w:rFonts w:ascii="Arial" w:cs="Arial" w:eastAsia="Arial" w:hAnsi="Arial"/>
          <w:sz w:val="16"/>
          <w:szCs w:val="16"/>
          <w:color w:val="auto"/>
        </w:rPr>
        <w:t>” means a Note or Notes, as the case may be, in the form established pursuant to Section 2.02 evidencing all or part of a Series of Notes, issued to the Depositary for such Series or its nominee, and registered in the name of such Depositary or nominee.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5" w:name="page46"/>
    <w:bookmarkEnd w:id="45"/>
    <w:p>
      <w:pPr>
        <w:ind w:right="1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Government Securities</w:t>
      </w:r>
      <w:r>
        <w:rPr>
          <w:rFonts w:ascii="Arial" w:cs="Arial" w:eastAsia="Arial" w:hAnsi="Arial"/>
          <w:sz w:val="18"/>
          <w:szCs w:val="18"/>
          <w:color w:val="auto"/>
        </w:rPr>
        <w:t>” means direct obligations of, or obligations guaranteed by, The United States of America, and the payment for which the United States pledges its full faith and credit.</w:t>
      </w:r>
    </w:p>
    <w:p>
      <w:pPr>
        <w:spacing w:after="0" w:line="170"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17" w:lineRule="exact"/>
        <w:rPr>
          <w:sz w:val="20"/>
          <w:szCs w:val="20"/>
          <w:color w:val="auto"/>
        </w:rPr>
      </w:pPr>
    </w:p>
    <w:p>
      <w:pPr>
        <w:ind w:left="440" w:right="220" w:firstLine="428"/>
        <w:spacing w:after="0" w:line="277" w:lineRule="auto"/>
        <w:tabs>
          <w:tab w:leader="none" w:pos="12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1260" w:hanging="392"/>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whose name a Note is registered.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specified Person, any indebtedness of such Person, whether or not contingent:</w:t>
      </w:r>
    </w:p>
    <w:p>
      <w:pPr>
        <w:spacing w:after="0" w:line="117" w:lineRule="exact"/>
        <w:rPr>
          <w:sz w:val="20"/>
          <w:szCs w:val="20"/>
          <w:color w:val="auto"/>
        </w:rPr>
      </w:pPr>
    </w:p>
    <w:p>
      <w:pPr>
        <w:ind w:left="1260" w:hanging="392"/>
        <w:spacing w:after="0"/>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w:t>
      </w:r>
    </w:p>
    <w:p>
      <w:pPr>
        <w:spacing w:after="0" w:line="117" w:lineRule="exact"/>
        <w:rPr>
          <w:rFonts w:ascii="Arial" w:cs="Arial" w:eastAsia="Arial" w:hAnsi="Arial"/>
          <w:sz w:val="18"/>
          <w:szCs w:val="18"/>
          <w:color w:val="auto"/>
        </w:rPr>
      </w:pPr>
    </w:p>
    <w:p>
      <w:pPr>
        <w:ind w:left="440" w:right="220" w:firstLine="428"/>
        <w:spacing w:after="0" w:line="291" w:lineRule="auto"/>
        <w:tabs>
          <w:tab w:leader="none" w:pos="1343" w:val="left"/>
        </w:tabs>
        <w:numPr>
          <w:ilvl w:val="1"/>
          <w:numId w:val="36"/>
        </w:numPr>
        <w:rPr>
          <w:rFonts w:ascii="Arial" w:cs="Arial" w:eastAsia="Arial" w:hAnsi="Arial"/>
          <w:sz w:val="16"/>
          <w:szCs w:val="16"/>
          <w:color w:val="auto"/>
        </w:rPr>
      </w:pPr>
      <w:r>
        <w:rPr>
          <w:rFonts w:ascii="Arial" w:cs="Arial" w:eastAsia="Arial" w:hAnsi="Arial"/>
          <w:sz w:val="16"/>
          <w:szCs w:val="16"/>
          <w:color w:val="auto"/>
        </w:rPr>
        <w:t>in respect of banker’s acceptances or other similar instruments or credit transactions (including reimbursement obligations with respect thereto), other than obligations with respect to letters of credit securing obligations (other than obligations described in clauses (1) – (2),</w:t>
      </w:r>
    </w:p>
    <w:p>
      <w:pPr>
        <w:ind w:left="440" w:right="120" w:firstLine="4"/>
        <w:spacing w:after="0" w:line="255"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 (5) hereof) entered into in the ordinary course of business of such Person to the extent such letters of credit are not drawn upon or, if and to the extent drawn upon, such drawing is reimbursed no later than the third Business Day following receipt by such Person of a demand for reimbursement following payment on the letter of credit;</w:t>
      </w:r>
    </w:p>
    <w:p>
      <w:pPr>
        <w:spacing w:after="0" w:line="82" w:lineRule="exact"/>
        <w:rPr>
          <w:rFonts w:ascii="Arial" w:cs="Arial" w:eastAsia="Arial" w:hAnsi="Arial"/>
          <w:sz w:val="18"/>
          <w:szCs w:val="18"/>
          <w:color w:val="auto"/>
        </w:rPr>
      </w:pPr>
    </w:p>
    <w:p>
      <w:pPr>
        <w:ind w:left="1340" w:hanging="472"/>
        <w:spacing w:after="0"/>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117" w:lineRule="exact"/>
        <w:rPr>
          <w:rFonts w:ascii="Arial" w:cs="Arial" w:eastAsia="Arial" w:hAnsi="Arial"/>
          <w:sz w:val="18"/>
          <w:szCs w:val="18"/>
          <w:color w:val="auto"/>
        </w:rPr>
      </w:pPr>
    </w:p>
    <w:p>
      <w:pPr>
        <w:ind w:left="440" w:right="560" w:firstLine="428"/>
        <w:spacing w:after="0" w:line="277" w:lineRule="auto"/>
        <w:tabs>
          <w:tab w:leader="none" w:pos="1343"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except any such balance that constitutes an accrued expense or trade payable; or</w:t>
      </w:r>
    </w:p>
    <w:p>
      <w:pPr>
        <w:spacing w:after="0" w:line="62" w:lineRule="exact"/>
        <w:rPr>
          <w:rFonts w:ascii="Arial" w:cs="Arial" w:eastAsia="Arial" w:hAnsi="Arial"/>
          <w:sz w:val="18"/>
          <w:szCs w:val="18"/>
          <w:color w:val="auto"/>
        </w:rPr>
      </w:pPr>
    </w:p>
    <w:p>
      <w:pPr>
        <w:ind w:left="1340" w:hanging="472"/>
        <w:spacing w:after="0"/>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 Notwithstanding anything to the contrary in the foregoing, the term “Indebtedness” excludes (x) any indebtedness of the Company or any Subsidiary of the Company to the Company or another Subsidiary of the Company and (y) any Guarantee by the Company or any Subsidiary of the Company of indebtedness of the Company or any Subsidiary of the Company.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6" w:name="page47"/>
    <w:bookmarkEnd w:id="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any Indebtedness outstanding as of any date shall be:</w:t>
      </w:r>
    </w:p>
    <w:p>
      <w:pPr>
        <w:spacing w:after="0" w:line="117" w:lineRule="exact"/>
        <w:rPr>
          <w:sz w:val="20"/>
          <w:szCs w:val="20"/>
          <w:color w:val="auto"/>
        </w:rPr>
      </w:pPr>
    </w:p>
    <w:p>
      <w:pPr>
        <w:ind w:left="1340" w:hanging="472"/>
        <w:spacing w:after="0"/>
        <w:tabs>
          <w:tab w:leader="none" w:pos="1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accreted value of the Indebtedness, in the case of any Indebtedness that does not require the current payment of interest; and</w:t>
      </w:r>
    </w:p>
    <w:p>
      <w:pPr>
        <w:spacing w:after="0" w:line="140" w:lineRule="exact"/>
        <w:rPr>
          <w:rFonts w:ascii="Arial" w:cs="Arial" w:eastAsia="Arial" w:hAnsi="Arial"/>
          <w:sz w:val="16"/>
          <w:szCs w:val="16"/>
          <w:color w:val="auto"/>
        </w:rPr>
      </w:pPr>
    </w:p>
    <w:p>
      <w:pPr>
        <w:ind w:left="440" w:firstLine="428"/>
        <w:spacing w:after="0" w:line="277" w:lineRule="auto"/>
        <w:tabs>
          <w:tab w:leader="none" w:pos="13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70"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this Indenture, as amended, supplemented or restated from time to time and shall include the form and terms of particular Series of Notes established as contemplated hereunder.</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means a Saturday, a Sunday or a day on which banking institutions in the City of New York, the city of Dallas, Texas or the city where the Corporate Trust Office of the Trustee is located at such time are required or authorized by law, regulation or executive order to close or be closed.</w:t>
      </w:r>
    </w:p>
    <w:p>
      <w:pPr>
        <w:spacing w:after="0" w:line="181"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 operating lease be deemed to constitute a Lien.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notes or other debt instruments of the Company of any Series issued under this Indenture.</w:t>
      </w:r>
    </w:p>
    <w:p>
      <w:pPr>
        <w:spacing w:after="0" w:line="225"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with respect to any Person, the Chief Executive Officer, the President, the Chief Operating Officer, the Chief Financial Officer, the Treasurer, any Assistant Treasurer, the Controller, the Secretary, the Assistant Secretary or any Vice-President of such Person.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an Officer of the Company that meets the requirements of Section 11.05 hereof.</w:t>
      </w:r>
    </w:p>
    <w:p>
      <w:pPr>
        <w:spacing w:after="0" w:line="225"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Opinion of Counsel</w:t>
      </w:r>
      <w:r>
        <w:rPr>
          <w:rFonts w:ascii="Arial" w:cs="Arial" w:eastAsia="Arial" w:hAnsi="Arial"/>
          <w:sz w:val="16"/>
          <w:szCs w:val="16"/>
          <w:color w:val="auto"/>
        </w:rPr>
        <w:t>” means a written opinion from legal counsel, who may be an employee of or counsel to the Company or any Subsidiary of the Company, and who shall be reasonably acceptable to the Trustee, that meets the requirements of Section 11.05 hereof, if applicable.</w:t>
      </w:r>
    </w:p>
    <w:p>
      <w:pPr>
        <w:spacing w:after="0" w:line="124"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any officer with the Corporate Trust Office of the Trustee, or any other officer customarily performing functions similar to those performed by the above designated officers, and also means, with respect to a particular corporate trust matter, any other officer to whom such matter is referred because of his knowledge and familiarity with the subject and, in each case, who shall have direct responsibility for the administration of this Indenture.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w:t>
      </w:r>
      <w:r>
        <w:rPr>
          <w:rFonts w:ascii="Arial" w:cs="Arial" w:eastAsia="Arial" w:hAnsi="Arial"/>
          <w:sz w:val="18"/>
          <w:szCs w:val="18"/>
          <w:color w:val="auto"/>
        </w:rPr>
        <w:t>” or “</w:t>
      </w:r>
      <w:r>
        <w:rPr>
          <w:rFonts w:ascii="Arial" w:cs="Arial" w:eastAsia="Arial" w:hAnsi="Arial"/>
          <w:sz w:val="18"/>
          <w:szCs w:val="18"/>
          <w:u w:val="single" w:color="auto"/>
          <w:color w:val="auto"/>
        </w:rPr>
        <w:t>Series of Notes</w:t>
      </w:r>
      <w:r>
        <w:rPr>
          <w:rFonts w:ascii="Arial" w:cs="Arial" w:eastAsia="Arial" w:hAnsi="Arial"/>
          <w:sz w:val="18"/>
          <w:szCs w:val="18"/>
          <w:color w:val="auto"/>
        </w:rPr>
        <w:t>” means each series of debentures, notes or other debt instruments of the Company created pursuant to Sections 2.01 and 2.02 hereof.</w:t>
      </w:r>
    </w:p>
    <w:p>
      <w:pPr>
        <w:spacing w:after="0" w:line="170"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with respect to any installment Indebtedness, the date specified as the fixed date on which the final payment of principal was scheduled to be paid in the documentation governing such Indebtedness, and will not include any contingent obligations to repay, redeem or repurchase any such principal prior to the date originally scheduled for the payment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40" w:right="40" w:firstLine="428"/>
        <w:spacing w:after="0" w:line="257" w:lineRule="auto"/>
        <w:tabs>
          <w:tab w:leader="none" w:pos="134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shareholders’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80" w:lineRule="exact"/>
        <w:rPr>
          <w:rFonts w:ascii="Arial" w:cs="Arial" w:eastAsia="Arial" w:hAnsi="Arial"/>
          <w:sz w:val="18"/>
          <w:szCs w:val="18"/>
          <w:color w:val="auto"/>
        </w:rPr>
      </w:pPr>
    </w:p>
    <w:p>
      <w:pPr>
        <w:ind w:left="1340" w:hanging="472"/>
        <w:spacing w:after="0"/>
        <w:tabs>
          <w:tab w:leader="none" w:pos="13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700" w:hanging="2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only general partners of which are that Person or one or more Subsidiaries of that Person (or any combination thereof).</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(15 U.S.C. §§ 77aaa-77bbbb).</w:t>
      </w:r>
    </w:p>
    <w:p>
      <w:pPr>
        <w:spacing w:after="0" w:line="225"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each Person who is then a Trustee hereunder, and if at any time there is more than one such Person, “Trustee” as used with respect to the Notes of any Series shall mean the Trustee with respect to Notes of that Series, which shall be appointed pursuant to a supplemental indenture.</w:t>
      </w:r>
    </w:p>
    <w:p>
      <w:pPr>
        <w:spacing w:after="0" w:line="29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6"/>
          <w:szCs w:val="16"/>
          <w:b w:val="1"/>
          <w:bCs w:val="1"/>
          <w:i w:val="1"/>
          <w:iCs w:val="1"/>
          <w:color w:val="auto"/>
        </w:rPr>
        <w:t>Other Definitions.</w:t>
      </w:r>
    </w:p>
    <w:p>
      <w:pPr>
        <w:spacing w:after="0" w:line="239"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7"/>
              </w:rPr>
              <w:t>Term</w:t>
            </w:r>
          </w:p>
        </w:tc>
        <w:tc>
          <w:tcPr>
            <w:tcW w:w="3940" w:type="dxa"/>
            <w:vAlign w:val="bottom"/>
            <w:vMerge w:val="restart"/>
          </w:tcPr>
          <w:p>
            <w:pPr>
              <w:spacing w:after="0"/>
              <w:rPr>
                <w:sz w:val="14"/>
                <w:szCs w:val="14"/>
                <w:color w:val="auto"/>
              </w:rPr>
            </w:pPr>
          </w:p>
        </w:tc>
        <w:tc>
          <w:tcPr>
            <w:tcW w:w="3220" w:type="dxa"/>
            <w:vAlign w:val="bottom"/>
            <w:gridSpan w:val="3"/>
          </w:tcPr>
          <w:p>
            <w:pPr>
              <w:jc w:val="right"/>
              <w:ind w:right="60"/>
              <w:spacing w:after="0"/>
              <w:rPr>
                <w:sz w:val="20"/>
                <w:szCs w:val="20"/>
                <w:color w:val="auto"/>
              </w:rPr>
            </w:pPr>
            <w:r>
              <w:rPr>
                <w:rFonts w:ascii="Arial" w:cs="Arial" w:eastAsia="Arial" w:hAnsi="Arial"/>
                <w:sz w:val="14"/>
                <w:szCs w:val="14"/>
                <w:b w:val="1"/>
                <w:bCs w:val="1"/>
                <w:i w:val="1"/>
                <w:iCs w:val="1"/>
                <w:color w:val="auto"/>
              </w:rPr>
              <w:t>Defined in</w:t>
            </w:r>
          </w:p>
        </w:tc>
        <w:tc>
          <w:tcPr>
            <w:tcW w:w="0" w:type="dxa"/>
            <w:vAlign w:val="bottom"/>
          </w:tcPr>
          <w:p>
            <w:pPr>
              <w:spacing w:after="0"/>
              <w:rPr>
                <w:sz w:val="1"/>
                <w:szCs w:val="1"/>
                <w:color w:val="auto"/>
              </w:rPr>
            </w:pPr>
          </w:p>
        </w:tc>
      </w:tr>
      <w:tr>
        <w:trPr>
          <w:trHeight w:val="174"/>
        </w:trPr>
        <w:tc>
          <w:tcPr>
            <w:tcW w:w="320" w:type="dxa"/>
            <w:vAlign w:val="bottom"/>
            <w:tcBorders>
              <w:bottom w:val="single" w:sz="8" w:color="auto"/>
            </w:tcBorders>
            <w:vMerge w:val="continue"/>
          </w:tcPr>
          <w:p>
            <w:pPr>
              <w:spacing w:after="0"/>
              <w:rPr>
                <w:sz w:val="15"/>
                <w:szCs w:val="15"/>
                <w:color w:val="auto"/>
              </w:rPr>
            </w:pPr>
          </w:p>
        </w:tc>
        <w:tc>
          <w:tcPr>
            <w:tcW w:w="394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680" w:type="dxa"/>
            <w:vAlign w:val="bottom"/>
            <w:gridSpan w:val="2"/>
          </w:tcPr>
          <w:p>
            <w:pPr>
              <w:ind w:left="80"/>
              <w:spacing w:after="0" w:line="154" w:lineRule="exact"/>
              <w:rPr>
                <w:sz w:val="20"/>
                <w:szCs w:val="20"/>
                <w:color w:val="auto"/>
              </w:rPr>
            </w:pPr>
            <w:r>
              <w:rPr>
                <w:rFonts w:ascii="Arial" w:cs="Arial" w:eastAsia="Arial" w:hAnsi="Arial"/>
                <w:sz w:val="14"/>
                <w:szCs w:val="14"/>
                <w:b w:val="1"/>
                <w:bCs w:val="1"/>
                <w:i w:val="1"/>
                <w:iCs w:val="1"/>
                <w:color w:val="auto"/>
              </w:rPr>
              <w:t>Section</w:t>
            </w:r>
          </w:p>
        </w:tc>
        <w:tc>
          <w:tcPr>
            <w:tcW w:w="0" w:type="dxa"/>
            <w:vAlign w:val="bottom"/>
          </w:tcPr>
          <w:p>
            <w:pPr>
              <w:spacing w:after="0"/>
              <w:rPr>
                <w:sz w:val="1"/>
                <w:szCs w:val="1"/>
                <w:color w:val="auto"/>
              </w:rPr>
            </w:pPr>
          </w:p>
        </w:tc>
      </w:tr>
      <w:tr>
        <w:trPr>
          <w:trHeight w:val="203"/>
        </w:trPr>
        <w:tc>
          <w:tcPr>
            <w:tcW w:w="4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“Authentication Order”</w:t>
            </w:r>
          </w:p>
        </w:tc>
        <w:tc>
          <w:tcPr>
            <w:tcW w:w="2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“Covenant Defeasance”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“Legal Defeasance”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“Paying Agent”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5"/>
          <w:szCs w:val="15"/>
          <w:b w:val="1"/>
          <w:bCs w:val="1"/>
          <w:i w:val="1"/>
          <w:iCs w:val="1"/>
          <w:color w:val="auto"/>
        </w:rPr>
        <w:t>Incorporation by Reference of Trust Indenture Act.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Whenever this Indenture refers to a provision of the TIA, the provision is incorporated by reference in and made a part of this Indenture.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“default” means an Event of Default;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securities</w:t>
      </w:r>
      <w:r>
        <w:rPr>
          <w:rFonts w:ascii="Arial" w:cs="Arial" w:eastAsia="Arial" w:hAnsi="Arial"/>
          <w:sz w:val="18"/>
          <w:szCs w:val="18"/>
          <w:color w:val="auto"/>
        </w:rPr>
        <w:t>” means the Notes;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security Holder</w:t>
      </w:r>
      <w:r>
        <w:rPr>
          <w:rFonts w:ascii="Arial" w:cs="Arial" w:eastAsia="Arial" w:hAnsi="Arial"/>
          <w:sz w:val="18"/>
          <w:szCs w:val="18"/>
          <w:color w:val="auto"/>
        </w:rPr>
        <w:t>” means a Holder of a Note;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to be qualified</w:t>
      </w:r>
      <w:r>
        <w:rPr>
          <w:rFonts w:ascii="Arial" w:cs="Arial" w:eastAsia="Arial" w:hAnsi="Arial"/>
          <w:sz w:val="18"/>
          <w:szCs w:val="18"/>
          <w:color w:val="auto"/>
        </w:rPr>
        <w:t>” means this Indenture;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trustee</w:t>
      </w:r>
      <w:r>
        <w:rPr>
          <w:rFonts w:ascii="Arial" w:cs="Arial" w:eastAsia="Arial" w:hAnsi="Arial"/>
          <w:sz w:val="18"/>
          <w:szCs w:val="18"/>
          <w:color w:val="auto"/>
        </w:rPr>
        <w:t>” or “</w:t>
      </w:r>
      <w:r>
        <w:rPr>
          <w:rFonts w:ascii="Arial" w:cs="Arial" w:eastAsia="Arial" w:hAnsi="Arial"/>
          <w:sz w:val="18"/>
          <w:szCs w:val="18"/>
          <w:u w:val="single" w:color="auto"/>
          <w:color w:val="auto"/>
        </w:rPr>
        <w:t>institutional trustee</w:t>
      </w:r>
      <w:r>
        <w:rPr>
          <w:rFonts w:ascii="Arial" w:cs="Arial" w:eastAsia="Arial" w:hAnsi="Arial"/>
          <w:sz w:val="18"/>
          <w:szCs w:val="18"/>
          <w:color w:val="auto"/>
        </w:rPr>
        <w:t>” means the Trustee; and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on the indenture securities means the Company, and any other obligor upon the Notes.</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have the meanings so assigned to them.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48" w:name="page49"/>
    <w:bookmarkEnd w:id="48"/>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1.04</w:t>
      </w:r>
      <w:r>
        <w:rPr>
          <w:sz w:val="20"/>
          <w:szCs w:val="20"/>
          <w:color w:val="auto"/>
        </w:rPr>
        <w:tab/>
      </w:r>
      <w:r>
        <w:rPr>
          <w:rFonts w:ascii="Arial" w:cs="Arial" w:eastAsia="Arial" w:hAnsi="Arial"/>
          <w:sz w:val="15"/>
          <w:szCs w:val="15"/>
          <w:b w:val="1"/>
          <w:bCs w:val="1"/>
          <w:i w:val="1"/>
          <w:iCs w:val="1"/>
          <w:color w:val="auto"/>
        </w:rPr>
        <w:t>Rules of Construction.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260" w:hanging="392"/>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reference to an “Article,” a “Section” or an “Exhibit” refers to an Article, a Section or an Exhibit, as the case may be, of this</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102" w:lineRule="exact"/>
        <w:rPr>
          <w:rFonts w:ascii="Arial" w:cs="Arial" w:eastAsia="Arial" w:hAnsi="Arial"/>
          <w:sz w:val="17"/>
          <w:szCs w:val="17"/>
          <w:color w:val="auto"/>
        </w:rPr>
      </w:pPr>
    </w:p>
    <w:p>
      <w:pPr>
        <w:ind w:left="440" w:right="520" w:firstLine="428"/>
        <w:spacing w:after="0" w:line="277" w:lineRule="auto"/>
        <w:tabs>
          <w:tab w:leader="none" w:pos="12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62" w:lineRule="exact"/>
        <w:rPr>
          <w:rFonts w:ascii="Arial" w:cs="Arial" w:eastAsia="Arial" w:hAnsi="Arial"/>
          <w:sz w:val="18"/>
          <w:szCs w:val="18"/>
          <w:color w:val="auto"/>
        </w:rPr>
      </w:pPr>
    </w:p>
    <w:p>
      <w:pPr>
        <w:ind w:left="1260" w:hanging="392"/>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words importing any gender include the other genders;</w:t>
      </w:r>
    </w:p>
    <w:p>
      <w:pPr>
        <w:spacing w:after="0" w:line="117" w:lineRule="exact"/>
        <w:rPr>
          <w:rFonts w:ascii="Arial" w:cs="Arial" w:eastAsia="Arial" w:hAnsi="Arial"/>
          <w:sz w:val="18"/>
          <w:szCs w:val="18"/>
          <w:color w:val="auto"/>
        </w:rPr>
      </w:pPr>
    </w:p>
    <w:p>
      <w:pPr>
        <w:ind w:left="1340" w:hanging="472"/>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references to “writing” include printing, typing, lithography and other means of reproducing words in a visible form;</w:t>
      </w:r>
    </w:p>
    <w:p>
      <w:pPr>
        <w:spacing w:after="0" w:line="117" w:lineRule="exact"/>
        <w:rPr>
          <w:rFonts w:ascii="Arial" w:cs="Arial" w:eastAsia="Arial" w:hAnsi="Arial"/>
          <w:sz w:val="18"/>
          <w:szCs w:val="18"/>
          <w:color w:val="auto"/>
        </w:rPr>
      </w:pPr>
    </w:p>
    <w:p>
      <w:pPr>
        <w:ind w:left="1340" w:hanging="472"/>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words “including,” “includes” and “include” shall be deemed to be followed by the words “without limitation”; and</w:t>
      </w:r>
    </w:p>
    <w:p>
      <w:pPr>
        <w:spacing w:after="0" w:line="117" w:lineRule="exact"/>
        <w:rPr>
          <w:rFonts w:ascii="Arial" w:cs="Arial" w:eastAsia="Arial" w:hAnsi="Arial"/>
          <w:sz w:val="18"/>
          <w:szCs w:val="18"/>
          <w:color w:val="auto"/>
        </w:rPr>
      </w:pPr>
    </w:p>
    <w:p>
      <w:pPr>
        <w:ind w:left="440" w:firstLine="428"/>
        <w:spacing w:after="0" w:line="264" w:lineRule="auto"/>
        <w:tabs>
          <w:tab w:leader="none" w:pos="13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unless otherwise provided, references to agreements and other instruments shall be deemed to include all amendments and other modifications to such agreements and instruments, but only to the extent such amendments and other modifications are not prohibited by the terms of this Indenture.</w:t>
      </w:r>
    </w:p>
    <w:p>
      <w:pPr>
        <w:spacing w:after="0" w:line="39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THE NOTES</w:t>
      </w:r>
    </w:p>
    <w:p>
      <w:pPr>
        <w:spacing w:after="0" w:line="20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5"/>
          <w:szCs w:val="15"/>
          <w:b w:val="1"/>
          <w:bCs w:val="1"/>
          <w:i w:val="1"/>
          <w:iCs w:val="1"/>
          <w:color w:val="auto"/>
        </w:rPr>
        <w:t>Issuable in Series.</w:t>
      </w:r>
    </w:p>
    <w:p>
      <w:pPr>
        <w:spacing w:after="0" w:line="121"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 xml:space="preserve">The aggregate principal amount of Notes that may be authenticated and delivered under this Indenture is unlimited. The Notes may be issued in one or more Series. All Notes of a Series shall be identical except as may be set forth in a Board Resolution, a supplemental indenture or an Officer’s Certificate detailing the adoption of the terms thereof pursuant to the authority granted under a Board Resolution. In the case of Notes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Notes may differ between Series in respect of any matters,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Series of Notes shall be equally and ratably entitled to the benefits of this Indenture.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49" w:name="page50"/>
    <w:bookmarkEnd w:id="49"/>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2.02</w:t>
      </w:r>
      <w:r>
        <w:rPr>
          <w:sz w:val="20"/>
          <w:szCs w:val="20"/>
          <w:color w:val="auto"/>
        </w:rPr>
        <w:tab/>
      </w:r>
      <w:r>
        <w:rPr>
          <w:rFonts w:ascii="Arial" w:cs="Arial" w:eastAsia="Arial" w:hAnsi="Arial"/>
          <w:sz w:val="15"/>
          <w:szCs w:val="15"/>
          <w:b w:val="1"/>
          <w:bCs w:val="1"/>
          <w:i w:val="1"/>
          <w:iCs w:val="1"/>
          <w:color w:val="auto"/>
        </w:rPr>
        <w:t>Establishment of Terms of Series of Notes.</w:t>
      </w:r>
    </w:p>
    <w:p>
      <w:pPr>
        <w:spacing w:after="0" w:line="12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At or prior to the issuance of any Notes within a Series, the following shall be established (as to the Series generally, in the case of Subsection 2.02(a) and either as to such Notes within the Series or as to the Series generally in the case of Subsections 2.02(b) through 2.02(r)) by or pursuant to a Board Resolution, and set forth or determined in the manner provided in a Board Resolution, supplemental indenture or an Officer’s Certificate pursuant to authority granted under a Board Resolution:</w:t>
      </w:r>
    </w:p>
    <w:p>
      <w:pPr>
        <w:spacing w:after="0" w:line="79" w:lineRule="exact"/>
        <w:rPr>
          <w:sz w:val="20"/>
          <w:szCs w:val="20"/>
          <w:color w:val="auto"/>
        </w:rPr>
      </w:pPr>
    </w:p>
    <w:p>
      <w:pPr>
        <w:ind w:left="820" w:hanging="37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title of the Series (which shall distinguish the Notes of that particular Series from the Notes of any other Series);</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thereof) at which the Notes of the Series will be issued;</w:t>
      </w:r>
    </w:p>
    <w:p>
      <w:pPr>
        <w:spacing w:after="0" w:line="225" w:lineRule="exact"/>
        <w:rPr>
          <w:rFonts w:ascii="Arial" w:cs="Arial" w:eastAsia="Arial" w:hAnsi="Arial"/>
          <w:sz w:val="18"/>
          <w:szCs w:val="18"/>
          <w:color w:val="auto"/>
        </w:rPr>
      </w:pPr>
    </w:p>
    <w:p>
      <w:pPr>
        <w:jc w:val="both"/>
        <w:ind w:right="400" w:firstLine="444"/>
        <w:spacing w:after="0" w:line="264"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Notes of the Series which may be authenticated and delivered under this Indenture (except for Notes authenticated and delivered upon registration of transfer of, or in exchange for, or in lieu of, other Notes of the Series pursuant to Section 2.07, 2.08, 2.11, 3.06 or 9.05);</w:t>
      </w:r>
    </w:p>
    <w:p>
      <w:pPr>
        <w:spacing w:after="0" w:line="181" w:lineRule="exact"/>
        <w:rPr>
          <w:rFonts w:ascii="Arial" w:cs="Arial" w:eastAsia="Arial" w:hAnsi="Arial"/>
          <w:sz w:val="18"/>
          <w:szCs w:val="18"/>
          <w:color w:val="auto"/>
        </w:rPr>
      </w:pPr>
    </w:p>
    <w:p>
      <w:pPr>
        <w:ind w:left="840" w:hanging="396"/>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or dates on which the principal of the Notes of the Series is payable;</w:t>
      </w:r>
    </w:p>
    <w:p>
      <w:pPr>
        <w:spacing w:after="0" w:line="225" w:lineRule="exact"/>
        <w:rPr>
          <w:rFonts w:ascii="Arial" w:cs="Arial" w:eastAsia="Arial" w:hAnsi="Arial"/>
          <w:sz w:val="18"/>
          <w:szCs w:val="18"/>
          <w:color w:val="auto"/>
        </w:rPr>
      </w:pPr>
    </w:p>
    <w:p>
      <w:pPr>
        <w:ind w:firstLine="444"/>
        <w:spacing w:after="0" w:line="257"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Notes of the Series shall bear interest, if any, the date or dates from which such interest, if any, shall accrue, the date or dates on which such interest, if any, shall commence and be payable and any regular record date for the interest payable on any interest payment date, and the basis of computation of interest if other than on the basis of a 360-day year consisting of twelve 30-day months;</w:t>
      </w:r>
    </w:p>
    <w:p>
      <w:pPr>
        <w:spacing w:after="0" w:line="188" w:lineRule="exact"/>
        <w:rPr>
          <w:rFonts w:ascii="Arial" w:cs="Arial" w:eastAsia="Arial" w:hAnsi="Arial"/>
          <w:sz w:val="18"/>
          <w:szCs w:val="18"/>
          <w:color w:val="auto"/>
        </w:rPr>
      </w:pPr>
    </w:p>
    <w:p>
      <w:pPr>
        <w:ind w:right="140" w:firstLine="444"/>
        <w:spacing w:after="0" w:line="264"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place or places where the principal of, premium and interest, if any, on the Notes of the Series shall be payable, where the Notes of such Series may be surrendered for registration of transfer or exchange and where notices to the Company in respect of the Notes of such Series and this Indenture may be delivered, and the method of such payment, if by wire transfer, mail or other means;</w:t>
      </w:r>
    </w:p>
    <w:p>
      <w:pPr>
        <w:spacing w:after="0" w:line="181" w:lineRule="exact"/>
        <w:rPr>
          <w:rFonts w:ascii="Arial" w:cs="Arial" w:eastAsia="Arial" w:hAnsi="Arial"/>
          <w:sz w:val="18"/>
          <w:szCs w:val="18"/>
          <w:color w:val="auto"/>
        </w:rPr>
      </w:pPr>
    </w:p>
    <w:p>
      <w:pPr>
        <w:ind w:right="460" w:firstLine="444"/>
        <w:spacing w:after="0" w:line="277" w:lineRule="auto"/>
        <w:tabs>
          <w:tab w:leader="none" w:pos="8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Notes of the Series may be redeemed, in whole or in part, at the option of the Company;</w:t>
      </w:r>
    </w:p>
    <w:p>
      <w:pPr>
        <w:spacing w:after="0" w:line="170" w:lineRule="exact"/>
        <w:rPr>
          <w:rFonts w:ascii="Arial" w:cs="Arial" w:eastAsia="Arial" w:hAnsi="Arial"/>
          <w:sz w:val="18"/>
          <w:szCs w:val="18"/>
          <w:color w:val="auto"/>
        </w:rPr>
      </w:pPr>
    </w:p>
    <w:p>
      <w:pPr>
        <w:ind w:right="40" w:firstLine="444"/>
        <w:spacing w:after="0" w:line="264" w:lineRule="auto"/>
        <w:tabs>
          <w:tab w:leader="none" w:pos="8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the Notes of the Series pursuant to any sinking fund or analogous provisions or at the option of a Holder thereof and the period or periods within which, the price or prices at which and the terms and conditions upon which Notes of the Series shall be redeemed or purchased, in whole or in part, pursuant to such obligation;</w:t>
      </w:r>
    </w:p>
    <w:p>
      <w:pPr>
        <w:spacing w:after="0" w:line="181" w:lineRule="exact"/>
        <w:rPr>
          <w:rFonts w:ascii="Arial" w:cs="Arial" w:eastAsia="Arial" w:hAnsi="Arial"/>
          <w:sz w:val="18"/>
          <w:szCs w:val="18"/>
          <w:color w:val="auto"/>
        </w:rPr>
      </w:pPr>
    </w:p>
    <w:p>
      <w:pPr>
        <w:ind w:right="260" w:firstLine="444"/>
        <w:spacing w:after="0" w:line="277" w:lineRule="auto"/>
        <w:tabs>
          <w:tab w:leader="none" w:pos="7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Notes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right="140" w:firstLine="444"/>
        <w:spacing w:after="0" w:line="277" w:lineRule="auto"/>
        <w:tabs>
          <w:tab w:leader="none" w:pos="7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denominations in which the Notes of the Series shall be issuable, if other than minimum denominations of $2,000 and integral multiples of $1,000 in excess thereof;</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forms of the Notes of the Series in fully registered form (and whether the Notes will be issuable as Global Notes);</w:t>
      </w:r>
    </w:p>
    <w:p>
      <w:pPr>
        <w:spacing w:after="0" w:line="225" w:lineRule="exact"/>
        <w:rPr>
          <w:rFonts w:ascii="Arial" w:cs="Arial" w:eastAsia="Arial" w:hAnsi="Arial"/>
          <w:sz w:val="18"/>
          <w:szCs w:val="18"/>
          <w:color w:val="auto"/>
        </w:rPr>
      </w:pPr>
    </w:p>
    <w:p>
      <w:pPr>
        <w:ind w:firstLine="444"/>
        <w:spacing w:after="0" w:line="277" w:lineRule="auto"/>
        <w:tabs>
          <w:tab w:leader="none" w:pos="79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Notes of the Series that shall be payable upon declaration of acceleration of the maturity thereof pursuant to Section 6.02;</w:t>
      </w:r>
    </w:p>
    <w:p>
      <w:pPr>
        <w:spacing w:after="0" w:line="170" w:lineRule="exact"/>
        <w:rPr>
          <w:rFonts w:ascii="Arial" w:cs="Arial" w:eastAsia="Arial" w:hAnsi="Arial"/>
          <w:sz w:val="18"/>
          <w:szCs w:val="18"/>
          <w:color w:val="auto"/>
        </w:rPr>
      </w:pPr>
    </w:p>
    <w:p>
      <w:pPr>
        <w:ind w:right="20" w:firstLine="444"/>
        <w:spacing w:after="0" w:line="277" w:lineRule="auto"/>
        <w:tabs>
          <w:tab w:leader="none" w:pos="88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premium and interest, if any, on the Notes of the Series will be made if other than U.S. dollars;</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whether the Notes of any Series may be exchangeable for and/or convertible into common shares of the Company or any other security;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50" w:name="page51"/>
    <w:bookmarkEnd w:id="50"/>
    <w:p>
      <w:pPr>
        <w:ind w:right="200" w:firstLine="444"/>
        <w:spacing w:after="0" w:line="277" w:lineRule="auto"/>
        <w:tabs>
          <w:tab w:leader="none" w:pos="831"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if any, relating to any security provided for the Notes of the Series, and any subordination in right of payment, if any, of the Notes of the Series;</w:t>
      </w:r>
    </w:p>
    <w:p>
      <w:pPr>
        <w:spacing w:after="0" w:line="170" w:lineRule="exact"/>
        <w:rPr>
          <w:rFonts w:ascii="Arial" w:cs="Arial" w:eastAsia="Arial" w:hAnsi="Arial"/>
          <w:sz w:val="18"/>
          <w:szCs w:val="18"/>
          <w:color w:val="auto"/>
        </w:rPr>
      </w:pPr>
    </w:p>
    <w:p>
      <w:pPr>
        <w:ind w:right="160" w:firstLine="444"/>
        <w:spacing w:after="0" w:line="277" w:lineRule="auto"/>
        <w:tabs>
          <w:tab w:leader="none" w:pos="8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Notes of the Series and any change in the right of the Trustee or the requisite Holders of such Notes to declare the principal amount thereof due and payable pursuant to Section 6.02;</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Articles 4 or 5 that applies to Notes of the Series;</w:t>
      </w:r>
    </w:p>
    <w:p>
      <w:pPr>
        <w:spacing w:after="0" w:line="225" w:lineRule="exact"/>
        <w:rPr>
          <w:rFonts w:ascii="Arial" w:cs="Arial" w:eastAsia="Arial" w:hAnsi="Arial"/>
          <w:sz w:val="18"/>
          <w:szCs w:val="18"/>
          <w:color w:val="auto"/>
        </w:rPr>
      </w:pPr>
    </w:p>
    <w:p>
      <w:pPr>
        <w:ind w:left="800" w:hanging="356"/>
        <w:spacing w:after="0"/>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other terms of the Notes of the Series (which may modify or delete any provision of this Indenture insofar as it applies to such Series);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40" w:firstLine="444"/>
        <w:spacing w:after="0" w:line="277" w:lineRule="auto"/>
        <w:tabs>
          <w:tab w:leader="none" w:pos="8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Notes of such Series if other than those appointed herein.</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All Notes of any one Series need not be issued at the same time and may be issued from time to time, consistent with the terms of this Indenture, if so provided by or pursuant to the Board Resolution, supplemental indenture hereto or Officer’s Certificate referred to above, and, unless otherwise provided, a Series may be reopened, without the consent of the Holders, for issuances of additional Notes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additional Notes are not fungible with the Notes of such Series for U.S. federal income tax purposes, the additional Notes will have a separate CUSIP number. No Board Resolution or Officer’s Certificate may affect the Trustee’s own rights, duties or immunities under this Indenture or otherwise with respect to any series of Notes except as it may agree in writing.</w:t>
      </w:r>
    </w:p>
    <w:p>
      <w:pPr>
        <w:spacing w:after="0" w:line="29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5"/>
          <w:szCs w:val="15"/>
          <w:b w:val="1"/>
          <w:bCs w:val="1"/>
          <w:i w:val="1"/>
          <w:iCs w:val="1"/>
          <w:color w:val="auto"/>
        </w:rPr>
        <w:t>Execution and Authentication.</w:t>
      </w:r>
    </w:p>
    <w:p>
      <w:pPr>
        <w:spacing w:after="0" w:line="121" w:lineRule="exact"/>
        <w:rPr>
          <w:sz w:val="20"/>
          <w:szCs w:val="20"/>
          <w:color w:val="auto"/>
        </w:rPr>
      </w:pPr>
    </w:p>
    <w:p>
      <w:pPr>
        <w:ind w:right="680" w:firstLine="441"/>
        <w:spacing w:after="0" w:line="308" w:lineRule="auto"/>
        <w:rPr>
          <w:sz w:val="20"/>
          <w:szCs w:val="20"/>
          <w:color w:val="auto"/>
        </w:rPr>
      </w:pPr>
      <w:r>
        <w:rPr>
          <w:rFonts w:ascii="Arial" w:cs="Arial" w:eastAsia="Arial" w:hAnsi="Arial"/>
          <w:sz w:val="17"/>
          <w:szCs w:val="17"/>
          <w:color w:val="auto"/>
        </w:rPr>
        <w:t>One Officer of the Company shall sign the Notes for the Company by manual or facsimile signature. If an Officer of the Company whose signature is on a Note no longer holds that office at the time such Note is authenticated, such Note shall nevertheless be valid.</w:t>
      </w:r>
    </w:p>
    <w:p>
      <w:pPr>
        <w:spacing w:after="0" w:line="14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 Note shall not be valid until authenticated by the manual signature of the Trustee. The signature shall be conclusive evidence that the Note, as applicable, has been authenticated under this Indenture.</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Trustee shall, upon a written order of the Company signed by one Officer of the Company (an “</w:t>
      </w:r>
      <w:r>
        <w:rPr>
          <w:rFonts w:ascii="Arial" w:cs="Arial" w:eastAsia="Arial" w:hAnsi="Arial"/>
          <w:sz w:val="18"/>
          <w:szCs w:val="18"/>
          <w:u w:val="single" w:color="auto"/>
          <w:color w:val="auto"/>
        </w:rPr>
        <w:t>Authentication Order</w:t>
      </w:r>
      <w:r>
        <w:rPr>
          <w:rFonts w:ascii="Arial" w:cs="Arial" w:eastAsia="Arial" w:hAnsi="Arial"/>
          <w:sz w:val="18"/>
          <w:szCs w:val="18"/>
          <w:color w:val="auto"/>
        </w:rPr>
        <w:t>”), authenticate Notes for original issue in accordance with this Indenture. The Notes shall be dated their date of authentication.</w:t>
      </w:r>
    </w:p>
    <w:p>
      <w:pPr>
        <w:spacing w:after="0" w:line="170" w:lineRule="exact"/>
        <w:rPr>
          <w:sz w:val="20"/>
          <w:szCs w:val="20"/>
          <w:color w:val="auto"/>
        </w:rPr>
      </w:pPr>
    </w:p>
    <w:p>
      <w:pPr>
        <w:jc w:val="both"/>
        <w:ind w:right="420" w:firstLine="441"/>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66"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Notes of any Series executed by the Company to the Trustee for authentication, together with an Authentication Order for the authentication and delivery of such Notes, and the Trustee in accordance with the Authentication Order will authenticate and deliver such Notes. In authenticating such Notes, and accepting the additional responsibilities under this Indenture in relation to such Notes, the Trustee shall receive, and (subject to Section 7.01) will be fully protected in relying upon, an Opinion of Counsel stating:</w:t>
      </w:r>
    </w:p>
    <w:p>
      <w:pPr>
        <w:spacing w:after="0" w:line="80" w:lineRule="exact"/>
        <w:rPr>
          <w:sz w:val="20"/>
          <w:szCs w:val="20"/>
          <w:color w:val="auto"/>
        </w:rPr>
      </w:pPr>
    </w:p>
    <w:p>
      <w:pPr>
        <w:ind w:left="820" w:hanging="37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such form has been established in conformity with the provisions of this Indenture;</w:t>
      </w:r>
    </w:p>
    <w:p>
      <w:pPr>
        <w:spacing w:after="0" w:line="225" w:lineRule="exact"/>
        <w:rPr>
          <w:rFonts w:ascii="Arial" w:cs="Arial" w:eastAsia="Arial" w:hAnsi="Arial"/>
          <w:sz w:val="18"/>
          <w:szCs w:val="18"/>
          <w:color w:val="auto"/>
        </w:rPr>
      </w:pPr>
    </w:p>
    <w:p>
      <w:pPr>
        <w:ind w:left="5460" w:right="3440" w:hanging="5016"/>
        <w:spacing w:after="0" w:line="449" w:lineRule="auto"/>
        <w:tabs>
          <w:tab w:leader="none" w:pos="82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such terms have been established in conformity with the provisions of this Indenture; and 8</w:t>
      </w:r>
    </w:p>
    <w:p>
      <w:pPr>
        <w:sectPr>
          <w:pgSz w:w="11900" w:h="16838" w:orient="portrait"/>
          <w:cols w:equalWidth="0" w:num="1">
            <w:col w:w="11020"/>
          </w:cols>
          <w:pgMar w:left="440" w:top="274" w:right="439" w:bottom="1440" w:gutter="0" w:footer="0" w:header="0"/>
        </w:sectPr>
      </w:pPr>
    </w:p>
    <w:bookmarkStart w:id="51" w:name="page52"/>
    <w:bookmarkEnd w:id="51"/>
    <w:p>
      <w:pPr>
        <w:ind w:right="360" w:firstLine="444"/>
        <w:spacing w:after="0" w:line="279" w:lineRule="auto"/>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this Indenture and such Notes, when authenticated and delivered by the Trustee and, with respect to the Notes, when issued by the Company, in the manner and subject to any conditions specified in such Opinion of Counsel, will constitute valid and binding obligations of the Company enforceable in accordance with their terms, except as the enforceability thereof may be limited by bankruptcy, insolvency, reorganization, moratorium, or other laws relating to or affecting creditors’ rights and by general principles of equity.</w:t>
      </w:r>
    </w:p>
    <w:p>
      <w:pPr>
        <w:spacing w:after="0" w:line="17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Trustee shall not be required to authenticate such Notes if the Trustee reasonably determines the issue of such Notes pursuant to this Indenture will materially and adversely affect the Trustee’s own rights, duties or immunities under the Notes and this Indenture.</w:t>
      </w:r>
    </w:p>
    <w:p>
      <w:pPr>
        <w:spacing w:after="0" w:line="27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5"/>
          <w:szCs w:val="15"/>
          <w:b w:val="1"/>
          <w:bCs w:val="1"/>
          <w:i w:val="1"/>
          <w:iCs w:val="1"/>
          <w:color w:val="auto"/>
        </w:rPr>
        <w:t>Registrar and Paying Agent.</w:t>
      </w:r>
    </w:p>
    <w:p>
      <w:pPr>
        <w:spacing w:after="0" w:line="12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The Company shall maintain an office or agency where Notes may be presented for registration of transfer or for exchange (“</w:t>
      </w:r>
      <w:r>
        <w:rPr>
          <w:rFonts w:ascii="Arial" w:cs="Arial" w:eastAsia="Arial" w:hAnsi="Arial"/>
          <w:sz w:val="16"/>
          <w:szCs w:val="16"/>
          <w:u w:val="single" w:color="auto"/>
          <w:color w:val="auto"/>
        </w:rPr>
        <w:t>Registrar</w:t>
      </w:r>
      <w:r>
        <w:rPr>
          <w:rFonts w:ascii="Arial" w:cs="Arial" w:eastAsia="Arial" w:hAnsi="Arial"/>
          <w:sz w:val="16"/>
          <w:szCs w:val="16"/>
          <w:color w:val="auto"/>
        </w:rPr>
        <w:t>”) and an office or agency where Notes may be presented for payment (“</w:t>
      </w:r>
      <w:r>
        <w:rPr>
          <w:rFonts w:ascii="Arial" w:cs="Arial" w:eastAsia="Arial" w:hAnsi="Arial"/>
          <w:sz w:val="16"/>
          <w:szCs w:val="16"/>
          <w:u w:val="single" w:color="auto"/>
          <w:color w:val="auto"/>
        </w:rPr>
        <w:t>Paying Agent</w:t>
      </w:r>
      <w:r>
        <w:rPr>
          <w:rFonts w:ascii="Arial" w:cs="Arial" w:eastAsia="Arial" w:hAnsi="Arial"/>
          <w:sz w:val="16"/>
          <w:szCs w:val="16"/>
          <w:color w:val="auto"/>
        </w:rPr>
        <w:t>”). The Registrar shall keep a register with respect to each Series of the Notes and of their transfer and exchange. The Company may appoint one or more co-registrars (provided that there shall be only one register) and one or more additional paying agents or change the office of such Registrar or Paying Agent. The term “Registrar” includes any co-registrar and the term “Paying Agent” includes any additional paying agent. The Company may change any Paying Agent or Registrar without notice to any Holder; however, the Company shall maintain a Paying Agent in each place of payment for the Notes of each Series. The Company shall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66"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Company initially appoints the Trustee to act as the Registrar and Paying Agent and to act as Custodian with respect to the Global Notes. The Company shall be responsible for making calculations called for under the Notes and this Indenture, including, but not limited to, determination of interest, additional amounts, redemption price, premium, if any, and any other amounts payable on the Notes. The Company will make the calculations in good faith and, absent manifest error, its calculations will be final and binding on the Holders. The Company will provide a schedule of its calculations to the Trustee when requested by the Trustee in writing, and the Trustee is entitled to rely conclusively on the accuracy of the Company’s calculations without independent verification. The Trustee shall forward the Company’s calculations to any Holder of the Notes upon the written request of such Holder.</w:t>
      </w:r>
    </w:p>
    <w:p>
      <w:pPr>
        <w:spacing w:after="0" w:line="29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2.05</w:t>
      </w:r>
      <w:r>
        <w:rPr>
          <w:sz w:val="20"/>
          <w:szCs w:val="20"/>
          <w:color w:val="auto"/>
        </w:rPr>
        <w:tab/>
      </w:r>
      <w:r>
        <w:rPr>
          <w:rFonts w:ascii="Arial" w:cs="Arial" w:eastAsia="Arial" w:hAnsi="Arial"/>
          <w:sz w:val="15"/>
          <w:szCs w:val="15"/>
          <w:b w:val="1"/>
          <w:bCs w:val="1"/>
          <w:i w:val="1"/>
          <w:iCs w:val="1"/>
          <w:color w:val="auto"/>
        </w:rPr>
        <w:t>Paying Agent to Hold Money in Trust.</w:t>
      </w:r>
    </w:p>
    <w:p>
      <w:pPr>
        <w:spacing w:after="0" w:line="12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Holders of any Series of Notes, or the Trustee, all money held by the Paying Agent for the payment of principal or interest on the Series of Notes, and shall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Subject to applicable abandoned property laws, all payments to a Paying Agent on any Notes which remain unclaimed for a period of two years after such payment was due shall be repaid to the Company. Thereafter, the Holder may look only to the Company for repayment. Upon payment over to the Trustee, or to the Company, as the case may be, the Paying Agent (if other than the Company or a Subsidiary) shall have no further liability for the money. If the Company or a Subsidiary acts as Paying Agent, it shall segregate and hold in a separate trust fund for the benefit of Holders of any Series of Notes all money held by it as Paying Agent. Upon any bankruptcy or reorganization proceedings relating to the Company, the Trustee shall serve as Paying Agent for the Notes.</w:t>
      </w:r>
    </w:p>
    <w:p>
      <w:pPr>
        <w:spacing w:after="0" w:line="28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2.06</w:t>
      </w:r>
      <w:r>
        <w:rPr>
          <w:sz w:val="20"/>
          <w:szCs w:val="20"/>
          <w:color w:val="auto"/>
        </w:rPr>
        <w:tab/>
      </w:r>
      <w:r>
        <w:rPr>
          <w:rFonts w:ascii="Arial" w:cs="Arial" w:eastAsia="Arial" w:hAnsi="Arial"/>
          <w:sz w:val="15"/>
          <w:szCs w:val="15"/>
          <w:b w:val="1"/>
          <w:bCs w:val="1"/>
          <w:i w:val="1"/>
          <w:iCs w:val="1"/>
          <w:color w:val="auto"/>
        </w:rPr>
        <w:t>Holder Lists.</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Holders of each Series of Notes and shall otherwise comply with TIA Section 312(a).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Holders of each Series of Notes and the Company shall otherwise comply with TIA Section 312(a).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52" w:name="page53"/>
    <w:bookmarkEnd w:id="52"/>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2.07</w:t>
      </w:r>
      <w:r>
        <w:rPr>
          <w:sz w:val="20"/>
          <w:szCs w:val="20"/>
          <w:color w:val="auto"/>
        </w:rPr>
        <w:tab/>
      </w:r>
      <w:r>
        <w:rPr>
          <w:rFonts w:ascii="Arial" w:cs="Arial" w:eastAsia="Arial" w:hAnsi="Arial"/>
          <w:sz w:val="16"/>
          <w:szCs w:val="16"/>
          <w:b w:val="1"/>
          <w:bCs w:val="1"/>
          <w:i w:val="1"/>
          <w:iCs w:val="1"/>
          <w:color w:val="auto"/>
        </w:rPr>
        <w:t>Transfer and Exchange.</w:t>
      </w:r>
    </w:p>
    <w:p>
      <w:pPr>
        <w:spacing w:after="0" w:line="121"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Notes may be transferred or exchanged at the office of the Registrar or co-registrar designated by the Company. Where Notes of a Series are presented to the Registrar or a co-registrar with a request to register a transfer or to exchange them for an equal principal amount of Notes of the same Series, the Registrar shall register the transfer or make the exchange if its requirements for such transactions are met. To permit registrations of transfers and exchanges, the Trustee shall authenticate Notes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3.06 or 9.05).</w:t>
      </w:r>
    </w:p>
    <w:p>
      <w:pPr>
        <w:spacing w:after="0" w:line="178" w:lineRule="exact"/>
        <w:rPr>
          <w:sz w:val="20"/>
          <w:szCs w:val="20"/>
          <w:color w:val="auto"/>
        </w:rPr>
      </w:pPr>
    </w:p>
    <w:p>
      <w:pPr>
        <w:ind w:right="300" w:firstLine="441"/>
        <w:spacing w:after="0" w:line="302" w:lineRule="auto"/>
        <w:rPr>
          <w:sz w:val="20"/>
          <w:szCs w:val="20"/>
          <w:color w:val="auto"/>
        </w:rPr>
      </w:pPr>
      <w:r>
        <w:rPr>
          <w:rFonts w:ascii="Arial" w:cs="Arial" w:eastAsia="Arial" w:hAnsi="Arial"/>
          <w:sz w:val="16"/>
          <w:szCs w:val="16"/>
          <w:color w:val="auto"/>
        </w:rPr>
        <w:t>Neither the Company nor the Registrar shall be required (a) to issue, register the transfer of, or exchange Notes of any Series for the period beginning at the opening of business fifteen days immediately preceding the mailing of a notice of redemption of Notes of that Series selected for redemption and ending at the close of business on the day of such mailing, or (b) to register the transfer of or exchange Notes of any Series selected, called or being called for redemption as a whole or a portion thereof, except the unredeemed portion of Notes being redeemed in part.</w:t>
      </w:r>
    </w:p>
    <w:p>
      <w:pPr>
        <w:spacing w:after="0" w:line="154"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Neither the Trustee nor any Agent shall have any obligation or duty to monitor, determine or inquire as to compliance with any restrictions on transfer imposed under this Indenture or under applicable law (including securities laws)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7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2.08</w:t>
      </w:r>
      <w:r>
        <w:rPr>
          <w:sz w:val="20"/>
          <w:szCs w:val="20"/>
          <w:color w:val="auto"/>
        </w:rPr>
        <w:tab/>
      </w:r>
      <w:r>
        <w:rPr>
          <w:rFonts w:ascii="Arial" w:cs="Arial" w:eastAsia="Arial" w:hAnsi="Arial"/>
          <w:sz w:val="15"/>
          <w:szCs w:val="15"/>
          <w:b w:val="1"/>
          <w:bCs w:val="1"/>
          <w:i w:val="1"/>
          <w:iCs w:val="1"/>
          <w:color w:val="auto"/>
        </w:rPr>
        <w:t>Replacement Notes.</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If any mutilated Note is surrendered to the Trustee, or if the Company and the Trustee receive evidence to their satisfaction of the destruction, loss or theft of any Note, the Company shall issue and the Trustee, upon receipt of an Authentication Order together with such indemnity bond sufficient in the judgment of the Trustee and the Company to protect the Company, the Trustee, any Agent and any authenticating agent from any loss that any of them may suffer if a Note is replaced, shall authenticate a replacement Note of the same Series if the Trustee’s requirements are met. The Company may charge for its expenses in replacing a Note.</w:t>
      </w:r>
    </w:p>
    <w:p>
      <w:pPr>
        <w:spacing w:after="0" w:line="188"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Every replacement Note of any Series is an additional obligation of the Company and shall be entitled to all of the benefits of this Indenture equally and proportionately with all other Notes of that Series duly issued hereunder.</w:t>
      </w:r>
    </w:p>
    <w:p>
      <w:pPr>
        <w:spacing w:after="0" w:line="27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2.09</w:t>
      </w:r>
      <w:r>
        <w:rPr>
          <w:sz w:val="20"/>
          <w:szCs w:val="20"/>
          <w:color w:val="auto"/>
        </w:rPr>
        <w:tab/>
      </w:r>
      <w:r>
        <w:rPr>
          <w:rFonts w:ascii="Arial" w:cs="Arial" w:eastAsia="Arial" w:hAnsi="Arial"/>
          <w:sz w:val="15"/>
          <w:szCs w:val="15"/>
          <w:b w:val="1"/>
          <w:bCs w:val="1"/>
          <w:i w:val="1"/>
          <w:iCs w:val="1"/>
          <w:color w:val="auto"/>
        </w:rPr>
        <w:t>Outstanding Notes.</w:t>
      </w:r>
    </w:p>
    <w:p>
      <w:pPr>
        <w:spacing w:after="0" w:line="12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as not outstanding. Except as set forth in Section 2.10 hereof, a Note does not cease to be outstanding because the Company or an Affiliate of the Company holds the Note.</w:t>
      </w:r>
    </w:p>
    <w:p>
      <w:pPr>
        <w:spacing w:after="0" w:line="187"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If a Note is replaced pursuant to Section 2.08 hereof, it ceases to be outstanding unless the Trustee receives proof satisfactory to it that the replaced Note is held by a bona fide purchaser.</w:t>
      </w:r>
    </w:p>
    <w:p>
      <w:pPr>
        <w:spacing w:after="0" w:line="170" w:lineRule="exact"/>
        <w:rPr>
          <w:sz w:val="20"/>
          <w:szCs w:val="20"/>
          <w:color w:val="auto"/>
        </w:rPr>
      </w:pPr>
    </w:p>
    <w:p>
      <w:pPr>
        <w:jc w:val="center"/>
        <w:ind w:left="620" w:right="260"/>
        <w:spacing w:after="0" w:line="449" w:lineRule="auto"/>
        <w:rPr>
          <w:sz w:val="20"/>
          <w:szCs w:val="20"/>
          <w:color w:val="auto"/>
        </w:rPr>
      </w:pPr>
      <w:r>
        <w:rPr>
          <w:rFonts w:ascii="Arial" w:cs="Arial" w:eastAsia="Arial" w:hAnsi="Arial"/>
          <w:sz w:val="18"/>
          <w:szCs w:val="18"/>
          <w:color w:val="auto"/>
        </w:rPr>
        <w:t>If the principal amount of any Note is considered paid under Section 4.01 hereof, it ceases to be outstanding and interest on it ceases to accrue. 10</w:t>
      </w:r>
    </w:p>
    <w:p>
      <w:pPr>
        <w:sectPr>
          <w:pgSz w:w="11900" w:h="16838" w:orient="portrait"/>
          <w:cols w:equalWidth="0" w:num="1">
            <w:col w:w="10980"/>
          </w:cols>
          <w:pgMar w:left="440" w:top="270" w:right="479" w:bottom="1440" w:gutter="0" w:footer="0" w:header="0"/>
        </w:sectPr>
      </w:pPr>
    </w:p>
    <w:bookmarkStart w:id="53" w:name="page54"/>
    <w:bookmarkEnd w:id="53"/>
    <w:p>
      <w:pPr>
        <w:ind w:right="4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Paying Agent (other than the Company, a Subsidiary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28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5"/>
          <w:szCs w:val="15"/>
          <w:b w:val="1"/>
          <w:bCs w:val="1"/>
          <w:i w:val="1"/>
          <w:iCs w:val="1"/>
          <w:color w:val="auto"/>
        </w:rPr>
        <w:t>Treasury Notes.</w:t>
      </w:r>
    </w:p>
    <w:p>
      <w:pPr>
        <w:spacing w:after="0" w:line="12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In determining whether the Holders of the required principal amount of Notes of a Series have concurred in any direction, waiver or consent, Notes owned by the Company, or by any Person directly or indirectly controlling or controlled by or under direct or indirect common control with the Company, shall be considered as though not outstanding, except that for the purposes of determining whether the Trustee shall be protected in relying on any such direction, waiver or consent, only Notes of a Series that a Responsible Officer of the Trustee actually knows are so owned shall be so disregarded.</w:t>
      </w:r>
    </w:p>
    <w:p>
      <w:pPr>
        <w:spacing w:after="0" w:line="29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5"/>
          <w:szCs w:val="15"/>
          <w:b w:val="1"/>
          <w:bCs w:val="1"/>
          <w:i w:val="1"/>
          <w:iCs w:val="1"/>
          <w:color w:val="auto"/>
        </w:rPr>
        <w:t>Temporary Notes.</w:t>
      </w:r>
    </w:p>
    <w:p>
      <w:pPr>
        <w:spacing w:after="0" w:line="121" w:lineRule="exact"/>
        <w:rPr>
          <w:sz w:val="20"/>
          <w:szCs w:val="20"/>
          <w:color w:val="auto"/>
        </w:rPr>
      </w:pPr>
    </w:p>
    <w:p>
      <w:pPr>
        <w:jc w:val="both"/>
        <w:ind w:right="100" w:firstLine="441"/>
        <w:spacing w:after="0" w:line="279" w:lineRule="auto"/>
        <w:rPr>
          <w:sz w:val="20"/>
          <w:szCs w:val="20"/>
          <w:color w:val="auto"/>
        </w:rPr>
      </w:pPr>
      <w:r>
        <w:rPr>
          <w:rFonts w:ascii="Arial" w:cs="Arial" w:eastAsia="Arial" w:hAnsi="Arial"/>
          <w:sz w:val="17"/>
          <w:szCs w:val="17"/>
          <w:color w:val="auto"/>
        </w:rPr>
        <w:t>Until certificates representing Notes are ready for delivery, the Company may prepare and the Trustee, upon receipt of an Authentication Order, shall authenticate temporary Notes. Temporary Notes shall be substantially in the form of certificated Notes but may have variations that the Company considers appropriate for temporary Notes and as shall be reasonably acceptable to the Trustee. Without unreasonable delay, the Company shall prepare and the Trustee shall authenticate definitive Notes in exchange for temporary Notes.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Holders of temporary Notes shall be entitled to all of the benefits of this Indenture.</w:t>
      </w:r>
    </w:p>
    <w:p>
      <w:pPr>
        <w:spacing w:after="0" w:line="32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6"/>
          <w:szCs w:val="16"/>
          <w:b w:val="1"/>
          <w:bCs w:val="1"/>
          <w:i w:val="1"/>
          <w:iCs w:val="1"/>
          <w:color w:val="auto"/>
        </w:rPr>
        <w:t>Cancellation.</w:t>
      </w:r>
    </w:p>
    <w:p>
      <w:pPr>
        <w:spacing w:after="0" w:line="12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Company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The Company may not issue new Notes to replace Notes that it has paid or that have been delivered to the Trustee for cancellation, except as otherwise provided for in this Indenture. Cancelled Notes (subject to the record retention requirements of the Exchange Act) shall be cancelled by the Trustee pursuant to its customary procedures and, upon written request by the Company, the Trustee shall deliver a certificate or other evidence of such cancellation.</w:t>
      </w:r>
    </w:p>
    <w:p>
      <w:pPr>
        <w:spacing w:after="0" w:line="28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6"/>
          <w:szCs w:val="16"/>
          <w:b w:val="1"/>
          <w:bCs w:val="1"/>
          <w:i w:val="1"/>
          <w:iCs w:val="1"/>
          <w:color w:val="auto"/>
        </w:rPr>
        <w:t>Defaulted Interest.</w:t>
      </w:r>
    </w:p>
    <w:p>
      <w:pPr>
        <w:spacing w:after="0" w:line="12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If the Company defaults in a payment of interest on a Series of Notes, it shall pay the defaulted interest in any lawful manner plus, to the extent lawful, interest payable on the defaulted interest, to the Persons who are Holders of the Series on a subsequent special record date, in each case at the rate provided in the Notes and in Section 4.01 hereof. The Company shall notify the Trustee in writing of the amount of defaulted interest proposed to be paid on each Note and the date of the proposed payment. The Company shall fix or cause to be fixed each such special record date and payment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special record date shall be less than 10 days prior to the related payment date for such defaulted interest. At least 15 days before</w:t>
      </w:r>
      <w:r>
        <w:rPr>
          <w:rFonts w:ascii="Arial" w:cs="Arial" w:eastAsia="Arial" w:hAnsi="Arial"/>
          <w:sz w:val="17"/>
          <w:szCs w:val="17"/>
          <w:i w:val="1"/>
          <w:iCs w:val="1"/>
          <w:color w:val="auto"/>
        </w:rPr>
        <w:t xml:space="preserve"> </w:t>
      </w:r>
      <w:r>
        <w:rPr>
          <w:rFonts w:ascii="Arial" w:cs="Arial" w:eastAsia="Arial" w:hAnsi="Arial"/>
          <w:sz w:val="17"/>
          <w:szCs w:val="17"/>
          <w:color w:val="auto"/>
        </w:rPr>
        <w:t>the special record date, the Company (or, upon the written request of the Company, the Trustee in the name and at the expense of the Company) shall send or cause to be sent (or, in the case of the Depositary with respect to any Global Note, sent electronically) to Holders a notice that states the special record date, the related payment date and the amount of such interest to be paid.</w:t>
      </w:r>
    </w:p>
    <w:p>
      <w:pPr>
        <w:spacing w:after="0" w:line="17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Notwithstanding the foregoing, any interest which is paid prior to the expiration of the 30-day period set forth in in Section 6.01(a) shall be paid to Holders as of the record date for the Interest Payment Date for which interest has not been paid.</w:t>
      </w:r>
    </w:p>
    <w:p>
      <w:pPr>
        <w:spacing w:after="0" w:line="27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5"/>
          <w:szCs w:val="15"/>
          <w:b w:val="1"/>
          <w:bCs w:val="1"/>
          <w:i w:val="1"/>
          <w:iCs w:val="1"/>
          <w:color w:val="auto"/>
        </w:rPr>
        <w:t>Global Notes.</w:t>
      </w:r>
    </w:p>
    <w:p>
      <w:pPr>
        <w:spacing w:after="0" w:line="121" w:lineRule="exact"/>
        <w:rPr>
          <w:sz w:val="20"/>
          <w:szCs w:val="20"/>
          <w:color w:val="auto"/>
        </w:rPr>
      </w:pPr>
    </w:p>
    <w:p>
      <w:pPr>
        <w:ind w:firstLine="444"/>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Terms of Notes</w:t>
      </w:r>
      <w:r>
        <w:rPr>
          <w:rFonts w:ascii="Arial" w:cs="Arial" w:eastAsia="Arial" w:hAnsi="Arial"/>
          <w:sz w:val="18"/>
          <w:szCs w:val="18"/>
          <w:color w:val="auto"/>
        </w:rPr>
        <w:t>. A Board Resolution, a supplemental indenture hereto, or an Officer’s Certificate shall establish whether the Notes of a Series shall be issued in whole or in part in the form of one or more Global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54" w:name="page55"/>
    <w:bookmarkEnd w:id="54"/>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and shall name the Depositary for such Global Note or Notes. Except as provided herein, each Global Note shall be (i) registered in the name of the Depositary, (ii) deposited with the Depositary or its nominee, and (iii) bear the legend indicated in Section 2.14(c).</w:t>
      </w:r>
    </w:p>
    <w:p>
      <w:pPr>
        <w:spacing w:after="0" w:line="170" w:lineRule="exact"/>
        <w:rPr>
          <w:sz w:val="20"/>
          <w:szCs w:val="20"/>
          <w:color w:val="auto"/>
        </w:rPr>
      </w:pPr>
    </w:p>
    <w:p>
      <w:pPr>
        <w:ind w:firstLine="444"/>
        <w:spacing w:after="0" w:line="270" w:lineRule="auto"/>
        <w:tabs>
          <w:tab w:leader="none" w:pos="83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Transfer and Exchange</w:t>
      </w:r>
      <w:r>
        <w:rPr>
          <w:rFonts w:ascii="Arial" w:cs="Arial" w:eastAsia="Arial" w:hAnsi="Arial"/>
          <w:sz w:val="17"/>
          <w:szCs w:val="17"/>
          <w:color w:val="auto"/>
        </w:rPr>
        <w:t>. Notwithstanding any provisions to the contrary contained in Section 2.07 and in addition thereto, any Global Note shall be exchangeable pursuant to Section 2.07 for Notes registered in the names of Holders other than the Depositary for such Note or its nominee only if (i) such Depositary notifies the Company that it is unwilling or unable to continue as Depositary for such Global Note or if at any time such Depositary ceases to be a clearing agency registered under the Exchange Act, and, in either case, the Company fails to appoint a successor Depositary registered as a clearing agency under the Exchange Act within 90 days of such event, (ii) the Company executes and delivers to the Trustee an Officer’s Certificate to the effect that such Global Note shall be so exchangeable or (iii) an Event of Default with respect to the Notes represented by such Global Note shall have occurred and be continuing. Any Global Note that is exchangeable pursuant to the preceding sentence shall be exchangeable for Notes registered in such names as the Depositary shall direct in writing in an aggregate principal amount equal to the principal amount of the Global Note with like tenor and terms.</w:t>
      </w:r>
    </w:p>
    <w:p>
      <w:pPr>
        <w:spacing w:after="0" w:line="182"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Except as provided in this Section 2.14(b), a Global Note may not be transferred except as a whole by the Depositary with respect to such Global Note to a nominee of such Depositary, by a nominee of such Depositary to such Depositary or another nominee of such Depositary or by the Depositary, or any such nominee to a successor Depositary or a nominee of such a successor Depositary.</w:t>
      </w:r>
    </w:p>
    <w:p>
      <w:pPr>
        <w:spacing w:after="0" w:line="181"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u w:val="single" w:color="auto"/>
          <w:color w:val="auto"/>
        </w:rPr>
        <w:t>Legend</w:t>
      </w:r>
      <w:r>
        <w:rPr>
          <w:rFonts w:ascii="Arial" w:cs="Arial" w:eastAsia="Arial" w:hAnsi="Arial"/>
          <w:sz w:val="16"/>
          <w:szCs w:val="16"/>
          <w:color w:val="auto"/>
        </w:rPr>
        <w:t>. Any Global Note issued hereunder shall bear a legend in substantially the following form:</w:t>
      </w:r>
    </w:p>
    <w:p>
      <w:pPr>
        <w:spacing w:after="0" w:line="117" w:lineRule="exact"/>
        <w:rPr>
          <w:sz w:val="20"/>
          <w:szCs w:val="20"/>
          <w:color w:val="auto"/>
        </w:rPr>
      </w:pPr>
    </w:p>
    <w:p>
      <w:pPr>
        <w:ind w:left="440" w:right="20" w:firstLine="423"/>
        <w:spacing w:after="0" w:line="257" w:lineRule="auto"/>
        <w:rPr>
          <w:sz w:val="20"/>
          <w:szCs w:val="20"/>
          <w:color w:val="auto"/>
        </w:rPr>
      </w:pPr>
      <w:r>
        <w:rPr>
          <w:rFonts w:ascii="Arial" w:cs="Arial" w:eastAsia="Arial" w:hAnsi="Arial"/>
          <w:sz w:val="18"/>
          <w:szCs w:val="18"/>
          <w:color w:val="auto"/>
        </w:rPr>
        <w:t>“This Note is a Global Note within the meaning of the Indenture hereinafter referred to and is registered in the name of the Depositary or a nominee of the Depositary. This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8"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In addition, so long as the Depository Trust Company (“DTC”) is the Depositary, each Global Note registered in the name of DTC or its nominee shall bear a legend in substantially the following form:</w:t>
      </w:r>
    </w:p>
    <w:p>
      <w:pPr>
        <w:spacing w:after="0" w:line="62" w:lineRule="exact"/>
        <w:rPr>
          <w:sz w:val="20"/>
          <w:szCs w:val="20"/>
          <w:color w:val="auto"/>
        </w:rPr>
      </w:pPr>
    </w:p>
    <w:p>
      <w:pPr>
        <w:ind w:left="440" w:right="160" w:firstLine="423"/>
        <w:spacing w:after="0" w:line="255" w:lineRule="auto"/>
        <w:rPr>
          <w:sz w:val="20"/>
          <w:szCs w:val="20"/>
          <w:color w:val="auto"/>
        </w:rPr>
      </w:pPr>
      <w:r>
        <w:rPr>
          <w:rFonts w:ascii="Arial" w:cs="Arial" w:eastAsia="Arial" w:hAnsi="Arial"/>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right="20" w:firstLine="444"/>
        <w:spacing w:after="0" w:line="259" w:lineRule="auto"/>
        <w:tabs>
          <w:tab w:leader="none" w:pos="83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Acts of Holders</w:t>
      </w:r>
      <w:r>
        <w:rPr>
          <w:rFonts w:ascii="Arial" w:cs="Arial" w:eastAsia="Arial" w:hAnsi="Arial"/>
          <w:sz w:val="18"/>
          <w:szCs w:val="18"/>
          <w:color w:val="auto"/>
        </w:rPr>
        <w:t>. The Depositary may appoint agents and otherwise authorize participants to give or take any request, demand, authorization, direction, notice, consent, waiver or other action which a Holder is entitled to give or take under this Indenture. The Company may establish a record date for purposes of determining the identity of Holders entitled to vote or consent to any action by vote or consent authorized or permitted under this Indenture.</w:t>
      </w:r>
    </w:p>
    <w:p>
      <w:pPr>
        <w:spacing w:after="0" w:line="186" w:lineRule="exact"/>
        <w:rPr>
          <w:rFonts w:ascii="Arial" w:cs="Arial" w:eastAsia="Arial" w:hAnsi="Arial"/>
          <w:sz w:val="18"/>
          <w:szCs w:val="18"/>
          <w:color w:val="auto"/>
        </w:rPr>
      </w:pPr>
    </w:p>
    <w:p>
      <w:pPr>
        <w:ind w:right="60" w:firstLine="444"/>
        <w:spacing w:after="0" w:line="255"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2.02, payment of the principal of and interest, if any, on any Global Note shall be made to the Holder thereof. Prior to due presentment of a Note for registration of transfer, the Company, the Trustee, and any agent of the Company or the Trustee may treat the Person in whose name such Note is registered as the owner of such Note for the purpose of receiving payment of principal of and any premium and (subject to Section 2.13) any interest on such Note and for all other purposes whatsoever, and neither the Company, the Trustee nor any Agent or other agent of the Company or the Trustee will be affected by notice to the contrary.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55" w:name="page56"/>
    <w:bookmarkEnd w:id="55"/>
    <w:p>
      <w:pPr>
        <w:jc w:val="both"/>
        <w:ind w:right="80" w:firstLine="444"/>
        <w:spacing w:after="0" w:line="259"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Consents, Declaration and Directions</w:t>
      </w:r>
      <w:r>
        <w:rPr>
          <w:rFonts w:ascii="Arial" w:cs="Arial" w:eastAsia="Arial" w:hAnsi="Arial"/>
          <w:sz w:val="18"/>
          <w:szCs w:val="18"/>
          <w:color w:val="auto"/>
        </w:rPr>
        <w:t>. Except as provided in Section 2.14(e), the Company, the Trustee and any Agent shall treat a Person as the Holder of such principal amount of outstanding Notes of such Series represented by a Global Note as shall be specified in a written statement of the Depositary with respect to such Global Note, for purposes of obtaining any consents, declarations, waivers or directions required to be given by the Holders pursuant to this Indenture.</w:t>
      </w:r>
    </w:p>
    <w:p>
      <w:pPr>
        <w:spacing w:after="0" w:line="186" w:lineRule="exact"/>
        <w:rPr>
          <w:rFonts w:ascii="Arial" w:cs="Arial" w:eastAsia="Arial" w:hAnsi="Arial"/>
          <w:sz w:val="18"/>
          <w:szCs w:val="18"/>
          <w:color w:val="auto"/>
        </w:rPr>
      </w:pPr>
    </w:p>
    <w:p>
      <w:pPr>
        <w:ind w:right="20" w:firstLine="444"/>
        <w:spacing w:after="0" w:line="264" w:lineRule="auto"/>
        <w:tabs>
          <w:tab w:leader="none" w:pos="83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Responsibility of Trustee or Agents</w:t>
      </w:r>
      <w:r>
        <w:rPr>
          <w:rFonts w:ascii="Arial" w:cs="Arial" w:eastAsia="Arial" w:hAnsi="Arial"/>
          <w:sz w:val="18"/>
          <w:szCs w:val="18"/>
          <w:color w:val="auto"/>
        </w:rPr>
        <w:t>. Neither the Trustee nor any Agent shall have any responsibility for any actions taken or not taken by the Depositary. The Company has entered into a letter of representations with the Depositary in the form provided by the Depositary and the Trustee and each Agent is hereby authorized to act in accordance with such letter and the Applicable Procedures.</w:t>
      </w:r>
    </w:p>
    <w:p>
      <w:pPr>
        <w:spacing w:after="0" w:line="181"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Neither the Trustee nor any Agent shall have any responsibility or obligation to any beneficial owner in a Global Note, a Depositary participant or other Person with respect to (i) the accuracy of the records of the Depositary or its nominee or of any Depositary participant with respect to any ownership interest in the Notes, (ii) the delivery to any Depositary participant, beneficial owner or other Person (other than the Depositary) of any notice (including any notice of redemption) or (iii) the payment of any amount under or with respect to such Notes. All notices and communications to be given to the Holders and all payments to be made to Holders under the Securities and this Indenture shall be given or made only to or upon the order of the registered holders (which shall be the Depositary or its nominee in the case of the Global Note). The rights of beneficial owners in the Global Note shall be exercised only through the Depositary subject to the Applicable Procedures. The Trustee and each Agent shall be entitled to rely and shall be fully protected in relying upon information furnished by the Depositary with respect to its members, participants and any beneficial owners. The Trustee and each Agent shall be entitled to deal with the Depositary, and any nominee thereof, that is the registered holder of any Global Note for all purposes of this Indenture relating to such Global Note (including the payment of principal, premium, if any, and interest and additional amounts, if any, and the giving of instructions or directions by or to the owner or holder of a beneficial ownership interest in such Global Note) as the sole holder of such Global Note and shall have no obligations to the beneficial owners thereof. Neither the Trustee nor any Agent shall have any responsibility or liability for any acts or omissions of the Depositary (and the Depositary shall not be deemed an agent of the Trustee for any purpose) with respect to such Global Note, for the records of any such depositary, including records in respect of beneficial ownership interests in respect of any such Global Note, for any transactions between the Depositary and any Depositary participant or between or among the Depositary, any such Depositary participant and/or any holder or owner of a beneficial interest in such Global Note, or for any transfers of beneficial interests in any such Global Note.</w:t>
      </w:r>
    </w:p>
    <w:p>
      <w:pPr>
        <w:spacing w:after="0" w:line="178" w:lineRule="exact"/>
        <w:rPr>
          <w:sz w:val="20"/>
          <w:szCs w:val="20"/>
          <w:color w:val="auto"/>
        </w:rPr>
      </w:pPr>
    </w:p>
    <w:p>
      <w:pPr>
        <w:ind w:right="180" w:firstLine="441"/>
        <w:spacing w:after="0" w:line="302" w:lineRule="auto"/>
        <w:rPr>
          <w:sz w:val="20"/>
          <w:szCs w:val="20"/>
          <w:color w:val="auto"/>
        </w:rPr>
      </w:pPr>
      <w:r>
        <w:rPr>
          <w:rFonts w:ascii="Arial" w:cs="Arial" w:eastAsia="Arial" w:hAnsi="Arial"/>
          <w:sz w:val="16"/>
          <w:szCs w:val="16"/>
          <w:color w:val="auto"/>
        </w:rPr>
        <w:t>Notwithstanding the foregoing, with respect to any Global Note, nothing herein shall prevent the Company, the Trustee, or any agent of the Company or the Trustee from giving effect to any written certification, proxy or other authorization furnished by any Depositary (or its nominee), as a Holder, with respect to such Global Note or shall impair, as between such Depositary and owners of beneficial interests in such Global Note, the operation of customary practices governing the exercise of the rights of such Depositary (or its nominee) as Holder of such Global Note.</w:t>
      </w:r>
    </w:p>
    <w:p>
      <w:pPr>
        <w:spacing w:after="0" w:line="25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2.15</w:t>
      </w:r>
      <w:r>
        <w:rPr>
          <w:sz w:val="20"/>
          <w:szCs w:val="20"/>
          <w:color w:val="auto"/>
        </w:rPr>
        <w:tab/>
      </w:r>
      <w:r>
        <w:rPr>
          <w:rFonts w:ascii="Arial" w:cs="Arial" w:eastAsia="Arial" w:hAnsi="Arial"/>
          <w:sz w:val="16"/>
          <w:szCs w:val="16"/>
          <w:b w:val="1"/>
          <w:bCs w:val="1"/>
          <w:i w:val="1"/>
          <w:iCs w:val="1"/>
          <w:color w:val="auto"/>
        </w:rPr>
        <w:t>CUSIP Numbers.</w:t>
      </w:r>
    </w:p>
    <w:p>
      <w:pPr>
        <w:spacing w:after="0" w:line="121"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 xml:space="preserve">The Company in issuing the Notes may use “CUSIP,” “ISIN” or other similar numbers (if then generally in use), and, if so, the Trustee shall use CUSIP, ISIN or other similar numbers in notices as a convenience to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notice may state that no representation is made as to the correctness of such numbers either as printed on the Notes or as contained in any notice and that reliance may be placed only on the other identification numbers printed on the Notes, and any such notice shall not be affected by any defect in or the omission of such numbers. The Company shall promptly notify the Trustee in writing of any change in the CUSIP, ISIN or other similar numbers.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56" w:name="page57"/>
    <w:bookmarkEnd w:id="5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AND PREPAYMENT</w:t>
      </w:r>
    </w:p>
    <w:p>
      <w:pPr>
        <w:spacing w:after="0" w:line="20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5"/>
          <w:szCs w:val="15"/>
          <w:b w:val="1"/>
          <w:bCs w:val="1"/>
          <w:i w:val="1"/>
          <w:iCs w:val="1"/>
          <w:color w:val="auto"/>
        </w:rPr>
        <w:t>Notice to Trustee.</w:t>
      </w:r>
    </w:p>
    <w:p>
      <w:pPr>
        <w:spacing w:after="0" w:line="121"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The Company may, with respect to any Series of Notes, reserve the right to redeem and pay the Series of Notes or may covenant to redeem and pay the Series of Notes or any part thereof prior to the Stated Maturity thereof at such time and on such terms as provided for in such Notes. If a Series of Notes is redeemable and the Company wants or is obligated to redeem prior to the Stated Maturity thereof all or part of the Series of Notes pursuant to the terms of such Notes, it shall notify the Trustee in writing of the redemption date and the principal amount of Series of Notes to be redeemed. The Company shall give the notice at least 15 days prior to the mailing or sending of notice of redemption to the Holders of the Notes to be redeemed (or such shorter notice as may be acceptable to the Trustee).</w:t>
      </w:r>
    </w:p>
    <w:p>
      <w:pPr>
        <w:spacing w:after="0" w:line="28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5"/>
          <w:szCs w:val="15"/>
          <w:b w:val="1"/>
          <w:bCs w:val="1"/>
          <w:i w:val="1"/>
          <w:iCs w:val="1"/>
          <w:color w:val="auto"/>
        </w:rPr>
        <w:t>Selection of Notes to Be Redeemed.</w:t>
      </w:r>
    </w:p>
    <w:p>
      <w:pPr>
        <w:spacing w:after="0" w:line="121" w:lineRule="exact"/>
        <w:rPr>
          <w:sz w:val="20"/>
          <w:szCs w:val="20"/>
          <w:color w:val="auto"/>
        </w:rPr>
      </w:pPr>
    </w:p>
    <w:p>
      <w:pPr>
        <w:jc w:val="both"/>
        <w:ind w:right="20" w:firstLine="441"/>
        <w:spacing w:after="0" w:line="302" w:lineRule="auto"/>
        <w:rPr>
          <w:sz w:val="20"/>
          <w:szCs w:val="20"/>
          <w:color w:val="auto"/>
        </w:rPr>
      </w:pPr>
      <w:r>
        <w:rPr>
          <w:rFonts w:ascii="Arial" w:cs="Arial" w:eastAsia="Arial" w:hAnsi="Arial"/>
          <w:sz w:val="16"/>
          <w:szCs w:val="16"/>
          <w:color w:val="auto"/>
        </w:rPr>
        <w:t xml:space="preserve">If less than all of the Notes of a Series are to be redeemed or purchased in an offer to purchase at any time, the Notes of a Series to be redeemed or purchased among the Holders of the Notes shall be selected (a) in compliance with the requirements of the principal national securities exchange, if any, on which the Notes are listed or (b) if the Notes are not so listed, in accordance with the applicable procedures of the Depositary or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practicable, by lot or in accordance with any other method the Trustee considers fair and appropriate.</w:t>
      </w:r>
    </w:p>
    <w:p>
      <w:pPr>
        <w:spacing w:after="0" w:line="154"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The Trustee shall promptly notify the Company in writing of the Notes selected for redemption and, in the case of any Note selected for partial redemption, the principal amount thereof to be redeemed. Notes of a Series and portions of them selected shall be in amounts of no less than minimum denominations of $2,000 and whole multiples of $1,000 in excess thereof, or with respect to Notes of any Series issuable in other denominations pursuant to Section 2.02(j), the minimum principal denomination for each Series and integral multiples thereof. Except as provided in the preceding sentence, provisions of this Indenture that apply to Notes of a Series called for redemption or repurchase also apply to portions of Notes of a Series called for redemption or repurchase.</w:t>
      </w:r>
    </w:p>
    <w:p>
      <w:pPr>
        <w:spacing w:after="0" w:line="29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3.03</w:t>
      </w:r>
      <w:r>
        <w:rPr>
          <w:sz w:val="20"/>
          <w:szCs w:val="20"/>
          <w:color w:val="auto"/>
        </w:rPr>
        <w:tab/>
      </w:r>
      <w:r>
        <w:rPr>
          <w:rFonts w:ascii="Arial" w:cs="Arial" w:eastAsia="Arial" w:hAnsi="Arial"/>
          <w:sz w:val="15"/>
          <w:szCs w:val="15"/>
          <w:b w:val="1"/>
          <w:bCs w:val="1"/>
          <w:i w:val="1"/>
          <w:iCs w:val="1"/>
          <w:color w:val="auto"/>
        </w:rPr>
        <w:t>Notice of Redemption.</w:t>
      </w:r>
    </w:p>
    <w:p>
      <w:pPr>
        <w:spacing w:after="0" w:line="121"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Unless otherwise indicated for a particular Series by Board Resolution, a supplemental indenture hereto or an Officer’s Certificate, at least 30 days but not more than 60 days before a redemption date, the Company shall send or cause to be sent, by first class mail, or, in the case of the Depositary with respect to any Global Note, sent electronically, a notice of redemption to each Holder whose Notes are to be redeemed at its registered address.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notice shall identify the Notes of the Series to be redeemed and shall state:</w:t>
      </w:r>
    </w:p>
    <w:p>
      <w:pPr>
        <w:spacing w:after="0" w:line="117" w:lineRule="exact"/>
        <w:rPr>
          <w:sz w:val="20"/>
          <w:szCs w:val="20"/>
          <w:color w:val="auto"/>
        </w:rPr>
      </w:pPr>
    </w:p>
    <w:p>
      <w:pPr>
        <w:ind w:left="1260" w:hanging="392"/>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redemption price (or manner of calculation if not then known);</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Notes of the Series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interest on Notes of the Series called for redemption ceases to accrue on and after the redemption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0" w:right="439" w:bottom="1440" w:gutter="0" w:footer="0" w:header="0"/>
        </w:sectPr>
      </w:pPr>
    </w:p>
    <w:bookmarkStart w:id="57" w:name="page58"/>
    <w:bookmarkEnd w:id="57"/>
    <w:p>
      <w:pPr>
        <w:ind w:left="440" w:firstLine="428"/>
        <w:spacing w:after="0" w:line="277" w:lineRule="auto"/>
        <w:tabs>
          <w:tab w:leader="none" w:pos="1253"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CUSIP number, if any, provided that no representation is made as to the correctness or accuracy of the CUSIP number, if any, listed in such notice or printed on the Notes;</w:t>
      </w:r>
    </w:p>
    <w:p>
      <w:pPr>
        <w:spacing w:after="0" w:line="62" w:lineRule="exact"/>
        <w:rPr>
          <w:rFonts w:ascii="Arial" w:cs="Arial" w:eastAsia="Arial" w:hAnsi="Arial"/>
          <w:sz w:val="18"/>
          <w:szCs w:val="18"/>
          <w:color w:val="auto"/>
        </w:rPr>
      </w:pPr>
    </w:p>
    <w:p>
      <w:pPr>
        <w:ind w:left="1260" w:hanging="392"/>
        <w:spacing w:after="0"/>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conditions precedent, if any, to the redemption; and</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other information as may be required by the terms of the particular Series of the Notes or the Notes of a Series being redeemed.</w:t>
      </w:r>
    </w:p>
    <w:p>
      <w:pPr>
        <w:spacing w:after="0" w:line="248"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At the Company’s request, and upon receipt of an Officer’s Certificate complying with Section 11.04 hereof at least 15 days prior to the date notice is to be given (unless a shorter period shall be satisfactory to the Trustee), together with the notice to be given setting forth the information to be stated therein as provided in the preceding paragraph, the Trustee shall give the notice of redemption in the Company’s name and at its expense.</w:t>
      </w:r>
    </w:p>
    <w:p>
      <w:pPr>
        <w:spacing w:after="0" w:line="25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3.04</w:t>
      </w:r>
      <w:r>
        <w:rPr>
          <w:sz w:val="20"/>
          <w:szCs w:val="20"/>
          <w:color w:val="auto"/>
        </w:rPr>
        <w:tab/>
      </w:r>
      <w:r>
        <w:rPr>
          <w:rFonts w:ascii="Arial" w:cs="Arial" w:eastAsia="Arial" w:hAnsi="Arial"/>
          <w:sz w:val="15"/>
          <w:szCs w:val="15"/>
          <w:b w:val="1"/>
          <w:bCs w:val="1"/>
          <w:i w:val="1"/>
          <w:iCs w:val="1"/>
          <w:color w:val="auto"/>
        </w:rPr>
        <w:t>Effect of Notice of Redemption.</w:t>
      </w:r>
    </w:p>
    <w:p>
      <w:pPr>
        <w:spacing w:after="0" w:line="1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Once notice of redemption is sent in accordance with Section 3.03 hereof, Notes called for redemption become irrevocably due and payable on the redemption date at the redemption price. Unless otherwise indicated for a particular Series by Board Resolution, a supplemental indenture hereto or an Officer’s Certificate, a notice of redemption may not be conditional.</w:t>
      </w:r>
    </w:p>
    <w:p>
      <w:pPr>
        <w:spacing w:after="0" w:line="28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3.05</w:t>
      </w:r>
      <w:r>
        <w:rPr>
          <w:sz w:val="20"/>
          <w:szCs w:val="20"/>
          <w:color w:val="auto"/>
        </w:rPr>
        <w:tab/>
      </w:r>
      <w:r>
        <w:rPr>
          <w:rFonts w:ascii="Arial" w:cs="Arial" w:eastAsia="Arial" w:hAnsi="Arial"/>
          <w:sz w:val="15"/>
          <w:szCs w:val="15"/>
          <w:b w:val="1"/>
          <w:bCs w:val="1"/>
          <w:i w:val="1"/>
          <w:iCs w:val="1"/>
          <w:color w:val="auto"/>
        </w:rPr>
        <w:t>Deposit of Redemption Price.</w:t>
      </w:r>
    </w:p>
    <w:p>
      <w:pPr>
        <w:spacing w:after="0" w:line="121" w:lineRule="exact"/>
        <w:rPr>
          <w:sz w:val="20"/>
          <w:szCs w:val="20"/>
          <w:color w:val="auto"/>
        </w:rPr>
      </w:pPr>
    </w:p>
    <w:p>
      <w:pPr>
        <w:jc w:val="both"/>
        <w:ind w:right="120" w:firstLine="441"/>
        <w:spacing w:after="0" w:line="259" w:lineRule="auto"/>
        <w:rPr>
          <w:sz w:val="20"/>
          <w:szCs w:val="20"/>
          <w:color w:val="auto"/>
        </w:rPr>
      </w:pPr>
      <w:r>
        <w:rPr>
          <w:rFonts w:ascii="Arial" w:cs="Arial" w:eastAsia="Arial" w:hAnsi="Arial"/>
          <w:sz w:val="18"/>
          <w:szCs w:val="18"/>
          <w:color w:val="auto"/>
        </w:rPr>
        <w:t>By 10:00 a.m. Eastern Time on the Redemption Date, the Company shall deposit with the Trustee or with the Paying Agent money sufficient to pay the redemption price of and accrued interest on all Notes to be redeemed on that date. The Trustee or the Paying Agent shall promptly return to the Company any money deposited with the Trustee or the Paying Agent by the Company in excess of the amounts necessary to pay the redemption price of, and accrued interest on, all Notes to be redeemed.</w:t>
      </w:r>
    </w:p>
    <w:p>
      <w:pPr>
        <w:spacing w:after="0" w:line="187"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date, interest shall cease to accrue on the Notes or the portions of Notes called for redemption. If any Note called for redemption shall not be so paid upon surrender for redemption because of the failure of the Company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hereof.</w:t>
      </w:r>
    </w:p>
    <w:p>
      <w:pPr>
        <w:spacing w:after="0" w:line="29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5"/>
          <w:szCs w:val="15"/>
          <w:b w:val="1"/>
          <w:bCs w:val="1"/>
          <w:i w:val="1"/>
          <w:iCs w:val="1"/>
          <w:color w:val="auto"/>
        </w:rPr>
        <w:t>Notes Redeemed in Part.</w:t>
      </w:r>
    </w:p>
    <w:p>
      <w:pPr>
        <w:spacing w:after="0" w:line="121" w:lineRule="exact"/>
        <w:rPr>
          <w:sz w:val="20"/>
          <w:szCs w:val="20"/>
          <w:color w:val="auto"/>
        </w:rPr>
      </w:pPr>
    </w:p>
    <w:p>
      <w:pPr>
        <w:ind w:right="860" w:firstLine="441"/>
        <w:spacing w:after="0" w:line="308" w:lineRule="auto"/>
        <w:rPr>
          <w:sz w:val="20"/>
          <w:szCs w:val="20"/>
          <w:color w:val="auto"/>
        </w:rPr>
      </w:pPr>
      <w:r>
        <w:rPr>
          <w:rFonts w:ascii="Arial" w:cs="Arial" w:eastAsia="Arial" w:hAnsi="Arial"/>
          <w:sz w:val="17"/>
          <w:szCs w:val="17"/>
          <w:color w:val="auto"/>
        </w:rPr>
        <w:t>Upon surrender of a Note that is redeemed in part, the Company shall issue and, upon the Company’s written request, the Trustee shall authenticate for the Holder , a new Note equal in principal amount to the unredeemed portion of the Note surrendered.</w:t>
      </w:r>
    </w:p>
    <w:p>
      <w:pPr>
        <w:spacing w:after="0" w:line="147" w:lineRule="exact"/>
        <w:rPr>
          <w:sz w:val="20"/>
          <w:szCs w:val="20"/>
          <w:color w:val="auto"/>
        </w:rPr>
      </w:pPr>
    </w:p>
    <w:p>
      <w:pPr>
        <w:ind w:right="800" w:firstLine="441"/>
        <w:spacing w:after="0" w:line="308" w:lineRule="auto"/>
        <w:rPr>
          <w:sz w:val="20"/>
          <w:szCs w:val="20"/>
          <w:color w:val="auto"/>
        </w:rPr>
      </w:pPr>
      <w:r>
        <w:rPr>
          <w:rFonts w:ascii="Arial" w:cs="Arial" w:eastAsia="Arial" w:hAnsi="Arial"/>
          <w:sz w:val="17"/>
          <w:szCs w:val="17"/>
          <w:color w:val="auto"/>
        </w:rPr>
        <w:t>No Notes in minimum denominations of $2,000 or less can be redeemed in part (or with respect to Notes of any Series issuable in other denominations pursuant to Section 2.02(j), the minimum denomination for each Series and integral multiples thereof).</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5"/>
          <w:szCs w:val="15"/>
          <w:b w:val="1"/>
          <w:bCs w:val="1"/>
          <w:i w:val="1"/>
          <w:iCs w:val="1"/>
          <w:color w:val="auto"/>
        </w:rPr>
        <w:t>Payment of Principal and Interest.</w:t>
      </w:r>
    </w:p>
    <w:p>
      <w:pPr>
        <w:spacing w:after="0" w:line="121"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The Company covenants and agrees for the benefit of the Holders of each Series of Notes that it will pay or cause to be paid the principal of, premium, if any, and interest on such Series of Notes on the dates and in the manner provided in such Notes. Principal, premium, if any, and interest on any Series of Notes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58" w:name="page59"/>
    <w:bookmarkEnd w:id="58"/>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4.02</w:t>
      </w:r>
      <w:r>
        <w:rPr>
          <w:sz w:val="20"/>
          <w:szCs w:val="20"/>
          <w:color w:val="auto"/>
        </w:rPr>
        <w:tab/>
      </w:r>
      <w:r>
        <w:rPr>
          <w:rFonts w:ascii="Arial" w:cs="Arial" w:eastAsia="Arial" w:hAnsi="Arial"/>
          <w:sz w:val="15"/>
          <w:szCs w:val="15"/>
          <w:b w:val="1"/>
          <w:bCs w:val="1"/>
          <w:i w:val="1"/>
          <w:iCs w:val="1"/>
          <w:color w:val="auto"/>
        </w:rPr>
        <w:t>Maintenance of Office or Agency.</w:t>
      </w:r>
    </w:p>
    <w:p>
      <w:pPr>
        <w:spacing w:after="0" w:line="121"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Company covenants and agrees for the benefit of the Holders of each Series of Notes that it will maintain an office or agency (which may be an office of the Trustee for such Notes or an affiliate of the Trustee, Registrar for such Notes or co-registrar) where Notes may be surrendered for registration of transfer or for exchange and where notices in respect of such Notes and this Indenture may be made. The Company will give prompt written notice to the Trustee for such Notes of the location, and any change in the location, of such office or agency. If at any time the Company fails to maintain any such required office or agency or fails to furnish the Trustee with the address thereof, such presentations, surrenders and notices may be made at the Corporate Trust Office of the Trustee; provided that the Corporate Trust Office of the Trustee shall not be an office or agency of the Company for service of legal process against the Company.</w:t>
      </w:r>
    </w:p>
    <w:p>
      <w:pPr>
        <w:spacing w:after="0" w:line="18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With respect to each Series of Notes, the Company hereby designates the Corporate Trust Office of the Trustee as one such office or agency of the Company in accordance with Section 2.04.</w:t>
      </w:r>
    </w:p>
    <w:p>
      <w:pPr>
        <w:spacing w:after="0" w:line="27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4.03</w:t>
      </w:r>
      <w:r>
        <w:rPr>
          <w:sz w:val="20"/>
          <w:szCs w:val="20"/>
          <w:color w:val="auto"/>
        </w:rPr>
        <w:tab/>
      </w:r>
      <w:r>
        <w:rPr>
          <w:rFonts w:ascii="Arial" w:cs="Arial" w:eastAsia="Arial" w:hAnsi="Arial"/>
          <w:sz w:val="15"/>
          <w:szCs w:val="15"/>
          <w:b w:val="1"/>
          <w:bCs w:val="1"/>
          <w:i w:val="1"/>
          <w:iCs w:val="1"/>
          <w:color w:val="auto"/>
        </w:rPr>
        <w:t>Reports.</w:t>
      </w:r>
    </w:p>
    <w:p>
      <w:pPr>
        <w:spacing w:after="0" w:line="12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Company will at all times comply with TIA § 314(a). 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rely exclusively on Officer’s Certificates).</w:t>
      </w:r>
    </w:p>
    <w:p>
      <w:pPr>
        <w:spacing w:after="0" w:line="29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4.04</w:t>
      </w:r>
      <w:r>
        <w:rPr>
          <w:sz w:val="20"/>
          <w:szCs w:val="20"/>
          <w:color w:val="auto"/>
        </w:rPr>
        <w:tab/>
      </w:r>
      <w:r>
        <w:rPr>
          <w:rFonts w:ascii="Arial" w:cs="Arial" w:eastAsia="Arial" w:hAnsi="Arial"/>
          <w:sz w:val="15"/>
          <w:szCs w:val="15"/>
          <w:b w:val="1"/>
          <w:bCs w:val="1"/>
          <w:i w:val="1"/>
          <w:iCs w:val="1"/>
          <w:color w:val="auto"/>
        </w:rPr>
        <w:t>Compliance Certificate.</w:t>
      </w:r>
    </w:p>
    <w:p>
      <w:pPr>
        <w:spacing w:after="0" w:line="12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The Company and each guarantor of any Series of Notes (to the extent that such guarantor is so required under the TIA) shall deliver to the Trustee with respect to such Series, within 120 days after the end of each fiscal year, an Officer’s Certificate signed by the principal executive officer, the principal financial officer or the principal accounting officer, stating that a review of the activities of the Company and its Subsidiaries during the preceding fiscal year has been made under the supervision of the signing Officer of the Company with a view to determining whether the Company has kept, observed, performed and fulfilled its obligations under this Indenture, and further stating, as to the Officer of the Company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spacing w:after="0" w:line="183"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In addition, the Company shall deliver to the Trustee, within 30 days after becoming aware of the occurrence thereof, written notice of any Event of Default or any event that would constitute an Event of Default, its status and what action the Company is taking or proposing to take in respect thereof.</w:t>
      </w:r>
    </w:p>
    <w:p>
      <w:pPr>
        <w:spacing w:after="0" w:line="28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4.05</w:t>
      </w:r>
      <w:r>
        <w:rPr>
          <w:sz w:val="20"/>
          <w:szCs w:val="20"/>
          <w:color w:val="auto"/>
        </w:rPr>
        <w:tab/>
      </w:r>
      <w:r>
        <w:rPr>
          <w:rFonts w:ascii="Arial" w:cs="Arial" w:eastAsia="Arial" w:hAnsi="Arial"/>
          <w:sz w:val="15"/>
          <w:szCs w:val="15"/>
          <w:b w:val="1"/>
          <w:bCs w:val="1"/>
          <w:i w:val="1"/>
          <w:iCs w:val="1"/>
          <w:color w:val="auto"/>
        </w:rPr>
        <w:t>Taxes.</w:t>
      </w:r>
    </w:p>
    <w:p>
      <w:pPr>
        <w:spacing w:after="0" w:line="121" w:lineRule="exact"/>
        <w:rPr>
          <w:sz w:val="20"/>
          <w:szCs w:val="20"/>
          <w:color w:val="auto"/>
        </w:rPr>
      </w:pPr>
    </w:p>
    <w:p>
      <w:pPr>
        <w:ind w:right="400" w:firstLine="441"/>
        <w:spacing w:after="0" w:line="264" w:lineRule="auto"/>
        <w:rPr>
          <w:sz w:val="20"/>
          <w:szCs w:val="20"/>
          <w:color w:val="auto"/>
        </w:rPr>
      </w:pPr>
      <w:r>
        <w:rPr>
          <w:rFonts w:ascii="Arial" w:cs="Arial" w:eastAsia="Arial" w:hAnsi="Arial"/>
          <w:sz w:val="18"/>
          <w:szCs w:val="18"/>
          <w:color w:val="auto"/>
        </w:rPr>
        <w:t>The Company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59" w:name="page60"/>
    <w:bookmarkEnd w:id="59"/>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4.06</w:t>
      </w:r>
      <w:r>
        <w:rPr>
          <w:sz w:val="20"/>
          <w:szCs w:val="20"/>
          <w:color w:val="auto"/>
        </w:rPr>
        <w:tab/>
      </w:r>
      <w:r>
        <w:rPr>
          <w:rFonts w:ascii="Arial" w:cs="Arial" w:eastAsia="Arial" w:hAnsi="Arial"/>
          <w:sz w:val="15"/>
          <w:szCs w:val="15"/>
          <w:b w:val="1"/>
          <w:bCs w:val="1"/>
          <w:i w:val="1"/>
          <w:iCs w:val="1"/>
          <w:color w:val="auto"/>
        </w:rPr>
        <w:t>Stay, Extension and Usury Laws.</w:t>
      </w:r>
    </w:p>
    <w:p>
      <w:pPr>
        <w:spacing w:after="0" w:line="121"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The Company covenants (to the extent that it may lawfully do so) that it will not, and each guarantor of such Notes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such guarantors (to the extent that it may lawfully do so), as applicable, hereby expressly waives all benefit or advantage of any such law, and covenants that it will not, by resort to any such law, hinder, delay or impede the execution of any power herein granted to the Trustee for such Notes, but will suffer and permit the execution of every such power as though no such law has been enacted.</w:t>
      </w:r>
    </w:p>
    <w:p>
      <w:pPr>
        <w:spacing w:after="0" w:line="28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4.07</w:t>
      </w:r>
      <w:r>
        <w:rPr>
          <w:sz w:val="20"/>
          <w:szCs w:val="20"/>
          <w:color w:val="auto"/>
        </w:rPr>
        <w:tab/>
      </w:r>
      <w:r>
        <w:rPr>
          <w:rFonts w:ascii="Arial" w:cs="Arial" w:eastAsia="Arial" w:hAnsi="Arial"/>
          <w:sz w:val="15"/>
          <w:szCs w:val="15"/>
          <w:b w:val="1"/>
          <w:bCs w:val="1"/>
          <w:i w:val="1"/>
          <w:iCs w:val="1"/>
          <w:color w:val="auto"/>
        </w:rPr>
        <w:t>Corporate Existence.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Subject to Articles 5 hereof, the Company shall do or cause to be done all things necessary to preserve and keep in full force and effect:</w:t>
      </w:r>
    </w:p>
    <w:p>
      <w:pPr>
        <w:spacing w:after="0" w:line="129" w:lineRule="exact"/>
        <w:rPr>
          <w:sz w:val="20"/>
          <w:szCs w:val="20"/>
          <w:color w:val="auto"/>
        </w:rPr>
      </w:pPr>
    </w:p>
    <w:p>
      <w:pPr>
        <w:ind w:right="620" w:firstLine="444"/>
        <w:spacing w:after="0" w:line="308" w:lineRule="auto"/>
        <w:tabs>
          <w:tab w:leader="none" w:pos="8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146" w:lineRule="exact"/>
        <w:rPr>
          <w:rFonts w:ascii="Arial" w:cs="Arial" w:eastAsia="Arial" w:hAnsi="Arial"/>
          <w:sz w:val="17"/>
          <w:szCs w:val="17"/>
          <w:color w:val="auto"/>
        </w:rPr>
      </w:pPr>
    </w:p>
    <w:p>
      <w:pPr>
        <w:jc w:val="both"/>
        <w:ind w:firstLine="444"/>
        <w:spacing w:after="0" w:line="279" w:lineRule="auto"/>
        <w:tabs>
          <w:tab w:leader="none" w:pos="831"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rights (charter and statutory), licenses and franchises of the Company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required to preserve any such right, license or franchise, or the corporate, partnership or other existence of any of its Subsidiaries, if an Officer of the Company shall determine that the preservation thereof is no longer desirable in the conduct of the business of the Company and its Subsidiaries, taken as a whole, and that the loss thereof is not adverse in any material respect to the Holders of the Notes.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SUCCESSORS</w:t>
      </w:r>
    </w:p>
    <w:p>
      <w:pPr>
        <w:spacing w:after="0" w:line="20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5"/>
          <w:szCs w:val="15"/>
          <w:b w:val="1"/>
          <w:bCs w:val="1"/>
          <w:i w:val="1"/>
          <w:iCs w:val="1"/>
          <w:color w:val="auto"/>
        </w:rPr>
        <w:t>Merger, Consolidation, or Sale of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shall not, directly or indirectly:</w:t>
      </w:r>
    </w:p>
    <w:p>
      <w:pPr>
        <w:spacing w:after="0" w:line="117" w:lineRule="exact"/>
        <w:rPr>
          <w:sz w:val="20"/>
          <w:szCs w:val="20"/>
          <w:color w:val="auto"/>
        </w:rPr>
      </w:pPr>
    </w:p>
    <w:p>
      <w:pPr>
        <w:ind w:left="820" w:hanging="37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merge or consolidate with or into another Person or Persons; or</w:t>
      </w:r>
    </w:p>
    <w:p>
      <w:pPr>
        <w:spacing w:after="0" w:line="225" w:lineRule="exact"/>
        <w:rPr>
          <w:rFonts w:ascii="Arial" w:cs="Arial" w:eastAsia="Arial" w:hAnsi="Arial"/>
          <w:sz w:val="18"/>
          <w:szCs w:val="18"/>
          <w:color w:val="auto"/>
        </w:rPr>
      </w:pPr>
    </w:p>
    <w:p>
      <w:pPr>
        <w:ind w:right="400" w:firstLine="444"/>
        <w:spacing w:after="0" w:line="277" w:lineRule="auto"/>
        <w:tabs>
          <w:tab w:leader="none" w:pos="8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sell, convey, transfer, lease or otherwise dispose of all or substantially all of the properties or assets of the Company and its Subsidiaries taken as a whole, in one or more related transactions, to another Person or Persons, unless:</w:t>
      </w:r>
    </w:p>
    <w:p>
      <w:pPr>
        <w:spacing w:after="0" w:line="62" w:lineRule="exact"/>
        <w:rPr>
          <w:rFonts w:ascii="Arial" w:cs="Arial" w:eastAsia="Arial" w:hAnsi="Arial"/>
          <w:sz w:val="18"/>
          <w:szCs w:val="18"/>
          <w:color w:val="auto"/>
        </w:rPr>
      </w:pPr>
    </w:p>
    <w:p>
      <w:pPr>
        <w:ind w:left="1260" w:hanging="392"/>
        <w:spacing w:after="0"/>
        <w:tabs>
          <w:tab w:leader="none" w:pos="12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720" w:hanging="429"/>
        <w:spacing w:after="0"/>
        <w:tabs>
          <w:tab w:leader="none" w:pos="1720"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transaction is a merger or consolidation and the Company is the surviving Person; or</w:t>
      </w:r>
    </w:p>
    <w:p>
      <w:pPr>
        <w:spacing w:after="0" w:line="117" w:lineRule="exact"/>
        <w:rPr>
          <w:rFonts w:ascii="Arial" w:cs="Arial" w:eastAsia="Arial" w:hAnsi="Arial"/>
          <w:sz w:val="18"/>
          <w:szCs w:val="18"/>
          <w:color w:val="auto"/>
        </w:rPr>
      </w:pPr>
    </w:p>
    <w:p>
      <w:pPr>
        <w:ind w:left="880" w:right="80" w:firstLine="411"/>
        <w:spacing w:after="0" w:line="257" w:lineRule="auto"/>
        <w:tabs>
          <w:tab w:leader="none" w:pos="1705"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Company) or to which such sale, conveyance, transfer, lease or other disposition has been made is a corporation, limited liability company, partnership, trust or other entity organized and existing under the laws of the United States, any state of the United States or the District of Columbia and expressly assumes all the obligations of the Company under the Notes and this Indenture pursuant to a supplemental indenture in form reasonably satisfactory to the Trustee;</w:t>
      </w:r>
    </w:p>
    <w:p>
      <w:pPr>
        <w:spacing w:after="0" w:line="80" w:lineRule="exact"/>
        <w:rPr>
          <w:rFonts w:ascii="Arial" w:cs="Arial" w:eastAsia="Arial" w:hAnsi="Arial"/>
          <w:sz w:val="18"/>
          <w:szCs w:val="18"/>
          <w:color w:val="auto"/>
        </w:rPr>
      </w:pPr>
    </w:p>
    <w:p>
      <w:pPr>
        <w:ind w:left="440" w:right="180" w:firstLine="428"/>
        <w:spacing w:after="0" w:line="342" w:lineRule="auto"/>
        <w:tabs>
          <w:tab w:leader="none" w:pos="1253" w:val="left"/>
        </w:tabs>
        <w:numPr>
          <w:ilvl w:val="1"/>
          <w:numId w:val="53"/>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the Company’s obligations in connection with or as a result of such transaction as having been incurred as of the time of such transaction, no Default or Event of Default shall have occurred and be continuing; 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0" w:right="439" w:bottom="1440" w:gutter="0" w:footer="0" w:header="0"/>
        </w:sectPr>
      </w:pPr>
    </w:p>
    <w:bookmarkStart w:id="60" w:name="page61"/>
    <w:bookmarkEnd w:id="60"/>
    <w:p>
      <w:pPr>
        <w:ind w:left="1260" w:hanging="392"/>
        <w:spacing w:after="0"/>
        <w:tabs>
          <w:tab w:leader="none" w:pos="1260" w:val="left"/>
        </w:tabs>
        <w:numPr>
          <w:ilvl w:val="1"/>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or the surviving entity shall have delivered to the Trustee (a) an Officer’s Certificate stating that the conditions in (1) and</w:t>
      </w:r>
    </w:p>
    <w:p>
      <w:pPr>
        <w:spacing w:after="0" w:line="46" w:lineRule="exact"/>
        <w:rPr>
          <w:rFonts w:ascii="Arial" w:cs="Arial" w:eastAsia="Arial" w:hAnsi="Arial"/>
          <w:sz w:val="16"/>
          <w:szCs w:val="16"/>
          <w:color w:val="auto"/>
        </w:rPr>
      </w:pPr>
    </w:p>
    <w:p>
      <w:pPr>
        <w:jc w:val="both"/>
        <w:ind w:left="440" w:right="60" w:firstLine="4"/>
        <w:spacing w:after="0" w:line="254"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above have been complied with and any other conditions precedent in this Indenture relating to such transaction have been complied with and that such transaction is authorized or permitted by this Indenture and (b) an Opinion of Counsel stating that the conditions in (1) above have been complied with and any other conditions precedent in this Indenture relating to such transaction have been complied with and that such transaction is authorized or permitted by this Indenture.</w:t>
      </w:r>
    </w:p>
    <w:p>
      <w:pPr>
        <w:spacing w:after="0" w:line="294"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5.02</w:t>
      </w:r>
      <w:r>
        <w:rPr>
          <w:sz w:val="20"/>
          <w:szCs w:val="20"/>
          <w:color w:val="auto"/>
        </w:rPr>
        <w:tab/>
      </w:r>
      <w:r>
        <w:rPr>
          <w:rFonts w:ascii="Arial" w:cs="Arial" w:eastAsia="Arial" w:hAnsi="Arial"/>
          <w:sz w:val="15"/>
          <w:szCs w:val="15"/>
          <w:b w:val="1"/>
          <w:bCs w:val="1"/>
          <w:i w:val="1"/>
          <w:iCs w:val="1"/>
          <w:color w:val="auto"/>
        </w:rPr>
        <w:t>Successor Corporation Substituted.</w:t>
      </w:r>
    </w:p>
    <w:p>
      <w:pPr>
        <w:spacing w:after="0" w:line="12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Upon any merger or consolidation, or any sale, conveyance, transfer, lease or other disposition of all or substantially all of the properties or assets of the Company and its Subsidiaries, taken as a whole, in a transaction that is subject to, and that complies with the provisions of, Section 5.01 hereof, the successor Person into which the Company is merged or formed by such consolidation or to which such sale, conveyance, transfer, lease or other disposition is made shall succeed to, and be substituted for (so that from and after the date of such merger, consolidation, sale, conveyance, transfer, lease or other disposition, the provisions of this Indenture referring to the “Company” shall be deemed to refer instead to the successor Person and not to the Company), and may exercise every right and power of the Company under this Indenture with the same effect as if such successor Person had been named as the Company herein, and (except in the case of a lease) when the successor Person expressly assumes all the obligations of the Company under this Indenture and the Notes pursuant to and in accordance with Section 5.01(b)(1)(B) hereof, the predecessor Company shall be relieved from all such obligations.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DEFAULTS AND REMEDIES</w:t>
      </w:r>
    </w:p>
    <w:p>
      <w:pPr>
        <w:spacing w:after="0" w:line="20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6.01</w:t>
      </w:r>
      <w:r>
        <w:rPr>
          <w:sz w:val="20"/>
          <w:szCs w:val="20"/>
          <w:color w:val="auto"/>
        </w:rPr>
        <w:tab/>
      </w:r>
      <w:r>
        <w:rPr>
          <w:rFonts w:ascii="Arial" w:cs="Arial" w:eastAsia="Arial" w:hAnsi="Arial"/>
          <w:sz w:val="15"/>
          <w:szCs w:val="15"/>
          <w:b w:val="1"/>
          <w:bCs w:val="1"/>
          <w:i w:val="1"/>
          <w:iCs w:val="1"/>
          <w:color w:val="auto"/>
        </w:rPr>
        <w:t>Events of Default.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“Event of Default,” wherever used herein with respect to Notes of any Series, means any one of the following events, unless in the establishing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Board Resolution, supplemental indenture or Officer’s Certificate, it is provided that such Series shall not have the benefit of said Event of Default:</w:t>
      </w:r>
    </w:p>
    <w:p>
      <w:pPr>
        <w:spacing w:after="0" w:line="114" w:lineRule="exact"/>
        <w:rPr>
          <w:sz w:val="20"/>
          <w:szCs w:val="20"/>
          <w:color w:val="auto"/>
        </w:rPr>
      </w:pPr>
    </w:p>
    <w:p>
      <w:pPr>
        <w:ind w:right="340" w:firstLine="444"/>
        <w:spacing w:after="0" w:line="277" w:lineRule="auto"/>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in the payment of any interest on any Note of that Series when it becomes due and payable, and continuance of such default for a period of 30 days; or</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any Note of that Series; or</w:t>
      </w:r>
    </w:p>
    <w:p>
      <w:pPr>
        <w:spacing w:after="0" w:line="225" w:lineRule="exact"/>
        <w:rPr>
          <w:rFonts w:ascii="Arial" w:cs="Arial" w:eastAsia="Arial" w:hAnsi="Arial"/>
          <w:sz w:val="18"/>
          <w:szCs w:val="18"/>
          <w:color w:val="auto"/>
        </w:rPr>
      </w:pPr>
    </w:p>
    <w:p>
      <w:pPr>
        <w:ind w:firstLine="444"/>
        <w:spacing w:after="0" w:line="297" w:lineRule="auto"/>
        <w:tabs>
          <w:tab w:leader="none" w:pos="8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warranty of the Company in this Indenture or in any Board Resolution, supplemental indenture or Officer’s Certificate with respect to such Series (other than a covenant or warranty that has been included in this Indenture or a Board Resolution, supplemental indenture or Officer’s Certificate solely for the benefit of Series of Notes other than that Series), which default continues uncured for a period of 90 days after (i) the Company receives written notice from the Trustee for such Notes or (ii) the Company and the Trustee receive written notice from Holders of not less than 25% in aggregate principal amount of Notes of that Series outstanding; or</w:t>
      </w:r>
    </w:p>
    <w:p>
      <w:pPr>
        <w:spacing w:after="0" w:line="158" w:lineRule="exact"/>
        <w:rPr>
          <w:rFonts w:ascii="Arial" w:cs="Arial" w:eastAsia="Arial" w:hAnsi="Arial"/>
          <w:sz w:val="16"/>
          <w:szCs w:val="16"/>
          <w:color w:val="auto"/>
        </w:rPr>
      </w:pPr>
    </w:p>
    <w:p>
      <w:pPr>
        <w:ind w:left="840" w:hanging="396"/>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commences a voluntary case under applicable bankruptcy, insolvency or other similar law,</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bankruptcy case,</w:t>
      </w:r>
    </w:p>
    <w:p>
      <w:pPr>
        <w:spacing w:after="0" w:line="117" w:lineRule="exact"/>
        <w:rPr>
          <w:rFonts w:ascii="Arial" w:cs="Arial" w:eastAsia="Arial" w:hAnsi="Arial"/>
          <w:sz w:val="18"/>
          <w:szCs w:val="18"/>
          <w:color w:val="auto"/>
        </w:rPr>
      </w:pPr>
    </w:p>
    <w:p>
      <w:pPr>
        <w:ind w:left="440" w:right="440" w:firstLine="428"/>
        <w:spacing w:after="0" w:line="277" w:lineRule="auto"/>
        <w:tabs>
          <w:tab w:leader="none" w:pos="1253" w:val="left"/>
        </w:tabs>
        <w:numPr>
          <w:ilvl w:val="1"/>
          <w:numId w:val="56"/>
        </w:numPr>
        <w:rPr>
          <w:rFonts w:ascii="Arial" w:cs="Arial" w:eastAsia="Arial" w:hAnsi="Arial"/>
          <w:sz w:val="18"/>
          <w:szCs w:val="18"/>
          <w:color w:val="auto"/>
        </w:rPr>
      </w:pPr>
      <w:r>
        <w:rPr>
          <w:rFonts w:ascii="Arial" w:cs="Arial" w:eastAsia="Arial" w:hAnsi="Arial"/>
          <w:sz w:val="18"/>
          <w:szCs w:val="18"/>
          <w:color w:val="auto"/>
        </w:rPr>
        <w:t>applies for or consents to the appointment of any custodian, receiver, trustee, sequestrator, conservator, liquidator, rehabilitator or similar officer of it or for all or substantially all of its property and assets,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61" w:name="page62"/>
    <w:bookmarkEnd w:id="61"/>
    <w:p>
      <w:pPr>
        <w:ind w:left="1260" w:hanging="392"/>
        <w:spacing w:after="0"/>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makes a general assignment for the benefit of its creditors, or</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generally is unable to pay its debts as they become due;</w:t>
      </w:r>
    </w:p>
    <w:p>
      <w:pPr>
        <w:spacing w:after="0" w:line="225" w:lineRule="exact"/>
        <w:rPr>
          <w:rFonts w:ascii="Arial" w:cs="Arial" w:eastAsia="Arial" w:hAnsi="Arial"/>
          <w:sz w:val="18"/>
          <w:szCs w:val="18"/>
          <w:color w:val="auto"/>
        </w:rPr>
      </w:pPr>
    </w:p>
    <w:p>
      <w:pPr>
        <w:ind w:right="100" w:firstLine="444"/>
        <w:spacing w:after="0" w:line="279" w:lineRule="auto"/>
        <w:tabs>
          <w:tab w:leader="none" w:pos="8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 involuntary case or other proceeding is commenced against the Company with respect to it or its debts under any bankruptcy, insolvency or other similar law now or hereafter in effect seeking the appointment of a trustee, receiver, liquidator, custodian or other similar official of it or any substantial part of its property, and such involuntary case or other proceeding remains undismissed and unstayed for a period of 60 consecutive days; or an order for relief is entered against the Company under the federal bankruptcy laws as now or hereafter in effect; or</w:t>
      </w:r>
    </w:p>
    <w:p>
      <w:pPr>
        <w:spacing w:after="0" w:line="171" w:lineRule="exact"/>
        <w:rPr>
          <w:rFonts w:ascii="Arial" w:cs="Arial" w:eastAsia="Arial" w:hAnsi="Arial"/>
          <w:sz w:val="17"/>
          <w:szCs w:val="17"/>
          <w:color w:val="auto"/>
        </w:rPr>
      </w:pPr>
    </w:p>
    <w:p>
      <w:pPr>
        <w:ind w:right="140" w:firstLine="444"/>
        <w:spacing w:after="0" w:line="277"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Notes of that Series, which is specified in a Board Resolution, a supplemental indenture hereto or an Officer’s Certificate, in accordance with Section 2.02.</w:t>
      </w:r>
    </w:p>
    <w:p>
      <w:pPr>
        <w:spacing w:after="0" w:line="27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6.02</w:t>
      </w:r>
      <w:r>
        <w:rPr>
          <w:sz w:val="20"/>
          <w:szCs w:val="20"/>
          <w:color w:val="auto"/>
        </w:rPr>
        <w:tab/>
      </w:r>
      <w:r>
        <w:rPr>
          <w:rFonts w:ascii="Arial" w:cs="Arial" w:eastAsia="Arial" w:hAnsi="Arial"/>
          <w:sz w:val="15"/>
          <w:szCs w:val="15"/>
          <w:b w:val="1"/>
          <w:bCs w:val="1"/>
          <w:i w:val="1"/>
          <w:iCs w:val="1"/>
          <w:color w:val="auto"/>
        </w:rPr>
        <w:t>Acceleration.</w:t>
      </w:r>
    </w:p>
    <w:p>
      <w:pPr>
        <w:spacing w:after="0" w:line="12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If an Event of Default with respect to Notes of any Series at the time outstanding occurs and is continuing (other than an Event of Default referred to in Section 6.01(d) or (e)) then in every such case the Trustee or the Holders of not less than 25% in aggregate principal amount of the outstanding Notes of that Series may declare the principal amount of and accrued and unpaid interest, if any, on all of the Notes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6.01(d) or (e) shall occur, the principal amount (or specified amount) of and accrued and unpaid interest, if any, on all outstanding Notes shall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become and be immediately due and payable without any declaration or other act on the part of the Trustee or any Holder.</w:t>
      </w:r>
    </w:p>
    <w:p>
      <w:pPr>
        <w:spacing w:after="0" w:line="167"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At any time after such a declaration of acceleration with respect to any Series has been made, the Holders of a majority in principal amount of the outstanding Notes of that Series, by written notice to the Company and the Trustee, may rescind and annul such declaration and its consequences if</w:t>
      </w:r>
    </w:p>
    <w:p>
      <w:pPr>
        <w:ind w:left="220" w:hanging="216"/>
        <w:spacing w:after="0"/>
        <w:tabs>
          <w:tab w:leader="none" w:pos="2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rescission and annulment would not conflict with any judgment or decree already rendered, (ii) if all existing Events of Default with respect to</w:t>
      </w:r>
    </w:p>
    <w:p>
      <w:pPr>
        <w:spacing w:after="0" w:line="32" w:lineRule="exact"/>
        <w:rPr>
          <w:rFonts w:ascii="Arial" w:cs="Arial" w:eastAsia="Arial" w:hAnsi="Arial"/>
          <w:sz w:val="16"/>
          <w:szCs w:val="16"/>
          <w:color w:val="auto"/>
        </w:rPr>
      </w:pPr>
    </w:p>
    <w:p>
      <w:pPr>
        <w:ind w:right="60"/>
        <w:spacing w:after="0" w:line="292" w:lineRule="auto"/>
        <w:rPr>
          <w:rFonts w:ascii="Arial" w:cs="Arial" w:eastAsia="Arial" w:hAnsi="Arial"/>
          <w:sz w:val="16"/>
          <w:szCs w:val="16"/>
          <w:color w:val="auto"/>
        </w:rPr>
      </w:pPr>
      <w:r>
        <w:rPr>
          <w:rFonts w:ascii="Arial" w:cs="Arial" w:eastAsia="Arial" w:hAnsi="Arial"/>
          <w:sz w:val="16"/>
          <w:szCs w:val="16"/>
          <w:color w:val="auto"/>
        </w:rPr>
        <w:t>that Series (except nonpayment of principal, interest or premium that has become due solely because of the acceleration) have been cured or waived and all sums paid or advanced by the Trustee hereunder and the reasonable compensation expenses and disbursements of the Trustee and its agents and counsel have been paid and (iii) if the Company has paid or deposited with the Trustee a sum sufficient to pay (a) any overdue interest on the Notes of such Series, (b) the principal amount of such Series of Notes (except the principal, interest or premium that has become due solely because of the acceleration) and (c) to the extent lawful and applicable, interest on overdue installments of interest at the rate specified in the Notes of such Series.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such rescission shall affect any subsequent Event of Default or impair any right consequent thereon.</w:t>
      </w:r>
    </w:p>
    <w:p>
      <w:pPr>
        <w:spacing w:after="0" w:line="32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6.03</w:t>
      </w:r>
      <w:r>
        <w:rPr>
          <w:sz w:val="20"/>
          <w:szCs w:val="20"/>
          <w:color w:val="auto"/>
        </w:rPr>
        <w:tab/>
      </w:r>
      <w:r>
        <w:rPr>
          <w:rFonts w:ascii="Arial" w:cs="Arial" w:eastAsia="Arial" w:hAnsi="Arial"/>
          <w:sz w:val="15"/>
          <w:szCs w:val="15"/>
          <w:b w:val="1"/>
          <w:bCs w:val="1"/>
          <w:i w:val="1"/>
          <w:iCs w:val="1"/>
          <w:color w:val="auto"/>
        </w:rPr>
        <w:t>Other Remedies.</w:t>
      </w:r>
    </w:p>
    <w:p>
      <w:pPr>
        <w:spacing w:after="0" w:line="121"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If an Event of Default with respect to Notes of any Series at the time outstanding occurs and is continuing, the Trustee may pursue any available remedy to collect the payment of principal, premium, if any, and interest on such Notes or to enforce the performance of any provision of such Notes or this Indenture.</w:t>
      </w:r>
    </w:p>
    <w:p>
      <w:pPr>
        <w:spacing w:after="0" w:line="181"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270"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6.04</w:t>
      </w:r>
      <w:r>
        <w:rPr>
          <w:sz w:val="20"/>
          <w:szCs w:val="20"/>
          <w:color w:val="auto"/>
        </w:rPr>
        <w:tab/>
      </w:r>
      <w:r>
        <w:rPr>
          <w:rFonts w:ascii="Arial" w:cs="Arial" w:eastAsia="Arial" w:hAnsi="Arial"/>
          <w:sz w:val="15"/>
          <w:szCs w:val="15"/>
          <w:b w:val="1"/>
          <w:bCs w:val="1"/>
          <w:i w:val="1"/>
          <w:iCs w:val="1"/>
          <w:color w:val="auto"/>
        </w:rPr>
        <w:t>Waiver of Past Defaults.</w:t>
      </w:r>
    </w:p>
    <w:p>
      <w:pPr>
        <w:spacing w:after="0" w:line="121"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Prior to the acceleration of the maturity of the Notes of any Series as provided in Section 6.02, the Holders of a majority in aggregate principal amount of the Notes of any Series then outstanding by written notice to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62" w:name="page63"/>
    <w:bookmarkEnd w:id="62"/>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may on behalf of the Holders of all of the Notes of such Series waive any existing Default or Event of Default with respect to such Series and its consequences under this Indenture except (i) a continuing Default or Event of Default in the payment of premium or interest on, or the principal of, the Notes of such Series (including in connection with an offer to purchase) or (ii) a Default or Event of Default in respect of a provision that under Section 9.02 cannot be amended without the consent of each Holder affected thereby. Upon any such waiver, such Default or Event of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28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6.05</w:t>
      </w:r>
      <w:r>
        <w:rPr>
          <w:sz w:val="20"/>
          <w:szCs w:val="20"/>
          <w:color w:val="auto"/>
        </w:rPr>
        <w:tab/>
      </w:r>
      <w:r>
        <w:rPr>
          <w:rFonts w:ascii="Arial" w:cs="Arial" w:eastAsia="Arial" w:hAnsi="Arial"/>
          <w:sz w:val="16"/>
          <w:szCs w:val="16"/>
          <w:b w:val="1"/>
          <w:bCs w:val="1"/>
          <w:i w:val="1"/>
          <w:iCs w:val="1"/>
          <w:color w:val="auto"/>
        </w:rPr>
        <w:t>Control by Majority.</w:t>
      </w:r>
    </w:p>
    <w:p>
      <w:pPr>
        <w:spacing w:after="0" w:line="121" w:lineRule="exact"/>
        <w:rPr>
          <w:sz w:val="20"/>
          <w:szCs w:val="20"/>
          <w:color w:val="auto"/>
        </w:rPr>
      </w:pPr>
    </w:p>
    <w:p>
      <w:pPr>
        <w:ind w:right="120" w:firstLine="441"/>
        <w:spacing w:after="0" w:line="274" w:lineRule="auto"/>
        <w:rPr>
          <w:sz w:val="20"/>
          <w:szCs w:val="20"/>
          <w:color w:val="auto"/>
        </w:rPr>
      </w:pPr>
      <w:r>
        <w:rPr>
          <w:rFonts w:ascii="Arial" w:cs="Arial" w:eastAsia="Arial" w:hAnsi="Arial"/>
          <w:sz w:val="17"/>
          <w:szCs w:val="17"/>
          <w:color w:val="auto"/>
        </w:rPr>
        <w:t>Holders of a majority in aggregate principal amount of the then outstanding Notes of any Series may in writing direct the time, method and place of conducting any proceeding for exercising any remedy available to the Trustee or exercising any trust or power conferred on it, subject to</w:t>
      </w:r>
    </w:p>
    <w:p>
      <w:pPr>
        <w:ind w:right="60"/>
        <w:spacing w:after="0" w:line="254" w:lineRule="auto"/>
        <w:rPr>
          <w:sz w:val="20"/>
          <w:szCs w:val="20"/>
          <w:color w:val="auto"/>
        </w:rPr>
      </w:pPr>
      <w:r>
        <w:rPr>
          <w:rFonts w:ascii="Arial" w:cs="Arial" w:eastAsia="Arial" w:hAnsi="Arial"/>
          <w:sz w:val="18"/>
          <w:szCs w:val="18"/>
          <w:color w:val="auto"/>
        </w:rPr>
        <w:t>Section 7.02(e). However, the Trustee may refuse to follow any direction that conflicts with law or this Indenture that the Trustee determines may be unduly prejudicial to the rights of other Holders of Notes of such Series (it being understood that the Trustee does not have an affirmative duty to ascertain whether any such directions are unduly prejudicial to such Holders) or that may involve the Trustee in personal liability. The Trustee may take any other action deemed proper by the Trustee that is not inconsistent with such direction.</w:t>
      </w:r>
    </w:p>
    <w:p>
      <w:pPr>
        <w:spacing w:after="0" w:line="294"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6.06</w:t>
      </w:r>
      <w:r>
        <w:rPr>
          <w:sz w:val="20"/>
          <w:szCs w:val="20"/>
          <w:color w:val="auto"/>
        </w:rPr>
        <w:tab/>
      </w:r>
      <w:r>
        <w:rPr>
          <w:rFonts w:ascii="Arial" w:cs="Arial" w:eastAsia="Arial" w:hAnsi="Arial"/>
          <w:sz w:val="15"/>
          <w:szCs w:val="15"/>
          <w:b w:val="1"/>
          <w:bCs w:val="1"/>
          <w:i w:val="1"/>
          <w:iCs w:val="1"/>
          <w:color w:val="auto"/>
        </w:rPr>
        <w:t>Limitation on Suits.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Holder of any Series of Notes may pursue a remedy with respect to this Indenture or the Notes only if:</w:t>
      </w:r>
    </w:p>
    <w:p>
      <w:pPr>
        <w:spacing w:after="0" w:line="117" w:lineRule="exact"/>
        <w:rPr>
          <w:sz w:val="20"/>
          <w:szCs w:val="20"/>
          <w:color w:val="auto"/>
        </w:rPr>
      </w:pPr>
    </w:p>
    <w:p>
      <w:pPr>
        <w:ind w:left="820" w:hanging="376"/>
        <w:spacing w:after="0"/>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 of a Note gives to the Trustee written notice of a continuing Event of Default;</w:t>
      </w:r>
    </w:p>
    <w:p>
      <w:pPr>
        <w:spacing w:after="0" w:line="225" w:lineRule="exact"/>
        <w:rPr>
          <w:rFonts w:ascii="Arial" w:cs="Arial" w:eastAsia="Arial" w:hAnsi="Arial"/>
          <w:sz w:val="18"/>
          <w:szCs w:val="18"/>
          <w:color w:val="auto"/>
        </w:rPr>
      </w:pPr>
    </w:p>
    <w:p>
      <w:pPr>
        <w:ind w:right="80" w:firstLine="444"/>
        <w:spacing w:after="0" w:line="277" w:lineRule="auto"/>
        <w:tabs>
          <w:tab w:leader="none" w:pos="8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then outstanding Notes of such Series make a written request to the Trustee to pursue the remedy;</w:t>
      </w:r>
    </w:p>
    <w:p>
      <w:pPr>
        <w:spacing w:after="0" w:line="170" w:lineRule="exact"/>
        <w:rPr>
          <w:rFonts w:ascii="Arial" w:cs="Arial" w:eastAsia="Arial" w:hAnsi="Arial"/>
          <w:sz w:val="18"/>
          <w:szCs w:val="18"/>
          <w:color w:val="auto"/>
        </w:rPr>
      </w:pPr>
    </w:p>
    <w:p>
      <w:pPr>
        <w:ind w:right="320" w:firstLine="444"/>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Holder of a Note or Holders of Notes offer and, if requested, provide to the Trustee security or indemnity satisfactory to the Trustee against any loss, liability or expense;</w:t>
      </w:r>
    </w:p>
    <w:p>
      <w:pPr>
        <w:spacing w:after="0" w:line="170" w:lineRule="exact"/>
        <w:rPr>
          <w:rFonts w:ascii="Arial" w:cs="Arial" w:eastAsia="Arial" w:hAnsi="Arial"/>
          <w:sz w:val="18"/>
          <w:szCs w:val="18"/>
          <w:color w:val="auto"/>
        </w:rPr>
      </w:pPr>
    </w:p>
    <w:p>
      <w:pPr>
        <w:ind w:right="460" w:firstLine="444"/>
        <w:spacing w:after="0" w:line="277" w:lineRule="auto"/>
        <w:tabs>
          <w:tab w:leader="none" w:pos="8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and, if requested, the provision of security or indemnity; and</w:t>
      </w:r>
    </w:p>
    <w:p>
      <w:pPr>
        <w:spacing w:after="0" w:line="170" w:lineRule="exact"/>
        <w:rPr>
          <w:rFonts w:ascii="Arial" w:cs="Arial" w:eastAsia="Arial" w:hAnsi="Arial"/>
          <w:sz w:val="18"/>
          <w:szCs w:val="18"/>
          <w:color w:val="auto"/>
        </w:rPr>
      </w:pPr>
    </w:p>
    <w:p>
      <w:pPr>
        <w:ind w:right="160" w:firstLine="444"/>
        <w:spacing w:after="0" w:line="277"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then outstanding Notes of such Series do not give the Trustee a direction inconsistent with the request.</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A Holder of any Series of Notes may not use this Indenture to prejudice the rights of another Holder of Notes or to obtain a preference or priority over another Holder of Notes.</w:t>
      </w:r>
    </w:p>
    <w:p>
      <w:pPr>
        <w:spacing w:after="0" w:line="27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6.07</w:t>
      </w:r>
      <w:r>
        <w:rPr>
          <w:sz w:val="20"/>
          <w:szCs w:val="20"/>
          <w:color w:val="auto"/>
        </w:rPr>
        <w:tab/>
      </w:r>
      <w:r>
        <w:rPr>
          <w:rFonts w:ascii="Arial" w:cs="Arial" w:eastAsia="Arial" w:hAnsi="Arial"/>
          <w:sz w:val="15"/>
          <w:szCs w:val="15"/>
          <w:b w:val="1"/>
          <w:bCs w:val="1"/>
          <w:i w:val="1"/>
          <w:iCs w:val="1"/>
          <w:color w:val="auto"/>
        </w:rPr>
        <w:t>Rights of Holders of Notes to Receive Payment.</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Notwithstanding any other provision of this Indenture,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270"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6.08</w:t>
      </w:r>
      <w:r>
        <w:rPr>
          <w:sz w:val="20"/>
          <w:szCs w:val="20"/>
          <w:color w:val="auto"/>
        </w:rPr>
        <w:tab/>
      </w:r>
      <w:r>
        <w:rPr>
          <w:rFonts w:ascii="Arial" w:cs="Arial" w:eastAsia="Arial" w:hAnsi="Arial"/>
          <w:sz w:val="15"/>
          <w:szCs w:val="15"/>
          <w:b w:val="1"/>
          <w:bCs w:val="1"/>
          <w:i w:val="1"/>
          <w:iCs w:val="1"/>
          <w:color w:val="auto"/>
        </w:rPr>
        <w:t>Collection Suit by Trustee.</w:t>
      </w:r>
    </w:p>
    <w:p>
      <w:pPr>
        <w:spacing w:after="0" w:line="121"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If an Event of Default specified in Section 6.01 (a) or (b) hereof occurs and is continuing, the Trustee is authorized to recover judgment in its own name and as trustee of an express trust against the Company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63" w:name="page64"/>
    <w:bookmarkEnd w:id="63"/>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6.09</w:t>
      </w:r>
      <w:r>
        <w:rPr>
          <w:sz w:val="20"/>
          <w:szCs w:val="20"/>
          <w:color w:val="auto"/>
        </w:rPr>
        <w:tab/>
      </w:r>
      <w:r>
        <w:rPr>
          <w:rFonts w:ascii="Arial" w:cs="Arial" w:eastAsia="Arial" w:hAnsi="Arial"/>
          <w:sz w:val="16"/>
          <w:szCs w:val="16"/>
          <w:b w:val="1"/>
          <w:bCs w:val="1"/>
          <w:i w:val="1"/>
          <w:iCs w:val="1"/>
          <w:color w:val="auto"/>
        </w:rPr>
        <w:t>Trustee May File Proofs of Claim.</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The Trustee for each Series of Notes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of such Series allowed in any judicial proceedings relative to the Company (or any other obligor upon the Notes of such Series), its creditors or its property and shall be entitled and empowered to collect, receive and distribute any money or other property payable or deliverable on any such claims and any custodian in any such judicial proceeding is hereby authorized by each Holder of such Series to make such payments to the Trustee, and in the event that the Trustee shall consent to the making of such payments directly to the Holders of such Series,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of such Series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76"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6.10</w:t>
      </w:r>
      <w:r>
        <w:rPr>
          <w:sz w:val="20"/>
          <w:szCs w:val="20"/>
          <w:color w:val="auto"/>
        </w:rPr>
        <w:tab/>
      </w:r>
      <w:r>
        <w:rPr>
          <w:rFonts w:ascii="Arial" w:cs="Arial" w:eastAsia="Arial" w:hAnsi="Arial"/>
          <w:sz w:val="16"/>
          <w:szCs w:val="16"/>
          <w:b w:val="1"/>
          <w:bCs w:val="1"/>
          <w:i w:val="1"/>
          <w:iCs w:val="1"/>
          <w:color w:val="auto"/>
        </w:rPr>
        <w:t>Priorities.</w:t>
      </w:r>
    </w:p>
    <w:p>
      <w:pPr>
        <w:spacing w:after="0" w:line="12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If the Trustee collects any money or other property with respect to a Series of Notes pursuant to this Article 6, it shall pay out the money or other property, or after an Event of Default, any money or other property is distributable in respect of the Company’s obligations under this Indenture, the money or property shall be paid, in either case, in the following order:</w:t>
      </w:r>
    </w:p>
    <w:p>
      <w:pPr>
        <w:spacing w:after="0" w:line="73" w:lineRule="exact"/>
        <w:rPr>
          <w:sz w:val="20"/>
          <w:szCs w:val="20"/>
          <w:color w:val="auto"/>
        </w:rPr>
      </w:pPr>
    </w:p>
    <w:p>
      <w:pPr>
        <w:jc w:val="both"/>
        <w:ind w:left="440" w:right="120" w:firstLine="423"/>
        <w:spacing w:after="0" w:line="264"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(including any predecessor trustee), its agents and attorneys for amounts due under this Indenture hereof applicable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of such Series, including payment of all compensation, expenses and liabilities incurred, and all advances made, by the Trustee and the costs and expenses of collection;</w:t>
      </w:r>
    </w:p>
    <w:p>
      <w:pPr>
        <w:spacing w:after="0" w:line="73" w:lineRule="exact"/>
        <w:rPr>
          <w:sz w:val="20"/>
          <w:szCs w:val="20"/>
          <w:color w:val="auto"/>
        </w:rPr>
      </w:pPr>
    </w:p>
    <w:p>
      <w:pPr>
        <w:jc w:val="both"/>
        <w:ind w:left="440" w:right="320" w:firstLine="423"/>
        <w:spacing w:after="0" w:line="264"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of Notes of such Series for amounts due and unpaid on the Notes for principal, premium, if any, and interest, ratably,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preference or priority of any kind, according to the amounts due and payable on the Notes for principal, premium, if any, and interest, respectively; and</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to such party as a court of competent jurisdiction shall direct.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may fix a record date and payment date for any payment to Holders pursuant to this Section 6.10.</w:t>
      </w:r>
    </w:p>
    <w:p>
      <w:pPr>
        <w:spacing w:after="0" w:line="32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6.11</w:t>
      </w:r>
      <w:r>
        <w:rPr>
          <w:sz w:val="20"/>
          <w:szCs w:val="20"/>
          <w:color w:val="auto"/>
        </w:rPr>
        <w:tab/>
      </w:r>
      <w:r>
        <w:rPr>
          <w:rFonts w:ascii="Arial" w:cs="Arial" w:eastAsia="Arial" w:hAnsi="Arial"/>
          <w:sz w:val="15"/>
          <w:szCs w:val="15"/>
          <w:b w:val="1"/>
          <w:bCs w:val="1"/>
          <w:i w:val="1"/>
          <w:iCs w:val="1"/>
          <w:color w:val="auto"/>
        </w:rPr>
        <w:t>Undertaking for Costs.</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does not apply to a suit by the Trustee, a suit by a Holder of a Note pursuant to Section 6.07 hereof, or a suit by Holders or group of Holders of more than 10% in principal amount of the then outstanding Notes of any Series.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64" w:name="page65"/>
    <w:bookmarkEnd w:id="64"/>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6.12</w:t>
      </w:r>
      <w:r>
        <w:rPr>
          <w:sz w:val="20"/>
          <w:szCs w:val="20"/>
          <w:color w:val="auto"/>
        </w:rPr>
        <w:tab/>
      </w:r>
      <w:r>
        <w:rPr>
          <w:rFonts w:ascii="Arial" w:cs="Arial" w:eastAsia="Arial" w:hAnsi="Arial"/>
          <w:sz w:val="15"/>
          <w:szCs w:val="15"/>
          <w:b w:val="1"/>
          <w:bCs w:val="1"/>
          <w:i w:val="1"/>
          <w:iCs w:val="1"/>
          <w:color w:val="auto"/>
        </w:rPr>
        <w:t>Restoration of Rights and Remedies.</w:t>
      </w:r>
    </w:p>
    <w:p>
      <w:pPr>
        <w:spacing w:after="0" w:line="121"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will be restored severally and respectively to their former positions hereunder and thereafter all rights and remedies of the Trustee and the Holders will continue as though no such proceeding had been instituted.</w:t>
      </w:r>
    </w:p>
    <w:p>
      <w:pPr>
        <w:spacing w:after="0" w:line="25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6.13</w:t>
      </w:r>
      <w:r>
        <w:rPr>
          <w:sz w:val="20"/>
          <w:szCs w:val="20"/>
          <w:color w:val="auto"/>
        </w:rPr>
        <w:tab/>
      </w:r>
      <w:r>
        <w:rPr>
          <w:rFonts w:ascii="Arial" w:cs="Arial" w:eastAsia="Arial" w:hAnsi="Arial"/>
          <w:sz w:val="15"/>
          <w:szCs w:val="15"/>
          <w:b w:val="1"/>
          <w:bCs w:val="1"/>
          <w:i w:val="1"/>
          <w:iCs w:val="1"/>
          <w:color w:val="auto"/>
        </w:rPr>
        <w:t>Waiver of Stay, Extension of Usury Laws.</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Company covenants, to the extent that it may lawfully do so, that it shall not at any time insist upon, or plead, or in any manner whatsoever claim or take the benefit or advantage of, any stay or extension law or any usury law or other law that would prohibit or forgive the Company from paying all or any portion of the principal of, premium, if any, or interest (including additional interest, if any) on the Notes as contemplated herein, wherever enacted, now or at any time hereafter in force, or that may affect the covenants or the performance of the Indenture. The Company hereby expressly waives, to the extent that it may lawfully do so, all benefit or advantage of any such law and covenants that it shall not hinder, delay or impede the execution of any power herein granted to the Trustee, but shall suffer and permit the execution of every such power as if no such law had been enacted.</w:t>
      </w:r>
    </w:p>
    <w:p>
      <w:pPr>
        <w:spacing w:after="0" w:line="200" w:lineRule="exact"/>
        <w:rPr>
          <w:sz w:val="20"/>
          <w:szCs w:val="20"/>
          <w:color w:val="auto"/>
        </w:rPr>
      </w:pPr>
    </w:p>
    <w:p>
      <w:pPr>
        <w:spacing w:after="0" w:line="20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TRUSTEE</w:t>
      </w:r>
    </w:p>
    <w:p>
      <w:pPr>
        <w:spacing w:after="0" w:line="20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5"/>
          <w:szCs w:val="15"/>
          <w:b w:val="1"/>
          <w:bCs w:val="1"/>
          <w:i w:val="1"/>
          <w:iCs w:val="1"/>
          <w:color w:val="auto"/>
        </w:rPr>
        <w:t>Duties of Trustee.</w:t>
      </w:r>
    </w:p>
    <w:p>
      <w:pPr>
        <w:spacing w:after="0" w:line="121" w:lineRule="exact"/>
        <w:rPr>
          <w:sz w:val="20"/>
          <w:szCs w:val="20"/>
          <w:color w:val="auto"/>
        </w:rPr>
      </w:pPr>
    </w:p>
    <w:p>
      <w:pPr>
        <w:ind w:right="200" w:firstLine="444"/>
        <w:spacing w:after="0" w:line="264"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will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right="260" w:firstLine="444"/>
        <w:spacing w:after="0" w:line="264" w:lineRule="auto"/>
        <w:tabs>
          <w:tab w:leader="none" w:pos="8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 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w:t>
      </w:r>
    </w:p>
    <w:p>
      <w:pPr>
        <w:spacing w:after="0" w:line="181" w:lineRule="exact"/>
        <w:rPr>
          <w:rFonts w:ascii="Arial" w:cs="Arial" w:eastAsia="Arial" w:hAnsi="Arial"/>
          <w:sz w:val="18"/>
          <w:szCs w:val="18"/>
          <w:color w:val="auto"/>
        </w:rPr>
      </w:pPr>
    </w:p>
    <w:p>
      <w:pPr>
        <w:ind w:right="20" w:firstLine="444"/>
        <w:spacing w:after="0" w:line="279" w:lineRule="auto"/>
        <w:tabs>
          <w:tab w:leader="none" w:pos="8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 (but need not confirm or investigate the accuracy of mathematical calculations or other facts, statements, opinions or conclusions stated therein).</w:t>
      </w:r>
    </w:p>
    <w:p>
      <w:pPr>
        <w:spacing w:after="0" w:line="171" w:lineRule="exact"/>
        <w:rPr>
          <w:rFonts w:ascii="Arial" w:cs="Arial" w:eastAsia="Arial" w:hAnsi="Arial"/>
          <w:sz w:val="17"/>
          <w:szCs w:val="17"/>
          <w:color w:val="auto"/>
        </w:rPr>
      </w:pPr>
    </w:p>
    <w:p>
      <w:pPr>
        <w:ind w:right="160" w:firstLine="444"/>
        <w:spacing w:after="0" w:line="277" w:lineRule="auto"/>
        <w:tabs>
          <w:tab w:leader="none" w:pos="8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260" w:hanging="392"/>
        <w:spacing w:after="0"/>
        <w:tabs>
          <w:tab w:leader="none" w:pos="12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paragraphs (b) and (e) of this Section 7.01;</w:t>
      </w:r>
    </w:p>
    <w:p>
      <w:pPr>
        <w:spacing w:after="0" w:line="117" w:lineRule="exact"/>
        <w:rPr>
          <w:rFonts w:ascii="Arial" w:cs="Arial" w:eastAsia="Arial" w:hAnsi="Arial"/>
          <w:sz w:val="18"/>
          <w:szCs w:val="18"/>
          <w:color w:val="auto"/>
        </w:rPr>
      </w:pPr>
    </w:p>
    <w:p>
      <w:pPr>
        <w:ind w:left="440" w:right="20" w:firstLine="428"/>
        <w:spacing w:after="0" w:line="277" w:lineRule="auto"/>
        <w:tabs>
          <w:tab w:leader="none" w:pos="1253"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 and</w:t>
      </w:r>
    </w:p>
    <w:p>
      <w:pPr>
        <w:spacing w:after="0" w:line="62" w:lineRule="exact"/>
        <w:rPr>
          <w:rFonts w:ascii="Arial" w:cs="Arial" w:eastAsia="Arial" w:hAnsi="Arial"/>
          <w:sz w:val="18"/>
          <w:szCs w:val="18"/>
          <w:color w:val="auto"/>
        </w:rPr>
      </w:pPr>
    </w:p>
    <w:p>
      <w:pPr>
        <w:ind w:left="440" w:firstLine="428"/>
        <w:spacing w:after="0" w:line="277" w:lineRule="auto"/>
        <w:tabs>
          <w:tab w:leader="none" w:pos="1253"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it takes or omits to take in good faith in accordance with a direction received by it pursuant to Section 6.05 hereof.</w:t>
      </w:r>
    </w:p>
    <w:p>
      <w:pPr>
        <w:spacing w:after="0" w:line="170" w:lineRule="exact"/>
        <w:rPr>
          <w:rFonts w:ascii="Arial" w:cs="Arial" w:eastAsia="Arial" w:hAnsi="Arial"/>
          <w:sz w:val="18"/>
          <w:szCs w:val="18"/>
          <w:color w:val="auto"/>
        </w:rPr>
      </w:pPr>
    </w:p>
    <w:p>
      <w:pPr>
        <w:ind w:right="320" w:firstLine="444"/>
        <w:spacing w:after="0" w:line="264"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 The Trustee will be under no obligation to exercise any of its rights and powers under this Indenture at the request of any Holders, unless such Holder has offered to the Trustee security and indemnity satisfactory to it against any loss, liability or expense.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65" w:name="page66"/>
    <w:bookmarkEnd w:id="65"/>
    <w:p>
      <w:pPr>
        <w:ind w:right="800" w:firstLine="444"/>
        <w:spacing w:after="0" w:line="277" w:lineRule="auto"/>
        <w:tabs>
          <w:tab w:leader="none" w:pos="797"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or not therein expressly so provided, every provision of this Indenture that in any way relates to the Trustee is subject this Section 7.01 and Section 7.02.</w:t>
      </w:r>
    </w:p>
    <w:p>
      <w:pPr>
        <w:spacing w:after="0" w:line="170" w:lineRule="exact"/>
        <w:rPr>
          <w:rFonts w:ascii="Arial" w:cs="Arial" w:eastAsia="Arial" w:hAnsi="Arial"/>
          <w:sz w:val="18"/>
          <w:szCs w:val="18"/>
          <w:color w:val="auto"/>
        </w:rPr>
      </w:pPr>
    </w:p>
    <w:p>
      <w:pPr>
        <w:jc w:val="both"/>
        <w:ind w:right="100" w:firstLine="444"/>
        <w:spacing w:after="0" w:line="264" w:lineRule="auto"/>
        <w:tabs>
          <w:tab w:leader="none" w:pos="82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will not be liable for interest on, or required to invest, any money received by it except as the Trustee may agree in writing with the Company. Money held in trust by the Trustee need not be segregated from other funds except to the extent required by law. The Trustee shall not be required to give any bond or surety in respect of the performance of its powers or duties hereunder.</w:t>
      </w:r>
    </w:p>
    <w:p>
      <w:pPr>
        <w:spacing w:after="0" w:line="181" w:lineRule="exact"/>
        <w:rPr>
          <w:rFonts w:ascii="Arial" w:cs="Arial" w:eastAsia="Arial" w:hAnsi="Arial"/>
          <w:sz w:val="18"/>
          <w:szCs w:val="18"/>
          <w:color w:val="auto"/>
        </w:rPr>
      </w:pPr>
    </w:p>
    <w:p>
      <w:pPr>
        <w:ind w:left="840" w:hanging="396"/>
        <w:spacing w:after="0"/>
        <w:tabs>
          <w:tab w:leader="none" w:pos="8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permissive rights or powers of the Trustee to do things enumerated in this Indenture shall not be construed as a duty of the Trustee.</w:t>
      </w:r>
    </w:p>
    <w:p>
      <w:pPr>
        <w:spacing w:after="0" w:line="35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7.02</w:t>
      </w:r>
      <w:r>
        <w:rPr>
          <w:sz w:val="20"/>
          <w:szCs w:val="20"/>
          <w:color w:val="auto"/>
        </w:rPr>
        <w:tab/>
      </w:r>
      <w:r>
        <w:rPr>
          <w:rFonts w:ascii="Arial" w:cs="Arial" w:eastAsia="Arial" w:hAnsi="Arial"/>
          <w:sz w:val="15"/>
          <w:szCs w:val="15"/>
          <w:b w:val="1"/>
          <w:bCs w:val="1"/>
          <w:i w:val="1"/>
          <w:iCs w:val="1"/>
          <w:color w:val="auto"/>
        </w:rPr>
        <w:t>Rights of Trustee.</w:t>
      </w:r>
    </w:p>
    <w:p>
      <w:pPr>
        <w:spacing w:after="0" w:line="121" w:lineRule="exact"/>
        <w:rPr>
          <w:sz w:val="20"/>
          <w:szCs w:val="20"/>
          <w:color w:val="auto"/>
        </w:rPr>
      </w:pPr>
    </w:p>
    <w:p>
      <w:pPr>
        <w:ind w:right="280" w:firstLine="444"/>
        <w:spacing w:after="0" w:line="308" w:lineRule="auto"/>
        <w:tabs>
          <w:tab w:leader="none" w:pos="817"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Trustee may conclusively rely upon any document (whether in its original or facsimile form) believed by it to be genuine and to have been signed or presented by the proper Person. The Trustee need not investigate any fact or matter stated in the document.</w:t>
      </w:r>
    </w:p>
    <w:p>
      <w:pPr>
        <w:spacing w:after="0" w:line="146" w:lineRule="exact"/>
        <w:rPr>
          <w:rFonts w:ascii="Arial" w:cs="Arial" w:eastAsia="Arial" w:hAnsi="Arial"/>
          <w:sz w:val="17"/>
          <w:szCs w:val="17"/>
          <w:color w:val="auto"/>
        </w:rPr>
      </w:pPr>
    </w:p>
    <w:p>
      <w:pPr>
        <w:ind w:firstLine="444"/>
        <w:spacing w:after="0" w:line="257" w:lineRule="auto"/>
        <w:tabs>
          <w:tab w:leader="none" w:pos="831"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Before the Trustee acts or refrains from acting or as specifically called for in this Indenture, it may require an Officer’s Certificate or an Opinion of Counsel or both. The Trustee will not be liable for any action it takes or omits to take in good faith in reliance on such Officer’s Certificate or Opinion of Counsel. The Trustee may consult with counsel of its selection and the advice of such counsel or any Opinion of Counsel will be full and complete authorization and protection from liability in respect of any action taken, suffered or omitted by it hereunder in good faith and in reliance thereon.</w:t>
      </w:r>
    </w:p>
    <w:p>
      <w:pPr>
        <w:spacing w:after="0" w:line="188" w:lineRule="exact"/>
        <w:rPr>
          <w:rFonts w:ascii="Arial" w:cs="Arial" w:eastAsia="Arial" w:hAnsi="Arial"/>
          <w:sz w:val="18"/>
          <w:szCs w:val="18"/>
          <w:color w:val="auto"/>
        </w:rPr>
      </w:pPr>
    </w:p>
    <w:p>
      <w:pPr>
        <w:ind w:right="240" w:firstLine="444"/>
        <w:spacing w:after="0" w:line="277" w:lineRule="auto"/>
        <w:tabs>
          <w:tab w:leader="none" w:pos="8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attorney or agent appointed with due care.</w:t>
      </w:r>
    </w:p>
    <w:p>
      <w:pPr>
        <w:spacing w:after="0" w:line="170" w:lineRule="exact"/>
        <w:rPr>
          <w:rFonts w:ascii="Arial" w:cs="Arial" w:eastAsia="Arial" w:hAnsi="Arial"/>
          <w:sz w:val="18"/>
          <w:szCs w:val="18"/>
          <w:color w:val="auto"/>
        </w:rPr>
      </w:pPr>
    </w:p>
    <w:p>
      <w:pPr>
        <w:ind w:right="420" w:firstLine="444"/>
        <w:spacing w:after="0" w:line="277" w:lineRule="auto"/>
        <w:tabs>
          <w:tab w:leader="none" w:pos="8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right="380" w:firstLine="444"/>
        <w:spacing w:after="0" w:line="342" w:lineRule="auto"/>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Unless otherwise specifically provided in this Indenture, any demand, request, direction or notice from the Company will be sufficient if signed by an Officer of the Company. Any resolution of the Board of Directors may be sufficiently evidenced by a Board Resolution.</w:t>
      </w:r>
    </w:p>
    <w:p>
      <w:pPr>
        <w:spacing w:after="0" w:line="123" w:lineRule="exact"/>
        <w:rPr>
          <w:rFonts w:ascii="Arial" w:cs="Arial" w:eastAsia="Arial" w:hAnsi="Arial"/>
          <w:sz w:val="16"/>
          <w:szCs w:val="16"/>
          <w:color w:val="auto"/>
        </w:rPr>
      </w:pPr>
    </w:p>
    <w:p>
      <w:pPr>
        <w:ind w:right="80" w:firstLine="444"/>
        <w:spacing w:after="0" w:line="264" w:lineRule="auto"/>
        <w:tabs>
          <w:tab w:leader="none" w:pos="7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indemnity or security satisfactory to the Trustee against the losses, liabilities and expenses that might be incurred by it in compliance with such request or direction.</w:t>
      </w:r>
    </w:p>
    <w:p>
      <w:pPr>
        <w:spacing w:after="0" w:line="181" w:lineRule="exact"/>
        <w:rPr>
          <w:rFonts w:ascii="Arial" w:cs="Arial" w:eastAsia="Arial" w:hAnsi="Arial"/>
          <w:sz w:val="18"/>
          <w:szCs w:val="18"/>
          <w:color w:val="auto"/>
        </w:rPr>
      </w:pPr>
    </w:p>
    <w:p>
      <w:pPr>
        <w:ind w:right="40" w:firstLine="444"/>
        <w:spacing w:after="0" w:line="255" w:lineRule="auto"/>
        <w:tabs>
          <w:tab w:leader="none" w:pos="831"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or other unavailability of the Federal Reserve Bank wire or facsimile or other wire or communication facility; it being understood that the Trustee shall use reasonable efforts which are consistent with accepted practices in the banking industry to resume performance as soon as practicable under the circumstances.</w:t>
      </w:r>
    </w:p>
    <w:p>
      <w:pPr>
        <w:spacing w:after="0" w:line="193" w:lineRule="exact"/>
        <w:rPr>
          <w:rFonts w:ascii="Arial" w:cs="Arial" w:eastAsia="Arial" w:hAnsi="Arial"/>
          <w:sz w:val="18"/>
          <w:szCs w:val="18"/>
          <w:color w:val="auto"/>
        </w:rPr>
      </w:pPr>
    </w:p>
    <w:p>
      <w:pPr>
        <w:ind w:right="60" w:firstLine="444"/>
        <w:spacing w:after="0" w:line="264" w:lineRule="auto"/>
        <w:tabs>
          <w:tab w:leader="none" w:pos="831"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66" w:name="page67"/>
    <w:bookmarkEnd w:id="66"/>
    <w:p>
      <w:pPr>
        <w:ind w:right="80" w:firstLine="444"/>
        <w:spacing w:after="0" w:line="264" w:lineRule="auto"/>
        <w:tabs>
          <w:tab w:leader="none" w:pos="787"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rights, privileges, protections, immunities and benefits given to the Trustee, including, without limitation, its right to be compensated, reimbursed, and indemnified, are extended to, and shall be enforceable by, the Trustee in each of its capacities hereunder, and each agent, custodian and other Person employed to act hereunder.</w:t>
      </w:r>
    </w:p>
    <w:p>
      <w:pPr>
        <w:spacing w:after="0" w:line="181" w:lineRule="exact"/>
        <w:rPr>
          <w:rFonts w:ascii="Arial" w:cs="Arial" w:eastAsia="Arial" w:hAnsi="Arial"/>
          <w:sz w:val="18"/>
          <w:szCs w:val="18"/>
          <w:color w:val="auto"/>
        </w:rPr>
      </w:pPr>
    </w:p>
    <w:p>
      <w:pPr>
        <w:ind w:firstLine="444"/>
        <w:spacing w:after="0" w:line="259" w:lineRule="auto"/>
        <w:tabs>
          <w:tab w:leader="none" w:pos="78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not be deemed to have notice or be charged with knowledge of any Default or Event of Default unless written notice of such Default or Event of Default from the Company or by the Holders of at least 25% in aggregate principal amount of the then outstanding Notes of such Series is received by a Responsible Officer of the Trustee at the Corporate Trust Office of the Trustee, and such notice references the Notes and this Indenture and states that it is a notice of Default or Event of Default.</w:t>
      </w:r>
    </w:p>
    <w:p>
      <w:pPr>
        <w:spacing w:after="0" w:line="186" w:lineRule="exact"/>
        <w:rPr>
          <w:rFonts w:ascii="Arial" w:cs="Arial" w:eastAsia="Arial" w:hAnsi="Arial"/>
          <w:sz w:val="18"/>
          <w:szCs w:val="18"/>
          <w:color w:val="auto"/>
        </w:rPr>
      </w:pPr>
    </w:p>
    <w:p>
      <w:pPr>
        <w:ind w:right="240" w:firstLine="444"/>
        <w:spacing w:after="0" w:line="277" w:lineRule="auto"/>
        <w:tabs>
          <w:tab w:leader="none" w:pos="82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170" w:lineRule="exact"/>
        <w:rPr>
          <w:rFonts w:ascii="Arial" w:cs="Arial" w:eastAsia="Arial" w:hAnsi="Arial"/>
          <w:sz w:val="18"/>
          <w:szCs w:val="18"/>
          <w:color w:val="auto"/>
        </w:rPr>
      </w:pPr>
    </w:p>
    <w:p>
      <w:pPr>
        <w:ind w:right="20" w:firstLine="444"/>
        <w:spacing w:after="0" w:line="293" w:lineRule="auto"/>
        <w:tabs>
          <w:tab w:leader="none" w:pos="787"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Trustee will not be bound to make any investigation into the facts or matters stated in any resolution, certificate, statement, instrument, opinion, report, notice, request, direction, consent, order, bond, debenture, note, other evidence of indebtedness, or other paper or document, or inquire as to the performance by the Company or any guarantor of any of their covenants in this Indenture, but the Trustee, in its discretion, may make such further inquiry or investigation into such facts or matters as it may see fit, and, if the Trustee shall determine to make such further inquiry or investigation, it will be entitled to examine the books, records, and premises of the Company or any such guarantor, personally or by agent or attorney at the sole cost of the Company and shall incur no liability or additional liability of any kind by reason of such inquiry or investigation.</w:t>
      </w:r>
    </w:p>
    <w:p>
      <w:pPr>
        <w:spacing w:after="0" w:line="164" w:lineRule="exact"/>
        <w:rPr>
          <w:rFonts w:ascii="Arial" w:cs="Arial" w:eastAsia="Arial" w:hAnsi="Arial"/>
          <w:sz w:val="16"/>
          <w:szCs w:val="16"/>
          <w:color w:val="auto"/>
        </w:rPr>
      </w:pPr>
    </w:p>
    <w:p>
      <w:pPr>
        <w:ind w:right="40" w:firstLine="444"/>
        <w:spacing w:after="0" w:line="264" w:lineRule="auto"/>
        <w:tabs>
          <w:tab w:leader="none" w:pos="8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not be responsible or liable for any action taken or omitted by it in good faith at the direction of the Holders of not less than a majority in principal amount of the Notes as to the time, method and place of conducting any proceedings for any remedy available to the Trustee or the exercising of any power conferred by this Indenture.</w:t>
      </w:r>
    </w:p>
    <w:p>
      <w:pPr>
        <w:spacing w:after="0" w:line="181" w:lineRule="exact"/>
        <w:rPr>
          <w:rFonts w:ascii="Arial" w:cs="Arial" w:eastAsia="Arial" w:hAnsi="Arial"/>
          <w:sz w:val="18"/>
          <w:szCs w:val="18"/>
          <w:color w:val="auto"/>
        </w:rPr>
      </w:pPr>
    </w:p>
    <w:p>
      <w:pPr>
        <w:ind w:right="100" w:firstLine="444"/>
        <w:spacing w:after="0" w:line="264" w:lineRule="auto"/>
        <w:tabs>
          <w:tab w:leader="none" w:pos="821"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action taken, or omitted to be taken, by the Trustee in good faith pursuant to this Indenture upon the request or authority or consent of any person who, at the time of making such request or giving such authority or consent, is the Holder of any Note shall be conclusive and binding upon future Holders of Notes and upon Notes executed and delivered in exchange therefor or in place thereof.</w:t>
      </w:r>
    </w:p>
    <w:p>
      <w:pPr>
        <w:spacing w:after="0" w:line="181" w:lineRule="exact"/>
        <w:rPr>
          <w:rFonts w:ascii="Arial" w:cs="Arial" w:eastAsia="Arial" w:hAnsi="Arial"/>
          <w:sz w:val="18"/>
          <w:szCs w:val="18"/>
          <w:color w:val="auto"/>
        </w:rPr>
      </w:pPr>
    </w:p>
    <w:p>
      <w:pPr>
        <w:ind w:firstLine="444"/>
        <w:spacing w:after="0" w:line="257" w:lineRule="auto"/>
        <w:tabs>
          <w:tab w:leader="none" w:pos="831"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Neither the Trustee nor any of its directors, officers, employees, agents or affiliates shall be responsible for nor have any duty to monitor the performance or any action of the Company, or any of its directors, members, officers, agents, affiliates or employee,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as set forth herein as a result of any inaccuracy or incompleteness.</w:t>
      </w:r>
    </w:p>
    <w:p>
      <w:pPr>
        <w:spacing w:after="0" w:line="188" w:lineRule="exact"/>
        <w:rPr>
          <w:rFonts w:ascii="Arial" w:cs="Arial" w:eastAsia="Arial" w:hAnsi="Arial"/>
          <w:sz w:val="18"/>
          <w:szCs w:val="18"/>
          <w:color w:val="auto"/>
        </w:rPr>
      </w:pPr>
    </w:p>
    <w:p>
      <w:pPr>
        <w:ind w:right="40" w:firstLine="444"/>
        <w:spacing w:after="0" w:line="308" w:lineRule="auto"/>
        <w:tabs>
          <w:tab w:leader="none" w:pos="831"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any party fails to deliver a notice relating to an event the fact of which, pursuant to this Indenture, requires notice to be sent to the Trustee, the Trustee may conclusively and without liability rely on its failure to receive such notice as reason to act as if no such event occurred.</w:t>
      </w:r>
    </w:p>
    <w:p>
      <w:pPr>
        <w:spacing w:after="0" w:line="25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7.03</w:t>
      </w:r>
      <w:r>
        <w:rPr>
          <w:sz w:val="20"/>
          <w:szCs w:val="20"/>
          <w:color w:val="auto"/>
        </w:rPr>
        <w:tab/>
      </w:r>
      <w:r>
        <w:rPr>
          <w:rFonts w:ascii="Arial" w:cs="Arial" w:eastAsia="Arial" w:hAnsi="Arial"/>
          <w:sz w:val="15"/>
          <w:szCs w:val="15"/>
          <w:b w:val="1"/>
          <w:bCs w:val="1"/>
          <w:i w:val="1"/>
          <w:iCs w:val="1"/>
          <w:color w:val="auto"/>
        </w:rPr>
        <w:t>Individual Rights of Trustee.</w:t>
      </w:r>
    </w:p>
    <w:p>
      <w:pPr>
        <w:spacing w:after="0" w:line="12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as defined in the TIA it must eliminate such conflict within 90 days, apply to the SEC for permission to continue as trustee (if this Indenture has been qualified under the TIA) or resign. Any Agent may do the same with like rights and duties. The Trustee is also subject to Sections 7.10 and 7.11 hereof.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67" w:name="page68"/>
    <w:bookmarkEnd w:id="67"/>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7.04</w:t>
      </w:r>
      <w:r>
        <w:rPr>
          <w:sz w:val="20"/>
          <w:szCs w:val="20"/>
          <w:color w:val="auto"/>
        </w:rPr>
        <w:tab/>
      </w:r>
      <w:r>
        <w:rPr>
          <w:rFonts w:ascii="Arial" w:cs="Arial" w:eastAsia="Arial" w:hAnsi="Arial"/>
          <w:sz w:val="15"/>
          <w:szCs w:val="15"/>
          <w:b w:val="1"/>
          <w:bCs w:val="1"/>
          <w:i w:val="1"/>
          <w:iCs w:val="1"/>
          <w:color w:val="auto"/>
        </w:rPr>
        <w:t>Trustee’s Disclaimer.</w:t>
      </w:r>
    </w:p>
    <w:p>
      <w:pPr>
        <w:spacing w:after="0" w:line="12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 Under no circumstances shall the Trustee be liable in its individual capacity for the obligations evidenced by any Notes.</w:t>
      </w:r>
    </w:p>
    <w:p>
      <w:pPr>
        <w:spacing w:after="0" w:line="29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7.05</w:t>
      </w:r>
      <w:r>
        <w:rPr>
          <w:sz w:val="20"/>
          <w:szCs w:val="20"/>
          <w:color w:val="auto"/>
        </w:rPr>
        <w:tab/>
      </w:r>
      <w:r>
        <w:rPr>
          <w:rFonts w:ascii="Arial" w:cs="Arial" w:eastAsia="Arial" w:hAnsi="Arial"/>
          <w:sz w:val="15"/>
          <w:szCs w:val="15"/>
          <w:b w:val="1"/>
          <w:bCs w:val="1"/>
          <w:i w:val="1"/>
          <w:iCs w:val="1"/>
          <w:color w:val="auto"/>
        </w:rPr>
        <w:t>Notice of Defaults.</w:t>
      </w:r>
    </w:p>
    <w:p>
      <w:pPr>
        <w:spacing w:after="0" w:line="121"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If a Default or Event of Default occurs and is continuing and if it is actually known to a Responsible Officer of the Trustee, the Trustee will send to Holders of Notes a notice of the Default or Event of Default within 90 days after it occurs. Except in the case of a Default or Event of Default in payment of principal of, premium, if any, or interest on, any Note, the Trustee may withhold the notice from Holders of the Notes if and so long as a Responsible Officer in good faith determines that withholding the notice is in the interests of the Holders of the Notes.</w:t>
      </w:r>
    </w:p>
    <w:p>
      <w:pPr>
        <w:spacing w:after="0" w:line="276"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7.06</w:t>
      </w:r>
      <w:r>
        <w:rPr>
          <w:sz w:val="20"/>
          <w:szCs w:val="20"/>
          <w:color w:val="auto"/>
        </w:rPr>
        <w:tab/>
      </w:r>
      <w:r>
        <w:rPr>
          <w:rFonts w:ascii="Arial" w:cs="Arial" w:eastAsia="Arial" w:hAnsi="Arial"/>
          <w:sz w:val="15"/>
          <w:szCs w:val="15"/>
          <w:b w:val="1"/>
          <w:bCs w:val="1"/>
          <w:i w:val="1"/>
          <w:iCs w:val="1"/>
          <w:color w:val="auto"/>
        </w:rPr>
        <w:t>Reports by Trustee to Holders of the Notes.</w:t>
      </w:r>
    </w:p>
    <w:p>
      <w:pPr>
        <w:spacing w:after="0" w:line="121"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(a) Within 60 days after each [ ] 15 beginning with the [ ] 15 following the first issuance of Notes under this Indenture, and for so long as Notes remain outstanding, the Trustee will mail to the Holders of the Notes a brief report dated as of such reporting date that complies with TIA § 313(a) (but if no event described in TIA § 313(a) has occurred within the twelve months preceding the reporting date, no report need be transmitted). The Trustee also will comply with TIA § 313(b)(2). The Trustee will also transmit by mail all reports as required by TIA § 313(c).</w:t>
      </w:r>
    </w:p>
    <w:p>
      <w:pPr>
        <w:spacing w:after="0" w:line="171" w:lineRule="exact"/>
        <w:rPr>
          <w:sz w:val="20"/>
          <w:szCs w:val="20"/>
          <w:color w:val="auto"/>
        </w:rPr>
      </w:pPr>
    </w:p>
    <w:p>
      <w:pPr>
        <w:ind w:firstLine="444"/>
        <w:spacing w:after="0" w:line="264" w:lineRule="auto"/>
        <w:tabs>
          <w:tab w:leader="none" w:pos="8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copy of each report at the time of its mailing to the Holders of Notes will be mailed by the Trustee to the Company and filed by the Trustee with the SEC and each stock exchange on which the Notes are listed in accordance with TIA § 313(d). The Company will promptly notify the Trustee when the Notes are listed on any stock exchange or delisted therefrom.</w:t>
      </w:r>
    </w:p>
    <w:p>
      <w:pPr>
        <w:spacing w:after="0" w:line="28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7.07</w:t>
      </w:r>
      <w:r>
        <w:rPr>
          <w:sz w:val="20"/>
          <w:szCs w:val="20"/>
          <w:color w:val="auto"/>
        </w:rPr>
        <w:tab/>
      </w:r>
      <w:r>
        <w:rPr>
          <w:rFonts w:ascii="Arial" w:cs="Arial" w:eastAsia="Arial" w:hAnsi="Arial"/>
          <w:sz w:val="15"/>
          <w:szCs w:val="15"/>
          <w:b w:val="1"/>
          <w:bCs w:val="1"/>
          <w:i w:val="1"/>
          <w:iCs w:val="1"/>
          <w:color w:val="auto"/>
        </w:rPr>
        <w:t>Compensation and Indemnity.</w:t>
      </w:r>
    </w:p>
    <w:p>
      <w:pPr>
        <w:spacing w:after="0" w:line="121" w:lineRule="exact"/>
        <w:rPr>
          <w:sz w:val="20"/>
          <w:szCs w:val="20"/>
          <w:color w:val="auto"/>
        </w:rPr>
      </w:pPr>
    </w:p>
    <w:p>
      <w:pPr>
        <w:ind w:right="40" w:firstLine="444"/>
        <w:spacing w:after="0" w:line="257" w:lineRule="auto"/>
        <w:tabs>
          <w:tab w:leader="none" w:pos="81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shall pay to the Trustee from time to time such compensation for its acceptance of this Indenture and services hereunder as the Trustee and the Company may agree from time to time in writing. The Trustee’s compensation will not be limited by any law on compensation of a trustee of an express trust. The Company shall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88" w:lineRule="exact"/>
        <w:rPr>
          <w:rFonts w:ascii="Arial" w:cs="Arial" w:eastAsia="Arial" w:hAnsi="Arial"/>
          <w:sz w:val="18"/>
          <w:szCs w:val="18"/>
          <w:color w:val="auto"/>
        </w:rPr>
      </w:pPr>
    </w:p>
    <w:p>
      <w:pPr>
        <w:ind w:right="100" w:firstLine="444"/>
        <w:spacing w:after="0" w:line="289" w:lineRule="auto"/>
        <w:tabs>
          <w:tab w:leader="none" w:pos="827"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shall indemnify and hold harmless the Trustee, its officers, directors, employees, representatives and agents from and against any and all losses, liabilities or expenses incurred by it arising out of or in connection with the acceptance or administration of its duties under this Indenture, including the costs and expenses of enforcing this Indenture against the Company (including this Section 7.07) and defending itself against any claim (whether asserted by the Company, any Holder or any other Person) or liability in connection with the exercise or performance of any of its powers or duties hereunder, except to the extent any such loss, liability or expense may be attributable to its negligence or willful misconduct. The Trustee will notify the Company promptly of any third-party claim for which it may seek indemnity. Failure by the Trustee to so notify the Company will not relieve the Company of its obligations hereunder. The Company will defend the third-party claim and the Trustee will cooperate in the defense. The Trustee may have separate counsel (including any local counsel) and the Company will pay the reasonable fees and expenses of such counsel. The Company need not pay for any settlement made without its consent, which consent will not be unreasonably withheld.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0" w:right="439" w:bottom="1440" w:gutter="0" w:footer="0" w:header="0"/>
        </w:sectPr>
      </w:pPr>
    </w:p>
    <w:bookmarkStart w:id="68" w:name="page69"/>
    <w:bookmarkEnd w:id="68"/>
    <w:p>
      <w:pPr>
        <w:ind w:right="540" w:firstLine="444"/>
        <w:spacing w:after="0" w:line="277" w:lineRule="auto"/>
        <w:tabs>
          <w:tab w:leader="none" w:pos="817"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obligations of the Company under this Section 7.07 will survive the resignation or removal of the Trustee and the satisfaction and discharge of this Indenture.</w:t>
      </w:r>
    </w:p>
    <w:p>
      <w:pPr>
        <w:spacing w:after="0" w:line="170" w:lineRule="exact"/>
        <w:rPr>
          <w:rFonts w:ascii="Arial" w:cs="Arial" w:eastAsia="Arial" w:hAnsi="Arial"/>
          <w:sz w:val="18"/>
          <w:szCs w:val="18"/>
          <w:color w:val="auto"/>
        </w:rPr>
      </w:pPr>
    </w:p>
    <w:p>
      <w:pPr>
        <w:jc w:val="both"/>
        <w:ind w:right="180" w:firstLine="444"/>
        <w:spacing w:after="0" w:line="264" w:lineRule="auto"/>
        <w:tabs>
          <w:tab w:leader="none" w:pos="82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secure the Company’s payment obligations in this Section 7.07, the Trustee will have a Lien prior to the Notes on all money or property held or collected by the Trustee. Such Lien will survive the resignation or removal of the Trustee, the termination for any reason of this Indenture and the satisfaction and discharge of this Indenture.</w:t>
      </w:r>
    </w:p>
    <w:p>
      <w:pPr>
        <w:spacing w:after="0" w:line="181" w:lineRule="exact"/>
        <w:rPr>
          <w:rFonts w:ascii="Arial" w:cs="Arial" w:eastAsia="Arial" w:hAnsi="Arial"/>
          <w:sz w:val="18"/>
          <w:szCs w:val="18"/>
          <w:color w:val="auto"/>
        </w:rPr>
      </w:pPr>
    </w:p>
    <w:p>
      <w:pPr>
        <w:ind w:right="20" w:firstLine="444"/>
        <w:spacing w:after="0" w:line="264" w:lineRule="auto"/>
        <w:tabs>
          <w:tab w:leader="none" w:pos="817"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6.01(d) or (e) hereof occurs, the expenses and the compensation for the services (including the fees and expenses of its agents and counsel) are intended to constitute expenses of administration under any Bankruptcy Law.</w:t>
      </w:r>
    </w:p>
    <w:p>
      <w:pPr>
        <w:spacing w:after="0" w:line="181" w:lineRule="exact"/>
        <w:rPr>
          <w:rFonts w:ascii="Arial" w:cs="Arial" w:eastAsia="Arial" w:hAnsi="Arial"/>
          <w:sz w:val="18"/>
          <w:szCs w:val="18"/>
          <w:color w:val="auto"/>
        </w:rPr>
      </w:pPr>
    </w:p>
    <w:p>
      <w:pPr>
        <w:ind w:left="800" w:hanging="356"/>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will comply with the provisions of TIA § 313(b)(2) to the extent applicable.</w:t>
      </w:r>
    </w:p>
    <w:p>
      <w:pPr>
        <w:spacing w:after="0" w:line="225" w:lineRule="exact"/>
        <w:rPr>
          <w:rFonts w:ascii="Arial" w:cs="Arial" w:eastAsia="Arial" w:hAnsi="Arial"/>
          <w:sz w:val="18"/>
          <w:szCs w:val="18"/>
          <w:color w:val="auto"/>
        </w:rPr>
      </w:pPr>
    </w:p>
    <w:p>
      <w:pPr>
        <w:ind w:right="160" w:firstLine="444"/>
        <w:spacing w:after="0" w:line="264" w:lineRule="auto"/>
        <w:tabs>
          <w:tab w:leader="none" w:pos="831"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“Trustee” for the purposes of this Section 7.07 shall include any predecessor Trustee and the Trustee in each of its capacities hereunder and each agent, custodian and other Person employed to act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negligence or willful misconduct of any Trustee hereunder shall not affect the rights of any other Trustee hereunder.</w:t>
      </w:r>
    </w:p>
    <w:p>
      <w:pPr>
        <w:spacing w:after="0" w:line="28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7.08</w:t>
      </w:r>
      <w:r>
        <w:rPr>
          <w:sz w:val="20"/>
          <w:szCs w:val="20"/>
          <w:color w:val="auto"/>
        </w:rPr>
        <w:tab/>
      </w:r>
      <w:r>
        <w:rPr>
          <w:rFonts w:ascii="Arial" w:cs="Arial" w:eastAsia="Arial" w:hAnsi="Arial"/>
          <w:sz w:val="15"/>
          <w:szCs w:val="15"/>
          <w:b w:val="1"/>
          <w:bCs w:val="1"/>
          <w:i w:val="1"/>
          <w:iCs w:val="1"/>
          <w:color w:val="auto"/>
        </w:rPr>
        <w:t>Replacement of Trustee.</w:t>
      </w:r>
    </w:p>
    <w:p>
      <w:pPr>
        <w:spacing w:after="0" w:line="121" w:lineRule="exact"/>
        <w:rPr>
          <w:sz w:val="20"/>
          <w:szCs w:val="20"/>
          <w:color w:val="auto"/>
        </w:rPr>
      </w:pPr>
    </w:p>
    <w:p>
      <w:pPr>
        <w:ind w:right="420" w:firstLine="444"/>
        <w:spacing w:after="0" w:line="277" w:lineRule="auto"/>
        <w:tabs>
          <w:tab w:leader="none" w:pos="8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7.08.</w:t>
      </w:r>
    </w:p>
    <w:p>
      <w:pPr>
        <w:spacing w:after="0" w:line="170" w:lineRule="exact"/>
        <w:rPr>
          <w:rFonts w:ascii="Arial" w:cs="Arial" w:eastAsia="Arial" w:hAnsi="Arial"/>
          <w:sz w:val="18"/>
          <w:szCs w:val="18"/>
          <w:color w:val="auto"/>
        </w:rPr>
      </w:pPr>
    </w:p>
    <w:p>
      <w:pPr>
        <w:ind w:right="40" w:firstLine="444"/>
        <w:spacing w:after="0" w:line="277" w:lineRule="auto"/>
        <w:tabs>
          <w:tab w:leader="none" w:pos="82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with respect to one or more Series of Notes by so notifying the Company with 30 days prior notice.</w:t>
      </w:r>
    </w:p>
    <w:p>
      <w:pPr>
        <w:spacing w:after="0" w:line="170" w:lineRule="exact"/>
        <w:rPr>
          <w:rFonts w:ascii="Arial" w:cs="Arial" w:eastAsia="Arial" w:hAnsi="Arial"/>
          <w:sz w:val="18"/>
          <w:szCs w:val="18"/>
          <w:color w:val="auto"/>
        </w:rPr>
      </w:pPr>
    </w:p>
    <w:p>
      <w:pPr>
        <w:ind w:firstLine="444"/>
        <w:spacing w:after="0" w:line="277" w:lineRule="auto"/>
        <w:tabs>
          <w:tab w:leader="none" w:pos="81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then outstanding Notes of such Series may remove the Trustee by so notifying the Trustee and the Company with 30 days prior notice in writing.</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may remove the Trustee with respect to one or more Series of Notes with 30 days prior written notice if:</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Trustee fails to comply with Section 7.10 hereof;</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102" w:lineRule="exact"/>
        <w:rPr>
          <w:rFonts w:ascii="Arial" w:cs="Arial" w:eastAsia="Arial" w:hAnsi="Arial"/>
          <w:sz w:val="16"/>
          <w:szCs w:val="16"/>
          <w:color w:val="auto"/>
        </w:rPr>
      </w:pPr>
    </w:p>
    <w:p>
      <w:pPr>
        <w:ind w:left="1260" w:hanging="392"/>
        <w:spacing w:after="0"/>
        <w:tabs>
          <w:tab w:leader="none" w:pos="12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ind w:firstLine="444"/>
        <w:spacing w:after="0" w:line="255" w:lineRule="auto"/>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Trustee has been removed by the Holders, Holders of a majority in aggregate principal amount outstanding of such Series of Notes (voting as a single class) may appoint a successor Trustee with the consent of the Company. Otherwise, if the Trustee resigns or is removed or if a vacancy exists in the office of Trustee for any reason, the Company will promptly appoint a successor Trustee. If a successor Trustee does not take office within 30 days after the retiring Trustee resigns or is removed, the retiring Trustee, the Company, or the Holders of at least 10% in aggregate principal amount of the then outstanding Notes of such Series may petition any court of competent jurisdiction, at the expense of the Company, for the appointment of a successor Trustee.</w:t>
      </w:r>
    </w:p>
    <w:p>
      <w:pPr>
        <w:spacing w:after="0" w:line="193" w:lineRule="exact"/>
        <w:rPr>
          <w:rFonts w:ascii="Arial" w:cs="Arial" w:eastAsia="Arial" w:hAnsi="Arial"/>
          <w:sz w:val="18"/>
          <w:szCs w:val="18"/>
          <w:color w:val="auto"/>
        </w:rPr>
      </w:pPr>
    </w:p>
    <w:p>
      <w:pPr>
        <w:ind w:right="280" w:firstLine="444"/>
        <w:spacing w:after="0" w:line="342" w:lineRule="auto"/>
        <w:tabs>
          <w:tab w:leader="none" w:pos="8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the Trustee, after written request by any Holder who has been a Holder for at least six months, fails to comply with Section 7.10 hereof, such Holder may petition any court of competent jurisdiction for the removal of the Trustee and the appointment of a successor Trustee.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69" w:name="page70"/>
    <w:bookmarkEnd w:id="69"/>
    <w:p>
      <w:pPr>
        <w:ind w:firstLine="444"/>
        <w:spacing w:after="0" w:line="255" w:lineRule="auto"/>
        <w:tabs>
          <w:tab w:leader="none" w:pos="821"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properly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7.07 hereof. Notwithstanding replacement of the Trustee pursuant to this Section 7.08, the Company’s obligations under Section 7.07 hereof will continue for the benefit of the retiring Trustee.</w:t>
      </w:r>
    </w:p>
    <w:p>
      <w:pPr>
        <w:spacing w:after="0" w:line="29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7.09</w:t>
      </w:r>
      <w:r>
        <w:rPr>
          <w:sz w:val="20"/>
          <w:szCs w:val="20"/>
          <w:color w:val="auto"/>
        </w:rPr>
        <w:tab/>
      </w:r>
      <w:r>
        <w:rPr>
          <w:rFonts w:ascii="Arial" w:cs="Arial" w:eastAsia="Arial" w:hAnsi="Arial"/>
          <w:sz w:val="15"/>
          <w:szCs w:val="15"/>
          <w:b w:val="1"/>
          <w:bCs w:val="1"/>
          <w:i w:val="1"/>
          <w:iCs w:val="1"/>
          <w:color w:val="auto"/>
        </w:rPr>
        <w:t>Successor Trustee by Merger, etc.</w:t>
      </w:r>
    </w:p>
    <w:p>
      <w:pPr>
        <w:spacing w:after="0" w:line="121"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Person, the successor Person without any further act will be the successor Trustee.</w:t>
      </w:r>
    </w:p>
    <w:p>
      <w:pPr>
        <w:spacing w:after="0" w:line="27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6"/>
          <w:szCs w:val="16"/>
          <w:b w:val="1"/>
          <w:bCs w:val="1"/>
          <w:i w:val="1"/>
          <w:iCs w:val="1"/>
          <w:color w:val="auto"/>
        </w:rPr>
        <w:t>Eligibility; Disqualification.</w:t>
      </w:r>
    </w:p>
    <w:p>
      <w:pPr>
        <w:spacing w:after="0" w:line="121"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4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This Indenture will always have a Trustee who satisfies the requirements of TIA § 310(a)(l), (2) and (5). The Trustee is subject to TIA § 310(b). There shall be excluded from the operation of TIA § 310(b)(1) any series of Notes under this Indenture if the requirements for such exclusion set forth in TIA § 310(b)(1) are met.</w:t>
      </w:r>
    </w:p>
    <w:p>
      <w:pPr>
        <w:spacing w:after="0" w:line="28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7.11</w:t>
      </w:r>
      <w:r>
        <w:rPr>
          <w:sz w:val="20"/>
          <w:szCs w:val="20"/>
          <w:color w:val="auto"/>
        </w:rPr>
        <w:tab/>
      </w:r>
      <w:r>
        <w:rPr>
          <w:rFonts w:ascii="Arial" w:cs="Arial" w:eastAsia="Arial" w:hAnsi="Arial"/>
          <w:sz w:val="15"/>
          <w:szCs w:val="15"/>
          <w:b w:val="1"/>
          <w:bCs w:val="1"/>
          <w:i w:val="1"/>
          <w:iCs w:val="1"/>
          <w:color w:val="auto"/>
        </w:rPr>
        <w:t>Preferential Collection of Claims Against Company.</w:t>
      </w:r>
    </w:p>
    <w:p>
      <w:pPr>
        <w:spacing w:after="0" w:line="12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 therein.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0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5"/>
          <w:szCs w:val="15"/>
          <w:b w:val="1"/>
          <w:bCs w:val="1"/>
          <w:i w:val="1"/>
          <w:iCs w:val="1"/>
          <w:color w:val="auto"/>
        </w:rPr>
        <w:t>Option to Effect Legal Defeasance or Covenant Defeasance.</w:t>
      </w:r>
    </w:p>
    <w:p>
      <w:pPr>
        <w:spacing w:after="0" w:line="121"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25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8.02</w:t>
      </w:r>
      <w:r>
        <w:rPr>
          <w:sz w:val="20"/>
          <w:szCs w:val="20"/>
          <w:color w:val="auto"/>
        </w:rPr>
        <w:tab/>
      </w:r>
      <w:r>
        <w:rPr>
          <w:rFonts w:ascii="Arial" w:cs="Arial" w:eastAsia="Arial" w:hAnsi="Arial"/>
          <w:sz w:val="15"/>
          <w:szCs w:val="15"/>
          <w:b w:val="1"/>
          <w:bCs w:val="1"/>
          <w:i w:val="1"/>
          <w:iCs w:val="1"/>
          <w:color w:val="auto"/>
        </w:rPr>
        <w:t>Legal Defeasance and Discharge.</w:t>
      </w:r>
    </w:p>
    <w:p>
      <w:pPr>
        <w:spacing w:after="0" w:line="121"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Upon the Company’s exercise under Section 8.01 hereof of the option applicable to this Section 8.02, the Company will, subject to the satisfaction of the conditions set forth in Section 8.04 hereof, be deemed to have been discharged from its obligations with respect to all outstanding Notes of such Series on the date the conditions set forth below are satisfied (hereinafter, “</w:t>
      </w:r>
      <w:r>
        <w:rPr>
          <w:rFonts w:ascii="Arial" w:cs="Arial" w:eastAsia="Arial" w:hAnsi="Arial"/>
          <w:sz w:val="18"/>
          <w:szCs w:val="18"/>
          <w:u w:val="single" w:color="auto"/>
          <w:color w:val="auto"/>
        </w:rPr>
        <w:t>Legal Defeasance</w:t>
      </w:r>
      <w:r>
        <w:rPr>
          <w:rFonts w:ascii="Arial" w:cs="Arial" w:eastAsia="Arial" w:hAnsi="Arial"/>
          <w:sz w:val="18"/>
          <w:szCs w:val="18"/>
          <w:color w:val="auto"/>
        </w:rPr>
        <w:t>”). For this purpose, Legal Defeasance means that the Company will be deemed to have paid and discharged the entire Indebtedness represented by the outstanding Notes of such Series, which will thereafter be deemed to be “outstanding” only for the purposes of Section 8.05 hereof and the other Sections of this Indenture referred to in clauses (a) and (b) below, and to have satisfied all their other obligations under such Notes and this Indenture (and the Trustee, on written demand of and at the expense of the Company, shall execute instruments acknowledging the same), except for the following provisions which will survive until otherwise terminated or discharged hereunder:</w:t>
      </w:r>
    </w:p>
    <w:p>
      <w:pPr>
        <w:spacing w:after="0" w:line="84" w:lineRule="exact"/>
        <w:rPr>
          <w:sz w:val="20"/>
          <w:szCs w:val="20"/>
          <w:color w:val="auto"/>
        </w:rPr>
      </w:pPr>
    </w:p>
    <w:p>
      <w:pPr>
        <w:ind w:right="240" w:firstLine="444"/>
        <w:spacing w:after="0" w:line="277" w:lineRule="auto"/>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if any, on, such Notes when such payments are due from the trust referred to in Section 8.04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70" w:name="page71"/>
    <w:bookmarkEnd w:id="70"/>
    <w:p>
      <w:pPr>
        <w:ind w:left="840" w:hanging="396"/>
        <w:spacing w:after="0"/>
        <w:tabs>
          <w:tab w:leader="none" w:pos="84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obligations with respect to such Notes under Article 2 and Section 4.02 hereof;</w:t>
      </w:r>
    </w:p>
    <w:p>
      <w:pPr>
        <w:spacing w:after="0" w:line="225" w:lineRule="exact"/>
        <w:rPr>
          <w:rFonts w:ascii="Arial" w:cs="Arial" w:eastAsia="Arial" w:hAnsi="Arial"/>
          <w:sz w:val="18"/>
          <w:szCs w:val="18"/>
          <w:color w:val="auto"/>
        </w:rPr>
      </w:pPr>
    </w:p>
    <w:p>
      <w:pPr>
        <w:ind w:left="820" w:hanging="376"/>
        <w:spacing w:after="0"/>
        <w:tabs>
          <w:tab w:leader="none" w:pos="8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hereunder and the Company’s obligations in connection therewith; and</w:t>
      </w:r>
    </w:p>
    <w:p>
      <w:pPr>
        <w:spacing w:after="0" w:line="236" w:lineRule="exact"/>
        <w:rPr>
          <w:rFonts w:ascii="Arial" w:cs="Arial" w:eastAsia="Arial" w:hAnsi="Arial"/>
          <w:sz w:val="17"/>
          <w:szCs w:val="17"/>
          <w:color w:val="auto"/>
        </w:rPr>
      </w:pPr>
    </w:p>
    <w:p>
      <w:pPr>
        <w:ind w:left="840" w:hanging="396"/>
        <w:spacing w:after="0"/>
        <w:tabs>
          <w:tab w:leader="none" w:pos="8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27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8.03</w:t>
      </w:r>
      <w:r>
        <w:rPr>
          <w:sz w:val="20"/>
          <w:szCs w:val="20"/>
          <w:color w:val="auto"/>
        </w:rPr>
        <w:tab/>
      </w:r>
      <w:r>
        <w:rPr>
          <w:rFonts w:ascii="Arial" w:cs="Arial" w:eastAsia="Arial" w:hAnsi="Arial"/>
          <w:sz w:val="15"/>
          <w:szCs w:val="15"/>
          <w:b w:val="1"/>
          <w:bCs w:val="1"/>
          <w:i w:val="1"/>
          <w:iCs w:val="1"/>
          <w:color w:val="auto"/>
        </w:rPr>
        <w:t>Covenant Defeasance.</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Upon the Company’s exercise under Section 8.01 hereof of the option applicable to this Section 8.03, the Company and each of the guarantors, if any, will, subject to the satisfaction of the conditions set forth in Section 8.04 hereof, be released from their obligations under the covenants contained in Section 4.03 and any other covenants specified in the applicable Board Resolutions, supplemental indenture or Officer’s Certificate as being subject to covenant defeasance pursuant to this Section 8.03, each case, with respect to the outstanding Notes of the applicable Series on and after the date the conditions set forth in Section 8.04 are satisfied (hereinafter,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of such Series,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Company’s exercise under Section 8.01 hereof of the option applicable to this Section 8.03 hereof, subject to the satisfaction of the conditions set forth in Section 8.04 hereof, the failure to comply with any such covenant shall not constitute an Event of Default pursuant to Section 6.01(c).</w:t>
      </w:r>
    </w:p>
    <w:p>
      <w:pPr>
        <w:spacing w:after="0" w:line="276"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8.04</w:t>
      </w:r>
      <w:r>
        <w:rPr>
          <w:sz w:val="20"/>
          <w:szCs w:val="20"/>
          <w:color w:val="auto"/>
        </w:rPr>
        <w:tab/>
      </w:r>
      <w:r>
        <w:rPr>
          <w:rFonts w:ascii="Arial" w:cs="Arial" w:eastAsia="Arial" w:hAnsi="Arial"/>
          <w:sz w:val="15"/>
          <w:szCs w:val="15"/>
          <w:b w:val="1"/>
          <w:bCs w:val="1"/>
          <w:i w:val="1"/>
          <w:iCs w:val="1"/>
          <w:color w:val="auto"/>
        </w:rPr>
        <w:t>Conditions to Legal or Covenant Defeasance.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117" w:lineRule="exact"/>
        <w:rPr>
          <w:sz w:val="20"/>
          <w:szCs w:val="20"/>
          <w:color w:val="auto"/>
        </w:rPr>
      </w:pPr>
    </w:p>
    <w:p>
      <w:pPr>
        <w:ind w:firstLine="444"/>
        <w:spacing w:after="0" w:line="257" w:lineRule="auto"/>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cash in U.S. dollars, non-callable Government Securities, or a combination thereof, in such amounts as will be sufficient, in the written opinion of a nationally recognized investment bank, appraisal firm, or firm of independent public accountants delivered to the Trustee, to pay the principal of, premium,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88" w:lineRule="exact"/>
        <w:rPr>
          <w:rFonts w:ascii="Arial" w:cs="Arial" w:eastAsia="Arial" w:hAnsi="Arial"/>
          <w:sz w:val="18"/>
          <w:szCs w:val="18"/>
          <w:color w:val="auto"/>
        </w:rPr>
      </w:pPr>
    </w:p>
    <w:p>
      <w:pPr>
        <w:ind w:left="840" w:hanging="396"/>
        <w:spacing w:after="0"/>
        <w:tabs>
          <w:tab w:leader="none" w:pos="8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the case of an election under Section 8.02 hereof, the Company must deliver to the Trustee an Opinion of Counsel confirming that:</w:t>
      </w:r>
    </w:p>
    <w:p>
      <w:pPr>
        <w:spacing w:after="0" w:line="128" w:lineRule="exact"/>
        <w:rPr>
          <w:rFonts w:ascii="Arial" w:cs="Arial" w:eastAsia="Arial" w:hAnsi="Arial"/>
          <w:sz w:val="17"/>
          <w:szCs w:val="17"/>
          <w:color w:val="auto"/>
        </w:rPr>
      </w:pPr>
    </w:p>
    <w:p>
      <w:pPr>
        <w:ind w:left="1260" w:hanging="392"/>
        <w:spacing w:after="0"/>
        <w:tabs>
          <w:tab w:leader="none" w:pos="12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117" w:lineRule="exact"/>
        <w:rPr>
          <w:rFonts w:ascii="Arial" w:cs="Arial" w:eastAsia="Arial" w:hAnsi="Arial"/>
          <w:sz w:val="18"/>
          <w:szCs w:val="18"/>
          <w:color w:val="auto"/>
        </w:rPr>
      </w:pPr>
    </w:p>
    <w:p>
      <w:pPr>
        <w:ind w:left="1260" w:hanging="392"/>
        <w:spacing w:after="0"/>
        <w:tabs>
          <w:tab w:leader="none" w:pos="12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since the date of this Indenture, there has been a change in the applicable federal income tax law,</w:t>
      </w:r>
    </w:p>
    <w:p>
      <w:pPr>
        <w:spacing w:after="0" w:line="117"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beneficial owners of the outstanding Notes will not recognize income, gain or loss for federal income tax</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71" w:name="page72"/>
    <w:bookmarkEnd w:id="71"/>
    <w:p>
      <w:pPr>
        <w:ind w:left="44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purposes as a result of such Legal Defeasance and will be subject to federal income tax on the same amounts, in the same manner and at the same times as would have been the case if such Legal Defeasance had not occurred;</w:t>
      </w:r>
    </w:p>
    <w:p>
      <w:pPr>
        <w:spacing w:after="0" w:line="170" w:lineRule="exact"/>
        <w:rPr>
          <w:sz w:val="20"/>
          <w:szCs w:val="20"/>
          <w:color w:val="auto"/>
        </w:rPr>
      </w:pPr>
    </w:p>
    <w:p>
      <w:pPr>
        <w:ind w:right="320" w:firstLine="444"/>
        <w:spacing w:after="0" w:line="259" w:lineRule="auto"/>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Company must deliver to the Trustee an Opinion of Counsel confirming that the beneficial owners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right="240" w:firstLine="444"/>
        <w:spacing w:after="0" w:line="264" w:lineRule="auto"/>
        <w:tabs>
          <w:tab w:leader="none" w:pos="8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is a party or by which the Company is bound;</w:t>
      </w:r>
    </w:p>
    <w:p>
      <w:pPr>
        <w:spacing w:after="0" w:line="181" w:lineRule="exact"/>
        <w:rPr>
          <w:rFonts w:ascii="Arial" w:cs="Arial" w:eastAsia="Arial" w:hAnsi="Arial"/>
          <w:sz w:val="18"/>
          <w:szCs w:val="18"/>
          <w:color w:val="auto"/>
        </w:rPr>
      </w:pPr>
    </w:p>
    <w:p>
      <w:pPr>
        <w:ind w:right="260" w:firstLine="444"/>
        <w:spacing w:after="0" w:line="264" w:lineRule="auto"/>
        <w:tabs>
          <w:tab w:leader="none" w:pos="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181" w:lineRule="exact"/>
        <w:rPr>
          <w:rFonts w:ascii="Arial" w:cs="Arial" w:eastAsia="Arial" w:hAnsi="Arial"/>
          <w:sz w:val="18"/>
          <w:szCs w:val="18"/>
          <w:color w:val="auto"/>
        </w:rPr>
      </w:pPr>
    </w:p>
    <w:p>
      <w:pPr>
        <w:ind w:right="140" w:firstLine="444"/>
        <w:spacing w:after="0" w:line="264"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81" w:lineRule="exact"/>
        <w:rPr>
          <w:rFonts w:ascii="Arial" w:cs="Arial" w:eastAsia="Arial" w:hAnsi="Arial"/>
          <w:sz w:val="18"/>
          <w:szCs w:val="18"/>
          <w:color w:val="auto"/>
        </w:rPr>
      </w:pPr>
    </w:p>
    <w:p>
      <w:pPr>
        <w:ind w:right="520" w:firstLine="444"/>
        <w:spacing w:after="0" w:line="277" w:lineRule="auto"/>
        <w:tabs>
          <w:tab w:leader="none" w:pos="8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27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8.05</w:t>
      </w:r>
      <w:r>
        <w:rPr>
          <w:sz w:val="20"/>
          <w:szCs w:val="20"/>
          <w:color w:val="auto"/>
        </w:rPr>
        <w:tab/>
      </w:r>
      <w:r>
        <w:rPr>
          <w:rFonts w:ascii="Arial" w:cs="Arial" w:eastAsia="Arial" w:hAnsi="Arial"/>
          <w:sz w:val="15"/>
          <w:szCs w:val="15"/>
          <w:b w:val="1"/>
          <w:bCs w:val="1"/>
          <w:i w:val="1"/>
          <w:iCs w:val="1"/>
          <w:color w:val="auto"/>
        </w:rPr>
        <w:t>Deposited Money and Government Securities to be Held in Trust; Other Miscellaneous Provisions.</w:t>
      </w:r>
    </w:p>
    <w:p>
      <w:pPr>
        <w:spacing w:after="0" w:line="12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Subject to Section 8.06 hereof, all money and non-callable Government Securities (including the proceeds thereof) deposited with the Trustee (or other qualifying trustee, collectively for purposes of this Section 8.05, the “</w:t>
      </w:r>
      <w:r>
        <w:rPr>
          <w:rFonts w:ascii="Arial" w:cs="Arial" w:eastAsia="Arial" w:hAnsi="Arial"/>
          <w:sz w:val="18"/>
          <w:szCs w:val="18"/>
          <w:u w:val="single" w:color="auto"/>
          <w:color w:val="auto"/>
        </w:rPr>
        <w:t>Trustee</w:t>
      </w:r>
      <w:r>
        <w:rPr>
          <w:rFonts w:ascii="Arial" w:cs="Arial" w:eastAsia="Arial" w:hAnsi="Arial"/>
          <w:sz w:val="18"/>
          <w:szCs w:val="18"/>
          <w:color w:val="auto"/>
        </w:rPr>
        <w:t>”) pursuant to Section 8.04 hereof in respect of the outstanding Notes of any Series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93"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The Company will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 of the applicable Series.</w:t>
      </w:r>
    </w:p>
    <w:p>
      <w:pPr>
        <w:spacing w:after="0" w:line="166" w:lineRule="exact"/>
        <w:rPr>
          <w:sz w:val="20"/>
          <w:szCs w:val="20"/>
          <w:color w:val="auto"/>
        </w:rPr>
      </w:pPr>
    </w:p>
    <w:p>
      <w:pPr>
        <w:ind w:right="240" w:firstLine="441"/>
        <w:spacing w:after="0" w:line="257" w:lineRule="auto"/>
        <w:rPr>
          <w:sz w:val="20"/>
          <w:szCs w:val="20"/>
          <w:color w:val="auto"/>
        </w:rPr>
      </w:pPr>
      <w:r>
        <w:rPr>
          <w:rFonts w:ascii="Arial" w:cs="Arial" w:eastAsia="Arial" w:hAnsi="Arial"/>
          <w:sz w:val="18"/>
          <w:szCs w:val="18"/>
          <w:color w:val="auto"/>
        </w:rPr>
        <w:t>Notwithstanding anything in this Article 8 to the contrary, the Trustee will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29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8.06</w:t>
      </w:r>
      <w:r>
        <w:rPr>
          <w:sz w:val="20"/>
          <w:szCs w:val="20"/>
          <w:color w:val="auto"/>
        </w:rPr>
        <w:tab/>
      </w:r>
      <w:r>
        <w:rPr>
          <w:rFonts w:ascii="Arial" w:cs="Arial" w:eastAsia="Arial" w:hAnsi="Arial"/>
          <w:sz w:val="15"/>
          <w:szCs w:val="15"/>
          <w:b w:val="1"/>
          <w:bCs w:val="1"/>
          <w:i w:val="1"/>
          <w:iCs w:val="1"/>
          <w:color w:val="auto"/>
        </w:rPr>
        <w:t>Repayment to Company.</w:t>
      </w:r>
    </w:p>
    <w:p>
      <w:pPr>
        <w:spacing w:after="0" w:line="1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Any money deposited with the Trustee or any Paying Agent, or then held by the Company, in trust for the payment of the principal of, premium, if any, or interest on, any Series of Notes and remaining unclaimed for two years after such principal, premium, if any, or interest has become due and payable shall, subject to applicable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72" w:name="page73"/>
    <w:bookmarkEnd w:id="72"/>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abandoned property law,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w:t>
      </w:r>
    </w:p>
    <w:p>
      <w:pPr>
        <w:spacing w:after="0" w:line="28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8.07</w:t>
      </w:r>
      <w:r>
        <w:rPr>
          <w:sz w:val="20"/>
          <w:szCs w:val="20"/>
          <w:color w:val="auto"/>
        </w:rPr>
        <w:tab/>
      </w:r>
      <w:r>
        <w:rPr>
          <w:rFonts w:ascii="Arial" w:cs="Arial" w:eastAsia="Arial" w:hAnsi="Arial"/>
          <w:sz w:val="15"/>
          <w:szCs w:val="15"/>
          <w:b w:val="1"/>
          <w:bCs w:val="1"/>
          <w:i w:val="1"/>
          <w:iCs w:val="1"/>
          <w:color w:val="auto"/>
        </w:rPr>
        <w:t>Reinstatement.</w:t>
      </w:r>
    </w:p>
    <w:p>
      <w:pPr>
        <w:spacing w:after="0" w:line="121"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any applicable guarantors’ obligations under this Indenture and the applicable Notes and the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makes any payment of principal of, premium, if any, or interest on, any Note following the reinstatement of its obligations, the Company will be subrogated to the rights of the Holders of such Notes to receive such payment from the money held by the Trustee or Paying Agent.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SUPPLEMENT AND WAIVER</w:t>
      </w:r>
    </w:p>
    <w:p>
      <w:pPr>
        <w:spacing w:after="0" w:line="20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5"/>
          <w:szCs w:val="15"/>
          <w:b w:val="1"/>
          <w:bCs w:val="1"/>
          <w:i w:val="1"/>
          <w:iCs w:val="1"/>
          <w:color w:val="auto"/>
        </w:rPr>
        <w:t>Without Consent of Holders of Notes.</w:t>
      </w:r>
    </w:p>
    <w:p>
      <w:pPr>
        <w:spacing w:after="0" w:line="121"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Notwithstanding Section 9.02 of this Indenture, the Company and the Trustee may amend or supplement this Indenture or the Notes of one or more Series without the consent of any Holder of a Note:</w:t>
      </w:r>
    </w:p>
    <w:p>
      <w:pPr>
        <w:spacing w:after="0" w:line="170" w:lineRule="exact"/>
        <w:rPr>
          <w:sz w:val="20"/>
          <w:szCs w:val="20"/>
          <w:color w:val="auto"/>
        </w:rPr>
      </w:pPr>
    </w:p>
    <w:p>
      <w:pPr>
        <w:ind w:firstLine="444"/>
        <w:spacing w:after="0" w:line="257" w:lineRule="auto"/>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cure any ambiguity or to correct or supplement any provision contained herein or in any supplemental indenture that may be defective or inconsistent with any other provision contained herein or in any supplemental indenture, or to conform the provisions of this Indenture to the description of the Notes contained in the prospectus or other offering document pursuant to which the Notes of one or more Series were sold, as evidenced by an Officer’s Certificate stating that such text constitutes an unintended conflict with the description of the corresponding provision in the offering document;</w:t>
      </w:r>
    </w:p>
    <w:p>
      <w:pPr>
        <w:spacing w:after="0" w:line="188" w:lineRule="exact"/>
        <w:rPr>
          <w:rFonts w:ascii="Arial" w:cs="Arial" w:eastAsia="Arial" w:hAnsi="Arial"/>
          <w:sz w:val="18"/>
          <w:szCs w:val="18"/>
          <w:color w:val="auto"/>
        </w:rPr>
      </w:pPr>
    </w:p>
    <w:p>
      <w:pPr>
        <w:ind w:left="840" w:hanging="396"/>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25" w:lineRule="exact"/>
        <w:rPr>
          <w:rFonts w:ascii="Arial" w:cs="Arial" w:eastAsia="Arial" w:hAnsi="Arial"/>
          <w:sz w:val="18"/>
          <w:szCs w:val="18"/>
          <w:color w:val="auto"/>
        </w:rPr>
      </w:pPr>
    </w:p>
    <w:p>
      <w:pPr>
        <w:ind w:left="820" w:hanging="376"/>
        <w:spacing w:after="0"/>
        <w:tabs>
          <w:tab w:leader="none" w:pos="8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provide for the assumption of the Company’s obligations to the Holders of the Notes by a successor to the Company pursuant to Article 5</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ind w:right="700" w:firstLine="444"/>
        <w:spacing w:after="0" w:line="277" w:lineRule="auto"/>
        <w:tabs>
          <w:tab w:leader="none" w:pos="83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all or any Series of Notes or that does not adversely affect the rights hereunder of any Holder in any material respect;</w:t>
      </w:r>
    </w:p>
    <w:p>
      <w:pPr>
        <w:spacing w:after="0" w:line="170" w:lineRule="exact"/>
        <w:rPr>
          <w:rFonts w:ascii="Arial" w:cs="Arial" w:eastAsia="Arial" w:hAnsi="Arial"/>
          <w:sz w:val="18"/>
          <w:szCs w:val="18"/>
          <w:color w:val="auto"/>
        </w:rPr>
      </w:pPr>
    </w:p>
    <w:p>
      <w:pPr>
        <w:ind w:left="820" w:hanging="376"/>
        <w:spacing w:after="0"/>
        <w:tabs>
          <w:tab w:leader="none" w:pos="8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25" w:lineRule="exact"/>
        <w:rPr>
          <w:rFonts w:ascii="Arial" w:cs="Arial" w:eastAsia="Arial" w:hAnsi="Arial"/>
          <w:sz w:val="18"/>
          <w:szCs w:val="18"/>
          <w:color w:val="auto"/>
        </w:rPr>
      </w:pPr>
    </w:p>
    <w:p>
      <w:pPr>
        <w:ind w:left="800" w:hanging="356"/>
        <w:spacing w:after="0"/>
        <w:tabs>
          <w:tab w:leader="none" w:pos="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Notes of any Series as permitted by this Indenture;</w:t>
      </w:r>
    </w:p>
    <w:p>
      <w:pPr>
        <w:spacing w:after="0" w:line="236" w:lineRule="exact"/>
        <w:rPr>
          <w:rFonts w:ascii="Arial" w:cs="Arial" w:eastAsia="Arial" w:hAnsi="Arial"/>
          <w:sz w:val="17"/>
          <w:szCs w:val="17"/>
          <w:color w:val="auto"/>
        </w:rPr>
      </w:pPr>
    </w:p>
    <w:p>
      <w:pPr>
        <w:ind w:left="840" w:hanging="396"/>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guarantees with respect to the Notes of any Series or to provide security for the Notes of any Series; or</w:t>
      </w:r>
    </w:p>
    <w:p>
      <w:pPr>
        <w:spacing w:after="0" w:line="225" w:lineRule="exact"/>
        <w:rPr>
          <w:rFonts w:ascii="Arial" w:cs="Arial" w:eastAsia="Arial" w:hAnsi="Arial"/>
          <w:sz w:val="18"/>
          <w:szCs w:val="18"/>
          <w:color w:val="auto"/>
        </w:rPr>
      </w:pPr>
    </w:p>
    <w:p>
      <w:pPr>
        <w:jc w:val="both"/>
        <w:ind w:right="60" w:firstLine="444"/>
        <w:spacing w:after="0" w:line="264" w:lineRule="auto"/>
        <w:tabs>
          <w:tab w:leader="none" w:pos="83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Notes of one or more Series and to add to or change any of the provisions of this Indenture as shall be necessary to provide for or facilitate the administration of the trusts hereunder by more than one Trustee.</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Upon the request of the Company accompanied by a Board Resolution authorizing the execution of any such amended or supplemental indenture, and upon receipt by the Trustee of the documents described in Section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73" w:name="page74"/>
    <w:bookmarkEnd w:id="73"/>
    <w:p>
      <w:pPr>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9.06 hereof, the Trustee will join with the Company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25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9.02</w:t>
      </w:r>
      <w:r>
        <w:rPr>
          <w:sz w:val="20"/>
          <w:szCs w:val="20"/>
          <w:color w:val="auto"/>
        </w:rPr>
        <w:tab/>
      </w:r>
      <w:r>
        <w:rPr>
          <w:rFonts w:ascii="Arial" w:cs="Arial" w:eastAsia="Arial" w:hAnsi="Arial"/>
          <w:sz w:val="15"/>
          <w:szCs w:val="15"/>
          <w:b w:val="1"/>
          <w:bCs w:val="1"/>
          <w:i w:val="1"/>
          <w:iCs w:val="1"/>
          <w:color w:val="auto"/>
        </w:rPr>
        <w:t>With Consent of Holders of Notes.</w:t>
      </w:r>
    </w:p>
    <w:p>
      <w:pPr>
        <w:spacing w:after="0" w:line="12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Company and the Trustee may enter into a supplemental indenture with the written consent of the Holders of at least a majority in aggregate principal amount of the outstanding Notes of each Series affected by such supplemental indenture (including consents obtained in connection with a tender offer or exchange offer for the Notes of such Series), for the purpose of adding any provisions to or changing in any manner or eliminating any of the provisions of this Indenture or of any supplemental indenture or of modifying in any manner the rights of the Holders of Notes of each such Series. Except as otherwise provided herein, the Holders of at least a majority in aggregate principal amount of the outstanding Notes of each Series, by notice to the Trustee (including consents obtained in connection with a tender offer or exchange offer for the Notes of such Series) may waive compliance by the Company with any provision of this Indenture or the Notes with respect to such Series.</w:t>
      </w:r>
    </w:p>
    <w:p>
      <w:pPr>
        <w:spacing w:after="0" w:line="178"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It shall not be necessary for the consent of the Holders of Notes under this Section 9.02 to approve the particular form of any proposed supplemental indenture or waiver, but it shall be sufficient if such consent approves the substance thereof. Upon the request of the Company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9.06 hereof, the Trustee will join with the Company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78"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After a supplemental indenture or waiver under this section becomes effective, the Company shall mail to the Holders of Notes affected thereby a notice briefly describing the supplemental indenture or waiver. Any failure by the Company to mail such notice, or any defect therein, shall not, however, in any way impair or affect the validity of any such supplemental indenture or waiver. However, without the consent of each Holder affected, an amendment or waiver under this Section 9.02 may not, with respect to any Notes held by a non-consenting Holder:</w:t>
      </w:r>
    </w:p>
    <w:p>
      <w:pPr>
        <w:spacing w:after="0" w:line="63" w:lineRule="exact"/>
        <w:rPr>
          <w:sz w:val="20"/>
          <w:szCs w:val="20"/>
          <w:color w:val="auto"/>
        </w:rPr>
      </w:pPr>
    </w:p>
    <w:p>
      <w:pPr>
        <w:ind w:right="120" w:firstLine="444"/>
        <w:spacing w:after="0" w:line="277" w:lineRule="auto"/>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principal amount, any premium or change the Stated Maturity of any Note or alter or waive any of the provisions with respect to the redemption or repurchase of the Notes;</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reduce the rate (or alter the method of computation) of or extend the time for payment of interest, including defaulted interest, on any Note;</w:t>
      </w:r>
    </w:p>
    <w:p>
      <w:pPr>
        <w:spacing w:after="0" w:line="248" w:lineRule="exact"/>
        <w:rPr>
          <w:rFonts w:ascii="Arial" w:cs="Arial" w:eastAsia="Arial" w:hAnsi="Arial"/>
          <w:sz w:val="16"/>
          <w:szCs w:val="16"/>
          <w:color w:val="auto"/>
        </w:rPr>
      </w:pPr>
    </w:p>
    <w:p>
      <w:pPr>
        <w:ind w:right="20" w:firstLine="444"/>
        <w:spacing w:after="0" w:line="264" w:lineRule="auto"/>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premium, if any, or interest on the Notes, except a rescission of acceleration of the Notes by the Holders of at least a majority in aggregate principal amount of the then outstanding Notes of such Series with respect to a nonpayment default and a waiver of the payment default that resulted from such acceleration;</w:t>
      </w:r>
    </w:p>
    <w:p>
      <w:pPr>
        <w:spacing w:after="0" w:line="181" w:lineRule="exact"/>
        <w:rPr>
          <w:rFonts w:ascii="Arial" w:cs="Arial" w:eastAsia="Arial" w:hAnsi="Arial"/>
          <w:sz w:val="18"/>
          <w:szCs w:val="18"/>
          <w:color w:val="auto"/>
        </w:rPr>
      </w:pPr>
    </w:p>
    <w:p>
      <w:pPr>
        <w:ind w:left="840" w:hanging="396"/>
        <w:spacing w:after="0"/>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make the principal of or premium, if any or interest on any Note payable in currency other than that stated in the Notes;</w:t>
      </w:r>
    </w:p>
    <w:p>
      <w:pPr>
        <w:spacing w:after="0" w:line="225" w:lineRule="exact"/>
        <w:rPr>
          <w:rFonts w:ascii="Arial" w:cs="Arial" w:eastAsia="Arial" w:hAnsi="Arial"/>
          <w:sz w:val="18"/>
          <w:szCs w:val="18"/>
          <w:color w:val="auto"/>
        </w:rPr>
      </w:pPr>
    </w:p>
    <w:p>
      <w:pPr>
        <w:ind w:left="820" w:hanging="376"/>
        <w:spacing w:after="0"/>
        <w:tabs>
          <w:tab w:leader="none" w:pos="8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 any place of payment where the Notes of any series or interest thereon is payable;</w:t>
      </w:r>
    </w:p>
    <w:p>
      <w:pPr>
        <w:spacing w:after="0" w:line="225" w:lineRule="exact"/>
        <w:rPr>
          <w:rFonts w:ascii="Arial" w:cs="Arial" w:eastAsia="Arial" w:hAnsi="Arial"/>
          <w:sz w:val="18"/>
          <w:szCs w:val="18"/>
          <w:color w:val="auto"/>
        </w:rPr>
      </w:pPr>
    </w:p>
    <w:p>
      <w:pPr>
        <w:ind w:right="480" w:firstLine="444"/>
        <w:spacing w:after="0" w:line="308" w:lineRule="auto"/>
        <w:tabs>
          <w:tab w:leader="none" w:pos="8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make any change in the provisions of this Indenture relating to waivers of past Defaults or the rights of Holders of the Notes to receive payments of principal of or premium, interest, if any, on the Notes and to institute suit for the enforcement of any such payments;</w:t>
      </w:r>
    </w:p>
    <w:p>
      <w:pPr>
        <w:spacing w:after="0" w:line="146" w:lineRule="exact"/>
        <w:rPr>
          <w:rFonts w:ascii="Arial" w:cs="Arial" w:eastAsia="Arial" w:hAnsi="Arial"/>
          <w:sz w:val="17"/>
          <w:szCs w:val="17"/>
          <w:color w:val="auto"/>
        </w:rPr>
      </w:pPr>
    </w:p>
    <w:p>
      <w:pPr>
        <w:ind w:left="840" w:hanging="396"/>
        <w:spacing w:after="0"/>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make any change in the foregoing amendment and waiver provisions;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74" w:name="page75"/>
    <w:bookmarkEnd w:id="74"/>
    <w:p>
      <w:pPr>
        <w:ind w:right="960" w:firstLine="444"/>
        <w:spacing w:after="0" w:line="277" w:lineRule="auto"/>
        <w:tabs>
          <w:tab w:leader="none" w:pos="831"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reduce the percentage in principal amount of any Notes, the consent of the Holders of which is required for any of the foregoing modifications or otherwise necessary to modify or amend this Indenture or to waive any past Defaults.</w:t>
      </w:r>
    </w:p>
    <w:p>
      <w:pPr>
        <w:spacing w:after="0" w:line="27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9.03</w:t>
      </w:r>
      <w:r>
        <w:rPr>
          <w:sz w:val="20"/>
          <w:szCs w:val="20"/>
          <w:color w:val="auto"/>
        </w:rPr>
        <w:tab/>
      </w:r>
      <w:r>
        <w:rPr>
          <w:rFonts w:ascii="Arial" w:cs="Arial" w:eastAsia="Arial" w:hAnsi="Arial"/>
          <w:sz w:val="15"/>
          <w:szCs w:val="15"/>
          <w:b w:val="1"/>
          <w:bCs w:val="1"/>
          <w:i w:val="1"/>
          <w:iCs w:val="1"/>
          <w:color w:val="auto"/>
        </w:rPr>
        <w:t>Compliance with Trust Indenture Act.</w:t>
      </w:r>
    </w:p>
    <w:p>
      <w:pPr>
        <w:spacing w:after="0" w:line="12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Every amendment to this Indenture or the Notes of one or more Series will be set forth in a supplemental indenture hereto that complies with the TIA as then in effect.</w:t>
      </w:r>
    </w:p>
    <w:p>
      <w:pPr>
        <w:spacing w:after="0" w:line="27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9.04</w:t>
      </w:r>
      <w:r>
        <w:rPr>
          <w:sz w:val="20"/>
          <w:szCs w:val="20"/>
          <w:color w:val="auto"/>
        </w:rPr>
        <w:tab/>
      </w:r>
      <w:r>
        <w:rPr>
          <w:rFonts w:ascii="Arial" w:cs="Arial" w:eastAsia="Arial" w:hAnsi="Arial"/>
          <w:sz w:val="15"/>
          <w:szCs w:val="15"/>
          <w:b w:val="1"/>
          <w:bCs w:val="1"/>
          <w:i w:val="1"/>
          <w:iCs w:val="1"/>
          <w:color w:val="auto"/>
        </w:rPr>
        <w:t>Revocation and Effect of Consents.</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Until an amendment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or waiver becomes effective. An amendment or waiver becomes effective in accordance with its terms and thereafter binds every Holder.</w:t>
      </w:r>
    </w:p>
    <w:p>
      <w:pPr>
        <w:spacing w:after="0" w:line="29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9.05</w:t>
      </w:r>
      <w:r>
        <w:rPr>
          <w:sz w:val="20"/>
          <w:szCs w:val="20"/>
          <w:color w:val="auto"/>
        </w:rPr>
        <w:tab/>
      </w:r>
      <w:r>
        <w:rPr>
          <w:rFonts w:ascii="Arial" w:cs="Arial" w:eastAsia="Arial" w:hAnsi="Arial"/>
          <w:sz w:val="15"/>
          <w:szCs w:val="15"/>
          <w:b w:val="1"/>
          <w:bCs w:val="1"/>
          <w:i w:val="1"/>
          <w:iCs w:val="1"/>
          <w:color w:val="auto"/>
        </w:rPr>
        <w:t>Notation on or Exchange of Notes.</w:t>
      </w:r>
    </w:p>
    <w:p>
      <w:pPr>
        <w:spacing w:after="0" w:line="12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Company may place an appropriate notation about an amendment or waiver on any Note of any Series thereafter authenticated. The Company in exchange for Notes of that Series may issue and the Trustee shall authenticate upon request new Notes of that Series that reflect the amendment or waiver.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Failure to make the appropriate notation or issue a new Note will not affect the validity and effect of such amendment or waiver.</w:t>
      </w:r>
    </w:p>
    <w:p>
      <w:pPr>
        <w:spacing w:after="0" w:line="329"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9.06</w:t>
      </w:r>
      <w:r>
        <w:rPr>
          <w:sz w:val="20"/>
          <w:szCs w:val="20"/>
          <w:color w:val="auto"/>
        </w:rPr>
        <w:tab/>
      </w:r>
      <w:r>
        <w:rPr>
          <w:rFonts w:ascii="Arial" w:cs="Arial" w:eastAsia="Arial" w:hAnsi="Arial"/>
          <w:sz w:val="15"/>
          <w:szCs w:val="15"/>
          <w:b w:val="1"/>
          <w:bCs w:val="1"/>
          <w:i w:val="1"/>
          <w:iCs w:val="1"/>
          <w:color w:val="auto"/>
        </w:rPr>
        <w:t>Trustee to Sign Amendments, etc.</w:t>
      </w:r>
    </w:p>
    <w:p>
      <w:pPr>
        <w:spacing w:after="0" w:line="121" w:lineRule="exact"/>
        <w:rPr>
          <w:sz w:val="20"/>
          <w:szCs w:val="20"/>
          <w:color w:val="auto"/>
        </w:rPr>
      </w:pPr>
    </w:p>
    <w:p>
      <w:pPr>
        <w:jc w:val="both"/>
        <w:ind w:right="20" w:firstLine="441"/>
        <w:spacing w:after="0" w:line="285"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 7.01) shall be fully protected in relying upon, an Officer’s Certificate and an Opinion of Counsel stating that all conditions precedent to the execution of such supplemental indenture have been complied with and that the execution of such supplemental indenture is authorized or permitted by this Indenture, and an Opinion of Counsel stating that it will be the legal, valid and binding upon the Company and, in the case of any guarantor, such guarantor, in accordance with its terms, subject to customary exceptions.</w:t>
      </w:r>
    </w:p>
    <w:p>
      <w:pPr>
        <w:spacing w:after="0" w:line="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Trustee shall sign all supplemental indentures, except that the Trustee need not sign any supplemental indenture that affects its rights, duties or immunities.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07"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b w:val="1"/>
          <w:bCs w:val="1"/>
          <w:color w:val="auto"/>
        </w:rPr>
        <w:t>Section 10.01</w:t>
      </w:r>
      <w:r>
        <w:rPr>
          <w:sz w:val="20"/>
          <w:szCs w:val="20"/>
          <w:color w:val="auto"/>
        </w:rPr>
        <w:tab/>
      </w:r>
      <w:r>
        <w:rPr>
          <w:rFonts w:ascii="Arial" w:cs="Arial" w:eastAsia="Arial" w:hAnsi="Arial"/>
          <w:sz w:val="15"/>
          <w:szCs w:val="15"/>
          <w:b w:val="1"/>
          <w:bCs w:val="1"/>
          <w:i w:val="1"/>
          <w:iCs w:val="1"/>
          <w:color w:val="auto"/>
        </w:rPr>
        <w:t>Satisfaction and Discharge.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Indenture will be discharged and will cease to be of further effect as to a Series of Notes issued hereunder, when:</w:t>
      </w:r>
    </w:p>
    <w:p>
      <w:pPr>
        <w:spacing w:after="0" w:line="225" w:lineRule="exact"/>
        <w:rPr>
          <w:sz w:val="20"/>
          <w:szCs w:val="20"/>
          <w:color w:val="auto"/>
        </w:rPr>
      </w:pPr>
    </w:p>
    <w:p>
      <w:pPr>
        <w:ind w:left="820" w:hanging="376"/>
        <w:spacing w:after="0"/>
        <w:tabs>
          <w:tab w:leader="none" w:pos="8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40" w:right="40" w:firstLine="428"/>
        <w:spacing w:after="0" w:line="264" w:lineRule="auto"/>
        <w:tabs>
          <w:tab w:leader="none" w:pos="1253"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such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73" w:lineRule="exact"/>
        <w:rPr>
          <w:rFonts w:ascii="Arial" w:cs="Arial" w:eastAsia="Arial" w:hAnsi="Arial"/>
          <w:sz w:val="18"/>
          <w:szCs w:val="18"/>
          <w:color w:val="auto"/>
        </w:rPr>
      </w:pPr>
    </w:p>
    <w:p>
      <w:pPr>
        <w:ind w:left="440" w:right="140" w:firstLine="428"/>
        <w:spacing w:after="0" w:line="277" w:lineRule="auto"/>
        <w:tabs>
          <w:tab w:leader="none" w:pos="1253"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such Notes that have not been delivered to the Trustee for cancellation have become due and payable by reason of the sending of a notice of redemption or otherwise or will become due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75" w:name="page76"/>
    <w:bookmarkEnd w:id="75"/>
    <w:p>
      <w:pPr>
        <w:ind w:left="440"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payable within one year and the Company has irrevocably deposited or caused to be deposited with the Trustee as trust funds in trust solely for the benefit of the Holders of such Notes, cash in U.S. dollars, non-callable Government Securities, or a combination thereof, in such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71" w:lineRule="exact"/>
        <w:rPr>
          <w:sz w:val="20"/>
          <w:szCs w:val="20"/>
          <w:color w:val="auto"/>
        </w:rPr>
      </w:pPr>
    </w:p>
    <w:p>
      <w:pPr>
        <w:ind w:right="100" w:firstLine="444"/>
        <w:spacing w:after="0" w:line="259" w:lineRule="auto"/>
        <w:tabs>
          <w:tab w:leader="none" w:pos="831"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material instrument to which the Company or any guarantor, as applicable, is a party or by which the Company, or any guarantor, as applicable, is bound;</w:t>
      </w:r>
    </w:p>
    <w:p>
      <w:pPr>
        <w:spacing w:after="0" w:line="186" w:lineRule="exact"/>
        <w:rPr>
          <w:rFonts w:ascii="Arial" w:cs="Arial" w:eastAsia="Arial" w:hAnsi="Arial"/>
          <w:sz w:val="18"/>
          <w:szCs w:val="18"/>
          <w:color w:val="auto"/>
        </w:rPr>
      </w:pPr>
    </w:p>
    <w:p>
      <w:pPr>
        <w:ind w:left="820" w:hanging="376"/>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or any guarantor of such Notes has paid or caused to be paid all sums payable by it under this Indenture; and</w:t>
      </w:r>
    </w:p>
    <w:p>
      <w:pPr>
        <w:spacing w:after="0" w:line="225" w:lineRule="exact"/>
        <w:rPr>
          <w:rFonts w:ascii="Arial" w:cs="Arial" w:eastAsia="Arial" w:hAnsi="Arial"/>
          <w:sz w:val="18"/>
          <w:szCs w:val="18"/>
          <w:color w:val="auto"/>
        </w:rPr>
      </w:pPr>
    </w:p>
    <w:p>
      <w:pPr>
        <w:ind w:right="120" w:firstLine="444"/>
        <w:spacing w:after="0" w:line="277" w:lineRule="auto"/>
        <w:tabs>
          <w:tab w:leader="none" w:pos="83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stating that all conditions precedent to satisfaction and discharge have been satisfied.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subclause (2) of clause</w:t>
      </w:r>
    </w:p>
    <w:p>
      <w:pPr>
        <w:spacing w:after="0" w:line="46" w:lineRule="exact"/>
        <w:rPr>
          <w:sz w:val="20"/>
          <w:szCs w:val="20"/>
          <w:color w:val="auto"/>
        </w:rPr>
      </w:pPr>
    </w:p>
    <w:p>
      <w:pPr>
        <w:ind w:firstLine="4"/>
        <w:spacing w:after="0" w:line="269" w:lineRule="auto"/>
        <w:tabs>
          <w:tab w:leader="none" w:pos="245" w:val="left"/>
        </w:tabs>
        <w:numPr>
          <w:ilvl w:val="0"/>
          <w:numId w:val="79"/>
        </w:numPr>
        <w:rPr>
          <w:rFonts w:ascii="Arial" w:cs="Arial" w:eastAsia="Arial" w:hAnsi="Arial"/>
          <w:sz w:val="17"/>
          <w:szCs w:val="17"/>
          <w:color w:val="auto"/>
        </w:rPr>
      </w:pPr>
      <w:r>
        <w:rPr>
          <w:rFonts w:ascii="Arial" w:cs="Arial" w:eastAsia="Arial" w:hAnsi="Arial"/>
          <w:sz w:val="17"/>
          <w:szCs w:val="17"/>
          <w:color w:val="auto"/>
        </w:rPr>
        <w:t>of this Section 10.01, the provisions of Sections 10.02 and 8.06 hereof will survive. In addition, nothing in this Section 10.01 will be deemed to discharge those provisions of Section 7.07 hereof, that, by their terms, survive the satisfaction and discharge of this Indenture. After the conditions to discharge contained in this Article Ten have been satisfied, and the Company has paid or caused to be paid all other sums payable hereunder by the Company, and delivered to the Trustee an Officer’s Certificate and Opinion of Counsel, each stating that all conditions precedent to satisfaction and discharge have been satisfied, the Trustee upon Company’s written request shall acknowledge in writing the discharge of the obligations of the Company (except for those surviving obligations specified in this Section 10.01 and the rights, powers, trusts, duties and immunities of the Trustee hereunder and the Company’s obligations in connection therewith).</w:t>
      </w:r>
    </w:p>
    <w:p>
      <w:pPr>
        <w:spacing w:after="0" w:line="285"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b w:val="1"/>
          <w:bCs w:val="1"/>
          <w:color w:val="auto"/>
        </w:rPr>
        <w:t>Section 10.02</w:t>
      </w:r>
      <w:r>
        <w:rPr>
          <w:sz w:val="20"/>
          <w:szCs w:val="20"/>
          <w:color w:val="auto"/>
        </w:rPr>
        <w:tab/>
      </w:r>
      <w:r>
        <w:rPr>
          <w:rFonts w:ascii="Arial" w:cs="Arial" w:eastAsia="Arial" w:hAnsi="Arial"/>
          <w:sz w:val="15"/>
          <w:szCs w:val="15"/>
          <w:b w:val="1"/>
          <w:bCs w:val="1"/>
          <w:i w:val="1"/>
          <w:iCs w:val="1"/>
          <w:color w:val="auto"/>
        </w:rPr>
        <w:t>Application of Trust Money.</w:t>
      </w:r>
    </w:p>
    <w:p>
      <w:pPr>
        <w:spacing w:after="0" w:line="121" w:lineRule="exact"/>
        <w:rPr>
          <w:sz w:val="20"/>
          <w:szCs w:val="20"/>
          <w:color w:val="auto"/>
        </w:rPr>
      </w:pPr>
    </w:p>
    <w:p>
      <w:pPr>
        <w:ind w:right="200" w:firstLine="441"/>
        <w:spacing w:after="0" w:line="276" w:lineRule="auto"/>
        <w:rPr>
          <w:sz w:val="20"/>
          <w:szCs w:val="20"/>
          <w:color w:val="auto"/>
        </w:rPr>
      </w:pPr>
      <w:r>
        <w:rPr>
          <w:rFonts w:ascii="Arial" w:cs="Arial" w:eastAsia="Arial" w:hAnsi="Arial"/>
          <w:sz w:val="17"/>
          <w:szCs w:val="17"/>
          <w:color w:val="auto"/>
        </w:rPr>
        <w:t>Subject to the provisions of Section 8.06 hereof, all money deposited with the Trustee pursuant to Section 10.01 hereof shall be held in trust and applied by it, in accordance with the provisions of the Notes with respect to which such deposit was made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73"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 xml:space="preserve">If the Trustee or Paying Agent is unable to apply any money or Government Securities in accordance with Section 10.01 hereof by reason of any legal proceeding or by reason of any order or judgment of any court or governmental authority enjoining, restraining or otherwise prohibiting such application, the Company’s and any applicable guarantor’s obligations under this Indenture and the applicable Notes shall be revived and reinstated as though no deposit had occurred pursuant to Section 10.01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has made any payment of principal of, premium, if any, or interest on, any Notes because of the reinstatement of its obligations, the Company shall be subrogated to the rights of the Holders of such Notes to receive such payment from the money or Government Securities held by the Trustee or Paying Agent.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76" w:name="page77"/>
    <w:bookmarkEnd w:id="7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MISCELLANEOUS</w:t>
      </w:r>
    </w:p>
    <w:p>
      <w:pPr>
        <w:spacing w:after="0" w:line="99"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11.01</w:t>
      </w:r>
      <w:r>
        <w:rPr>
          <w:sz w:val="20"/>
          <w:szCs w:val="20"/>
          <w:color w:val="auto"/>
        </w:rPr>
        <w:tab/>
      </w:r>
      <w:r>
        <w:rPr>
          <w:rFonts w:ascii="Arial" w:cs="Arial" w:eastAsia="Arial" w:hAnsi="Arial"/>
          <w:sz w:val="15"/>
          <w:szCs w:val="15"/>
          <w:b w:val="1"/>
          <w:bCs w:val="1"/>
          <w:i w:val="1"/>
          <w:iCs w:val="1"/>
          <w:color w:val="auto"/>
        </w:rPr>
        <w:t>Trust Indenture Act Controls.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provision of this Indenture limits, qualifies or conflicts with the duties imposed by TIA § 318(c), the imposed duties will control.</w:t>
      </w:r>
    </w:p>
    <w:p>
      <w:pPr>
        <w:spacing w:after="0" w:line="329"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18"/>
          <w:szCs w:val="18"/>
          <w:b w:val="1"/>
          <w:bCs w:val="1"/>
          <w:color w:val="auto"/>
        </w:rPr>
        <w:t>Section 11.02</w:t>
      </w:r>
      <w:r>
        <w:rPr>
          <w:sz w:val="20"/>
          <w:szCs w:val="20"/>
          <w:color w:val="auto"/>
        </w:rPr>
        <w:tab/>
      </w:r>
      <w:r>
        <w:rPr>
          <w:rFonts w:ascii="Arial" w:cs="Arial" w:eastAsia="Arial" w:hAnsi="Arial"/>
          <w:sz w:val="15"/>
          <w:szCs w:val="15"/>
          <w:b w:val="1"/>
          <w:bCs w:val="1"/>
          <w:i w:val="1"/>
          <w:iCs w:val="1"/>
          <w:color w:val="auto"/>
        </w:rPr>
        <w:t>Notices.</w:t>
      </w:r>
    </w:p>
    <w:p>
      <w:pPr>
        <w:spacing w:after="0" w:line="121"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Any notice or communication by the Company or the Trustee to the others is duly given if in writing and delivered in Person or by first class mail (registered or certified, return receipt requested), facsimile transmission or overnight air courier guaranteeing next day delivery, to the others’ address: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14651 North Dallas Parkway, Suite 500</w:t>
      </w:r>
    </w:p>
    <w:p>
      <w:pPr>
        <w:spacing w:after="0" w:line="4"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800" w:type="dxa"/>
            <w:vAlign w:val="bottom"/>
            <w:gridSpan w:val="2"/>
          </w:tcPr>
          <w:p>
            <w:pPr>
              <w:spacing w:after="0"/>
              <w:rPr>
                <w:sz w:val="20"/>
                <w:szCs w:val="20"/>
                <w:color w:val="auto"/>
              </w:rPr>
            </w:pPr>
            <w:r>
              <w:rPr>
                <w:rFonts w:ascii="Arial" w:cs="Arial" w:eastAsia="Arial" w:hAnsi="Arial"/>
                <w:sz w:val="18"/>
                <w:szCs w:val="18"/>
                <w:color w:val="auto"/>
              </w:rPr>
              <w:t>Dallas, Texas 75254</w:t>
            </w:r>
          </w:p>
        </w:tc>
        <w:tc>
          <w:tcPr>
            <w:tcW w:w="360" w:type="dxa"/>
            <w:vAlign w:val="bottom"/>
          </w:tcPr>
          <w:p>
            <w:pPr>
              <w:spacing w:after="0"/>
              <w:rPr>
                <w:sz w:val="17"/>
                <w:szCs w:val="17"/>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Attention: [</w:t>
            </w:r>
          </w:p>
        </w:tc>
        <w:tc>
          <w:tcPr>
            <w:tcW w:w="520" w:type="dxa"/>
            <w:vAlign w:val="bottom"/>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Facsimile No.: (</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w w:val="93"/>
              </w:rPr>
              <w:t>Telephone No.: (</w:t>
            </w:r>
          </w:p>
        </w:tc>
        <w:tc>
          <w:tcPr>
            <w:tcW w:w="520" w:type="dxa"/>
            <w:vAlign w:val="bottom"/>
          </w:tcPr>
          <w:p>
            <w:pPr>
              <w:ind w:left="120"/>
              <w:spacing w:after="0"/>
              <w:rPr>
                <w:sz w:val="20"/>
                <w:szCs w:val="20"/>
                <w:color w:val="auto"/>
              </w:rPr>
            </w:pPr>
            <w:r>
              <w:rPr>
                <w:rFonts w:ascii="Arial" w:cs="Arial" w:eastAsia="Arial" w:hAnsi="Arial"/>
                <w:sz w:val="18"/>
                <w:szCs w:val="18"/>
                <w:color w:val="auto"/>
              </w:rPr>
              <w:t>) [</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880" w:right="40"/>
        <w:spacing w:after="0" w:line="277" w:lineRule="auto"/>
        <w:rPr>
          <w:sz w:val="20"/>
          <w:szCs w:val="20"/>
          <w:color w:val="auto"/>
        </w:rPr>
      </w:pPr>
      <w:r>
        <w:rPr>
          <w:rFonts w:ascii="Arial" w:cs="Arial" w:eastAsia="Arial" w:hAnsi="Arial"/>
          <w:sz w:val="18"/>
          <w:szCs w:val="18"/>
          <w:color w:val="auto"/>
        </w:rPr>
        <w:t>With a copy (which shall be deemed to be an accommodation and not a condition of effectiveness of any notice or communication given to the Company) to:</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Jones Day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North Point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901 Lakeside Avenue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Cleveland, Ohio 44114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Michael J. Solecki, Esq.</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No.: (216) 579-0212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Telephone No.: (216) 586-7103</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440" w:top="270" w:right="51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Trustee: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50 South Sixth Street, Suite 1290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Minneapolis, MN 55402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CECO Environmental Corp., Administrator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No.: 612-217-5651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Telephone No.: 612-217-5666</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With a copy (which shall be deemed to be an accommodation and not a condition of effectiveness of any notice or communication given to the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Trustee) to:</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Alston &amp; Bird LLP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101 South Tryon St., Suite 4000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Charlotte, NC 28280-4000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Adam Smith</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Telephone No. 704-444-1127</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or the Trustee, by notice to the others, may designate additional or different addresses for subsequent notices or communications.</w:t>
      </w:r>
    </w:p>
    <w:p>
      <w:pPr>
        <w:spacing w:after="0" w:line="248" w:lineRule="exact"/>
        <w:rPr>
          <w:sz w:val="20"/>
          <w:szCs w:val="20"/>
          <w:color w:val="auto"/>
        </w:rPr>
      </w:pPr>
    </w:p>
    <w:p>
      <w:pPr>
        <w:ind w:right="320" w:firstLine="441"/>
        <w:spacing w:after="0" w:line="312" w:lineRule="auto"/>
        <w:rPr>
          <w:sz w:val="20"/>
          <w:szCs w:val="20"/>
          <w:color w:val="auto"/>
        </w:rPr>
      </w:pPr>
      <w:r>
        <w:rPr>
          <w:rFonts w:ascii="Arial" w:cs="Arial" w:eastAsia="Arial" w:hAnsi="Arial"/>
          <w:sz w:val="16"/>
          <w:szCs w:val="16"/>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facsimile; and the next Business Day after timely delivery to the courier, if sent by overnight air courier guaranteeing next day delivery.</w:t>
      </w:r>
    </w:p>
    <w:p>
      <w:pPr>
        <w:spacing w:after="0" w:line="14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Anything contained herein to the contrary notwithstanding, no notice or communication to the Trustee shall be effective unless actually received by the Trustee at its Corporate Trust Office by a Responsible Officer of the Trustee.</w:t>
      </w:r>
    </w:p>
    <w:p>
      <w:pPr>
        <w:spacing w:after="0" w:line="170"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or, in the case of Global Notes, pursuant to the Applicable Procedures. Any notice or communication will also be so mailed to any Person described in TIA § 313(c), to the extent required by the TIA. Failure to mail a notice or communication to a Holder or any defect in it will not affect its sufficiency with respect to other Holders. Notwithstanding any other provision of this Indenture or any Global Note, where this Indenture or any Global Note provides for notice of any event (including any notice of redemption or repurchase) to a Holder of a Global Note (whether by mail or otherwise), such notice shall be sufficiently given if given to the Depositary (or its designee) pursuant to the Applicable Procedures, including by electronic mail in accordance with the standing instructions from the Depositary.</w:t>
      </w:r>
    </w:p>
    <w:p>
      <w:pPr>
        <w:spacing w:after="0" w:line="192"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Company mails a notice or communication to Holders, it will mail a copy to the Trustee and each Agent at the same time.</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Trustee agrees to accept and act upon instructions or directions pursuant to this Indenture sent by unsecured e-mail, pdf,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78" w:name="page79"/>
    <w:bookmarkEnd w:id="78"/>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282"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11.03</w:t>
      </w:r>
      <w:r>
        <w:rPr>
          <w:sz w:val="20"/>
          <w:szCs w:val="20"/>
          <w:color w:val="auto"/>
        </w:rPr>
        <w:tab/>
      </w:r>
      <w:r>
        <w:rPr>
          <w:rFonts w:ascii="Arial" w:cs="Arial" w:eastAsia="Arial" w:hAnsi="Arial"/>
          <w:sz w:val="15"/>
          <w:szCs w:val="15"/>
          <w:b w:val="1"/>
          <w:bCs w:val="1"/>
          <w:i w:val="1"/>
          <w:iCs w:val="1"/>
          <w:color w:val="auto"/>
        </w:rPr>
        <w:t>Communication by Holders of Notes with Other Holders of Notes.</w:t>
      </w:r>
    </w:p>
    <w:p>
      <w:pPr>
        <w:spacing w:after="0" w:line="121"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Holders may communicate pursuant to TIA § 312(b) with other Holders with respect to their rights under this Indenture or the Notes. The Company, the Trustee, the Registrar and anyone else shall have the protection of TIA § 312(c).</w:t>
      </w:r>
    </w:p>
    <w:p>
      <w:pPr>
        <w:spacing w:after="0" w:line="275"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11.04</w:t>
      </w:r>
      <w:r>
        <w:rPr>
          <w:sz w:val="20"/>
          <w:szCs w:val="20"/>
          <w:color w:val="auto"/>
        </w:rPr>
        <w:tab/>
      </w:r>
      <w:r>
        <w:rPr>
          <w:rFonts w:ascii="Arial" w:cs="Arial" w:eastAsia="Arial" w:hAnsi="Arial"/>
          <w:sz w:val="15"/>
          <w:szCs w:val="15"/>
          <w:b w:val="1"/>
          <w:bCs w:val="1"/>
          <w:i w:val="1"/>
          <w:iCs w:val="1"/>
          <w:color w:val="auto"/>
        </w:rPr>
        <w:t>Certificate and Opinion as to Conditions Precedent.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140" w:lineRule="exact"/>
        <w:rPr>
          <w:sz w:val="20"/>
          <w:szCs w:val="20"/>
          <w:color w:val="auto"/>
        </w:rPr>
      </w:pPr>
    </w:p>
    <w:p>
      <w:pPr>
        <w:ind w:left="440" w:right="200" w:firstLine="428"/>
        <w:spacing w:after="0" w:line="277" w:lineRule="auto"/>
        <w:tabs>
          <w:tab w:leader="none" w:pos="12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(who may rely upon an Opinion of Counsel as to matters of law), all conditions precedent, if any, provided for in this Indenture relating to the proposed action have been complied with; and</w:t>
      </w:r>
    </w:p>
    <w:p>
      <w:pPr>
        <w:spacing w:after="0" w:line="62" w:lineRule="exact"/>
        <w:rPr>
          <w:rFonts w:ascii="Arial" w:cs="Arial" w:eastAsia="Arial" w:hAnsi="Arial"/>
          <w:sz w:val="18"/>
          <w:szCs w:val="18"/>
          <w:color w:val="auto"/>
        </w:rPr>
      </w:pPr>
    </w:p>
    <w:p>
      <w:pPr>
        <w:ind w:left="440" w:right="40" w:firstLine="428"/>
        <w:spacing w:after="0" w:line="277" w:lineRule="auto"/>
        <w:tabs>
          <w:tab w:leader="none" w:pos="12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(who may rely upon an Officer’s Certificate as to matters of fact), all such conditions precedent and covenants have been complied with.</w:t>
      </w:r>
    </w:p>
    <w:p>
      <w:pPr>
        <w:spacing w:after="0" w:line="275"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11.05</w:t>
      </w:r>
      <w:r>
        <w:rPr>
          <w:sz w:val="20"/>
          <w:szCs w:val="20"/>
          <w:color w:val="auto"/>
        </w:rPr>
        <w:tab/>
      </w:r>
      <w:r>
        <w:rPr>
          <w:rFonts w:ascii="Arial" w:cs="Arial" w:eastAsia="Arial" w:hAnsi="Arial"/>
          <w:sz w:val="15"/>
          <w:szCs w:val="15"/>
          <w:b w:val="1"/>
          <w:bCs w:val="1"/>
          <w:i w:val="1"/>
          <w:iCs w:val="1"/>
          <w:color w:val="auto"/>
        </w:rPr>
        <w:t>Statements Required in Certificate or Opinion.</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must comply with the provisions of TIA § 314(e) and must include:</w:t>
      </w:r>
    </w:p>
    <w:p>
      <w:pPr>
        <w:spacing w:after="0" w:line="62" w:lineRule="exact"/>
        <w:rPr>
          <w:sz w:val="20"/>
          <w:szCs w:val="20"/>
          <w:color w:val="auto"/>
        </w:rPr>
      </w:pPr>
    </w:p>
    <w:p>
      <w:pPr>
        <w:ind w:left="1260" w:hanging="392"/>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340" w:firstLine="428"/>
        <w:spacing w:after="0" w:line="277" w:lineRule="auto"/>
        <w:tabs>
          <w:tab w:leader="none" w:pos="125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right="100" w:firstLine="428"/>
        <w:spacing w:after="0" w:line="277" w:lineRule="auto"/>
        <w:tabs>
          <w:tab w:leader="none" w:pos="125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260" w:hanging="392"/>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329"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11.06</w:t>
      </w:r>
      <w:r>
        <w:rPr>
          <w:sz w:val="20"/>
          <w:szCs w:val="20"/>
          <w:color w:val="auto"/>
        </w:rPr>
        <w:tab/>
      </w:r>
      <w:r>
        <w:rPr>
          <w:rFonts w:ascii="Arial" w:cs="Arial" w:eastAsia="Arial" w:hAnsi="Arial"/>
          <w:sz w:val="15"/>
          <w:szCs w:val="15"/>
          <w:b w:val="1"/>
          <w:bCs w:val="1"/>
          <w:i w:val="1"/>
          <w:iCs w:val="1"/>
          <w:color w:val="auto"/>
        </w:rPr>
        <w:t>Rules by Trustee and Agents.</w:t>
      </w:r>
    </w:p>
    <w:p>
      <w:pPr>
        <w:spacing w:after="0" w:line="12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79" w:name="page80"/>
    <w:bookmarkEnd w:id="79"/>
    <w:p>
      <w:pPr>
        <w:ind w:left="440"/>
        <w:spacing w:after="0"/>
        <w:tabs>
          <w:tab w:leader="none" w:pos="1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11.07</w:t>
      </w:r>
      <w:r>
        <w:rPr>
          <w:sz w:val="20"/>
          <w:szCs w:val="20"/>
          <w:color w:val="auto"/>
        </w:rPr>
        <w:tab/>
      </w:r>
      <w:r>
        <w:rPr>
          <w:rFonts w:ascii="Arial" w:cs="Arial" w:eastAsia="Arial" w:hAnsi="Arial"/>
          <w:sz w:val="16"/>
          <w:szCs w:val="16"/>
          <w:b w:val="1"/>
          <w:bCs w:val="1"/>
          <w:i w:val="1"/>
          <w:iCs w:val="1"/>
          <w:color w:val="auto"/>
        </w:rPr>
        <w:t>Calculation of Foreign Currency Amounts.</w:t>
      </w:r>
    </w:p>
    <w:p>
      <w:pPr>
        <w:spacing w:after="0" w:line="12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calculation of the U.S. dollar equivalent amount for any amount denominated in a foreign currency shall be the noon buying rate in the City of New York as certified by the Federal Reserve Bank of New York on the date on which such determination is required to be made or, if such day is not a day on which such rate is published, the rate most recently published prior to such day.</w:t>
      </w:r>
    </w:p>
    <w:p>
      <w:pPr>
        <w:spacing w:after="0" w:line="285"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11.08</w:t>
      </w:r>
      <w:r>
        <w:rPr>
          <w:sz w:val="20"/>
          <w:szCs w:val="20"/>
          <w:color w:val="auto"/>
        </w:rPr>
        <w:tab/>
      </w:r>
      <w:r>
        <w:rPr>
          <w:rFonts w:ascii="Arial" w:cs="Arial" w:eastAsia="Arial" w:hAnsi="Arial"/>
          <w:sz w:val="15"/>
          <w:szCs w:val="15"/>
          <w:b w:val="1"/>
          <w:bCs w:val="1"/>
          <w:i w:val="1"/>
          <w:iCs w:val="1"/>
          <w:color w:val="auto"/>
        </w:rPr>
        <w:t>No Personal Liability of Directors, Officers, Employees and Shareholders.</w:t>
      </w:r>
    </w:p>
    <w:p>
      <w:pPr>
        <w:spacing w:after="0" w:line="12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No past, present or future director, officer, employee, incorporator or shareholder of the Company, as such, will have any liability for any obligations of the Company under the Notes, this Indenture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91"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11.09</w:t>
      </w:r>
      <w:r>
        <w:rPr>
          <w:sz w:val="20"/>
          <w:szCs w:val="20"/>
          <w:color w:val="auto"/>
        </w:rPr>
        <w:tab/>
      </w:r>
      <w:r>
        <w:rPr>
          <w:rFonts w:ascii="Arial" w:cs="Arial" w:eastAsia="Arial" w:hAnsi="Arial"/>
          <w:sz w:val="15"/>
          <w:szCs w:val="15"/>
          <w:b w:val="1"/>
          <w:bCs w:val="1"/>
          <w:i w:val="1"/>
          <w:iCs w:val="1"/>
          <w:color w:val="auto"/>
        </w:rPr>
        <w:t>Governing Law; Submission to Jurisdiction.</w:t>
      </w:r>
    </w:p>
    <w:p>
      <w:pPr>
        <w:spacing w:after="0" w:line="121"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THE INTERNAL LAW OF THE STATE OF NEW YORK WILL GOVERN AND BE USED TO CONSTRUE THIS INDENTURE, THE NOTES, AND THE GUARANTEES, IF ANY, WITHOUT GIVING EFFECT TO APPLICABLE PRINCIPLES OF CONFLICTS OF LAW TO THE EXTENT THAT THE APPLICATION OF THE LAWS OF ANOTHER JURISDICTION WOULD BE REQUIRED THEREBY.</w:t>
      </w:r>
    </w:p>
    <w:p>
      <w:pPr>
        <w:spacing w:after="0" w:line="18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The Company agrees that any legal action or proceeding with respect to or arising out of this Indenture may be brought in or removed to the courts of the State of New York or of the United States of America, in each case located in the Borough of Manhattan, The City of New York. By execution and delivery of this Indenture, each of the Company and each guarantor, if any, accepts, for itself and in respect of its property, generally and unconditionally, the non-exclusive jurisdiction of the aforesaid courts. Each of the Company and each guarantor, if any, irrevocably consents to the service of process out of any of the aforementioned courts in any manner permitted by law. Nothing herein shall affect the right of any party to bring legal action or proceedings in any other competent jurisdiction. The Company and each guarantor, if any, hereby waives any right to stay or dismiss any action or proceeding under or in connection with this indenture brought before the foregoing courts on the basis of forum non-conveniens.</w:t>
      </w:r>
    </w:p>
    <w:p>
      <w:pPr>
        <w:spacing w:after="0" w:line="271"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11.10</w:t>
      </w:r>
      <w:r>
        <w:rPr>
          <w:sz w:val="20"/>
          <w:szCs w:val="20"/>
          <w:color w:val="auto"/>
        </w:rPr>
        <w:tab/>
      </w:r>
      <w:r>
        <w:rPr>
          <w:rFonts w:ascii="Arial" w:cs="Arial" w:eastAsia="Arial" w:hAnsi="Arial"/>
          <w:sz w:val="15"/>
          <w:szCs w:val="15"/>
          <w:b w:val="1"/>
          <w:bCs w:val="1"/>
          <w:i w:val="1"/>
          <w:iCs w:val="1"/>
          <w:color w:val="auto"/>
        </w:rPr>
        <w:t>No Adverse Interpretation of Other Agreements.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315"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11.11</w:t>
      </w:r>
      <w:r>
        <w:rPr>
          <w:sz w:val="20"/>
          <w:szCs w:val="20"/>
          <w:color w:val="auto"/>
        </w:rPr>
        <w:tab/>
      </w:r>
      <w:r>
        <w:rPr>
          <w:rFonts w:ascii="Arial" w:cs="Arial" w:eastAsia="Arial" w:hAnsi="Arial"/>
          <w:sz w:val="14"/>
          <w:szCs w:val="14"/>
          <w:b w:val="1"/>
          <w:bCs w:val="1"/>
          <w:i w:val="1"/>
          <w:iCs w:val="1"/>
          <w:color w:val="auto"/>
        </w:rPr>
        <w:t>Successors.</w:t>
      </w:r>
    </w:p>
    <w:p>
      <w:pPr>
        <w:spacing w:after="0" w:line="12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All agreements of the Company in this Indenture and the Notes will bind its successors. All agreements of the Trustee in this Indenture will bind its successors.</w:t>
      </w:r>
    </w:p>
    <w:p>
      <w:pPr>
        <w:spacing w:after="0" w:line="275"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11.12</w:t>
      </w:r>
      <w:r>
        <w:rPr>
          <w:sz w:val="20"/>
          <w:szCs w:val="20"/>
          <w:color w:val="auto"/>
        </w:rPr>
        <w:tab/>
      </w:r>
      <w:r>
        <w:rPr>
          <w:rFonts w:ascii="Arial" w:cs="Arial" w:eastAsia="Arial" w:hAnsi="Arial"/>
          <w:sz w:val="15"/>
          <w:szCs w:val="15"/>
          <w:b w:val="1"/>
          <w:bCs w:val="1"/>
          <w:i w:val="1"/>
          <w:iCs w:val="1"/>
          <w:color w:val="auto"/>
        </w:rPr>
        <w:t>Severability.</w:t>
      </w:r>
    </w:p>
    <w:p>
      <w:pPr>
        <w:spacing w:after="0" w:line="12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275"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11.13</w:t>
      </w:r>
      <w:r>
        <w:rPr>
          <w:sz w:val="20"/>
          <w:szCs w:val="20"/>
          <w:color w:val="auto"/>
        </w:rPr>
        <w:tab/>
      </w:r>
      <w:r>
        <w:rPr>
          <w:rFonts w:ascii="Arial" w:cs="Arial" w:eastAsia="Arial" w:hAnsi="Arial"/>
          <w:sz w:val="16"/>
          <w:szCs w:val="16"/>
          <w:b w:val="1"/>
          <w:bCs w:val="1"/>
          <w:i w:val="1"/>
          <w:iCs w:val="1"/>
          <w:color w:val="auto"/>
        </w:rPr>
        <w:t>Counterpart Originals.</w:t>
      </w:r>
    </w:p>
    <w:p>
      <w:pPr>
        <w:spacing w:after="0" w:line="121" w:lineRule="exact"/>
        <w:rPr>
          <w:sz w:val="20"/>
          <w:szCs w:val="20"/>
          <w:color w:val="auto"/>
        </w:rPr>
      </w:pPr>
    </w:p>
    <w:p>
      <w:pPr>
        <w:ind w:right="280" w:firstLine="441"/>
        <w:spacing w:after="0" w:line="279" w:lineRule="auto"/>
        <w:rPr>
          <w:sz w:val="20"/>
          <w:szCs w:val="20"/>
          <w:color w:val="auto"/>
        </w:rPr>
      </w:pPr>
      <w:r>
        <w:rPr>
          <w:rFonts w:ascii="Arial" w:cs="Arial" w:eastAsia="Arial" w:hAnsi="Arial"/>
          <w:sz w:val="17"/>
          <w:szCs w:val="17"/>
          <w:color w:val="auto"/>
        </w:rPr>
        <w:t>The parties may sign any number of copies of this Indenture. Each signed copy will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0" w:right="439" w:bottom="1440" w:gutter="0" w:footer="0" w:header="0"/>
        </w:sectPr>
      </w:pPr>
    </w:p>
    <w:bookmarkStart w:id="80" w:name="page81"/>
    <w:bookmarkEnd w:id="80"/>
    <w:p>
      <w:pPr>
        <w:ind w:left="440"/>
        <w:spacing w:after="0"/>
        <w:tabs>
          <w:tab w:leader="none" w:pos="1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11.14</w:t>
      </w:r>
      <w:r>
        <w:rPr>
          <w:sz w:val="20"/>
          <w:szCs w:val="20"/>
          <w:color w:val="auto"/>
        </w:rPr>
        <w:tab/>
      </w:r>
      <w:r>
        <w:rPr>
          <w:rFonts w:ascii="Arial" w:cs="Arial" w:eastAsia="Arial" w:hAnsi="Arial"/>
          <w:sz w:val="15"/>
          <w:szCs w:val="15"/>
          <w:b w:val="1"/>
          <w:bCs w:val="1"/>
          <w:i w:val="1"/>
          <w:iCs w:val="1"/>
          <w:color w:val="auto"/>
        </w:rPr>
        <w:t>Table of Contents, Headings, etc.</w:t>
      </w:r>
    </w:p>
    <w:p>
      <w:pPr>
        <w:spacing w:after="0" w:line="121"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228"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11.15</w:t>
      </w:r>
      <w:r>
        <w:rPr>
          <w:sz w:val="20"/>
          <w:szCs w:val="20"/>
          <w:color w:val="auto"/>
        </w:rPr>
        <w:tab/>
      </w:r>
      <w:r>
        <w:rPr>
          <w:rFonts w:ascii="Arial" w:cs="Arial" w:eastAsia="Arial" w:hAnsi="Arial"/>
          <w:sz w:val="16"/>
          <w:szCs w:val="16"/>
          <w:b w:val="1"/>
          <w:bCs w:val="1"/>
          <w:i w:val="1"/>
          <w:iCs w:val="1"/>
          <w:color w:val="auto"/>
        </w:rPr>
        <w:t>Waiver of Jury Trial</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EACH OF THE COMPANY, GUARANTOR, IF ANY, THE TRUSTEE, AND EACH HOLDER OF A NOTE BY ITS ACCEPTANCE THEREOF, HEREBY IRREVOCABLY WAIVES, TO THE FULLEST EXTENT PERMITTED BY APPLICABLE LAW, ANY AND ALL RIGHT TO TRIAL BY JURY IN ANY LEGAL PROCEEDING ARISING OUT OF OR RELATING TO THIS INDENTURE, THE NOTES OR THE TRANSACTIONS CONTEMPLATED HEREBY.</w:t>
      </w:r>
    </w:p>
    <w:p>
      <w:pPr>
        <w:spacing w:after="0" w:line="291"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11.16</w:t>
      </w:r>
      <w:r>
        <w:rPr>
          <w:sz w:val="20"/>
          <w:szCs w:val="20"/>
          <w:color w:val="auto"/>
        </w:rPr>
        <w:tab/>
      </w:r>
      <w:r>
        <w:rPr>
          <w:rFonts w:ascii="Arial" w:cs="Arial" w:eastAsia="Arial" w:hAnsi="Arial"/>
          <w:sz w:val="15"/>
          <w:szCs w:val="15"/>
          <w:b w:val="1"/>
          <w:bCs w:val="1"/>
          <w:i w:val="1"/>
          <w:iCs w:val="1"/>
          <w:color w:val="auto"/>
        </w:rPr>
        <w:t>Patriot Act Compliance</w:t>
      </w:r>
    </w:p>
    <w:p>
      <w:pPr>
        <w:spacing w:after="0" w:line="121"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which information includes the name, address, tax identification number and formation documents and other information that will allow Trustee to identify the person or legal entity in accordance with the USA Patriot Act. The parties to this Agreement agree that they will provide the Trustee with such information in order for the Trustee to satisfy the requirements of the USA Patriot 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0" w:right="439" w:bottom="1440" w:gutter="0" w:footer="0" w:header="0"/>
        </w:sectPr>
      </w:pPr>
    </w:p>
    <w:bookmarkStart w:id="81" w:name="page82"/>
    <w:bookmarkEnd w:id="8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CECO ENVIRONMENTAL CORP.</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-1905</wp:posOffset>
            </wp:positionV>
            <wp:extent cx="25641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WILMINGTON TRUST, NATIONAL ASSOCIATION,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 Trustee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-1905</wp:posOffset>
            </wp:positionV>
            <wp:extent cx="25641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440" w:top="270" w:right="55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172085</wp:posOffset>
            </wp:positionV>
            <wp:extent cx="1792605" cy="3003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179260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NORTH POINT • 901 LAKESIDE AVENUE • CLEVELAND, OHIO 44114.1190</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TELEPHONE: +1.216.586.3939 • FACSIMILE: +1.216.579.0212</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14651 North Dallas Parkway,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75254</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S-3 Filed by CECO Environmental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40" w:firstLine="441"/>
        <w:spacing w:after="0" w:line="286" w:lineRule="auto"/>
        <w:rPr>
          <w:sz w:val="20"/>
          <w:szCs w:val="20"/>
          <w:color w:val="auto"/>
        </w:rPr>
      </w:pPr>
      <w:r>
        <w:rPr>
          <w:rFonts w:ascii="Arial" w:cs="Arial" w:eastAsia="Arial" w:hAnsi="Arial"/>
          <w:sz w:val="16"/>
          <w:szCs w:val="16"/>
          <w:color w:val="auto"/>
        </w:rPr>
        <w:t>We have acted as counsel for CECO Environmental Corp.,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authorization of the possible issuance and sale from time to time, on a delayed basis, by the Company of up to $150,000,000 in initial aggregate offering price of: (i) shares of common stock, par value $0.01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(ii) shares of preferred stock, par value $0.01 per share, of the Company (the “</w:t>
      </w:r>
      <w:r>
        <w:rPr>
          <w:rFonts w:ascii="Arial" w:cs="Arial" w:eastAsia="Arial" w:hAnsi="Arial"/>
          <w:sz w:val="16"/>
          <w:szCs w:val="16"/>
          <w:b w:val="1"/>
          <w:bCs w:val="1"/>
          <w:color w:val="auto"/>
        </w:rPr>
        <w:t>Preferred Stock</w:t>
      </w:r>
      <w:r>
        <w:rPr>
          <w:rFonts w:ascii="Arial" w:cs="Arial" w:eastAsia="Arial" w:hAnsi="Arial"/>
          <w:sz w:val="16"/>
          <w:szCs w:val="16"/>
          <w:color w:val="auto"/>
        </w:rPr>
        <w:t>”), in one or more series, certain of which may be convertible into or exchangeable for shares of Common Stock;</w:t>
      </w:r>
    </w:p>
    <w:p>
      <w:pPr>
        <w:spacing w:after="0" w:line="2" w:lineRule="exact"/>
        <w:rPr>
          <w:sz w:val="20"/>
          <w:szCs w:val="20"/>
          <w:color w:val="auto"/>
        </w:rPr>
      </w:pPr>
    </w:p>
    <w:p>
      <w:pPr>
        <w:ind w:right="60" w:firstLine="4"/>
        <w:spacing w:after="0" w:line="268" w:lineRule="auto"/>
        <w:tabs>
          <w:tab w:leader="none" w:pos="315" w:val="left"/>
        </w:tabs>
        <w:numPr>
          <w:ilvl w:val="0"/>
          <w:numId w:val="82"/>
        </w:numPr>
        <w:rPr>
          <w:rFonts w:ascii="Arial" w:cs="Arial" w:eastAsia="Arial" w:hAnsi="Arial"/>
          <w:sz w:val="17"/>
          <w:szCs w:val="17"/>
          <w:color w:val="auto"/>
        </w:rPr>
      </w:pPr>
      <w:r>
        <w:rPr>
          <w:rFonts w:ascii="Arial" w:cs="Arial" w:eastAsia="Arial" w:hAnsi="Arial"/>
          <w:sz w:val="17"/>
          <w:szCs w:val="17"/>
          <w:color w:val="auto"/>
        </w:rPr>
        <w:t>debt securities of the Company (the “</w:t>
      </w:r>
      <w:r>
        <w:rPr>
          <w:rFonts w:ascii="Arial" w:cs="Arial" w:eastAsia="Arial" w:hAnsi="Arial"/>
          <w:sz w:val="17"/>
          <w:szCs w:val="17"/>
          <w:b w:val="1"/>
          <w:bCs w:val="1"/>
          <w:i w:val="1"/>
          <w:iCs w:val="1"/>
          <w:color w:val="auto"/>
        </w:rPr>
        <w:t>Debt Securities</w:t>
      </w:r>
      <w:r>
        <w:rPr>
          <w:rFonts w:ascii="Arial" w:cs="Arial" w:eastAsia="Arial" w:hAnsi="Arial"/>
          <w:sz w:val="17"/>
          <w:szCs w:val="17"/>
          <w:color w:val="auto"/>
        </w:rPr>
        <w:t>”), in one or more series, certain of which may be convertible into or exchangeable for shares of Common Stock; (iv) depositary shares representing fractional interests in shares of Preferred Stock (the “</w:t>
      </w:r>
      <w:r>
        <w:rPr>
          <w:rFonts w:ascii="Arial" w:cs="Arial" w:eastAsia="Arial" w:hAnsi="Arial"/>
          <w:sz w:val="17"/>
          <w:szCs w:val="17"/>
          <w:b w:val="1"/>
          <w:bCs w:val="1"/>
          <w:i w:val="1"/>
          <w:iCs w:val="1"/>
          <w:color w:val="auto"/>
        </w:rPr>
        <w:t>Depositary Shares</w:t>
      </w:r>
      <w:r>
        <w:rPr>
          <w:rFonts w:ascii="Arial" w:cs="Arial" w:eastAsia="Arial" w:hAnsi="Arial"/>
          <w:sz w:val="17"/>
          <w:szCs w:val="17"/>
          <w:color w:val="auto"/>
        </w:rPr>
        <w:t>”); (v) warrants to purchase shares of Common Stock, shares of Preferred Stock, Depositary Shares or Debt Securities or any combination thereof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(vi) subscription rights to purchase shares of Common Stock, shares of Preferred Stock, Depositary Shares or Debt Securities or any combination thereof (the “</w:t>
      </w:r>
      <w:r>
        <w:rPr>
          <w:rFonts w:ascii="Arial" w:cs="Arial" w:eastAsia="Arial" w:hAnsi="Arial"/>
          <w:sz w:val="17"/>
          <w:szCs w:val="17"/>
          <w:b w:val="1"/>
          <w:bCs w:val="1"/>
          <w:i w:val="1"/>
          <w:iCs w:val="1"/>
          <w:color w:val="auto"/>
        </w:rPr>
        <w:t>Subscription Rights</w:t>
      </w:r>
      <w:r>
        <w:rPr>
          <w:rFonts w:ascii="Arial" w:cs="Arial" w:eastAsia="Arial" w:hAnsi="Arial"/>
          <w:sz w:val="17"/>
          <w:szCs w:val="17"/>
          <w:color w:val="auto"/>
        </w:rPr>
        <w:t>”); (vii) purchase contracts (the “</w:t>
      </w:r>
      <w:r>
        <w:rPr>
          <w:rFonts w:ascii="Arial" w:cs="Arial" w:eastAsia="Arial" w:hAnsi="Arial"/>
          <w:sz w:val="17"/>
          <w:szCs w:val="17"/>
          <w:b w:val="1"/>
          <w:bCs w:val="1"/>
          <w:i w:val="1"/>
          <w:iCs w:val="1"/>
          <w:color w:val="auto"/>
        </w:rPr>
        <w:t>Purchase Contracts</w:t>
      </w:r>
      <w:r>
        <w:rPr>
          <w:rFonts w:ascii="Arial" w:cs="Arial" w:eastAsia="Arial" w:hAnsi="Arial"/>
          <w:sz w:val="17"/>
          <w:szCs w:val="17"/>
          <w:color w:val="auto"/>
        </w:rPr>
        <w:t>”) to purchase securities at a future date or dates; and (viii) units consisting of one or more of the securities described in clauses (i) through (vii) above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in each case as contemplated by the Company’s Registration Statement on Form S-3 to which this opinion is filed as an exhibit (as the same may be amended from time to time, the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The Common Stock, the Preferred Stock, the Debt Securities, the Depositary Shares, the Warrants, the Subscription Rights, the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Contracts and the Units are collectively referred to herein as the “Securities.” The Securities may be offered and sold from time to time pursuant to Rule 415 under the Securities Act of 1933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w:t>
      </w:r>
    </w:p>
    <w:p>
      <w:pPr>
        <w:spacing w:after="0" w:line="180"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In connection with the opinions expressed herein, we have examined such documents, records and matters of law as we have deemed relevant or necessary for purposes of such opinions. Based on the foregoing, and subject to the further limitations, qualifications and assumptions set forth herein, we are of the opinion that:</w:t>
      </w:r>
    </w:p>
    <w:p>
      <w:pPr>
        <w:spacing w:after="0" w:line="87" w:lineRule="exact"/>
        <w:rPr>
          <w:sz w:val="20"/>
          <w:szCs w:val="20"/>
          <w:color w:val="auto"/>
        </w:rPr>
      </w:pPr>
    </w:p>
    <w:p>
      <w:pPr>
        <w:ind w:left="860" w:right="80" w:hanging="424"/>
        <w:spacing w:after="0" w:line="264" w:lineRule="auto"/>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shares of Common Stock, upon receipt by the Company of such lawful consideration therefor having a value not less than the par value thereof as the Company’s Board of Directors (or an authorized committee thereof) may determine, will be validly issued, fully paid and nonassessable.</w:t>
      </w:r>
    </w:p>
    <w:p>
      <w:pPr>
        <w:spacing w:after="0" w:line="86" w:lineRule="exact"/>
        <w:rPr>
          <w:rFonts w:ascii="Arial" w:cs="Arial" w:eastAsia="Arial" w:hAnsi="Arial"/>
          <w:sz w:val="18"/>
          <w:szCs w:val="18"/>
          <w:color w:val="auto"/>
        </w:rPr>
      </w:pPr>
    </w:p>
    <w:p>
      <w:pPr>
        <w:ind w:left="860" w:right="80" w:hanging="424"/>
        <w:spacing w:after="0" w:line="264" w:lineRule="auto"/>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shares of Preferred Stock, upon receipt by the Company of such lawful consideration therefor having a value not less than the par value thereof as the Company’s Board of Directors (or an authorized committee thereof) may determine, will be validly issued, fully paid and nonassessable.</w:t>
      </w:r>
    </w:p>
    <w:p>
      <w:pPr>
        <w:spacing w:after="0" w:line="86" w:lineRule="exact"/>
        <w:rPr>
          <w:rFonts w:ascii="Arial" w:cs="Arial" w:eastAsia="Arial" w:hAnsi="Arial"/>
          <w:sz w:val="18"/>
          <w:szCs w:val="18"/>
          <w:color w:val="auto"/>
        </w:rPr>
      </w:pPr>
    </w:p>
    <w:p>
      <w:pPr>
        <w:ind w:left="860" w:right="600" w:hanging="424"/>
        <w:spacing w:after="0" w:line="308" w:lineRule="auto"/>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Debt Securities, upon receipt by the Company of such lawful consideration therefor as the Company’s Board of Directors (or an authorized committee thereof) may determine, will constitute valid and binding obligations of the Company.</w:t>
      </w:r>
    </w:p>
    <w:p>
      <w:pPr>
        <w:spacing w:after="0" w:line="51" w:lineRule="exact"/>
        <w:rPr>
          <w:rFonts w:ascii="Arial" w:cs="Arial" w:eastAsia="Arial" w:hAnsi="Arial"/>
          <w:sz w:val="17"/>
          <w:szCs w:val="17"/>
          <w:color w:val="auto"/>
        </w:rPr>
      </w:pPr>
    </w:p>
    <w:p>
      <w:pPr>
        <w:ind w:left="860" w:right="400" w:hanging="424"/>
        <w:spacing w:after="0" w:line="277" w:lineRule="auto"/>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Depositary Shares, upon receipt by the Company of such lawful consideration therefor as the Company’s Board of Directors (or an authorized committee thereof) may determine, will be</w:t>
      </w:r>
    </w:p>
    <w:p>
      <w:pPr>
        <w:spacing w:after="0" w:line="99" w:lineRule="exact"/>
        <w:rPr>
          <w:sz w:val="20"/>
          <w:szCs w:val="20"/>
          <w:color w:val="auto"/>
        </w:rPr>
      </w:pPr>
    </w:p>
    <w:p>
      <w:pPr>
        <w:ind w:right="180"/>
        <w:spacing w:after="0" w:line="234" w:lineRule="auto"/>
        <w:rPr>
          <w:sz w:val="20"/>
          <w:szCs w:val="20"/>
          <w:color w:val="auto"/>
        </w:rPr>
      </w:pPr>
      <w:r>
        <w:rPr>
          <w:rFonts w:ascii="Arial" w:cs="Arial" w:eastAsia="Arial" w:hAnsi="Arial"/>
          <w:sz w:val="14"/>
          <w:szCs w:val="14"/>
          <w:color w:val="auto"/>
        </w:rPr>
        <w:t>ALKHOBAR • AMSTERDAM • ATLANTA • BEIJING • BOSTON • BRISBANE • BRUSSELS • CHICAGO • CLEVELAND • COLUMBUS • DALLAS DETROIT • DUBAI • DÜSSELDORF • FRANKFURT • HONG KONG • HOUSTON • IRVINE • JEDDAH • LONDON • LOS ANGELES • MADRID MEXICO CITY • MIAMI • MILAN • MINNEAPOLIS • MOSCOW • MUNICH • NEW YORK • PARIS • PERTH • PITTSBURGH • RIYADH SAN DIEGO • SAN FRANCISCO • SÃO PAULO • SHANGHAI • SILICON VALLEY • SINGAPORE • SYDNEY • TAIPEI • TOKYO • WASHINGTON</w:t>
      </w:r>
    </w:p>
    <w:p>
      <w:pPr>
        <w:sectPr>
          <w:pgSz w:w="11900" w:h="16838" w:orient="portrait"/>
          <w:cols w:equalWidth="0" w:num="1">
            <w:col w:w="11020"/>
          </w:cols>
          <w:pgMar w:left="440" w:top="121" w:right="4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6409055</wp:posOffset>
            </wp:positionH>
            <wp:positionV relativeFrom="page">
              <wp:posOffset>182880</wp:posOffset>
            </wp:positionV>
            <wp:extent cx="875030"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875030" cy="120015"/>
                    </a:xfrm>
                    <a:prstGeom prst="rect">
                      <a:avLst/>
                    </a:prstGeom>
                    <a:noFill/>
                  </pic:spPr>
                </pic:pic>
              </a:graphicData>
            </a:graphic>
          </wp:anchor>
        </w:drawing>
        <w:t>CECO Environmental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880" w:right="220"/>
        <w:spacing w:after="0" w:line="277" w:lineRule="auto"/>
        <w:rPr>
          <w:sz w:val="20"/>
          <w:szCs w:val="20"/>
          <w:color w:val="auto"/>
        </w:rPr>
      </w:pPr>
      <w:r>
        <w:rPr>
          <w:rFonts w:ascii="Arial" w:cs="Arial" w:eastAsia="Arial" w:hAnsi="Arial"/>
          <w:sz w:val="18"/>
          <w:szCs w:val="18"/>
          <w:color w:val="auto"/>
        </w:rPr>
        <w:t>validly issued, and the depositary receipts representing the Depositary Shares will entitle the holders thereof to the rights specified therein and in the deposit agreement pursuant to which they are issued.</w:t>
      </w:r>
    </w:p>
    <w:p>
      <w:pPr>
        <w:spacing w:after="0" w:line="76" w:lineRule="exact"/>
        <w:rPr>
          <w:sz w:val="20"/>
          <w:szCs w:val="20"/>
          <w:color w:val="auto"/>
        </w:rPr>
      </w:pPr>
    </w:p>
    <w:p>
      <w:pPr>
        <w:ind w:left="860" w:right="260" w:hanging="424"/>
        <w:spacing w:after="0" w:line="277" w:lineRule="auto"/>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Warrants, upon receipt by the Company of such lawful consideration therefor as the Company’s Board of Directors (or an authorized committee thereof) may determine, will constitute valid and binding obligations of the Company.</w:t>
      </w:r>
    </w:p>
    <w:p>
      <w:pPr>
        <w:spacing w:after="0" w:line="75" w:lineRule="exact"/>
        <w:rPr>
          <w:rFonts w:ascii="Arial" w:cs="Arial" w:eastAsia="Arial" w:hAnsi="Arial"/>
          <w:sz w:val="18"/>
          <w:szCs w:val="18"/>
          <w:color w:val="auto"/>
        </w:rPr>
      </w:pPr>
    </w:p>
    <w:p>
      <w:pPr>
        <w:ind w:left="860" w:right="280" w:hanging="424"/>
        <w:spacing w:after="0" w:line="277" w:lineRule="auto"/>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Subscription Rights, upon receipt by the Company of such lawful consideration therefor as the Company’s Board of Directors (or an authorized committee thereof) may determine, will constitute valid and binding obligations of the Company.</w:t>
      </w:r>
    </w:p>
    <w:p>
      <w:pPr>
        <w:spacing w:after="0" w:line="75" w:lineRule="exact"/>
        <w:rPr>
          <w:rFonts w:ascii="Arial" w:cs="Arial" w:eastAsia="Arial" w:hAnsi="Arial"/>
          <w:sz w:val="18"/>
          <w:szCs w:val="18"/>
          <w:color w:val="auto"/>
        </w:rPr>
      </w:pPr>
    </w:p>
    <w:p>
      <w:pPr>
        <w:ind w:left="860" w:right="320" w:hanging="424"/>
        <w:spacing w:after="0" w:line="277" w:lineRule="auto"/>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Purchase Contracts, upon receipt by the Company of such lawful consideration therefor as the Company’s Board of Directors (or an authorized committee thereof) may determine, will constitute valid and binding obligations of the Company.</w:t>
      </w:r>
    </w:p>
    <w:p>
      <w:pPr>
        <w:spacing w:after="0" w:line="75" w:lineRule="exact"/>
        <w:rPr>
          <w:rFonts w:ascii="Arial" w:cs="Arial" w:eastAsia="Arial" w:hAnsi="Arial"/>
          <w:sz w:val="18"/>
          <w:szCs w:val="18"/>
          <w:color w:val="auto"/>
        </w:rPr>
      </w:pPr>
    </w:p>
    <w:p>
      <w:pPr>
        <w:ind w:left="860" w:right="520" w:hanging="424"/>
        <w:spacing w:after="0" w:line="277" w:lineRule="auto"/>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Units, upon receipt by the Company of such lawful consideration therefor as the Company’s Board of Directors (or an authorized committee thereof) may determine, will constitute valid and binding obligations of the Company.</w:t>
      </w:r>
    </w:p>
    <w:p>
      <w:pPr>
        <w:spacing w:after="0" w:line="170"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In rendering the foregoing opinions, we have assumed that: (i) the Registration Statement, and any amendments thereto, will have become effective (and will remain effective at the time of issuance of any Securities thereunder); (ii) a prospectus supplement describing each class and/or series of Securities offered pursuant to the Registration Statement, to the extent required by applicable law and relevant rules and regulations of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will be timely filed with the Commission; (iii) the definitive terms of each class and/or series of Securities will have been established in accordance with the authorizing resolutions adopted by the Company’s Board of Directors (or an authorized committee thereof), the Company’s Certificate of Incorporation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and applicable law; (iv) the Company will issue and deliver the Securities in the manner contemplated by the Registration Statement and any Securities that consist of shares of capital stock will have been authorized and reserved for issuance, in each case within the limits of the then remaining authorized but unissued and unreserved amounts of such capital stock; (v) the resolutions authorizing the Company to issue, offer and sell the Securities will have been adopted by the Company’s Board of Directors (or an authorized committee thereof) and will be in full force and effect at all times at which the Securities are offered or sold by the Company; (vi) all Securities will be issued in compliance with applicable federal and state securities laws and (vii) the Indenture (as defined below) and any Deposit Agreement, Warrant Agreement, Subscription Rights Agreement, Purchase Contract Agreement (each as defined below) or unit agreement will be governed by and construed in accordance with the laws of the State of New York and will constitute a valid and binding obligation of each party thereto other than the Company.</w:t>
      </w:r>
    </w:p>
    <w:p>
      <w:pPr>
        <w:spacing w:after="0" w:line="185"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With respect to any Securities consisting of Preferred Stock, we have further assumed that the Company will issue and deliver the shares of the Preferred Stock being issued and delivered after the filing with the Secretary of State of the State of Delaware of a certificate of designation to the Certificate of Incorporation, in a form approved by us, establishing the designations, preferences and rights of the class or series of the Preferred Stock being issued and delivered.</w:t>
      </w:r>
    </w:p>
    <w:p>
      <w:pPr>
        <w:spacing w:after="0" w:line="187"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With respect to any Securities consisting of any series of Debt Securities, we have further assumed that: (i) an indenture with respect to such Debt Securities will have been authorized, executed and delivered by the Company and the applicable trustee in a form approved by us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and the Indenture will have been qualified</w:t>
      </w:r>
    </w:p>
    <w:p>
      <w:pPr>
        <w:sectPr>
          <w:pgSz w:w="11900" w:h="16838" w:orient="portrait"/>
          <w:cols w:equalWidth="0" w:num="1">
            <w:col w:w="11020"/>
          </w:cols>
          <w:pgMar w:left="440" w:top="611"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6409055</wp:posOffset>
            </wp:positionH>
            <wp:positionV relativeFrom="page">
              <wp:posOffset>183515</wp:posOffset>
            </wp:positionV>
            <wp:extent cx="87503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875030" cy="120015"/>
                    </a:xfrm>
                    <a:prstGeom prst="rect">
                      <a:avLst/>
                    </a:prstGeom>
                    <a:noFill/>
                  </pic:spPr>
                </pic:pic>
              </a:graphicData>
            </a:graphic>
          </wp:anchor>
        </w:drawing>
        <w:t>CECO Environmental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under the Trust Indenture Act of 1939; (ii) such Debt Securities will have been issued pursuant to the Indenture; (iii) all terms of such Debt Securities not provided for in the applicable Indenture will have been established in accordance with the provisions of the Indenture and reflected in appropriate documentation approved by us and, if applicable, executed and delivered by the Company and the trustee; and (iv) such Debt Securities will be executed, authenticated, issued and delivered in accordance with the provisions of the Indenture.</w:t>
      </w:r>
    </w:p>
    <w:p>
      <w:pPr>
        <w:spacing w:after="0" w:line="171"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With respect to any Securities consisting of Depositary Shares, we have further assumed that the Depositary Shares will be: (i) issued and delivered after authorization, execution and delivery of the deposit agreement, approved by us, relating to the Depositary Shares to be entered into between the Company and an entity (the “</w:t>
      </w:r>
      <w:r>
        <w:rPr>
          <w:rFonts w:ascii="Arial" w:cs="Arial" w:eastAsia="Arial" w:hAnsi="Arial"/>
          <w:sz w:val="17"/>
          <w:szCs w:val="17"/>
          <w:b w:val="1"/>
          <w:bCs w:val="1"/>
          <w:i w:val="1"/>
          <w:iCs w:val="1"/>
          <w:color w:val="auto"/>
        </w:rPr>
        <w:t>Depositary</w:t>
      </w:r>
      <w:r>
        <w:rPr>
          <w:rFonts w:ascii="Arial" w:cs="Arial" w:eastAsia="Arial" w:hAnsi="Arial"/>
          <w:sz w:val="17"/>
          <w:szCs w:val="17"/>
          <w:color w:val="auto"/>
        </w:rPr>
        <w:t>”) selected by the Company to act as depositary (the “</w:t>
      </w:r>
      <w:r>
        <w:rPr>
          <w:rFonts w:ascii="Arial" w:cs="Arial" w:eastAsia="Arial" w:hAnsi="Arial"/>
          <w:sz w:val="17"/>
          <w:szCs w:val="17"/>
          <w:b w:val="1"/>
          <w:bCs w:val="1"/>
          <w:i w:val="1"/>
          <w:iCs w:val="1"/>
          <w:color w:val="auto"/>
        </w:rPr>
        <w:t>Deposit Agreement</w:t>
      </w:r>
      <w:r>
        <w:rPr>
          <w:rFonts w:ascii="Arial" w:cs="Arial" w:eastAsia="Arial" w:hAnsi="Arial"/>
          <w:sz w:val="17"/>
          <w:szCs w:val="17"/>
          <w:color w:val="auto"/>
        </w:rPr>
        <w:t>”); and (ii) issued after the Company deposits with the Depositary shares of the Preferred Stock to be represented by such Depositary Shares that are authorized, validly issued, fully paid and nonassessable as contemplated by the Registration Statement and the Deposit Agreement.</w:t>
      </w:r>
    </w:p>
    <w:p>
      <w:pPr>
        <w:spacing w:after="0" w:line="173" w:lineRule="exact"/>
        <w:rPr>
          <w:sz w:val="20"/>
          <w:szCs w:val="20"/>
          <w:color w:val="auto"/>
        </w:rPr>
      </w:pPr>
    </w:p>
    <w:p>
      <w:pPr>
        <w:jc w:val="both"/>
        <w:ind w:right="160" w:firstLine="441"/>
        <w:spacing w:after="0" w:line="302" w:lineRule="auto"/>
        <w:rPr>
          <w:sz w:val="20"/>
          <w:szCs w:val="20"/>
          <w:color w:val="auto"/>
        </w:rPr>
      </w:pPr>
      <w:r>
        <w:rPr>
          <w:rFonts w:ascii="Arial" w:cs="Arial" w:eastAsia="Arial" w:hAnsi="Arial"/>
          <w:sz w:val="16"/>
          <w:szCs w:val="16"/>
          <w:color w:val="auto"/>
        </w:rPr>
        <w:t>With respect to any Securities consisting of Warrants, we have further assumed that: (i) the warrant agreement, approved by us, relating to the Warrants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to be entered into between the Company and an entity selected by the Company to act as the warrant agent (the “</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 will have been authorized, executed and delivered by the Company and the Warrant Agent; and (ii) the Warrants will be authorized, executed and delivered by the Company and the Warrant Agent in accordance with the provisions of the Warrant Agreement.</w:t>
      </w:r>
    </w:p>
    <w:p>
      <w:pPr>
        <w:spacing w:after="0" w:line="154"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With respect to any Securities consisting of Subscription Rights, we have further assumed that: (i) the subscription rights agreement, approved by us, relating to the Subscription Rights (the “</w:t>
      </w:r>
      <w:r>
        <w:rPr>
          <w:rFonts w:ascii="Arial" w:cs="Arial" w:eastAsia="Arial" w:hAnsi="Arial"/>
          <w:sz w:val="17"/>
          <w:szCs w:val="17"/>
          <w:b w:val="1"/>
          <w:bCs w:val="1"/>
          <w:i w:val="1"/>
          <w:iCs w:val="1"/>
          <w:color w:val="auto"/>
        </w:rPr>
        <w:t>Subscription Rights Agreement</w:t>
      </w:r>
      <w:r>
        <w:rPr>
          <w:rFonts w:ascii="Arial" w:cs="Arial" w:eastAsia="Arial" w:hAnsi="Arial"/>
          <w:sz w:val="17"/>
          <w:szCs w:val="17"/>
          <w:color w:val="auto"/>
        </w:rPr>
        <w:t>”) to be entered into between the Company and an entity selected by the Company to act as the subscription rights agent (the “</w:t>
      </w:r>
      <w:r>
        <w:rPr>
          <w:rFonts w:ascii="Arial" w:cs="Arial" w:eastAsia="Arial" w:hAnsi="Arial"/>
          <w:sz w:val="17"/>
          <w:szCs w:val="17"/>
          <w:b w:val="1"/>
          <w:bCs w:val="1"/>
          <w:i w:val="1"/>
          <w:iCs w:val="1"/>
          <w:color w:val="auto"/>
        </w:rPr>
        <w:t>Subscription Rights Agent</w:t>
      </w:r>
      <w:r>
        <w:rPr>
          <w:rFonts w:ascii="Arial" w:cs="Arial" w:eastAsia="Arial" w:hAnsi="Arial"/>
          <w:sz w:val="17"/>
          <w:szCs w:val="17"/>
          <w:color w:val="auto"/>
        </w:rPr>
        <w:t>”) will have been authorized, executed and delivered by the Company and the Subscription Rights Agent; and (ii) the Subscription Rights will be authorized, executed and delivered by the Company and the Subscription Rights Agent in accordance with the provisions of the Subscription Rights Agreement.</w:t>
      </w:r>
    </w:p>
    <w:p>
      <w:pPr>
        <w:spacing w:after="0" w:line="17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With respect to any Securities consisting of Purchase Contracts, we have further assumed that: (i) the purchase contract agreement, approved by us, relating to the Purchase Contracts (the “</w:t>
      </w:r>
      <w:r>
        <w:rPr>
          <w:rFonts w:ascii="Arial" w:cs="Arial" w:eastAsia="Arial" w:hAnsi="Arial"/>
          <w:sz w:val="18"/>
          <w:szCs w:val="18"/>
          <w:b w:val="1"/>
          <w:bCs w:val="1"/>
          <w:i w:val="1"/>
          <w:iCs w:val="1"/>
          <w:color w:val="auto"/>
        </w:rPr>
        <w:t>Purchase Contract Agreement</w:t>
      </w:r>
      <w:r>
        <w:rPr>
          <w:rFonts w:ascii="Arial" w:cs="Arial" w:eastAsia="Arial" w:hAnsi="Arial"/>
          <w:sz w:val="18"/>
          <w:szCs w:val="18"/>
          <w:color w:val="auto"/>
        </w:rPr>
        <w:t>”) to be entered into between the Company and an entity selected by the Company to act as the purchase contract agent (the “</w:t>
      </w:r>
      <w:r>
        <w:rPr>
          <w:rFonts w:ascii="Arial" w:cs="Arial" w:eastAsia="Arial" w:hAnsi="Arial"/>
          <w:sz w:val="18"/>
          <w:szCs w:val="18"/>
          <w:b w:val="1"/>
          <w:bCs w:val="1"/>
          <w:i w:val="1"/>
          <w:iCs w:val="1"/>
          <w:color w:val="auto"/>
        </w:rPr>
        <w:t>Purchase Contract Agent</w:t>
      </w:r>
      <w:r>
        <w:rPr>
          <w:rFonts w:ascii="Arial" w:cs="Arial" w:eastAsia="Arial" w:hAnsi="Arial"/>
          <w:sz w:val="18"/>
          <w:szCs w:val="18"/>
          <w:color w:val="auto"/>
        </w:rPr>
        <w:t>”) will have been authorized, executed and delivered by the Company and the Purchase Contract Agent; and (ii) the Purchase Contracts will be authorized, executed and delivered by the Company and the Purchase Contract Agent in accordance with the provisions of the Purchase Contract Agreement.</w:t>
      </w:r>
    </w:p>
    <w:p>
      <w:pPr>
        <w:spacing w:after="0" w:line="188"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With respect to any Securities consisting of Units, we have further assumed that each component of such Unit will be authorized, validly issued, fully paid and nonassessable (to the extent applicable) and will constitute a valid and binding obligation of the Company or any third party (to the extent applicable) as contemplated by the Registration Statement and the applicable unit agreement, if any.</w:t>
      </w:r>
    </w:p>
    <w:p>
      <w:pPr>
        <w:spacing w:after="0" w:line="181"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The opinions expressed herein are limited by bankruptcy, insolvency, reorganization, fraudulent transfer and fraudulent conveyance, voidable preference, moratorium or other similar laws and related regulations and judicial doctrines from time to time in effect relating to or affecting creditors’ rights generally, and by general equitable principles and public policy considerations, whether such principles and considerations are considered in a proceeding at law or at equity.</w:t>
      </w:r>
    </w:p>
    <w:p>
      <w:pPr>
        <w:sectPr>
          <w:pgSz w:w="11900" w:h="16838" w:orient="portrait"/>
          <w:cols w:equalWidth="0" w:num="1">
            <w:col w:w="11000"/>
          </w:cols>
          <w:pgMar w:left="440" w:top="611" w:right="45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6409055</wp:posOffset>
            </wp:positionH>
            <wp:positionV relativeFrom="page">
              <wp:posOffset>183515</wp:posOffset>
            </wp:positionV>
            <wp:extent cx="87503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875030" cy="120015"/>
                    </a:xfrm>
                    <a:prstGeom prst="rect">
                      <a:avLst/>
                    </a:prstGeom>
                    <a:noFill/>
                  </pic:spPr>
                </pic:pic>
              </a:graphicData>
            </a:graphic>
          </wp:anchor>
        </w:drawing>
        <w:t>CECO Environmental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As to facts material to the opinions and assumptions expressed herein, we have relied upon oral or written statements and representations of officers and other representatives of the Company and others. The opinions expressed herein are limited to the General Corporation Law of the State of Delaware and the laws of the State of New York, in each case as currently in effect, and we express no opinion as to the effect of the laws of any other jurisdiction.</w:t>
      </w:r>
    </w:p>
    <w:p>
      <w:pPr>
        <w:spacing w:after="0" w:line="18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hereby consent to the filing of this opinion as Exhibit 5.1 to the Registration Statement and to the reference to Jones Day under the caption “Legal Matters” in the prospectus constituting a part of the Registration Statement. In giving such consent, we do not thereby admit that we are included in the category of persons whose consent is required under Section 7 of the Securities Act or the rules and regulations of the Commission promulgated thereunder.</w:t>
      </w:r>
    </w:p>
    <w:p>
      <w:pPr>
        <w:spacing w:after="0" w:line="29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Jones Day</w:t>
      </w:r>
    </w:p>
    <w:p>
      <w:pPr>
        <w:sectPr>
          <w:pgSz w:w="11900" w:h="16838" w:orient="portrait"/>
          <w:cols w:equalWidth="0" w:num="1">
            <w:col w:w="10980"/>
          </w:cols>
          <w:pgMar w:left="440" w:top="611" w:right="47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hereby consent to the incorporation by reference in the Prospectus constituting a part of this Registration Statement on Form S-3 of our reports dated March 7, 2019, relating to the consolidated financial statements and the effectiveness of CECO Environmental Corp. and Subsidiaries’ internal control over financial reporting appearing in the Company’s Annual Report on Form 10-K for the year ended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24, 2019</w:t>
      </w:r>
    </w:p>
    <w:p>
      <w:pPr>
        <w:sectPr>
          <w:pgSz w:w="11900" w:h="16838" w:orient="portrait"/>
          <w:cols w:equalWidth="0" w:num="1">
            <w:col w:w="11020"/>
          </w:cols>
          <w:pgMar w:left="440" w:top="121" w:right="439" w:bottom="1440" w:gutter="0" w:footer="0" w:header="0"/>
        </w:sectPr>
      </w:pPr>
    </w:p>
    <w:bookmarkStart w:id="87" w:name="page88"/>
    <w:bookmarkEnd w:id="87"/>
    <w:p>
      <w:pPr>
        <w:ind w:left="10100"/>
        <w:spacing w:after="0"/>
        <w:rPr>
          <w:sz w:val="20"/>
          <w:szCs w:val="20"/>
          <w:color w:val="auto"/>
        </w:rPr>
      </w:pPr>
      <w:r>
        <w:rPr>
          <w:rFonts w:ascii="Arial" w:cs="Arial" w:eastAsia="Arial" w:hAnsi="Arial"/>
          <w:sz w:val="16"/>
          <w:szCs w:val="16"/>
          <w:b w:val="1"/>
          <w:bCs w:val="1"/>
          <w:color w:val="auto"/>
        </w:rPr>
        <w:t>Exhibit 24.1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CECO ENVIRONMENTAL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KNOW ALL BY THESE PRESENTS, that each of the undersigned directors and officers of CECO Environmental Corp., a Delaware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does hereby constitute and appoint Dennis Sadlowski, Matthew Eckl, Paul Gohr and Jay Nield, or any of them, each acting alone,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true and lawful attorney-in-fact or attorneys-in-fact for each of the undersigned, with full power of substitution and resubstitution, and in the name,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place and stead of each of the undersigned, to execute and file with the Securities and Exchange Commission under the Securities Act of 1933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one or more registration statements on Form S-3 relating to the registration of the Registrant’s equity and debt securities, with any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amendments, supplements and exhibits thereto, including pre-effective and post-effective amendments or supplements or any additional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filed pursuant to Rule 462 promulgated under the Securities Act, with full power and authority to do and perform any and all acts and things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whatsoever required, necessary, appropriate or desirable to be done in the premises, hereby ratifying and approving the acts of said attorneys and any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them and any such substitute.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Power of Attorney may be executed in multiple counterparts, each of which shall be deemed an original with respect to the person executing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700" w:type="dxa"/>
            <w:vAlign w:val="bottom"/>
            <w:gridSpan w:val="3"/>
          </w:tcPr>
          <w:p>
            <w:pPr>
              <w:ind w:left="600"/>
              <w:spacing w:after="0"/>
              <w:rPr>
                <w:sz w:val="20"/>
                <w:szCs w:val="20"/>
                <w:color w:val="auto"/>
              </w:rPr>
            </w:pPr>
            <w:r>
              <w:rPr>
                <w:rFonts w:ascii="Arial" w:cs="Arial" w:eastAsia="Arial" w:hAnsi="Arial"/>
                <w:sz w:val="18"/>
                <w:szCs w:val="18"/>
                <w:color w:val="auto"/>
              </w:rPr>
              <w:t>Executed as of this 12th day of April, 2019.</w:t>
            </w:r>
          </w:p>
        </w:tc>
      </w:tr>
      <w:tr>
        <w:trPr>
          <w:trHeight w:val="675"/>
        </w:trPr>
        <w:tc>
          <w:tcPr>
            <w:tcW w:w="3340" w:type="dxa"/>
            <w:vAlign w:val="bottom"/>
          </w:tcPr>
          <w:p>
            <w:pPr>
              <w:spacing w:after="0"/>
              <w:rPr>
                <w:sz w:val="20"/>
                <w:szCs w:val="20"/>
                <w:color w:val="auto"/>
              </w:rPr>
            </w:pPr>
            <w:r>
              <w:rPr>
                <w:rFonts w:ascii="Arial" w:cs="Arial" w:eastAsia="Arial" w:hAnsi="Arial"/>
                <w:sz w:val="18"/>
                <w:szCs w:val="18"/>
                <w:color w:val="auto"/>
              </w:rPr>
              <w:t>/s/ Dennis Sadlowski</w:t>
            </w:r>
          </w:p>
        </w:tc>
        <w:tc>
          <w:tcPr>
            <w:tcW w:w="2280" w:type="dxa"/>
            <w:vAlign w:val="bottom"/>
          </w:tcPr>
          <w:p>
            <w:pPr>
              <w:spacing w:after="0"/>
              <w:rPr>
                <w:sz w:val="24"/>
                <w:szCs w:val="24"/>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/s/ Jason DeZwirek</w:t>
            </w:r>
          </w:p>
        </w:tc>
      </w:tr>
      <w:tr>
        <w:trPr>
          <w:trHeight w:val="195"/>
        </w:trPr>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Dennis Sadlowski</w:t>
            </w:r>
          </w:p>
        </w:tc>
        <w:tc>
          <w:tcPr>
            <w:tcW w:w="2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Jason DeZwirek</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c>
          <w:tcPr>
            <w:tcW w:w="2280" w:type="dxa"/>
            <w:vAlign w:val="bottom"/>
          </w:tcPr>
          <w:p>
            <w:pPr>
              <w:spacing w:after="0"/>
              <w:rPr>
                <w:sz w:val="20"/>
                <w:szCs w:val="20"/>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Chairman of the Board</w:t>
            </w:r>
          </w:p>
        </w:tc>
      </w:tr>
      <w:tr>
        <w:trPr>
          <w:trHeight w:val="662"/>
        </w:trPr>
        <w:tc>
          <w:tcPr>
            <w:tcW w:w="3340" w:type="dxa"/>
            <w:vAlign w:val="bottom"/>
          </w:tcPr>
          <w:p>
            <w:pPr>
              <w:spacing w:after="0"/>
              <w:rPr>
                <w:sz w:val="20"/>
                <w:szCs w:val="20"/>
                <w:color w:val="auto"/>
              </w:rPr>
            </w:pPr>
            <w:r>
              <w:rPr>
                <w:rFonts w:ascii="Arial" w:cs="Arial" w:eastAsia="Arial" w:hAnsi="Arial"/>
                <w:sz w:val="18"/>
                <w:szCs w:val="18"/>
                <w:color w:val="auto"/>
              </w:rPr>
              <w:t>/s/ Matthew Eckl</w:t>
            </w:r>
          </w:p>
        </w:tc>
        <w:tc>
          <w:tcPr>
            <w:tcW w:w="2280" w:type="dxa"/>
            <w:vAlign w:val="bottom"/>
          </w:tcPr>
          <w:p>
            <w:pPr>
              <w:spacing w:after="0"/>
              <w:rPr>
                <w:sz w:val="24"/>
                <w:szCs w:val="24"/>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/s/ Paul Gohr</w:t>
            </w:r>
          </w:p>
        </w:tc>
      </w:tr>
      <w:tr>
        <w:trPr>
          <w:trHeight w:val="195"/>
        </w:trPr>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Eckl</w:t>
            </w:r>
          </w:p>
        </w:tc>
        <w:tc>
          <w:tcPr>
            <w:tcW w:w="2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Paul Gohr</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spacing w:after="0"/>
              <w:rPr>
                <w:sz w:val="20"/>
                <w:szCs w:val="20"/>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Chief Accounting Officer</w:t>
            </w:r>
          </w:p>
        </w:tc>
      </w:tr>
      <w:tr>
        <w:trPr>
          <w:trHeight w:val="662"/>
        </w:trPr>
        <w:tc>
          <w:tcPr>
            <w:tcW w:w="3340" w:type="dxa"/>
            <w:vAlign w:val="bottom"/>
          </w:tcPr>
          <w:p>
            <w:pPr>
              <w:spacing w:after="0"/>
              <w:rPr>
                <w:sz w:val="20"/>
                <w:szCs w:val="20"/>
                <w:color w:val="auto"/>
              </w:rPr>
            </w:pPr>
            <w:r>
              <w:rPr>
                <w:rFonts w:ascii="Arial" w:cs="Arial" w:eastAsia="Arial" w:hAnsi="Arial"/>
                <w:sz w:val="18"/>
                <w:szCs w:val="18"/>
                <w:color w:val="auto"/>
              </w:rPr>
              <w:t>/s/ David Liner</w:t>
            </w:r>
          </w:p>
        </w:tc>
        <w:tc>
          <w:tcPr>
            <w:tcW w:w="2280" w:type="dxa"/>
            <w:vAlign w:val="bottom"/>
          </w:tcPr>
          <w:p>
            <w:pPr>
              <w:spacing w:after="0"/>
              <w:rPr>
                <w:sz w:val="24"/>
                <w:szCs w:val="24"/>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/s/ Claudio A. Mannarino</w:t>
            </w:r>
          </w:p>
        </w:tc>
      </w:tr>
      <w:tr>
        <w:trPr>
          <w:trHeight w:val="195"/>
        </w:trPr>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Liner</w:t>
            </w:r>
          </w:p>
        </w:tc>
        <w:tc>
          <w:tcPr>
            <w:tcW w:w="2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Claudio A. Mannarino</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662"/>
        </w:trPr>
        <w:tc>
          <w:tcPr>
            <w:tcW w:w="3340" w:type="dxa"/>
            <w:vAlign w:val="bottom"/>
          </w:tcPr>
          <w:p>
            <w:pPr>
              <w:spacing w:after="0"/>
              <w:rPr>
                <w:sz w:val="20"/>
                <w:szCs w:val="20"/>
                <w:color w:val="auto"/>
              </w:rPr>
            </w:pPr>
            <w:r>
              <w:rPr>
                <w:rFonts w:ascii="Arial" w:cs="Arial" w:eastAsia="Arial" w:hAnsi="Arial"/>
                <w:sz w:val="18"/>
                <w:szCs w:val="18"/>
                <w:color w:val="auto"/>
              </w:rPr>
              <w:t>/s/ Jonathan Pollack</w:t>
            </w:r>
          </w:p>
        </w:tc>
        <w:tc>
          <w:tcPr>
            <w:tcW w:w="2280" w:type="dxa"/>
            <w:vAlign w:val="bottom"/>
          </w:tcPr>
          <w:p>
            <w:pPr>
              <w:spacing w:after="0"/>
              <w:rPr>
                <w:sz w:val="24"/>
                <w:szCs w:val="24"/>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/s/ Valerie Gentile Sachs</w:t>
            </w:r>
          </w:p>
        </w:tc>
      </w:tr>
      <w:tr>
        <w:trPr>
          <w:trHeight w:val="195"/>
        </w:trPr>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Jonathan Pollack</w:t>
            </w:r>
          </w:p>
        </w:tc>
        <w:tc>
          <w:tcPr>
            <w:tcW w:w="2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Valerie Gentile Sachs</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662"/>
        </w:trPr>
        <w:tc>
          <w:tcPr>
            <w:tcW w:w="3340" w:type="dxa"/>
            <w:vAlign w:val="bottom"/>
          </w:tcPr>
          <w:p>
            <w:pPr>
              <w:spacing w:after="0"/>
              <w:rPr>
                <w:sz w:val="20"/>
                <w:szCs w:val="20"/>
                <w:color w:val="auto"/>
              </w:rPr>
            </w:pPr>
            <w:r>
              <w:rPr>
                <w:rFonts w:ascii="Arial" w:cs="Arial" w:eastAsia="Arial" w:hAnsi="Arial"/>
                <w:sz w:val="18"/>
                <w:szCs w:val="18"/>
                <w:color w:val="auto"/>
              </w:rPr>
              <w:t>/s/ Munish Nanda</w:t>
            </w:r>
          </w:p>
        </w:tc>
        <w:tc>
          <w:tcPr>
            <w:tcW w:w="2280" w:type="dxa"/>
            <w:vAlign w:val="bottom"/>
          </w:tcPr>
          <w:p>
            <w:pPr>
              <w:spacing w:after="0"/>
              <w:rPr>
                <w:sz w:val="24"/>
                <w:szCs w:val="24"/>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/s/ Eric Goldberg</w:t>
            </w:r>
          </w:p>
        </w:tc>
      </w:tr>
      <w:tr>
        <w:trPr>
          <w:trHeight w:val="195"/>
        </w:trPr>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Munish Nanda</w:t>
            </w:r>
          </w:p>
        </w:tc>
        <w:tc>
          <w:tcPr>
            <w:tcW w:w="2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Eric Goldberg</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1040"/>
          </w:cols>
          <w:pgMar w:left="440" w:top="121" w:right="419" w:bottom="1440" w:gutter="0" w:footer="0" w:header="0"/>
        </w:sectPr>
      </w:pPr>
    </w:p>
    <w:bookmarkStart w:id="88" w:name="page89"/>
    <w:bookmarkEnd w:id="88"/>
    <w:p>
      <w:pPr>
        <w:jc w:val="right"/>
        <w:ind w:right="20"/>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97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146050</wp:posOffset>
            </wp:positionV>
            <wp:extent cx="6997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 w:hanging="436"/>
        <w:spacing w:after="0"/>
        <w:tabs>
          <w:tab w:leader="none" w:pos="440" w:val="left"/>
        </w:tabs>
        <w:numPr>
          <w:ilvl w:val="0"/>
          <w:numId w:val="85"/>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242570</wp:posOffset>
            </wp:positionV>
            <wp:extent cx="14662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WILMINGTON TRUST, NATIONAL ASSOCIATION</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16-1486454</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(I.R.S. employer identification no.)</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1100 North Market Street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Wilmington, DE 19890-0001</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Janet V Banks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Assistant Vice President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1100 North Market Street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Wilmington, Delaware 19890-0001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(302) 636-4261</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CECO Environmental Corp.</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obligor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700" w:type="dxa"/>
            <w:vAlign w:val="bottom"/>
          </w:tcPr>
          <w:p>
            <w:pPr>
              <w:jc w:val="center"/>
              <w:ind w:left="1742"/>
              <w:spacing w:after="0"/>
              <w:rPr>
                <w:sz w:val="20"/>
                <w:szCs w:val="20"/>
                <w:color w:val="auto"/>
              </w:rPr>
            </w:pPr>
            <w:r>
              <w:rPr>
                <w:rFonts w:ascii="Arial" w:cs="Arial" w:eastAsia="Arial" w:hAnsi="Arial"/>
                <w:sz w:val="18"/>
                <w:szCs w:val="18"/>
                <w:b w:val="1"/>
                <w:bCs w:val="1"/>
                <w:color w:val="auto"/>
                <w:w w:val="91"/>
              </w:rPr>
              <w:t>Delaware</w:t>
            </w:r>
          </w:p>
        </w:tc>
        <w:tc>
          <w:tcPr>
            <w:tcW w:w="7320" w:type="dxa"/>
            <w:vAlign w:val="bottom"/>
            <w:gridSpan w:val="3"/>
          </w:tcPr>
          <w:p>
            <w:pPr>
              <w:jc w:val="center"/>
              <w:ind w:left="1856"/>
              <w:spacing w:after="0"/>
              <w:rPr>
                <w:sz w:val="20"/>
                <w:szCs w:val="20"/>
                <w:color w:val="auto"/>
              </w:rPr>
            </w:pPr>
            <w:r>
              <w:rPr>
                <w:rFonts w:ascii="Arial" w:cs="Arial" w:eastAsia="Arial" w:hAnsi="Arial"/>
                <w:sz w:val="18"/>
                <w:szCs w:val="18"/>
                <w:b w:val="1"/>
                <w:bCs w:val="1"/>
                <w:color w:val="auto"/>
                <w:w w:val="89"/>
              </w:rPr>
              <w:t>13-2566064</w:t>
            </w:r>
          </w:p>
        </w:tc>
      </w:tr>
      <w:tr>
        <w:trPr>
          <w:trHeight w:val="149"/>
        </w:trPr>
        <w:tc>
          <w:tcPr>
            <w:tcW w:w="3700" w:type="dxa"/>
            <w:vAlign w:val="bottom"/>
          </w:tcPr>
          <w:p>
            <w:pPr>
              <w:jc w:val="center"/>
              <w:ind w:left="17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38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700" w:type="dxa"/>
            <w:vAlign w:val="bottom"/>
          </w:tcPr>
          <w:p>
            <w:pPr>
              <w:jc w:val="center"/>
              <w:ind w:left="1742"/>
              <w:spacing w:after="0"/>
              <w:rPr>
                <w:sz w:val="20"/>
                <w:szCs w:val="20"/>
                <w:color w:val="auto"/>
              </w:rPr>
            </w:pPr>
            <w:r>
              <w:rPr>
                <w:rFonts w:ascii="Arial" w:cs="Arial" w:eastAsia="Arial" w:hAnsi="Arial"/>
                <w:sz w:val="14"/>
                <w:szCs w:val="14"/>
                <w:b w:val="1"/>
                <w:bCs w:val="1"/>
                <w:color w:val="auto"/>
                <w:w w:val="94"/>
              </w:rPr>
              <w:t>incorporation or organization)</w:t>
            </w:r>
          </w:p>
        </w:tc>
        <w:tc>
          <w:tcPr>
            <w:tcW w:w="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380" w:type="dxa"/>
            <w:vAlign w:val="bottom"/>
          </w:tcPr>
          <w:p>
            <w:pPr>
              <w:jc w:val="center"/>
              <w:ind w:right="928"/>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700" w:type="dxa"/>
            <w:vAlign w:val="bottom"/>
          </w:tcPr>
          <w:p>
            <w:pPr>
              <w:spacing w:after="0"/>
              <w:rPr>
                <w:sz w:val="24"/>
                <w:szCs w:val="24"/>
                <w:color w:val="auto"/>
              </w:rPr>
            </w:pPr>
          </w:p>
        </w:tc>
        <w:tc>
          <w:tcPr>
            <w:tcW w:w="7320" w:type="dxa"/>
            <w:vAlign w:val="bottom"/>
            <w:gridSpan w:val="3"/>
          </w:tcPr>
          <w:p>
            <w:pPr>
              <w:jc w:val="center"/>
              <w:ind w:right="3648"/>
              <w:spacing w:after="0"/>
              <w:rPr>
                <w:sz w:val="20"/>
                <w:szCs w:val="20"/>
                <w:color w:val="auto"/>
              </w:rPr>
            </w:pPr>
            <w:r>
              <w:rPr>
                <w:rFonts w:ascii="Arial" w:cs="Arial" w:eastAsia="Arial" w:hAnsi="Arial"/>
                <w:sz w:val="18"/>
                <w:szCs w:val="18"/>
                <w:b w:val="1"/>
                <w:bCs w:val="1"/>
                <w:color w:val="auto"/>
                <w:w w:val="91"/>
              </w:rPr>
              <w:t>14651 North Dallas Parkway, Suite 500</w:t>
            </w:r>
          </w:p>
        </w:tc>
      </w:tr>
      <w:tr>
        <w:trPr>
          <w:trHeight w:val="212"/>
        </w:trPr>
        <w:tc>
          <w:tcPr>
            <w:tcW w:w="3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80" w:type="dxa"/>
            <w:vAlign w:val="bottom"/>
            <w:gridSpan w:val="2"/>
          </w:tcPr>
          <w:p>
            <w:pPr>
              <w:jc w:val="center"/>
              <w:ind w:right="4308"/>
              <w:spacing w:after="0"/>
              <w:rPr>
                <w:sz w:val="20"/>
                <w:szCs w:val="20"/>
                <w:color w:val="auto"/>
              </w:rPr>
            </w:pPr>
            <w:r>
              <w:rPr>
                <w:rFonts w:ascii="Arial" w:cs="Arial" w:eastAsia="Arial" w:hAnsi="Arial"/>
                <w:sz w:val="18"/>
                <w:szCs w:val="18"/>
                <w:b w:val="1"/>
                <w:bCs w:val="1"/>
                <w:color w:val="auto"/>
                <w:w w:val="88"/>
              </w:rPr>
              <w:t>Dallas, Texas 75254</w:t>
            </w:r>
          </w:p>
        </w:tc>
      </w:tr>
      <w:tr>
        <w:trPr>
          <w:trHeight w:val="186"/>
        </w:trPr>
        <w:tc>
          <w:tcPr>
            <w:tcW w:w="3700" w:type="dxa"/>
            <w:vAlign w:val="bottom"/>
          </w:tcPr>
          <w:p>
            <w:pPr>
              <w:spacing w:after="0"/>
              <w:rPr>
                <w:sz w:val="16"/>
                <w:szCs w:val="16"/>
                <w:color w:val="auto"/>
              </w:rPr>
            </w:pPr>
          </w:p>
        </w:tc>
        <w:tc>
          <w:tcPr>
            <w:tcW w:w="7320" w:type="dxa"/>
            <w:vAlign w:val="bottom"/>
            <w:gridSpan w:val="3"/>
          </w:tcPr>
          <w:p>
            <w:pPr>
              <w:jc w:val="center"/>
              <w:ind w:right="364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36"/>
        </w:trPr>
        <w:tc>
          <w:tcPr>
            <w:tcW w:w="3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380" w:type="dxa"/>
            <w:vAlign w:val="bottom"/>
          </w:tcPr>
          <w:p>
            <w:pPr>
              <w:spacing w:after="0"/>
              <w:rPr>
                <w:sz w:val="24"/>
                <w:szCs w:val="24"/>
                <w:color w:val="auto"/>
              </w:rPr>
            </w:pPr>
          </w:p>
        </w:tc>
      </w:tr>
      <w:tr>
        <w:trPr>
          <w:trHeight w:val="403"/>
        </w:trPr>
        <w:tc>
          <w:tcPr>
            <w:tcW w:w="3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80" w:type="dxa"/>
            <w:vAlign w:val="bottom"/>
            <w:gridSpan w:val="2"/>
          </w:tcPr>
          <w:p>
            <w:pPr>
              <w:jc w:val="center"/>
              <w:ind w:right="4288"/>
              <w:spacing w:after="0"/>
              <w:rPr>
                <w:sz w:val="20"/>
                <w:szCs w:val="20"/>
                <w:color w:val="auto"/>
              </w:rPr>
            </w:pPr>
            <w:r>
              <w:rPr>
                <w:rFonts w:ascii="Arial" w:cs="Arial" w:eastAsia="Arial" w:hAnsi="Arial"/>
                <w:sz w:val="18"/>
                <w:szCs w:val="18"/>
                <w:b w:val="1"/>
                <w:bCs w:val="1"/>
                <w:color w:val="auto"/>
                <w:w w:val="88"/>
              </w:rPr>
              <w:t>Debt Securities</w:t>
            </w:r>
          </w:p>
        </w:tc>
      </w:tr>
      <w:tr>
        <w:trPr>
          <w:trHeight w:val="186"/>
        </w:trPr>
        <w:tc>
          <w:tcPr>
            <w:tcW w:w="3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80" w:type="dxa"/>
            <w:vAlign w:val="bottom"/>
            <w:gridSpan w:val="2"/>
          </w:tcPr>
          <w:p>
            <w:pPr>
              <w:jc w:val="center"/>
              <w:ind w:right="4308"/>
              <w:spacing w:after="0"/>
              <w:rPr>
                <w:sz w:val="20"/>
                <w:szCs w:val="20"/>
                <w:color w:val="auto"/>
              </w:rPr>
            </w:pPr>
            <w:r>
              <w:rPr>
                <w:rFonts w:ascii="Arial" w:cs="Arial" w:eastAsia="Arial" w:hAnsi="Arial"/>
                <w:sz w:val="14"/>
                <w:szCs w:val="14"/>
                <w:b w:val="1"/>
                <w:bCs w:val="1"/>
                <w:color w:val="auto"/>
                <w:w w:val="93"/>
              </w:rPr>
              <w:t>(Title of the indenture securities)</w:t>
            </w:r>
          </w:p>
        </w:tc>
      </w:tr>
      <w:tr>
        <w:trPr>
          <w:trHeight w:val="215"/>
        </w:trPr>
        <w:tc>
          <w:tcPr>
            <w:tcW w:w="3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r>
        <w:trPr>
          <w:trHeight w:val="48"/>
        </w:trPr>
        <w:tc>
          <w:tcPr>
            <w:tcW w:w="3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r>
    </w:tbl>
    <w:p>
      <w:pPr>
        <w:sectPr>
          <w:pgSz w:w="11900" w:h="16838" w:orient="portrait"/>
          <w:cols w:equalWidth="0" w:num="1">
            <w:col w:w="11040"/>
          </w:cols>
          <w:pgMar w:left="440" w:top="121" w:right="419" w:bottom="1440" w:gutter="0" w:footer="0" w:header="0"/>
        </w:sectPr>
      </w:pPr>
    </w:p>
    <w:bookmarkStart w:id="89" w:name="page90"/>
    <w:bookmarkEnd w:id="89"/>
    <w:p>
      <w:pPr>
        <w:spacing w:after="0"/>
        <w:tabs>
          <w:tab w:leader="none" w:pos="8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1.</w:t>
        <w:tab/>
        <w:t>GENERAL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Furnish the following information as to the trustee:</w:t>
      </w:r>
    </w:p>
    <w:p>
      <w:pPr>
        <w:spacing w:after="0" w:line="131" w:lineRule="exact"/>
        <w:rPr>
          <w:sz w:val="20"/>
          <w:szCs w:val="20"/>
          <w:color w:val="auto"/>
        </w:rPr>
      </w:pPr>
    </w:p>
    <w:p>
      <w:pPr>
        <w:ind w:left="880" w:right="4120" w:hanging="444"/>
        <w:spacing w:after="0" w:line="375" w:lineRule="auto"/>
        <w:tabs>
          <w:tab w:leader="none" w:pos="8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 Comptroller of Currency, Washington, D.C.</w:t>
      </w:r>
    </w:p>
    <w:p>
      <w:pPr>
        <w:spacing w:after="0" w:line="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Federal Deposit Insurance Corporation, Washington, D.C.</w:t>
      </w:r>
    </w:p>
    <w:p>
      <w:pPr>
        <w:spacing w:after="0" w:line="130" w:lineRule="exact"/>
        <w:rPr>
          <w:rFonts w:ascii="Arial" w:cs="Arial" w:eastAsia="Arial" w:hAnsi="Arial"/>
          <w:sz w:val="18"/>
          <w:szCs w:val="18"/>
          <w:color w:val="auto"/>
        </w:rPr>
      </w:pPr>
    </w:p>
    <w:p>
      <w:pPr>
        <w:jc w:val="both"/>
        <w:ind w:left="880" w:right="5840" w:hanging="444"/>
        <w:spacing w:after="0" w:line="483" w:lineRule="auto"/>
        <w:tabs>
          <w:tab w:leader="none" w:pos="863" w:val="left"/>
        </w:tabs>
        <w:numPr>
          <w:ilvl w:val="0"/>
          <w:numId w:val="86"/>
        </w:numPr>
        <w:rPr>
          <w:rFonts w:ascii="Arial" w:cs="Arial" w:eastAsia="Arial" w:hAnsi="Arial"/>
          <w:sz w:val="16"/>
          <w:szCs w:val="16"/>
          <w:color w:val="auto"/>
        </w:rPr>
      </w:pPr>
      <w:r>
        <w:rPr>
          <w:rFonts w:ascii="Arial" w:cs="Arial" w:eastAsia="Arial" w:hAnsi="Arial"/>
          <w:sz w:val="16"/>
          <w:szCs w:val="16"/>
          <w:color w:val="auto"/>
        </w:rPr>
        <w:t>Whether it is authorized to exercise corporate trust powers. The trustee is authorized to exercise corporate trust powers.</w:t>
      </w:r>
    </w:p>
    <w:p>
      <w:pPr>
        <w:spacing w:after="0" w:line="16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tab/>
        <w:t>AFFILIATIONS WITH THE OBLIGOR.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obligor is an affiliate of the trustee, describe each affiliation:</w:t>
      </w:r>
    </w:p>
    <w:p>
      <w:pPr>
        <w:spacing w:after="0" w:line="117"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Based upon an examination of the books and records of the trustee and information available to the trustee, the obligor is not an affiliate of the trustee.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 15. </w:t>
      </w: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tab/>
        <w:t>LIST OF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Listed below are all exhibits filed as part of this Statement of Eligibility and Qualification.</w:t>
      </w:r>
    </w:p>
    <w:p>
      <w:pPr>
        <w:spacing w:after="0" w:line="131" w:lineRule="exact"/>
        <w:rPr>
          <w:sz w:val="20"/>
          <w:szCs w:val="20"/>
          <w:color w:val="auto"/>
        </w:rPr>
      </w:pPr>
    </w:p>
    <w:p>
      <w:pPr>
        <w:ind w:left="860" w:hanging="424"/>
        <w:spacing w:after="0"/>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copy of the Charter for Wilmington Trust, National Association.</w:t>
      </w:r>
    </w:p>
    <w:p>
      <w:pPr>
        <w:spacing w:after="0" w:line="130" w:lineRule="exact"/>
        <w:rPr>
          <w:rFonts w:ascii="Arial" w:cs="Arial" w:eastAsia="Arial" w:hAnsi="Arial"/>
          <w:sz w:val="18"/>
          <w:szCs w:val="18"/>
          <w:color w:val="auto"/>
        </w:rPr>
      </w:pPr>
    </w:p>
    <w:p>
      <w:pPr>
        <w:ind w:left="860" w:right="540" w:hanging="424"/>
        <w:spacing w:after="0" w:line="277"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authority of Wilmington Trust, National Association to commence business was granted under the Charter for Wilmington Trust, National Association, incorporated herein by reference to Exhibit 1 above.</w:t>
      </w:r>
    </w:p>
    <w:p>
      <w:pPr>
        <w:spacing w:after="0" w:line="75"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authorization to exercise corporate trust powers was granted under the Charter for Wilmington Trust, National Association, incorporated herein by reference to Exhibit 1 above.</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copy of the existing By-Laws of Trustee, as now in effect, incorporated herein by reference to Exhibit 4 of this Form T-1.</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860" w:right="80" w:hanging="424"/>
        <w:spacing w:after="0" w:line="277"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consent of Wilmington Trust, National Association as required by Section 321(b) of the Trust Indenture Act of 1939, attached hereto as Exhibit 6 of this Form T-1.</w:t>
      </w:r>
    </w:p>
    <w:p>
      <w:pPr>
        <w:spacing w:after="0" w:line="75" w:lineRule="exact"/>
        <w:rPr>
          <w:rFonts w:ascii="Arial" w:cs="Arial" w:eastAsia="Arial" w:hAnsi="Arial"/>
          <w:sz w:val="18"/>
          <w:szCs w:val="18"/>
          <w:color w:val="auto"/>
        </w:rPr>
      </w:pPr>
    </w:p>
    <w:p>
      <w:pPr>
        <w:ind w:left="860" w:right="40" w:hanging="424"/>
        <w:spacing w:after="0" w:line="277"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Current Report of the Condition of Wilmington Trust, National Association, published pursuant to law or the requirements of its supervising or examining authority, attached hereto as Exhibit 7 of this Form T-1.</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 –</w:t>
      </w:r>
    </w:p>
    <w:p>
      <w:pPr>
        <w:sectPr>
          <w:pgSz w:w="11900" w:h="16838" w:orient="portrait"/>
          <w:cols w:equalWidth="0" w:num="1">
            <w:col w:w="11020"/>
          </w:cols>
          <w:pgMar w:left="440" w:top="270" w:right="4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Pursuant to the requirements of the Trust Indenture Act of 1939, as amended, the trustee, Wilmington Trust,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24th day of April, 2019.</w:t>
      </w:r>
    </w:p>
    <w:p>
      <w:pPr>
        <w:spacing w:after="0" w:line="29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WILMINGTON TRUST, NATIONAL ASSOCIATION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Sarah Vilhauer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Sarah Vilhauer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Banking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1</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 –</w:t>
      </w:r>
    </w:p>
    <w:p>
      <w:pPr>
        <w:sectPr>
          <w:pgSz w:w="11900" w:h="16838" w:orient="portrait"/>
          <w:cols w:equalWidth="0" w:num="1">
            <w:col w:w="11020"/>
          </w:cols>
          <w:pgMar w:left="440" w:top="270" w:right="4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CHARTER OF WILMINGTON TRUST, NATIONAL ASSOCIATION</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 –</w:t>
      </w:r>
    </w:p>
    <w:p>
      <w:pPr>
        <w:sectPr>
          <w:pgSz w:w="11900" w:h="16838" w:orient="portrait"/>
          <w:cols w:equalWidth="0" w:num="1">
            <w:col w:w="9019"/>
          </w:cols>
          <w:pgMar w:left="1440" w:top="270" w:right="1440" w:bottom="144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ARTICLES OF ASSOCIATION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WILMINGTON TRUST, NATIONAL ASSOCIATION</w:t>
      </w:r>
    </w:p>
    <w:p>
      <w:pPr>
        <w:spacing w:after="0" w:line="21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For the purpose of organizing an association to perform any lawful activities of national banks, the undersigned do enter into the following articles of association:</w:t>
      </w:r>
    </w:p>
    <w:p>
      <w:pPr>
        <w:spacing w:after="0" w:line="6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FIRST.</w:t>
        <w:tab/>
        <w:t>The title of this association shall be Wilmington Trust, National Association.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SECOND. The main office of the association shall be in the City of Wilmington, County of New Castle, State of Delaware. The general business of the association shall be conducted at its main office and its branches.</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THIRD. The board of directors of this association shall consist of not less than five nor more than twenty-five persons, unless the OCC has exempted the bank from the 25-member limit. The exact number is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$1,000. Determination of these values may be based as of either (i) the date of purchase or (ii) the date the person became a director, whichever value is greater. Any combination of common or preferred stock of the association or holding company may be used.</w:t>
      </w:r>
    </w:p>
    <w:p>
      <w:pPr>
        <w:spacing w:after="0" w:line="178"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Any vacancy in the board of directors may be filled by action of a majority of the remaining directors between meetings of shareholders. The board of directors may not increase the number of directors between meetings of shareholders to a number which:</w:t>
      </w:r>
    </w:p>
    <w:p>
      <w:pPr>
        <w:spacing w:after="0" w:line="76" w:lineRule="exact"/>
        <w:rPr>
          <w:sz w:val="20"/>
          <w:szCs w:val="20"/>
          <w:color w:val="auto"/>
        </w:rPr>
      </w:pPr>
    </w:p>
    <w:p>
      <w:pPr>
        <w:ind w:left="860" w:hanging="424"/>
        <w:spacing w:after="0"/>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exceeds by more than two the number of directors last elected by shareholders where the number was 15 or less; or</w:t>
      </w:r>
    </w:p>
    <w:p>
      <w:pPr>
        <w:spacing w:after="0" w:line="130" w:lineRule="exact"/>
        <w:rPr>
          <w:rFonts w:ascii="Arial" w:cs="Arial" w:eastAsia="Arial" w:hAnsi="Arial"/>
          <w:sz w:val="18"/>
          <w:szCs w:val="18"/>
          <w:color w:val="auto"/>
        </w:rPr>
      </w:pPr>
    </w:p>
    <w:p>
      <w:pPr>
        <w:ind w:left="860" w:right="160" w:hanging="424"/>
        <w:spacing w:after="0" w:line="277" w:lineRule="auto"/>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exceeds by more than four the number of directors last elected by shareholders where the number was 16 or more, but in no event shall the number of directors exceed 25, unless the OCC has exempted the bank from the 25-member limit.</w:t>
      </w:r>
    </w:p>
    <w:p>
      <w:pPr>
        <w:spacing w:after="0" w:line="17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Directors shall be elected for terms of one year and until their successors are elected and qualified.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qualifies or until there is a decrease in the number of directors and his or her position is eliminated.</w:t>
      </w:r>
    </w:p>
    <w:p>
      <w:pPr>
        <w:spacing w:after="0" w:line="18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 the number of directors of the association or the presence of a quorum in connection with any board action, and shall not be required to own qualifying shares.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FOURTH. There shall be an annual meeting of the shareholders to elect directors and transact whatever other business may be brought before the meeting. It shall be held at the main office or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 –</w:t>
      </w:r>
    </w:p>
    <w:p>
      <w:pPr>
        <w:sectPr>
          <w:pgSz w:w="11900" w:h="16838" w:orient="portrait"/>
          <w:cols w:equalWidth="0" w:num="1">
            <w:col w:w="11020"/>
          </w:cols>
          <w:pgMar w:left="440" w:top="270" w:right="439" w:bottom="1440" w:gutter="0" w:footer="0" w:header="0"/>
        </w:sectPr>
      </w:pPr>
    </w:p>
    <w:bookmarkStart w:id="93" w:name="page94"/>
    <w:bookmarkEnd w:id="93"/>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time, place and purpose of a shareholders’ meeting shall be given to the shareholders by first class mail, unless the OCC determines that an emergency circumstance exists. The sole shareholder of the bank is permitted to waive notice of the shareholders’ meeting.</w:t>
      </w:r>
    </w:p>
    <w:p>
      <w:pPr>
        <w:spacing w:after="0" w:line="165"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In all elections of directors, the number of votes each common shareholder may cast will be determined by multiplying the number of shares such shareholder owns by the number of directors to be elected. Those votes may be cumulated and cast for a single candidate or may be distributed among two or more candidates in the manner selected by the shareholder. If, after the first ballot, subsequent ballots are necessary to elect directors, a shareholder may not vote shares that he or she has already fully cumulated and voted in favor of a successful candidate. On all other questions, each common shareholder shall be entitled to one vote for each share of stock held by him or her.</w:t>
      </w:r>
    </w:p>
    <w:p>
      <w:pPr>
        <w:spacing w:after="0" w:line="173"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Nominations for election to the board of directors may be made by the board of directors or by any stockholder of any outstanding class of capital stock of the association entitled to vote for election of directors. Nominations other than those made by or on behalf of the existing management shall be made in writing and be delivered or mailed to the president of the association not less than 14 days nor more than 50 days prior to any meeting of shareholders called for the election of directors; provided, however, that if less than 21 days notice of the meeting is given to shareholders, such nominations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w:t>
      </w:r>
    </w:p>
    <w:p>
      <w:pPr>
        <w:spacing w:after="0" w:line="70" w:lineRule="exact"/>
        <w:rPr>
          <w:sz w:val="20"/>
          <w:szCs w:val="20"/>
          <w:color w:val="auto"/>
        </w:rPr>
      </w:pPr>
    </w:p>
    <w:p>
      <w:pPr>
        <w:ind w:left="860" w:hanging="424"/>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name and address of each proposed nominee.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principal occupation of each proposed nominee.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total number of shares of capital stock of the association that will be voted for each proposed nominee.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name and residence address of the notifying shareholder.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number of shares of capital stock of the association owned by the notifying shareholder.</w:t>
      </w:r>
    </w:p>
    <w:p>
      <w:pPr>
        <w:spacing w:after="0" w:line="117" w:lineRule="exact"/>
        <w:rPr>
          <w:sz w:val="20"/>
          <w:szCs w:val="20"/>
          <w:color w:val="auto"/>
        </w:rPr>
      </w:pPr>
    </w:p>
    <w:p>
      <w:pPr>
        <w:ind w:left="440" w:right="360" w:firstLine="423"/>
        <w:spacing w:after="0" w:line="342" w:lineRule="auto"/>
        <w:rPr>
          <w:sz w:val="20"/>
          <w:szCs w:val="20"/>
          <w:color w:val="auto"/>
        </w:rPr>
      </w:pPr>
      <w:r>
        <w:rPr>
          <w:rFonts w:ascii="Arial" w:cs="Arial" w:eastAsia="Arial" w:hAnsi="Arial"/>
          <w:sz w:val="16"/>
          <w:szCs w:val="16"/>
          <w:color w:val="auto"/>
        </w:rPr>
        <w:t>Nominations not made in accordance herewith may, in his/her discretion, be disregarded by the chairperson of the meeting, and the vote tellers may disregard all votes cast for each such nominee. No bylaw may unreasonably restrict the nomination of directors by shareholders.</w:t>
      </w:r>
    </w:p>
    <w:p>
      <w:pPr>
        <w:spacing w:after="0" w:line="16" w:lineRule="exact"/>
        <w:rPr>
          <w:sz w:val="20"/>
          <w:szCs w:val="20"/>
          <w:color w:val="auto"/>
        </w:rPr>
      </w:pPr>
    </w:p>
    <w:p>
      <w:pPr>
        <w:ind w:left="440" w:right="720" w:firstLine="423"/>
        <w:spacing w:after="0" w:line="308" w:lineRule="auto"/>
        <w:rPr>
          <w:sz w:val="20"/>
          <w:szCs w:val="20"/>
          <w:color w:val="auto"/>
        </w:rPr>
      </w:pPr>
      <w:r>
        <w:rPr>
          <w:rFonts w:ascii="Arial" w:cs="Arial" w:eastAsia="Arial" w:hAnsi="Arial"/>
          <w:sz w:val="17"/>
          <w:szCs w:val="17"/>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38" w:lineRule="exact"/>
        <w:rPr>
          <w:sz w:val="20"/>
          <w:szCs w:val="20"/>
          <w:color w:val="auto"/>
        </w:rPr>
      </w:pPr>
    </w:p>
    <w:p>
      <w:pPr>
        <w:ind w:left="440" w:firstLine="423"/>
        <w:spacing w:after="0" w:line="259" w:lineRule="auto"/>
        <w:rPr>
          <w:sz w:val="20"/>
          <w:szCs w:val="20"/>
          <w:color w:val="auto"/>
        </w:rPr>
      </w:pPr>
      <w:r>
        <w:rPr>
          <w:rFonts w:ascii="Arial" w:cs="Arial" w:eastAsia="Arial" w:hAnsi="Arial"/>
          <w:sz w:val="18"/>
          <w:szCs w:val="18"/>
          <w:color w:val="auto"/>
        </w:rPr>
        <w:t>A director may be removed by shareholders at a meeting called to remove the director, when notice of the meeting stating that the purpose or one of the purposes is to remove the director is provided, if there is a failure to fulfill one of the affirmative requirements for qualification, or for cause; provided, however, that a director may not be removed if the number of votes sufficient to elect the director under cumulative voting is voted against the director’s removal.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w:t>
      </w:r>
    </w:p>
    <w:p>
      <w:pPr>
        <w:sectPr>
          <w:pgSz w:w="11900" w:h="16838" w:orient="portrait"/>
          <w:cols w:equalWidth="0" w:num="1">
            <w:col w:w="11020"/>
          </w:cols>
          <w:pgMar w:left="440" w:top="274" w:right="439" w:bottom="1440" w:gutter="0" w:footer="0" w:header="0"/>
        </w:sectPr>
      </w:pPr>
    </w:p>
    <w:bookmarkStart w:id="94" w:name="page95"/>
    <w:bookmarkEnd w:id="94"/>
    <w:p>
      <w:pPr>
        <w:ind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FIFTH. The authorized amount of capital stock of this association shall be ten thousand shares of common stock of the par value of one hundred dollars ($100) each; but said capital stock may be increased or decreased from time to time, according to the provisions of the laws of the United States.</w:t>
      </w:r>
    </w:p>
    <w:p>
      <w:pPr>
        <w:spacing w:after="0" w:line="124"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 Preemptive rights also must be approved by a vote of holders of two-thirds of the bank’s outstanding voting shares. Unless otherwise specified in these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178" w:lineRule="exact"/>
        <w:rPr>
          <w:sz w:val="20"/>
          <w:szCs w:val="20"/>
          <w:color w:val="auto"/>
        </w:rPr>
      </w:pPr>
    </w:p>
    <w:p>
      <w:pPr>
        <w:jc w:val="both"/>
        <w:ind w:right="140" w:firstLine="441"/>
        <w:spacing w:after="0" w:line="286" w:lineRule="auto"/>
        <w:rPr>
          <w:sz w:val="20"/>
          <w:szCs w:val="20"/>
          <w:color w:val="auto"/>
        </w:rPr>
      </w:pPr>
      <w:r>
        <w:rPr>
          <w:rFonts w:ascii="Arial" w:cs="Arial" w:eastAsia="Arial" w:hAnsi="Arial"/>
          <w:sz w:val="17"/>
          <w:szCs w:val="17"/>
          <w:color w:val="auto"/>
        </w:rPr>
        <w:t>Unless otherwise specified in these articles of association or required by law, all shares of voting stock shall be voted together as a class, on any matters requiring shareholder approval. If a proposed amendment would affect two or more classes or series in the same or a substantially similar way, all the classes or series so affected must vote together as a single voting group on the proposed amendment.</w:t>
      </w:r>
    </w:p>
    <w:p>
      <w:pPr>
        <w:spacing w:after="0" w:line="166"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Shares of one class or series may be issued as a dividend for shares of the same class or series on a pro rata basis and without consideration. Shares of one class or series may be issued as share dividends for a different class or series of stock if approved by a majority of the votes entitled to be cast by the class or series to be issued, unless there are no outstanding shares of the class or series to be issued. Unless otherwise provided by the board of directors, the record date for determining shareholders entitled to a share dividend shall be the date authorized by the board of directors for the share dividend.</w:t>
      </w:r>
    </w:p>
    <w:p>
      <w:pPr>
        <w:spacing w:after="0" w:line="18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81" w:lineRule="exact"/>
        <w:rPr>
          <w:sz w:val="20"/>
          <w:szCs w:val="20"/>
          <w:color w:val="auto"/>
        </w:rPr>
      </w:pPr>
    </w:p>
    <w:p>
      <w:pPr>
        <w:ind w:right="120" w:firstLine="441"/>
        <w:spacing w:after="0" w:line="269" w:lineRule="auto"/>
        <w:rPr>
          <w:sz w:val="20"/>
          <w:szCs w:val="20"/>
          <w:color w:val="auto"/>
        </w:rPr>
      </w:pPr>
      <w:r>
        <w:rPr>
          <w:rFonts w:ascii="Arial" w:cs="Arial" w:eastAsia="Arial" w:hAnsi="Arial"/>
          <w:sz w:val="17"/>
          <w:szCs w:val="17"/>
          <w:color w:val="auto"/>
        </w:rPr>
        <w:t>If a shareholder is entitled to fractional shares pursuant to a stock dividend, consolidation or merger, reverse stock split or otherwise, the association may: (a) issue fractional shares; (b) in lieu of the issuance of fractional shares, issue script or warrants entitling the holder to receive a full share upon surrendering enough script or warrants to equal a full share; (c) if there is an established and active market in the association’s stock, make reasonable arrangements to provide the shareholder with an opportunity to realize a fair price through sale of the fraction, or purchase of the additional fraction required for a full share; (d) remit the cash equivalent of the fraction to the shareholder; or (e) sell full shares representing all the fractions at public auction or to the highest bidder after having solicited and received sealed bids from at least three licensed stock brokers; and distribute the proceeds pro rata to shareholders who otherwise would be entitled to the fractional shares. The holder of a fractional share is entitled to exercise the rights for shareholder, including the right to vote, to receive dividends, and to participate in the assets of the association upon liquidation, in proportion to the fractional interest. The holder of script or warrants is not entitled to any of these rights unless the script or warrants explicitly provide for such rights. The script or warrants may be subject to such additional conditions as: (1) that the script or warrants will become void if not exchanged for full shares before a specified date; and (2) that the shares for which the script or warrants are exchangeable may be sold at the option of the association and the proceeds paid to scriptholders.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w:t>
      </w:r>
    </w:p>
    <w:p>
      <w:pPr>
        <w:sectPr>
          <w:pgSz w:w="11900" w:h="16838" w:orient="portrait"/>
          <w:cols w:equalWidth="0" w:num="1">
            <w:col w:w="11000"/>
          </w:cols>
          <w:pgMar w:left="440" w:top="274" w:right="459" w:bottom="1440" w:gutter="0" w:footer="0" w:header="0"/>
        </w:sectPr>
      </w:pPr>
    </w:p>
    <w:bookmarkStart w:id="95" w:name="page96"/>
    <w:bookmarkEnd w:id="95"/>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association, at any time and from time to time, may authorize and issue debt obligations, whether or not subordinated, without the approval of the shareholders. Obligations classified as debt, whether or not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SIXTH. 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w:t>
      </w:r>
    </w:p>
    <w:p>
      <w:pPr>
        <w:spacing w:after="0" w:line="187"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A duly appointed officer may appoint one or more officers or assistant officers if authorized by the board of directors in accordance with the bylaws.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shall have the power to:</w:t>
      </w:r>
    </w:p>
    <w:p>
      <w:pPr>
        <w:spacing w:after="0" w:line="131" w:lineRule="exact"/>
        <w:rPr>
          <w:sz w:val="20"/>
          <w:szCs w:val="20"/>
          <w:color w:val="auto"/>
        </w:rPr>
      </w:pPr>
    </w:p>
    <w:p>
      <w:pPr>
        <w:ind w:left="860" w:hanging="424"/>
        <w:spacing w:after="0"/>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Define the duties of the officers, employees, and agents of the association.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Delegate the performance of its duties, but not the responsibility for its duties, to the officers, employees, and agents of the association.</w:t>
      </w:r>
    </w:p>
    <w:p>
      <w:pPr>
        <w:spacing w:after="0" w:line="153" w:lineRule="exact"/>
        <w:rPr>
          <w:rFonts w:ascii="Arial" w:cs="Arial" w:eastAsia="Arial" w:hAnsi="Arial"/>
          <w:sz w:val="16"/>
          <w:szCs w:val="16"/>
          <w:color w:val="auto"/>
        </w:rPr>
      </w:pPr>
    </w:p>
    <w:p>
      <w:pPr>
        <w:ind w:left="860" w:right="60" w:hanging="424"/>
        <w:spacing w:after="0" w:line="277" w:lineRule="auto"/>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Fix the compensation and enter into employment contracts with its officers and employees upon reasonable terms and conditions consistent with applicable law.</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Dismiss officers and employees.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Require bonds from officers and employees and to fix the penalty thereof.</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Ratify written policies authorized by the association’s management or committees of the board.</w:t>
      </w:r>
    </w:p>
    <w:p>
      <w:pPr>
        <w:spacing w:after="0" w:line="130" w:lineRule="exact"/>
        <w:rPr>
          <w:rFonts w:ascii="Arial" w:cs="Arial" w:eastAsia="Arial" w:hAnsi="Arial"/>
          <w:sz w:val="18"/>
          <w:szCs w:val="18"/>
          <w:color w:val="auto"/>
        </w:rPr>
      </w:pPr>
    </w:p>
    <w:p>
      <w:pPr>
        <w:jc w:val="both"/>
        <w:ind w:left="860" w:right="320" w:hanging="424"/>
        <w:spacing w:after="0" w:line="286" w:lineRule="auto"/>
        <w:tabs>
          <w:tab w:leader="none" w:pos="8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Regulate the manner in which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70" w:lineRule="exact"/>
        <w:rPr>
          <w:rFonts w:ascii="Arial" w:cs="Arial" w:eastAsia="Arial" w:hAnsi="Arial"/>
          <w:sz w:val="17"/>
          <w:szCs w:val="17"/>
          <w:color w:val="auto"/>
        </w:rPr>
      </w:pPr>
    </w:p>
    <w:p>
      <w:pPr>
        <w:ind w:left="860" w:hanging="424"/>
        <w:spacing w:after="0"/>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Manage and administer the business and affairs of the association.</w:t>
      </w:r>
    </w:p>
    <w:p>
      <w:pPr>
        <w:spacing w:after="0" w:line="130" w:lineRule="exact"/>
        <w:rPr>
          <w:rFonts w:ascii="Arial" w:cs="Arial" w:eastAsia="Arial" w:hAnsi="Arial"/>
          <w:sz w:val="18"/>
          <w:szCs w:val="18"/>
          <w:color w:val="auto"/>
        </w:rPr>
      </w:pPr>
    </w:p>
    <w:p>
      <w:pPr>
        <w:ind w:left="860" w:right="400" w:hanging="424"/>
        <w:spacing w:after="0" w:line="277" w:lineRule="auto"/>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Adopt initial bylaws, not inconsistent with law or the articles of association, for managing the business and regulating the affairs of the association.</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Amend or repeal bylaws, except to the extent that the articles of association reserve this power in whole or in part to shareholders.</w:t>
      </w:r>
    </w:p>
    <w:p>
      <w:pPr>
        <w:spacing w:after="0" w:line="142" w:lineRule="exact"/>
        <w:rPr>
          <w:rFonts w:ascii="Arial" w:cs="Arial" w:eastAsia="Arial" w:hAnsi="Arial"/>
          <w:sz w:val="17"/>
          <w:szCs w:val="17"/>
          <w:color w:val="auto"/>
        </w:rPr>
      </w:pPr>
    </w:p>
    <w:p>
      <w:pPr>
        <w:ind w:left="860" w:hanging="424"/>
        <w:spacing w:after="0"/>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Make contracts.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Generally perform all acts that are legal for a board of directors to perform.</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SEVENTH. The board of directors shall have the power to change the location of the main office to any other place within the limits of Wilmington, Delaware, without the approval of the shareholders, or with a vote of shareholders owning two-thirds of the stock of such association for a relocation outside such limits and upon receipt of a certificate of approval from the Comptroller of the Currency, to any other location within or outside the limits of Wilmington Delaware, but not more than 30 miles beyond such limits. The board of directors shall have the power to establish or change the location of any branch or branches of the association to any other location permitted under applicable law, without approval of shareholders, subject to approval by the Comptroller of the Currency.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 –</w:t>
      </w:r>
    </w:p>
    <w:p>
      <w:pPr>
        <w:sectPr>
          <w:pgSz w:w="11900" w:h="16838" w:orient="portrait"/>
          <w:cols w:equalWidth="0" w:num="1">
            <w:col w:w="10980"/>
          </w:cols>
          <w:pgMar w:left="440" w:top="274" w:right="479" w:bottom="1440" w:gutter="0" w:footer="0" w:header="0"/>
        </w:sectPr>
      </w:pPr>
    </w:p>
    <w:bookmarkStart w:id="96" w:name="page97"/>
    <w:bookmarkEnd w:id="96"/>
    <w:p>
      <w:pPr>
        <w:spacing w:after="0"/>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EIGHTH.</w:t>
      </w:r>
      <w:r>
        <w:rPr>
          <w:sz w:val="20"/>
          <w:szCs w:val="20"/>
          <w:color w:val="auto"/>
        </w:rPr>
        <w:tab/>
      </w:r>
      <w:r>
        <w:rPr>
          <w:rFonts w:ascii="Arial" w:cs="Arial" w:eastAsia="Arial" w:hAnsi="Arial"/>
          <w:sz w:val="16"/>
          <w:szCs w:val="16"/>
          <w:color w:val="auto"/>
        </w:rPr>
        <w:t>The corporate existence of this association shall continue until termination according to the laws of the United States.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NINTH. The board of directors of this association, or any one or more shareholders owning, in the aggregate, not less than 50 percent of the stock of this association, may call a special meeting of shareholders at any time. Unless otherwise provided by the bylaws or the laws of the United States, a notice of the time, place, and purpose of every annual and special meeting of the shareholders shall be given at least 10 days prior to the meeting by first-class mail, unless the OCC determines that an emergency circumstance exists. If the association is a wholly-owned subsidiary, the sole shareholder may waive notice of the shareholders’ meeting. Unless otherwise provided by the bylaws or these articles, any action requiring approval of shareholders must be effected at a duly called annual or special meeting.</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TENTH. For purposes of this Article Tenth, the term “institution-affiliated party” shall mean any institution-affiliated party of the association as such term is defined in 12 U.S.C. 1813(u).</w:t>
      </w:r>
    </w:p>
    <w:p>
      <w:pPr>
        <w:spacing w:after="0" w:line="170"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w:t>
      </w:r>
    </w:p>
    <w:p>
      <w:pPr>
        <w:spacing w:after="0" w:line="183"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 reasonable basis for prevailing on the merits, (b) a determination that the indemnified individual (or his or her heirs, executors or administrators) will have the financial capacity to reimburse the bank in the event he or she does not prevail, (c) a determination that the payment of expenses and fees by the association will not adversely affect the safety and soundness of the association, and (d) receipt of an undertaking by 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these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 –</w:t>
      </w:r>
    </w:p>
    <w:p>
      <w:pPr>
        <w:sectPr>
          <w:pgSz w:w="11900" w:h="16838" w:orient="portrait"/>
          <w:cols w:equalWidth="0" w:num="1">
            <w:col w:w="11000"/>
          </w:cols>
          <w:pgMar w:left="440" w:top="274" w:right="459" w:bottom="1440" w:gutter="0" w:footer="0" w:header="0"/>
        </w:sectPr>
      </w:pPr>
    </w:p>
    <w:bookmarkStart w:id="97" w:name="page98"/>
    <w:bookmarkEnd w:id="97"/>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institution-affiliated party (or his or her heirs, executors or administrators) is ultimately found not to be entitled to indemnification as authorized by these articles of association and (b) approval by the board of directors acting by a quorum consisting of directors who are not parties to such action or proceeding or, if such a quorum is not obtainable, then approval by stockholders. To the extent permitted by law, the board of directors or, if applicable, the stockholders, shall not be required to find that the institution-affiliated party has met the applicable standard of conduct provided by law for indemnification in connection with such action or proceeding.</w:t>
      </w:r>
    </w:p>
    <w:p>
      <w:pPr>
        <w:spacing w:after="0" w:line="18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Article Tenth have been met. If independent legal counsel opines that said conditions have been met, the remaining members of the board of directors may rely on such opinion in authorizing the requested indemnification.</w:t>
      </w:r>
    </w:p>
    <w:p>
      <w:pPr>
        <w:spacing w:after="0" w:line="188"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Article Tenth have been met. If legal counsel opines that said conditions have been met, the board of directors may rely on such opinion in authorizing the requested indemnification.</w:t>
      </w:r>
    </w:p>
    <w:p>
      <w:pPr>
        <w:spacing w:after="0" w:line="17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To the extent permitted under applicable law, the rights of indemnification and to the advancement of expenses provided in these articles of association (a) shall be available with respect to events occurring prior to the adoption of these articles of association, (b) shall continue to exist after any restrictive amendment of these articles of association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w:t>
      </w:r>
    </w:p>
    <w:p>
      <w:pPr>
        <w:spacing w:after="0" w:line="18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The rights of indemnification and to the advancement of expenses provided in these articles of association shall not, to the extent permitted under applicable law, be deemed exclusive of any other rights to which any such institution affiliated party (or his or her heirs, executors or administrators) may now or hereafter be otherwise entitled whether contained in these articles of association, the bylaws, a resolution of stockholders,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these articles of association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w:t>
      </w:r>
    </w:p>
    <w:p>
      <w:pPr>
        <w:spacing w:after="0" w:line="179"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If this Article Tenth or any part hereof shall be held unenforceable in any respect by a court of competent jurisdiction, it shall be deemed modified to the minimum extent necessary to make it enforceable, and the remainder of this Article Tenth shall remain fully enforceable.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w:t>
      </w:r>
    </w:p>
    <w:p>
      <w:pPr>
        <w:sectPr>
          <w:pgSz w:w="11900" w:h="16838" w:orient="portrait"/>
          <w:cols w:equalWidth="0" w:num="1">
            <w:col w:w="11020"/>
          </w:cols>
          <w:pgMar w:left="440" w:top="274" w:right="439" w:bottom="1440" w:gutter="0" w:footer="0" w:header="0"/>
        </w:sectPr>
      </w:pPr>
    </w:p>
    <w:bookmarkStart w:id="98" w:name="page99"/>
    <w:bookmarkEnd w:id="98"/>
    <w:p>
      <w:pPr>
        <w:ind w:right="8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association may, upon affirmative vote of a majority of its board of directors, purchase insurance to indemnify its institution-affiliated parties to the extent that such indemnification is allowed in these articles of association; provided, however, that no such insurance shall include coverage to pay or reimburse any institution-affiliated party for the cost of any judgment or civil money penalty assessed against such person in an administrative proceeding or civil action commenced by any federal banking agency. Such insurance may, but need not, be for the benefit of all institution-affiliated parties.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ELEVENTH. These articles of association may be amended at any regular or special meeting of the shareholders by the affirmative vote of the holders of a majority of the stock of this association, unless the vote of the holders of a greater amount of stock is required by law, and in that case by the vote of the holders of such greater amount. The association’s board of directors may propose one or more amendments to the articles of association for submission to the shareholders.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 –</w:t>
      </w:r>
    </w:p>
    <w:p>
      <w:pPr>
        <w:sectPr>
          <w:pgSz w:w="11900" w:h="16838" w:orient="portrait"/>
          <w:cols w:equalWidth="0" w:num="1">
            <w:col w:w="11000"/>
          </w:cols>
          <w:pgMar w:left="440" w:top="274" w:right="45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 OF WILMINGTON TRUST, NATIONAL ASSOCIATION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w:t>
      </w:r>
    </w:p>
    <w:p>
      <w:pPr>
        <w:sectPr>
          <w:pgSz w:w="11900" w:h="16838" w:orient="portrait"/>
          <w:cols w:equalWidth="0" w:num="1">
            <w:col w:w="9019"/>
          </w:cols>
          <w:pgMar w:left="1440" w:top="270" w:right="1440"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BYLAWS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WILMINGTON TRUST, NATIONAL ASSOCIATION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(Effective as of April 17, 2018)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Meetings of Shareholders</w:t>
      </w:r>
    </w:p>
    <w:p>
      <w:pPr>
        <w:spacing w:after="0" w:line="20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b w:val="1"/>
          <w:bCs w:val="1"/>
          <w:color w:val="auto"/>
        </w:rPr>
        <w:t>Section 1. Annual Meeting</w:t>
      </w:r>
      <w:r>
        <w:rPr>
          <w:rFonts w:ascii="Arial" w:cs="Arial" w:eastAsia="Arial" w:hAnsi="Arial"/>
          <w:sz w:val="18"/>
          <w:szCs w:val="18"/>
          <w:color w:val="auto"/>
        </w:rPr>
        <w:t>. The annual meeting of the shareholders to elect directors and transact whatever other business may properly come</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meeting shall be held at the main office of the association, Rodney Square North, 1100 Market Street, City of Wilmington, State of Delaware, at 1:00 o’clock p.m. on the first Tuesday in March of each year, or at such other place and time as the board of directors may designate, or if that date falls on a legal holiday in Delaware, on the next following banking day. Notice of the meeting shall be mailed by first class mail, postage prepaid, at least 10 days and no more than 60 days prior to the date thereof, addressed to each shareholder at his/her address appearing on the books of the association. If, for any cause, an election of directors is not made on that date, or in the event of a legal holiday, on the next following banking day, an election may be held on any subsequent day within 60 days of the date fixed, to be designated by the board of directors, or, if the directors fail to fix the date, by shareholders representing two-thirds of the shares. In these circumstances, at least 10 days’ notice must be given by first class mail to shareholders.</w:t>
      </w:r>
    </w:p>
    <w:p>
      <w:pPr>
        <w:spacing w:after="0" w:line="189" w:lineRule="exact"/>
        <w:rPr>
          <w:sz w:val="20"/>
          <w:szCs w:val="20"/>
          <w:color w:val="auto"/>
        </w:rPr>
      </w:pPr>
    </w:p>
    <w:p>
      <w:pPr>
        <w:ind w:right="60" w:firstLine="441"/>
        <w:spacing w:after="0" w:line="258" w:lineRule="auto"/>
        <w:rPr>
          <w:sz w:val="20"/>
          <w:szCs w:val="20"/>
          <w:color w:val="auto"/>
        </w:rPr>
      </w:pPr>
      <w:r>
        <w:rPr>
          <w:rFonts w:ascii="Arial" w:cs="Arial" w:eastAsia="Arial" w:hAnsi="Arial"/>
          <w:sz w:val="18"/>
          <w:szCs w:val="18"/>
          <w:b w:val="1"/>
          <w:bCs w:val="1"/>
          <w:color w:val="auto"/>
        </w:rPr>
        <w:t>Section 2. Special Meetings</w:t>
      </w:r>
      <w:r>
        <w:rPr>
          <w:rFonts w:ascii="Arial" w:cs="Arial" w:eastAsia="Arial" w:hAnsi="Arial"/>
          <w:sz w:val="18"/>
          <w:szCs w:val="18"/>
          <w:color w:val="auto"/>
        </w:rPr>
        <w:t>. Except as otherwise specifically provided by statute, special meetings of the shareholders may be called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at any time by the board of directors or by any one or more shareholders owning, in the aggregate, not less than fifty percent of the stock of the association. Every such special meeting, unless otherwise provided by law, shall be called by mailing, postage prepaid, not less than 10 days nor more than 60 days prior to the date fixed for the meeting, to each shareholder at the address appearing on the books of the association a notice stating the purpose of the meeting.</w:t>
      </w:r>
    </w:p>
    <w:p>
      <w:pPr>
        <w:spacing w:after="0" w:line="188"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The board of directors may fix a record date for determining shareholders entitled to notice and to vote at any meeting, in reasonable proximity to the date of giving notice to the shareholders of such meeting. The record date for determining shareholders entitled to demand a special meeting is the date the first shareholder signs a demand for the meeting describing the purpose or purposes for which it is to be held.</w:t>
      </w:r>
    </w:p>
    <w:p>
      <w:pPr>
        <w:spacing w:after="0" w:line="166"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A special meeting may be called by shareholders or the board of directors to amend the articles of association or bylaws, whether or not such bylaws may be amended by the board of directors in the absence of shareholder approval.</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If an annual or special shareholders’ meeting is adjourned to a different date, time, or place, notice need not be given of the new date, time or place, if the new date, time or place is announced at the meeting before adjournment, unless any additional items of business are to be considered, or the association becomes aware of an intervening event materially affecting any matter to be voted on more than 10 days prior to the date to which the meeting is adjourned. If a new record date for the adjourned meeting is fixed, however, notice of the adjourned meeting must be given to persons who are shareholders as of the new record date. If, however, the meeting to elect the directors is adjourned before the election takes place, at least ten days’ notice of the new election must be given to the shareholders by first-class mail.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 –</w:t>
      </w:r>
    </w:p>
    <w:p>
      <w:pPr>
        <w:sectPr>
          <w:pgSz w:w="11900" w:h="16838" w:orient="portrait"/>
          <w:cols w:equalWidth="0" w:num="1">
            <w:col w:w="10980"/>
          </w:cols>
          <w:pgMar w:left="440" w:top="270" w:right="479" w:bottom="1440" w:gutter="0" w:footer="0" w:header="0"/>
        </w:sectPr>
      </w:pPr>
    </w:p>
    <w:bookmarkStart w:id="101" w:name="page102"/>
    <w:bookmarkEnd w:id="101"/>
    <w:p>
      <w:pPr>
        <w:ind w:right="120" w:firstLine="441"/>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 Nominations of Directors</w:t>
      </w:r>
      <w:r>
        <w:rPr>
          <w:rFonts w:ascii="Arial" w:cs="Arial" w:eastAsia="Arial" w:hAnsi="Arial"/>
          <w:sz w:val="16"/>
          <w:szCs w:val="16"/>
          <w:color w:val="auto"/>
        </w:rPr>
        <w:t>. Nominations for election to the board of directors may be made by the board of directors or by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stockholder of any outstanding class of capital stock of the association entitled to vote for the election of directors. Nominations, other than those made by or on behalf of the existing management of the association, shall be made in writing and shall be delivered or mailed to the president of the association and the Comptroller of the Currency, Washington, D.C., not less than 14 days nor more than 50 days prior to any meeting of shareholders called for the election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less than 21 days’ notice of the meeting is given to shareholders, such nomination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w:t>
      </w:r>
    </w:p>
    <w:p>
      <w:pPr>
        <w:spacing w:after="0" w:line="71" w:lineRule="exact"/>
        <w:rPr>
          <w:sz w:val="20"/>
          <w:szCs w:val="20"/>
          <w:color w:val="auto"/>
        </w:rPr>
      </w:pPr>
    </w:p>
    <w:p>
      <w:pPr>
        <w:ind w:left="860" w:hanging="424"/>
        <w:spacing w:after="0"/>
        <w:tabs>
          <w:tab w:leader="none" w:pos="8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name and address of each proposed nominee;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principal occupation of each proposed nominee;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total number of shares of capital stock of the association that will be voted for each proposed nominee;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name and residence of the notifying shareholder;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number of shares of capital stock of the association owned by the notifying shareholder.</w:t>
      </w:r>
    </w:p>
    <w:p>
      <w:pPr>
        <w:spacing w:after="0" w:line="22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Nominations not made in accordance herewith may, in his/her discretion, be disregarded by the chairperson of the meeting, and upon his/her instructions, the vote tellers may disregard all votes cast for each such nominee.</w:t>
      </w:r>
    </w:p>
    <w:p>
      <w:pPr>
        <w:spacing w:after="0" w:line="166" w:lineRule="exact"/>
        <w:rPr>
          <w:sz w:val="20"/>
          <w:szCs w:val="20"/>
          <w:color w:val="auto"/>
        </w:rPr>
      </w:pPr>
    </w:p>
    <w:p>
      <w:pPr>
        <w:ind w:right="40" w:firstLine="441"/>
        <w:spacing w:after="0" w:line="258" w:lineRule="auto"/>
        <w:rPr>
          <w:sz w:val="20"/>
          <w:szCs w:val="20"/>
          <w:color w:val="auto"/>
        </w:rPr>
      </w:pPr>
      <w:r>
        <w:rPr>
          <w:rFonts w:ascii="Arial" w:cs="Arial" w:eastAsia="Arial" w:hAnsi="Arial"/>
          <w:sz w:val="18"/>
          <w:szCs w:val="18"/>
          <w:b w:val="1"/>
          <w:bCs w:val="1"/>
          <w:color w:val="auto"/>
        </w:rPr>
        <w:t>Section 4. Proxies</w:t>
      </w:r>
      <w:r>
        <w:rPr>
          <w:rFonts w:ascii="Arial" w:cs="Arial" w:eastAsia="Arial" w:hAnsi="Arial"/>
          <w:sz w:val="18"/>
          <w:szCs w:val="18"/>
          <w:color w:val="auto"/>
        </w:rPr>
        <w:t>. Shareholders may vote at any meeting of the shareholders by proxies duly authorized in writing, but no officer or employee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association shall act as proxy. Proxies shall be valid only for one meeting, to be specified therein, and any adjournments of such meeting. Proxies shall be dated and filed with the records of the meeting. Proxies with facsimile signatures may be used and unexecuted proxies may be counted upon receipt of a written confirmation from the shareholder. Proxies meeting the above requirements submitted at any time during a meeting shall be accepted.</w:t>
      </w:r>
    </w:p>
    <w:p>
      <w:pPr>
        <w:spacing w:after="0" w:line="184"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b w:val="1"/>
          <w:bCs w:val="1"/>
          <w:color w:val="auto"/>
        </w:rPr>
        <w:t>Section 5. Quorum</w:t>
      </w:r>
      <w:r>
        <w:rPr>
          <w:rFonts w:ascii="Arial" w:cs="Arial" w:eastAsia="Arial" w:hAnsi="Arial"/>
          <w:sz w:val="18"/>
          <w:szCs w:val="18"/>
          <w:color w:val="auto"/>
        </w:rPr>
        <w:t>. A majority of the outstanding capital stock, represented in person or by proxy, shall constitute a quorum at any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unless otherwise provided by law, or by the shareholders or directors pursuant to Article IX, Section 2,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 or by the shareholders or directors pursuant to Article IX, Section 2. If a meeting for the election of directors is not held on the fixed date, at least 10 days’ notice must be given by first-class mail to the shareholders.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w:t>
      </w:r>
    </w:p>
    <w:p>
      <w:pPr>
        <w:sectPr>
          <w:pgSz w:w="11900" w:h="16838" w:orient="portrait"/>
          <w:cols w:equalWidth="0" w:num="1">
            <w:col w:w="11020"/>
          </w:cols>
          <w:pgMar w:left="440" w:top="270" w:right="43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Directors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Section 1. Board of Directors</w:t>
      </w:r>
      <w:r>
        <w:rPr>
          <w:rFonts w:ascii="Arial" w:cs="Arial" w:eastAsia="Arial" w:hAnsi="Arial"/>
          <w:sz w:val="16"/>
          <w:szCs w:val="16"/>
          <w:color w:val="auto"/>
        </w:rPr>
        <w:t>. The board of directors shall have the power to manage and administer the business and affairs of the association.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Except as expressly limited by law, all corporate powers of the association shall be vested in and may be exercised by the board of directors.</w:t>
      </w:r>
    </w:p>
    <w:p>
      <w:pPr>
        <w:spacing w:after="0" w:line="218" w:lineRule="exact"/>
        <w:rPr>
          <w:sz w:val="20"/>
          <w:szCs w:val="20"/>
          <w:color w:val="auto"/>
        </w:rPr>
      </w:pPr>
    </w:p>
    <w:p>
      <w:pPr>
        <w:jc w:val="both"/>
        <w:ind w:right="140" w:firstLine="441"/>
        <w:spacing w:after="0" w:line="289" w:lineRule="auto"/>
        <w:rPr>
          <w:sz w:val="20"/>
          <w:szCs w:val="20"/>
          <w:color w:val="auto"/>
        </w:rPr>
      </w:pPr>
      <w:r>
        <w:rPr>
          <w:rFonts w:ascii="Arial" w:cs="Arial" w:eastAsia="Arial" w:hAnsi="Arial"/>
          <w:sz w:val="17"/>
          <w:szCs w:val="17"/>
          <w:b w:val="1"/>
          <w:bCs w:val="1"/>
          <w:color w:val="auto"/>
        </w:rPr>
        <w:t>Section 2. Number</w:t>
      </w:r>
      <w:r>
        <w:rPr>
          <w:rFonts w:ascii="Arial" w:cs="Arial" w:eastAsia="Arial" w:hAnsi="Arial"/>
          <w:sz w:val="17"/>
          <w:szCs w:val="17"/>
          <w:color w:val="auto"/>
        </w:rPr>
        <w:t>. The board of directors shall consist of not less than five nor more than twenty-five members, unless the OCC has exempted</w:t>
      </w:r>
      <w:r>
        <w:rPr>
          <w:rFonts w:ascii="Arial" w:cs="Arial" w:eastAsia="Arial" w:hAnsi="Arial"/>
          <w:sz w:val="17"/>
          <w:szCs w:val="17"/>
          <w:b w:val="1"/>
          <w:bCs w:val="1"/>
          <w:color w:val="auto"/>
        </w:rPr>
        <w:t xml:space="preserve"> </w:t>
      </w:r>
      <w:r>
        <w:rPr>
          <w:rFonts w:ascii="Arial" w:cs="Arial" w:eastAsia="Arial" w:hAnsi="Arial"/>
          <w:sz w:val="17"/>
          <w:szCs w:val="17"/>
          <w:color w:val="auto"/>
        </w:rPr>
        <w:t>the bank from the 25-member limit. The exact number within such minimum and maximum limits is to be fixed and determined from time to time by resolution of a majority of the full board of directors or by resolution of a majority of the shareholders at any meeting thereof.</w:t>
      </w:r>
    </w:p>
    <w:p>
      <w:pPr>
        <w:spacing w:after="0" w:line="158" w:lineRule="exact"/>
        <w:rPr>
          <w:sz w:val="20"/>
          <w:szCs w:val="20"/>
          <w:color w:val="auto"/>
        </w:rPr>
      </w:pPr>
    </w:p>
    <w:p>
      <w:pPr>
        <w:ind w:right="40" w:firstLine="441"/>
        <w:spacing w:after="0" w:line="256" w:lineRule="auto"/>
        <w:rPr>
          <w:sz w:val="20"/>
          <w:szCs w:val="20"/>
          <w:color w:val="auto"/>
        </w:rPr>
      </w:pPr>
      <w:r>
        <w:rPr>
          <w:rFonts w:ascii="Arial" w:cs="Arial" w:eastAsia="Arial" w:hAnsi="Arial"/>
          <w:sz w:val="18"/>
          <w:szCs w:val="18"/>
          <w:b w:val="1"/>
          <w:bCs w:val="1"/>
          <w:color w:val="auto"/>
        </w:rPr>
        <w:t>Section 3. Organization Meeting</w:t>
      </w:r>
      <w:r>
        <w:rPr>
          <w:rFonts w:ascii="Arial" w:cs="Arial" w:eastAsia="Arial" w:hAnsi="Arial"/>
          <w:sz w:val="18"/>
          <w:szCs w:val="18"/>
          <w:color w:val="auto"/>
        </w:rPr>
        <w:t>. The secretary or treasurer, upon receiving the certificate of the judges of the result of any election, shall notify</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directors-elect of their election and of the time at which they are required to meet at the main office of the association, or at such other place in the cities of Wilmington, Delaware or Buffalo, New York, to organize the new board of directors and elect and appoint officers of the association for the succeeding year. Such meeting shall be held on the day of the election or as soon thereafter as practicable, and, in any event, within 30 days thereof. If, at the time fixed for such meeting, there shall not be a quorum, the directors present may adjourn the meeting, from time to time, until a quorum is obtained.</w:t>
      </w:r>
    </w:p>
    <w:p>
      <w:pPr>
        <w:spacing w:after="0" w:line="188"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b w:val="1"/>
          <w:bCs w:val="1"/>
          <w:color w:val="auto"/>
        </w:rPr>
        <w:t>Section 4. Regular Meetings</w:t>
      </w:r>
      <w:r>
        <w:rPr>
          <w:rFonts w:ascii="Arial" w:cs="Arial" w:eastAsia="Arial" w:hAnsi="Arial"/>
          <w:sz w:val="18"/>
          <w:szCs w:val="18"/>
          <w:color w:val="auto"/>
        </w:rPr>
        <w:t>. The Board of Directors may, at any time and from time to time, by resolution designate the place, date and hour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holding of a regular meeting, but in the absence of any such designation, regular meetings of the board of directors shall be held, without notice, on the first Tuesday of each March, June and September, and on the second Tuesday of each December at the main office or other such place as the board of directors may designate. When any regular meeting of the board of directors falls upon a holiday, the meeting shall be held on the next banking business day unless the board of directors shall designate another day.</w:t>
      </w:r>
    </w:p>
    <w:p>
      <w:pPr>
        <w:spacing w:after="0" w:line="184" w:lineRule="exact"/>
        <w:rPr>
          <w:sz w:val="20"/>
          <w:szCs w:val="20"/>
          <w:color w:val="auto"/>
        </w:rPr>
      </w:pPr>
    </w:p>
    <w:p>
      <w:pPr>
        <w:jc w:val="both"/>
        <w:ind w:right="120" w:firstLine="441"/>
        <w:spacing w:after="0" w:line="266" w:lineRule="auto"/>
        <w:rPr>
          <w:sz w:val="20"/>
          <w:szCs w:val="20"/>
          <w:color w:val="auto"/>
        </w:rPr>
      </w:pPr>
      <w:r>
        <w:rPr>
          <w:rFonts w:ascii="Arial" w:cs="Arial" w:eastAsia="Arial" w:hAnsi="Arial"/>
          <w:sz w:val="18"/>
          <w:szCs w:val="18"/>
          <w:b w:val="1"/>
          <w:bCs w:val="1"/>
          <w:color w:val="auto"/>
        </w:rPr>
        <w:t>Section 5. Special Meetings</w:t>
      </w:r>
      <w:r>
        <w:rPr>
          <w:rFonts w:ascii="Arial" w:cs="Arial" w:eastAsia="Arial" w:hAnsi="Arial"/>
          <w:sz w:val="18"/>
          <w:szCs w:val="18"/>
          <w:color w:val="auto"/>
        </w:rPr>
        <w:t>. Special meetings of the board of directors may be called by the Chairman of the Board of the association, or 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of two or more directors. Each member of the board of directors shall be given notice by telegram, first class mail, or in person stating the time and place of each special meeting.</w:t>
      </w:r>
    </w:p>
    <w:p>
      <w:pPr>
        <w:spacing w:after="0" w:line="176" w:lineRule="exact"/>
        <w:rPr>
          <w:sz w:val="20"/>
          <w:szCs w:val="20"/>
          <w:color w:val="auto"/>
        </w:rPr>
      </w:pPr>
    </w:p>
    <w:p>
      <w:pPr>
        <w:ind w:right="240" w:firstLine="441"/>
        <w:spacing w:after="0" w:line="258" w:lineRule="auto"/>
        <w:rPr>
          <w:sz w:val="20"/>
          <w:szCs w:val="20"/>
          <w:color w:val="auto"/>
        </w:rPr>
      </w:pPr>
      <w:r>
        <w:rPr>
          <w:rFonts w:ascii="Arial" w:cs="Arial" w:eastAsia="Arial" w:hAnsi="Arial"/>
          <w:sz w:val="18"/>
          <w:szCs w:val="18"/>
          <w:b w:val="1"/>
          <w:bCs w:val="1"/>
          <w:color w:val="auto"/>
        </w:rPr>
        <w:t>Section 6. Quorum</w:t>
      </w:r>
      <w:r>
        <w:rPr>
          <w:rFonts w:ascii="Arial" w:cs="Arial" w:eastAsia="Arial" w:hAnsi="Arial"/>
          <w:sz w:val="18"/>
          <w:szCs w:val="18"/>
          <w:color w:val="auto"/>
        </w:rPr>
        <w:t>. A majority of the entire board then in office shall constitute a quorum at any meeting, except when otherwise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law or these bylaws, but a lesser number may adjourn any meeting, from time to time, and the meeting may be held, as adjourned, without further notice. If the number of directors present at the meeting is reduced below the number that would constitute a quorum, no business may be transacted, except selecting directors to fill vacancies in conformance with Article II, Section 7. If a quorum is present, the board of directors may take action through the vote of a majority of the directors who are in attendance.</w:t>
      </w:r>
    </w:p>
    <w:p>
      <w:pPr>
        <w:spacing w:after="0" w:line="184" w:lineRule="exact"/>
        <w:rPr>
          <w:sz w:val="20"/>
          <w:szCs w:val="20"/>
          <w:color w:val="auto"/>
        </w:rPr>
      </w:pPr>
    </w:p>
    <w:p>
      <w:pPr>
        <w:jc w:val="both"/>
        <w:ind w:right="60" w:firstLine="441"/>
        <w:spacing w:after="0" w:line="314" w:lineRule="auto"/>
        <w:rPr>
          <w:sz w:val="20"/>
          <w:szCs w:val="20"/>
          <w:color w:val="auto"/>
        </w:rPr>
      </w:pPr>
      <w:r>
        <w:rPr>
          <w:rFonts w:ascii="Arial" w:cs="Arial" w:eastAsia="Arial" w:hAnsi="Arial"/>
          <w:sz w:val="16"/>
          <w:szCs w:val="16"/>
          <w:b w:val="1"/>
          <w:bCs w:val="1"/>
          <w:color w:val="auto"/>
        </w:rPr>
        <w:t xml:space="preserve">Section 7. Meetings by Conference Telephone. </w:t>
      </w:r>
      <w:r>
        <w:rPr>
          <w:rFonts w:ascii="Arial" w:cs="Arial" w:eastAsia="Arial" w:hAnsi="Arial"/>
          <w:sz w:val="16"/>
          <w:szCs w:val="16"/>
          <w:color w:val="auto"/>
        </w:rPr>
        <w:t>Any one or more members of the board of directors or any committee thereof may participate in</w:t>
      </w:r>
      <w:r>
        <w:rPr>
          <w:rFonts w:ascii="Arial" w:cs="Arial" w:eastAsia="Arial" w:hAnsi="Arial"/>
          <w:sz w:val="16"/>
          <w:szCs w:val="16"/>
          <w:b w:val="1"/>
          <w:bCs w:val="1"/>
          <w:color w:val="auto"/>
        </w:rPr>
        <w:t xml:space="preserve"> </w:t>
      </w:r>
      <w:r>
        <w:rPr>
          <w:rFonts w:ascii="Arial" w:cs="Arial" w:eastAsia="Arial" w:hAnsi="Arial"/>
          <w:sz w:val="16"/>
          <w:szCs w:val="16"/>
          <w:color w:val="auto"/>
        </w:rPr>
        <w:t>a meeting of such board or committees by means of a conference telephone or similar communications equipment allowing all persons participating in the meeting to hear each other at the same time. Participation in a meeting by such means shall constitute presence in person at such meeting.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 –</w:t>
      </w:r>
    </w:p>
    <w:p>
      <w:pPr>
        <w:sectPr>
          <w:pgSz w:w="11900" w:h="16838" w:orient="portrait"/>
          <w:cols w:equalWidth="0" w:num="1">
            <w:col w:w="10980"/>
          </w:cols>
          <w:pgMar w:left="440" w:top="270" w:right="479" w:bottom="1440" w:gutter="0" w:footer="0" w:header="0"/>
        </w:sectPr>
      </w:pPr>
    </w:p>
    <w:bookmarkStart w:id="103" w:name="page104"/>
    <w:bookmarkEnd w:id="103"/>
    <w:p>
      <w:pPr>
        <w:ind w:right="120"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 Procedures</w:t>
      </w:r>
      <w:r>
        <w:rPr>
          <w:rFonts w:ascii="Arial" w:cs="Arial" w:eastAsia="Arial" w:hAnsi="Arial"/>
          <w:sz w:val="18"/>
          <w:szCs w:val="18"/>
          <w:color w:val="auto"/>
        </w:rPr>
        <w:t>. The order of business and all other matters of procedure at every meeting of the board of directors may be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presiding at the meeting.</w:t>
      </w:r>
    </w:p>
    <w:p>
      <w:pPr>
        <w:spacing w:after="0" w:line="162" w:lineRule="exact"/>
        <w:rPr>
          <w:sz w:val="20"/>
          <w:szCs w:val="20"/>
          <w:color w:val="auto"/>
        </w:rPr>
      </w:pPr>
    </w:p>
    <w:p>
      <w:pPr>
        <w:ind w:right="40" w:firstLine="441"/>
        <w:spacing w:after="0" w:line="258" w:lineRule="auto"/>
        <w:rPr>
          <w:sz w:val="20"/>
          <w:szCs w:val="20"/>
          <w:color w:val="auto"/>
        </w:rPr>
      </w:pPr>
      <w:r>
        <w:rPr>
          <w:rFonts w:ascii="Arial" w:cs="Arial" w:eastAsia="Arial" w:hAnsi="Arial"/>
          <w:sz w:val="18"/>
          <w:szCs w:val="18"/>
          <w:b w:val="1"/>
          <w:bCs w:val="1"/>
          <w:color w:val="auto"/>
        </w:rPr>
        <w:t>Section 9. Removal of Directors</w:t>
      </w:r>
      <w:r>
        <w:rPr>
          <w:rFonts w:ascii="Arial" w:cs="Arial" w:eastAsia="Arial" w:hAnsi="Arial"/>
          <w:sz w:val="18"/>
          <w:szCs w:val="18"/>
          <w:color w:val="auto"/>
        </w:rPr>
        <w:t>. Any director may be removed for cause, at any meeting of stockholders notice of which shall have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proposed action, by vote of the stockholders. Any director may be removed without cause, at any meeting of stockholders notice of which shall have referred to the proposed action, by the vote of the holders of a majority of the shares of the Corporation entitled to vote. Any director may be removed for cause, at any meeting of the directors notice of which shall have referred to the proposed action, by vote of a majority of the entire Board of Directors.</w:t>
      </w:r>
    </w:p>
    <w:p>
      <w:pPr>
        <w:spacing w:after="0" w:line="184"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b w:val="1"/>
          <w:bCs w:val="1"/>
          <w:color w:val="auto"/>
        </w:rPr>
        <w:t>Section 10. Vacancies</w:t>
      </w:r>
      <w:r>
        <w:rPr>
          <w:rFonts w:ascii="Arial" w:cs="Arial" w:eastAsia="Arial" w:hAnsi="Arial"/>
          <w:sz w:val="17"/>
          <w:szCs w:val="17"/>
          <w:color w:val="auto"/>
        </w:rPr>
        <w:t>. When any vacancy occurs among the directors, a majority of the remaining members of the board of directors, according</w:t>
      </w:r>
      <w:r>
        <w:rPr>
          <w:rFonts w:ascii="Arial" w:cs="Arial" w:eastAsia="Arial" w:hAnsi="Arial"/>
          <w:sz w:val="17"/>
          <w:szCs w:val="17"/>
          <w:b w:val="1"/>
          <w:bCs w:val="1"/>
          <w:color w:val="auto"/>
        </w:rPr>
        <w:t xml:space="preserve"> </w:t>
      </w:r>
      <w:r>
        <w:rPr>
          <w:rFonts w:ascii="Arial" w:cs="Arial" w:eastAsia="Arial" w:hAnsi="Arial"/>
          <w:sz w:val="17"/>
          <w:szCs w:val="17"/>
          <w:color w:val="auto"/>
        </w:rPr>
        <w:t>to the laws of the United States, may appoint a director to fill such vacancy at any regular meeting of the board of directors, or at a special meeting called for that purpose at which a quorum is present, or if the directors remaining in office constitute fewer than a quorum of the board of directors, by the affirmative vote of a majority of all the directors remaining in office, or by shareholders at a special meeting called for that purpose in conformance with Section 2 of Article I. At any such shareholder meeting, each shareholder entitled to vote shall have the right to multiply the number of votes he or she is entitled to cast by the number of vacancies being filled and cast the product for a single candidate or distribute the product among two or more candidates. A vacancy that will occur at a specific later date (by reason of a resignation effective at a later date) may be filled before the vacancy occurs but the new director may not take office until the vacancy occurs.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Committees of the Board</w:t>
      </w:r>
    </w:p>
    <w:p>
      <w:pPr>
        <w:spacing w:after="0" w:line="211" w:lineRule="exact"/>
        <w:rPr>
          <w:sz w:val="20"/>
          <w:szCs w:val="20"/>
          <w:color w:val="auto"/>
        </w:rPr>
      </w:pPr>
    </w:p>
    <w:p>
      <w:pPr>
        <w:ind w:right="40" w:firstLine="441"/>
        <w:spacing w:after="0" w:line="308" w:lineRule="auto"/>
        <w:rPr>
          <w:sz w:val="20"/>
          <w:szCs w:val="20"/>
          <w:color w:val="auto"/>
        </w:rPr>
      </w:pPr>
      <w:r>
        <w:rPr>
          <w:rFonts w:ascii="Arial" w:cs="Arial" w:eastAsia="Arial" w:hAnsi="Arial"/>
          <w:sz w:val="17"/>
          <w:szCs w:val="17"/>
          <w:color w:val="auto"/>
        </w:rPr>
        <w:t>The board of directors has power over and is solely responsible for the management, supervision, and administration of the association. The board of directors may delegate its power, but none of its responsibilities, to such persons or committees as the board may determine.</w:t>
      </w:r>
    </w:p>
    <w:p>
      <w:pPr>
        <w:spacing w:after="0" w:line="147"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board of directors must formally ratify written policies authorized by committees of the board of directors before such policies become effective. Each committee must have one or more member(s), and who may be an officer of the association or an officer or director of any affiliate of the association, who serve at the pleasure of the board of directors. Provisions of the articles of association and these bylaws governing place of meetings, notice of meeting, quorum and voting requirements of the board of directors, apply to committees and their members as well. The creation of a committee and appointment of members to it must be approved by the board of directors.</w:t>
      </w:r>
    </w:p>
    <w:p>
      <w:pPr>
        <w:spacing w:after="0" w:line="169" w:lineRule="exact"/>
        <w:rPr>
          <w:sz w:val="20"/>
          <w:szCs w:val="20"/>
          <w:color w:val="auto"/>
        </w:rPr>
      </w:pPr>
    </w:p>
    <w:p>
      <w:pPr>
        <w:ind w:right="40" w:firstLine="441"/>
        <w:spacing w:after="0" w:line="274" w:lineRule="auto"/>
        <w:rPr>
          <w:sz w:val="20"/>
          <w:szCs w:val="20"/>
          <w:color w:val="auto"/>
        </w:rPr>
      </w:pPr>
      <w:r>
        <w:rPr>
          <w:rFonts w:ascii="Arial" w:cs="Arial" w:eastAsia="Arial" w:hAnsi="Arial"/>
          <w:sz w:val="17"/>
          <w:szCs w:val="17"/>
          <w:b w:val="1"/>
          <w:bCs w:val="1"/>
          <w:color w:val="auto"/>
        </w:rPr>
        <w:t>Section 1. Loan Committee</w:t>
      </w:r>
      <w:r>
        <w:rPr>
          <w:rFonts w:ascii="Arial" w:cs="Arial" w:eastAsia="Arial" w:hAnsi="Arial"/>
          <w:sz w:val="17"/>
          <w:szCs w:val="17"/>
          <w:color w:val="auto"/>
        </w:rPr>
        <w:t>. There shall be a loan committee composed of not less than 2 directors, appointed by the board of directors annually</w:t>
      </w:r>
      <w:r>
        <w:rPr>
          <w:rFonts w:ascii="Arial" w:cs="Arial" w:eastAsia="Arial" w:hAnsi="Arial"/>
          <w:sz w:val="17"/>
          <w:szCs w:val="17"/>
          <w:b w:val="1"/>
          <w:bCs w:val="1"/>
          <w:color w:val="auto"/>
        </w:rPr>
        <w:t xml:space="preserve"> </w:t>
      </w:r>
      <w:r>
        <w:rPr>
          <w:rFonts w:ascii="Arial" w:cs="Arial" w:eastAsia="Arial" w:hAnsi="Arial"/>
          <w:sz w:val="17"/>
          <w:szCs w:val="17"/>
          <w:color w:val="auto"/>
        </w:rPr>
        <w:t>or more often. The loan committee, on behalf of the bank, shall have power to discount and purchase bills, notes and other evidences of debt, to buy and sell bills of exchange, to examine and approve loans and discounts, to exercise authority regarding loans and discounts, and to exercise, when the board of directors is not in session, all other powers of the board of directors that may lawfully be delegated. The loan committee shall keep minutes of its meetings, and such minutes shall be submitted at the next regular meeting of the board of directors at which a quorum is present, and any action taken by the board of directors with respect thereto shall be entered in the minutes of the board of directors.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 –</w:t>
      </w:r>
    </w:p>
    <w:p>
      <w:pPr>
        <w:sectPr>
          <w:pgSz w:w="11900" w:h="16838" w:orient="portrait"/>
          <w:cols w:equalWidth="0" w:num="1">
            <w:col w:w="11020"/>
          </w:cols>
          <w:pgMar w:left="440" w:top="270" w:right="439" w:bottom="1440" w:gutter="0" w:footer="0" w:header="0"/>
        </w:sectPr>
      </w:pPr>
    </w:p>
    <w:bookmarkStart w:id="104" w:name="page105"/>
    <w:bookmarkEnd w:id="104"/>
    <w:p>
      <w:pPr>
        <w:ind w:firstLine="441"/>
        <w:spacing w:after="0" w:line="29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 Investment Committee</w:t>
      </w:r>
      <w:r>
        <w:rPr>
          <w:rFonts w:ascii="Arial" w:cs="Arial" w:eastAsia="Arial" w:hAnsi="Arial"/>
          <w:sz w:val="16"/>
          <w:szCs w:val="16"/>
          <w:color w:val="auto"/>
        </w:rPr>
        <w:t>. There shall be an investment committee composed of not less than 2 directors, appointed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annually or more often. The investment committee, on behalf of the bank, shall have the power to ensure adherence to the investment policy, to recommend amendments thereto, to purchase and sell securities, to exercise authority regarding investments and to exercise, when the board of directors is not in session, all other powers of the board of directors regarding investment securities that may be lawfully delegated. The investment committee shall keep minutes of its meetings, and such minutes shall be submitted at the next regular meeting of the board of directors at which a quorum is present, and any action taken by the board of directors with respect thereto shall be entered in the minutes of the board of directors.</w:t>
      </w:r>
    </w:p>
    <w:p>
      <w:pPr>
        <w:spacing w:after="0" w:line="156" w:lineRule="exact"/>
        <w:rPr>
          <w:sz w:val="20"/>
          <w:szCs w:val="20"/>
          <w:color w:val="auto"/>
        </w:rPr>
      </w:pPr>
    </w:p>
    <w:p>
      <w:pPr>
        <w:ind w:firstLine="441"/>
        <w:spacing w:after="0" w:line="295" w:lineRule="auto"/>
        <w:rPr>
          <w:sz w:val="20"/>
          <w:szCs w:val="20"/>
          <w:color w:val="auto"/>
        </w:rPr>
      </w:pPr>
      <w:r>
        <w:rPr>
          <w:rFonts w:ascii="Arial" w:cs="Arial" w:eastAsia="Arial" w:hAnsi="Arial"/>
          <w:sz w:val="16"/>
          <w:szCs w:val="16"/>
          <w:b w:val="1"/>
          <w:bCs w:val="1"/>
          <w:color w:val="auto"/>
        </w:rPr>
        <w:t>Section 3. Examining Committee</w:t>
      </w:r>
      <w:r>
        <w:rPr>
          <w:rFonts w:ascii="Arial" w:cs="Arial" w:eastAsia="Arial" w:hAnsi="Arial"/>
          <w:sz w:val="16"/>
          <w:szCs w:val="16"/>
          <w:color w:val="auto"/>
        </w:rPr>
        <w:t>. There shall be an examining committee composed of not less than 2 directors, exclusive of any active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by the board of directors annually or more often. The duty of that committee shall be to examine at least once during each calendar year and within 15 months of the last examination the affairs of the association or cause suitable examinations to be made by auditors responsible only to the board of directors and to report the result of such examination in writing to the board of directors at the next regular meeting thereafter. Such report shall state whether the association is in a sound condition, and whether adequate internal controls and procedures are being maintained and shall recommend to the board of directors such changes in the manner of conducting the affairs of the association as shall be deemed advisable.</w:t>
      </w:r>
    </w:p>
    <w:p>
      <w:pPr>
        <w:spacing w:after="0" w:line="160"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Notwithstanding the provisions of the first paragraph of this section 3, the responsibility and authority of the Examining Committee may, if authorized by law, be given over to a duly constituted audit committee of the association’s parent corporation by a resolution duly adopted by the board of directors.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 Trust Audit Committee. </w:t>
      </w:r>
      <w:r>
        <w:rPr>
          <w:rFonts w:ascii="Arial" w:cs="Arial" w:eastAsia="Arial" w:hAnsi="Arial"/>
          <w:sz w:val="18"/>
          <w:szCs w:val="18"/>
          <w:color w:val="auto"/>
        </w:rPr>
        <w:t>There shall be a trust audit committee in conformance with Section 1 of Article V.</w:t>
      </w:r>
    </w:p>
    <w:p>
      <w:pPr>
        <w:spacing w:after="0" w:line="225" w:lineRule="exact"/>
        <w:rPr>
          <w:sz w:val="20"/>
          <w:szCs w:val="20"/>
          <w:color w:val="auto"/>
        </w:rPr>
      </w:pPr>
    </w:p>
    <w:p>
      <w:pPr>
        <w:ind w:right="260" w:firstLine="441"/>
        <w:spacing w:after="0" w:line="313" w:lineRule="auto"/>
        <w:rPr>
          <w:sz w:val="20"/>
          <w:szCs w:val="20"/>
          <w:color w:val="auto"/>
        </w:rPr>
      </w:pPr>
      <w:r>
        <w:rPr>
          <w:rFonts w:ascii="Arial" w:cs="Arial" w:eastAsia="Arial" w:hAnsi="Arial"/>
          <w:sz w:val="17"/>
          <w:szCs w:val="17"/>
          <w:b w:val="1"/>
          <w:bCs w:val="1"/>
          <w:color w:val="auto"/>
        </w:rPr>
        <w:t>Section 5. Other Committees</w:t>
      </w:r>
      <w:r>
        <w:rPr>
          <w:rFonts w:ascii="Arial" w:cs="Arial" w:eastAsia="Arial" w:hAnsi="Arial"/>
          <w:sz w:val="17"/>
          <w:szCs w:val="17"/>
          <w:color w:val="auto"/>
        </w:rPr>
        <w:t>. The board of directors may appoint, from time to time, from its own members, compensation, special litigation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committees of one or more persons, for such purposes and with such powers as the board of directors may determine.</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However, a committee may not:</w:t>
      </w:r>
    </w:p>
    <w:p>
      <w:pPr>
        <w:spacing w:after="0" w:line="131" w:lineRule="exact"/>
        <w:rPr>
          <w:sz w:val="20"/>
          <w:szCs w:val="20"/>
          <w:color w:val="auto"/>
        </w:rPr>
      </w:pPr>
    </w:p>
    <w:p>
      <w:pPr>
        <w:ind w:left="860" w:hanging="424"/>
        <w:spacing w:after="0"/>
        <w:tabs>
          <w:tab w:leader="none" w:pos="8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Authorize distributions of assets or dividends;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Approve action required to be approved by shareholders;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Fill vacancies on the board of directors or any of its committees;</w:t>
      </w:r>
    </w:p>
    <w:p>
      <w:pPr>
        <w:spacing w:after="0" w:line="131" w:lineRule="exact"/>
        <w:rPr>
          <w:sz w:val="20"/>
          <w:szCs w:val="20"/>
          <w:color w:val="auto"/>
        </w:rPr>
      </w:pPr>
    </w:p>
    <w:p>
      <w:pPr>
        <w:ind w:left="860" w:hanging="424"/>
        <w:spacing w:after="0"/>
        <w:tabs>
          <w:tab w:leader="none" w:pos="8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Amend articles of association;</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Adopt, amend or repeal bylaws; or</w:t>
      </w:r>
    </w:p>
    <w:p>
      <w:pPr>
        <w:spacing w:after="0" w:line="131" w:lineRule="exact"/>
        <w:rPr>
          <w:sz w:val="20"/>
          <w:szCs w:val="20"/>
          <w:color w:val="auto"/>
        </w:rPr>
      </w:pPr>
    </w:p>
    <w:p>
      <w:pPr>
        <w:ind w:left="860" w:right="620" w:hanging="424"/>
        <w:spacing w:after="0" w:line="277" w:lineRule="auto"/>
        <w:tabs>
          <w:tab w:leader="none" w:pos="8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Authorize or approve issuance or sale or contract for sale of shares, or determine the designation and relative rights, preferences and limitations of a class or series of shares.</w:t>
      </w:r>
    </w:p>
    <w:p>
      <w:pPr>
        <w:spacing w:after="0" w:line="166" w:lineRule="exact"/>
        <w:rPr>
          <w:sz w:val="20"/>
          <w:szCs w:val="20"/>
          <w:color w:val="auto"/>
        </w:rPr>
      </w:pPr>
    </w:p>
    <w:p>
      <w:pPr>
        <w:ind w:right="120" w:firstLine="441"/>
        <w:spacing w:after="0" w:line="281" w:lineRule="auto"/>
        <w:rPr>
          <w:sz w:val="20"/>
          <w:szCs w:val="20"/>
          <w:color w:val="auto"/>
        </w:rPr>
      </w:pPr>
      <w:r>
        <w:rPr>
          <w:rFonts w:ascii="Arial" w:cs="Arial" w:eastAsia="Arial" w:hAnsi="Arial"/>
          <w:sz w:val="17"/>
          <w:szCs w:val="17"/>
          <w:b w:val="1"/>
          <w:bCs w:val="1"/>
          <w:color w:val="auto"/>
        </w:rPr>
        <w:t>Section 6. Committee Members’ Fees</w:t>
      </w:r>
      <w:r>
        <w:rPr>
          <w:rFonts w:ascii="Arial" w:cs="Arial" w:eastAsia="Arial" w:hAnsi="Arial"/>
          <w:sz w:val="17"/>
          <w:szCs w:val="17"/>
          <w:color w:val="auto"/>
        </w:rPr>
        <w:t>. Committee members may receive a fee for their services as committee members and traveling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out-of-pocket expenses incurred in attending any meeting of a committee of which they are a member. The fee may be a fixed sum to be paid for attending each meeting or a fixed sum to be paid quarterly, or semiannually, irrespective of the number of meetings attended or not attended. The amount of the fee and the basis on which it shall be paid shall be determined by the board of directors.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 –</w:t>
      </w:r>
    </w:p>
    <w:p>
      <w:pPr>
        <w:sectPr>
          <w:pgSz w:w="11900" w:h="16838" w:orient="portrait"/>
          <w:cols w:equalWidth="0" w:num="1">
            <w:col w:w="11000"/>
          </w:cols>
          <w:pgMar w:left="440" w:top="270" w:right="4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Officers and Employees</w:t>
      </w:r>
    </w:p>
    <w:p>
      <w:pPr>
        <w:spacing w:after="0" w:line="207"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b w:val="1"/>
          <w:bCs w:val="1"/>
          <w:color w:val="auto"/>
        </w:rPr>
        <w:t xml:space="preserve">Section 1. Officers. </w:t>
      </w:r>
      <w:r>
        <w:rPr>
          <w:rFonts w:ascii="Arial" w:cs="Arial" w:eastAsia="Arial" w:hAnsi="Arial"/>
          <w:sz w:val="17"/>
          <w:szCs w:val="17"/>
          <w:color w:val="auto"/>
        </w:rPr>
        <w:t>The board of directors shall annually, at the Annual Reorganization Meeting of the board of directors following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the shareholders, appoint or elect a Chairperson of the Board, a Chief Executive Officer and a President, and one or more Vice Presidents, a Corporate Secretary, a Treasurer, a General Auditor, and such other officers as it may determine. At the Annual Reorganization Meeting, the board of directors shall also elect or reelect all of the officers of the association to hold office until the next Annual Reorganization Meeting. In the interim between Annual Reorganization Meetings, the board of directors may also elect or appoint a Chief Executive Officer, a President or such additional officers to the rank of Vice President, including (without limitation as to title or number) one or more Administrative Vice Presidents, Group Vice Presidents, Senior Vice Presidents and Executive Vice Presidents, and any other officer positions as they deem necessary and appropriate. The Chief Executive Officer of M&amp;T Bank, the head of the Human Resources Department of M&amp;T Bank, and any one executive Vice Chairman of M&amp;T Bank, acting jointly, may appoint one or more officers to the rank of Executive Vice President or Senior Vice President. The head of the Human Resources Department of M&amp;T Bank or his or her designee or designees, may appoint other officers up to the rank of Group Vice President, including (without limitation as to title or number) one or more Administrative Vice Presidents, Vice Presidents, Assistant Vice Presidents, Assistant Secretaries, Assistant Treasurers and Assistant Auditors, and any other officer positions as they deem necessary and appropriate. Each such person elected or appointed by the board of directors, the Chief Executive Officer of M&amp;T Bank, the head of the Human Resources Department of M&amp;T Bank, and an executive Vice Chairman of M&amp;T Bank, acting jointly, or the head of the Human Resources Department of M&amp;T Bank or his or her designee or designees, in between Annual Reorganization Meetings shall hold office until the next Annual Reorganization Meeting unless otherwise determined by the board of directors or such authorized officers.</w:t>
      </w:r>
    </w:p>
    <w:p>
      <w:pPr>
        <w:spacing w:after="0" w:line="181" w:lineRule="exact"/>
        <w:rPr>
          <w:sz w:val="20"/>
          <w:szCs w:val="20"/>
          <w:color w:val="auto"/>
        </w:rPr>
      </w:pPr>
    </w:p>
    <w:p>
      <w:pPr>
        <w:ind w:right="60" w:firstLine="441"/>
        <w:spacing w:after="0" w:line="303" w:lineRule="auto"/>
        <w:rPr>
          <w:sz w:val="20"/>
          <w:szCs w:val="20"/>
          <w:color w:val="auto"/>
        </w:rPr>
      </w:pPr>
      <w:r>
        <w:rPr>
          <w:rFonts w:ascii="Arial" w:cs="Arial" w:eastAsia="Arial" w:hAnsi="Arial"/>
          <w:sz w:val="16"/>
          <w:szCs w:val="16"/>
          <w:b w:val="1"/>
          <w:bCs w:val="1"/>
          <w:color w:val="auto"/>
        </w:rPr>
        <w:t>Section 2. Chairperson of the Board</w:t>
      </w:r>
      <w:r>
        <w:rPr>
          <w:rFonts w:ascii="Arial" w:cs="Arial" w:eastAsia="Arial" w:hAnsi="Arial"/>
          <w:sz w:val="16"/>
          <w:szCs w:val="16"/>
          <w:color w:val="auto"/>
        </w:rPr>
        <w:t>. The board of directors shall appoint one of its members to be the chairperson of the board to serve at its</w:t>
      </w:r>
      <w:r>
        <w:rPr>
          <w:rFonts w:ascii="Arial" w:cs="Arial" w:eastAsia="Arial" w:hAnsi="Arial"/>
          <w:sz w:val="16"/>
          <w:szCs w:val="16"/>
          <w:b w:val="1"/>
          <w:bCs w:val="1"/>
          <w:color w:val="auto"/>
        </w:rPr>
        <w:t xml:space="preserve"> </w:t>
      </w:r>
      <w:r>
        <w:rPr>
          <w:rFonts w:ascii="Arial" w:cs="Arial" w:eastAsia="Arial" w:hAnsi="Arial"/>
          <w:sz w:val="16"/>
          <w:szCs w:val="16"/>
          <w:color w:val="auto"/>
        </w:rPr>
        <w:t>pleasure. Such person shall preside at all meetings of the board of directors. The chairperson of the board shall supervise the carrying out of the policies adopted or approved by the board of directors; shall have general executive powers, as well as the specific powers conferred by these bylaws; and shall also have and may exercise such further powers and duties as from time to time may be conferred upon or assigned by the board of directors.</w:t>
      </w:r>
    </w:p>
    <w:p>
      <w:pPr>
        <w:spacing w:after="0" w:line="151" w:lineRule="exact"/>
        <w:rPr>
          <w:sz w:val="20"/>
          <w:szCs w:val="20"/>
          <w:color w:val="auto"/>
        </w:rPr>
      </w:pPr>
    </w:p>
    <w:p>
      <w:pPr>
        <w:ind w:right="160" w:firstLine="441"/>
        <w:spacing w:after="0" w:line="303" w:lineRule="auto"/>
        <w:rPr>
          <w:sz w:val="20"/>
          <w:szCs w:val="20"/>
          <w:color w:val="auto"/>
        </w:rPr>
      </w:pPr>
      <w:r>
        <w:rPr>
          <w:rFonts w:ascii="Arial" w:cs="Arial" w:eastAsia="Arial" w:hAnsi="Arial"/>
          <w:sz w:val="16"/>
          <w:szCs w:val="16"/>
          <w:b w:val="1"/>
          <w:bCs w:val="1"/>
          <w:color w:val="auto"/>
        </w:rPr>
        <w:t>Section 3. President</w:t>
      </w:r>
      <w:r>
        <w:rPr>
          <w:rFonts w:ascii="Arial" w:cs="Arial" w:eastAsia="Arial" w:hAnsi="Arial"/>
          <w:sz w:val="16"/>
          <w:szCs w:val="16"/>
          <w:color w:val="auto"/>
        </w:rPr>
        <w:t>. The board of directors shall appoint one of its members to be the president of the association. In the absence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chairperson, the president shall preside at any meeting of the board of directors. The president shall have general executive powers and shall have and may exercise any and all other powers and duties pertaining by law, regulation, or practice to the office of president, or imposed by these bylaws. The president shall also have and may exercise such further powers and duties as from time to time may be conferred or assigned by the board of directors.</w:t>
      </w:r>
    </w:p>
    <w:p>
      <w:pPr>
        <w:spacing w:after="0" w:line="151"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Section 4. Vice President</w:t>
      </w:r>
      <w:r>
        <w:rPr>
          <w:rFonts w:ascii="Arial" w:cs="Arial" w:eastAsia="Arial" w:hAnsi="Arial"/>
          <w:sz w:val="18"/>
          <w:szCs w:val="18"/>
          <w:color w:val="auto"/>
        </w:rPr>
        <w:t>. The board of directors may appoint one or more vice presidents. Each vice president shall have such powers and duties</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assigned by the board of directors. One vice president shall be designated by the board of directors, in the absence of the president, to perform all the duties of the president.</w:t>
      </w:r>
    </w:p>
    <w:p>
      <w:pPr>
        <w:spacing w:after="0" w:line="176" w:lineRule="exact"/>
        <w:rPr>
          <w:sz w:val="20"/>
          <w:szCs w:val="20"/>
          <w:color w:val="auto"/>
        </w:rPr>
      </w:pPr>
    </w:p>
    <w:p>
      <w:pPr>
        <w:ind w:right="20" w:firstLine="441"/>
        <w:spacing w:after="0" w:line="298" w:lineRule="auto"/>
        <w:rPr>
          <w:sz w:val="20"/>
          <w:szCs w:val="20"/>
          <w:color w:val="auto"/>
        </w:rPr>
      </w:pPr>
      <w:r>
        <w:rPr>
          <w:rFonts w:ascii="Arial" w:cs="Arial" w:eastAsia="Arial" w:hAnsi="Arial"/>
          <w:sz w:val="16"/>
          <w:szCs w:val="16"/>
          <w:b w:val="1"/>
          <w:bCs w:val="1"/>
          <w:color w:val="auto"/>
        </w:rPr>
        <w:t>Section 5. Secretary</w:t>
      </w:r>
      <w:r>
        <w:rPr>
          <w:rFonts w:ascii="Arial" w:cs="Arial" w:eastAsia="Arial" w:hAnsi="Arial"/>
          <w:sz w:val="16"/>
          <w:szCs w:val="16"/>
          <w:color w:val="auto"/>
        </w:rPr>
        <w:t>. The board of directors shall appoint a secretary, treasurer, or other designated officer who shall be secretary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and of the association and who shall keep accurate minutes of all meetings. The secretary shall attend to the giving of all notices required by these bylaws; shall be custodian of the corporate seal, records, documents and papers of the association; shall provide for the keeping of proper records of all transactions of the association; shall have and may exercise any and all other powers and duties pertaining by law, regulation or practice to the office of treasurer, or imposed by these bylaws; and shall also perform such other duties as may be assigned from time to time, by the board of directors.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w:t>
      </w:r>
    </w:p>
    <w:p>
      <w:pPr>
        <w:sectPr>
          <w:pgSz w:w="11900" w:h="16838" w:orient="portrait"/>
          <w:cols w:equalWidth="0" w:num="1">
            <w:col w:w="11000"/>
          </w:cols>
          <w:pgMar w:left="440" w:top="270" w:right="459" w:bottom="1440" w:gutter="0" w:footer="0" w:header="0"/>
        </w:sectPr>
      </w:pPr>
    </w:p>
    <w:bookmarkStart w:id="106" w:name="page107"/>
    <w:bookmarkEnd w:id="106"/>
    <w:p>
      <w:pPr>
        <w:ind w:right="100" w:firstLine="441"/>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 Other Officers</w:t>
      </w:r>
      <w:r>
        <w:rPr>
          <w:rFonts w:ascii="Arial" w:cs="Arial" w:eastAsia="Arial" w:hAnsi="Arial"/>
          <w:sz w:val="18"/>
          <w:szCs w:val="18"/>
          <w:color w:val="auto"/>
        </w:rPr>
        <w:t>. The board of directors may appoint one or more assistant vice presidents, one or more trust officers,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assistant secretaries, one or more assistant treasurers, one or more managers and assistant managers of branches and such other officers and attorneys in fact as from time to time may appear to the board of directors to be required or desirable to transact the business of the association. Such officers shall respectively exercise such powers and perform such duties as pertain to their several offices, or as may be conferred upon or assigned to them by the board of directors, the chairperson of the board, or the president. The board of directors may authorize an officer to appoint one or more officers or assistant officers.</w:t>
      </w:r>
    </w:p>
    <w:p>
      <w:pPr>
        <w:spacing w:after="0" w:line="188"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b w:val="1"/>
          <w:bCs w:val="1"/>
          <w:color w:val="auto"/>
        </w:rPr>
        <w:t>Section 7. Tenure of Office</w:t>
      </w:r>
      <w:r>
        <w:rPr>
          <w:rFonts w:ascii="Arial" w:cs="Arial" w:eastAsia="Arial" w:hAnsi="Arial"/>
          <w:sz w:val="18"/>
          <w:szCs w:val="18"/>
          <w:color w:val="auto"/>
        </w:rPr>
        <w:t>. The president and all other officers shall hold office for the current year for which the board of directors was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shall resign, become disqualified, or be removed; and any vacancy occurring in the office of president shall be filled promptly by the board of directors.</w:t>
      </w:r>
    </w:p>
    <w:p>
      <w:pPr>
        <w:spacing w:after="0" w:line="176"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b w:val="1"/>
          <w:bCs w:val="1"/>
          <w:color w:val="auto"/>
        </w:rPr>
        <w:t>Section 8. Resignation</w:t>
      </w:r>
      <w:r>
        <w:rPr>
          <w:rFonts w:ascii="Arial" w:cs="Arial" w:eastAsia="Arial" w:hAnsi="Arial"/>
          <w:sz w:val="18"/>
          <w:szCs w:val="18"/>
          <w:color w:val="auto"/>
        </w:rPr>
        <w:t>. An officer may resign at any time by delivering notice to the association. A resignation is effective when the notice is</w:t>
      </w:r>
      <w:r>
        <w:rPr>
          <w:rFonts w:ascii="Arial" w:cs="Arial" w:eastAsia="Arial" w:hAnsi="Arial"/>
          <w:sz w:val="18"/>
          <w:szCs w:val="18"/>
          <w:b w:val="1"/>
          <w:bCs w:val="1"/>
          <w:color w:val="auto"/>
        </w:rPr>
        <w:t xml:space="preserve"> </w:t>
      </w:r>
      <w:r>
        <w:rPr>
          <w:rFonts w:ascii="Arial" w:cs="Arial" w:eastAsia="Arial" w:hAnsi="Arial"/>
          <w:sz w:val="18"/>
          <w:szCs w:val="18"/>
          <w:color w:val="auto"/>
        </w:rPr>
        <w:t>given unless the notice specifies a later effective date.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Fiduciary Activities</w:t>
      </w:r>
    </w:p>
    <w:p>
      <w:pPr>
        <w:spacing w:after="0" w:line="207" w:lineRule="exact"/>
        <w:rPr>
          <w:sz w:val="20"/>
          <w:szCs w:val="20"/>
          <w:color w:val="auto"/>
        </w:rPr>
      </w:pPr>
    </w:p>
    <w:p>
      <w:pPr>
        <w:ind w:firstLine="441"/>
        <w:spacing w:after="0" w:line="295" w:lineRule="auto"/>
        <w:rPr>
          <w:sz w:val="20"/>
          <w:szCs w:val="20"/>
          <w:color w:val="auto"/>
        </w:rPr>
      </w:pPr>
      <w:r>
        <w:rPr>
          <w:rFonts w:ascii="Arial" w:cs="Arial" w:eastAsia="Arial" w:hAnsi="Arial"/>
          <w:sz w:val="16"/>
          <w:szCs w:val="16"/>
          <w:b w:val="1"/>
          <w:bCs w:val="1"/>
          <w:color w:val="auto"/>
        </w:rPr>
        <w:t xml:space="preserve">Section 1. Trust Audit Committee. </w:t>
      </w:r>
      <w:r>
        <w:rPr>
          <w:rFonts w:ascii="Arial" w:cs="Arial" w:eastAsia="Arial" w:hAnsi="Arial"/>
          <w:sz w:val="16"/>
          <w:szCs w:val="16"/>
          <w:color w:val="auto"/>
        </w:rPr>
        <w:t>There shall be a Trust Audit Committee composed of not less than 2 directors, appointed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which shall, at least once during each calendar year make suitable audits of the association’s fiduciary activities or cause suitable audits to be made by auditors responsible only to the board, and at such time shall ascertain whether fiduciary powers have been administered according to law, Part 9 of the Regulations of the Comptroller of the Currency, and sound fiduciary principles. Such committee: (1) must not include any officers of the bank or an affiliate who participate significantly in the administration of the bank’s fiduciary activities; and (2) must consist of a majority of members who are not also members of any committee to which the board of directors has delegated power to manage and control the fiduciary activities of the bank.</w:t>
      </w:r>
    </w:p>
    <w:p>
      <w:pPr>
        <w:spacing w:after="0" w:line="16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Notwithstanding the provisions of the first paragraph of this section 1, the responsibility and authority of the Trust Audit Committee may, if authorized by law, be given over to a duly constituted audit committee of the association’s parent corporation by a resolution duly adopted by the board of directors.</w:t>
      </w:r>
    </w:p>
    <w:p>
      <w:pPr>
        <w:spacing w:after="0" w:line="177"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b w:val="1"/>
          <w:bCs w:val="1"/>
          <w:color w:val="auto"/>
        </w:rPr>
        <w:t xml:space="preserve">Section 2. Fiduciary Files. </w:t>
      </w:r>
      <w:r>
        <w:rPr>
          <w:rFonts w:ascii="Arial" w:cs="Arial" w:eastAsia="Arial" w:hAnsi="Arial"/>
          <w:sz w:val="18"/>
          <w:szCs w:val="18"/>
          <w:color w:val="auto"/>
        </w:rPr>
        <w:t>There shall be maintained by the association all fiduciary records necessary to assure that its fiduciary responsibilities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properly undertaken and discharged.</w:t>
      </w:r>
    </w:p>
    <w:p>
      <w:pPr>
        <w:spacing w:after="0" w:line="162" w:lineRule="exact"/>
        <w:rPr>
          <w:sz w:val="20"/>
          <w:szCs w:val="20"/>
          <w:color w:val="auto"/>
        </w:rPr>
      </w:pPr>
    </w:p>
    <w:p>
      <w:pPr>
        <w:ind w:right="380" w:firstLine="441"/>
        <w:spacing w:after="0" w:line="261" w:lineRule="auto"/>
        <w:rPr>
          <w:sz w:val="20"/>
          <w:szCs w:val="20"/>
          <w:color w:val="auto"/>
        </w:rPr>
      </w:pPr>
      <w:r>
        <w:rPr>
          <w:rFonts w:ascii="Arial" w:cs="Arial" w:eastAsia="Arial" w:hAnsi="Arial"/>
          <w:sz w:val="18"/>
          <w:szCs w:val="18"/>
          <w:b w:val="1"/>
          <w:bCs w:val="1"/>
          <w:color w:val="auto"/>
        </w:rPr>
        <w:t xml:space="preserve">Section 3. Trust Investments. </w:t>
      </w:r>
      <w:r>
        <w:rPr>
          <w:rFonts w:ascii="Arial" w:cs="Arial" w:eastAsia="Arial" w:hAnsi="Arial"/>
          <w:sz w:val="18"/>
          <w:szCs w:val="18"/>
          <w:color w:val="auto"/>
        </w:rPr>
        <w:t>Funds held in a fiduciary capacity shall be invested according to the instrument establishing the fiduciary</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and applicable law. Where such instrument does not specify the character and class of investments to be made, but does vest in the association investment discretion, funds held pursuant to such instrument shall be invested in investments in which corporate fiduciaries may invest under applicable law.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 –</w:t>
      </w:r>
    </w:p>
    <w:p>
      <w:pPr>
        <w:sectPr>
          <w:pgSz w:w="11900" w:h="16838" w:orient="portrait"/>
          <w:cols w:equalWidth="0" w:num="1">
            <w:col w:w="11020"/>
          </w:cols>
          <w:pgMar w:left="440" w:top="270" w:right="4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and Stock Certificates</w:t>
      </w:r>
    </w:p>
    <w:p>
      <w:pPr>
        <w:spacing w:after="0" w:line="207" w:lineRule="exact"/>
        <w:rPr>
          <w:sz w:val="20"/>
          <w:szCs w:val="20"/>
          <w:color w:val="auto"/>
        </w:rPr>
      </w:pPr>
    </w:p>
    <w:p>
      <w:pPr>
        <w:ind w:firstLine="441"/>
        <w:spacing w:after="0" w:line="303" w:lineRule="auto"/>
        <w:rPr>
          <w:sz w:val="20"/>
          <w:szCs w:val="20"/>
          <w:color w:val="auto"/>
        </w:rPr>
      </w:pPr>
      <w:r>
        <w:rPr>
          <w:rFonts w:ascii="Arial" w:cs="Arial" w:eastAsia="Arial" w:hAnsi="Arial"/>
          <w:sz w:val="16"/>
          <w:szCs w:val="16"/>
          <w:b w:val="1"/>
          <w:bCs w:val="1"/>
          <w:color w:val="auto"/>
        </w:rPr>
        <w:t>Section 1. Transfers</w:t>
      </w:r>
      <w:r>
        <w:rPr>
          <w:rFonts w:ascii="Arial" w:cs="Arial" w:eastAsia="Arial" w:hAnsi="Arial"/>
          <w:sz w:val="16"/>
          <w:szCs w:val="16"/>
          <w:color w:val="auto"/>
        </w:rPr>
        <w:t>. Shares of stock shall be transferable on the books of the association, and a transfer book shall be kept in which all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shall be recorded. Every person becoming a shareholder by such transfer shall in proportion to such shareholder’s shares, succeed to all rights of the prior holder of such shares. The board of directors may impose conditions upon the transfer of the stock reasonably calculated to simplify the work of the association with respect to stock transfers, voting at shareholder meetings and related matters and to protect it against fraudulent transfers.</w:t>
      </w:r>
    </w:p>
    <w:p>
      <w:pPr>
        <w:spacing w:after="0" w:line="151" w:lineRule="exact"/>
        <w:rPr>
          <w:sz w:val="20"/>
          <w:szCs w:val="20"/>
          <w:color w:val="auto"/>
        </w:rPr>
      </w:pPr>
    </w:p>
    <w:p>
      <w:pPr>
        <w:jc w:val="both"/>
        <w:ind w:right="120" w:firstLine="441"/>
        <w:spacing w:after="0" w:line="303" w:lineRule="auto"/>
        <w:rPr>
          <w:sz w:val="20"/>
          <w:szCs w:val="20"/>
          <w:color w:val="auto"/>
        </w:rPr>
      </w:pPr>
      <w:r>
        <w:rPr>
          <w:rFonts w:ascii="Arial" w:cs="Arial" w:eastAsia="Arial" w:hAnsi="Arial"/>
          <w:sz w:val="16"/>
          <w:szCs w:val="16"/>
          <w:b w:val="1"/>
          <w:bCs w:val="1"/>
          <w:color w:val="auto"/>
        </w:rPr>
        <w:t>Section 2. Stock Certificates</w:t>
      </w:r>
      <w:r>
        <w:rPr>
          <w:rFonts w:ascii="Arial" w:cs="Arial" w:eastAsia="Arial" w:hAnsi="Arial"/>
          <w:sz w:val="16"/>
          <w:szCs w:val="16"/>
          <w:color w:val="auto"/>
        </w:rPr>
        <w:t>. Certificates of stock shall bear the signature of the president (which may be engraved, printed or impressed)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signed manually or by facsimile process by the secretary, assistant secretary, treasurer, assistant treasurer, or any other officer appointed by the board of directors for that purpose, to be known as an authorized officer, and the seal of the association shall be engraved thereon. Each certificate shall recite on its face that the stock represented thereby is transferable only upon the books of the association properly endorsed.</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may adopt or use procedures for replacing lost, stolen, or destroyed stock certificates as permitted by law.</w:t>
      </w:r>
    </w:p>
    <w:p>
      <w:pPr>
        <w:spacing w:after="0" w:line="22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The association may establish a procedure through which the beneficial owner of shares that are registered in the name of a nominee may be recognized by the association as the shareholder. The procedure may set forth:</w:t>
      </w:r>
    </w:p>
    <w:p>
      <w:pPr>
        <w:spacing w:after="0" w:line="76" w:lineRule="exact"/>
        <w:rPr>
          <w:sz w:val="20"/>
          <w:szCs w:val="20"/>
          <w:color w:val="auto"/>
        </w:rPr>
      </w:pPr>
    </w:p>
    <w:p>
      <w:pPr>
        <w:ind w:left="860" w:hanging="424"/>
        <w:spacing w:after="0"/>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types of nominees to which it applies;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rights or privileges that the association recognizes in a beneficial owner;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How the nominee may request the association to recognize the beneficial owner as the shareholder;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that must be provided when the procedure is selected;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period over which the association will continue to recognize the beneficial owner as the shareholder;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aspects of the rights and duties created.</w:t>
      </w:r>
    </w:p>
    <w:p>
      <w:pPr>
        <w:spacing w:after="0" w:line="200" w:lineRule="exact"/>
        <w:rPr>
          <w:sz w:val="20"/>
          <w:szCs w:val="20"/>
          <w:color w:val="auto"/>
        </w:rPr>
      </w:pPr>
    </w:p>
    <w:p>
      <w:pPr>
        <w:spacing w:after="0" w:line="23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u w:val="single" w:color="auto"/>
          <w:color w:val="auto"/>
        </w:rPr>
        <w:t>Corporate Seal</w:t>
      </w:r>
    </w:p>
    <w:p>
      <w:pPr>
        <w:spacing w:after="0" w:line="207"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b w:val="1"/>
          <w:bCs w:val="1"/>
          <w:color w:val="auto"/>
        </w:rPr>
        <w:t>Section 1. Seal</w:t>
      </w:r>
      <w:r>
        <w:rPr>
          <w:rFonts w:ascii="Arial" w:cs="Arial" w:eastAsia="Arial" w:hAnsi="Arial"/>
          <w:sz w:val="18"/>
          <w:szCs w:val="18"/>
          <w:color w:val="auto"/>
        </w:rPr>
        <w:t>. The seal of the association shall be in such form as may be determined from time to time by the board of directors. The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treasurer, the secretary or any assistant treasurer or assistant secretary, or other officer thereunto designated by the board of directors shall have authority to affix the corporate seal to any document requiring such seal and to attest the same. The seal on any corporate obligation for the payment of money may be facsimile.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 –</w:t>
      </w:r>
    </w:p>
    <w:p>
      <w:pPr>
        <w:sectPr>
          <w:pgSz w:w="11900" w:h="16838" w:orient="portrait"/>
          <w:cols w:equalWidth="0" w:num="1">
            <w:col w:w="11020"/>
          </w:cols>
          <w:pgMar w:left="440" w:top="270" w:right="439" w:bottom="1440" w:gutter="0" w:footer="0" w:header="0"/>
        </w:sectPr>
      </w:pPr>
    </w:p>
    <w:bookmarkStart w:id="108" w:name="page109"/>
    <w:bookmarkEnd w:id="10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 Fiscal Year</w:t>
      </w:r>
      <w:r>
        <w:rPr>
          <w:rFonts w:ascii="Arial" w:cs="Arial" w:eastAsia="Arial" w:hAnsi="Arial"/>
          <w:sz w:val="18"/>
          <w:szCs w:val="18"/>
          <w:color w:val="auto"/>
        </w:rPr>
        <w:t>. The fiscal year of the association shall be the calendar year.</w:t>
      </w:r>
    </w:p>
    <w:p>
      <w:pPr>
        <w:spacing w:after="0" w:line="225"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b w:val="1"/>
          <w:bCs w:val="1"/>
          <w:color w:val="auto"/>
        </w:rPr>
        <w:t>Section 2. Execution of Instruments</w:t>
      </w:r>
      <w:r>
        <w:rPr>
          <w:rFonts w:ascii="Arial" w:cs="Arial" w:eastAsia="Arial" w:hAnsi="Arial"/>
          <w:sz w:val="17"/>
          <w:szCs w:val="17"/>
          <w:color w:val="auto"/>
        </w:rPr>
        <w:t>. All agreements, indentures, mortgages, deeds, conveyances, transfers, certificates, declarations, receipts,</w:t>
      </w:r>
      <w:r>
        <w:rPr>
          <w:rFonts w:ascii="Arial" w:cs="Arial" w:eastAsia="Arial" w:hAnsi="Arial"/>
          <w:sz w:val="17"/>
          <w:szCs w:val="17"/>
          <w:b w:val="1"/>
          <w:bCs w:val="1"/>
          <w:color w:val="auto"/>
        </w:rPr>
        <w:t xml:space="preserve"> </w:t>
      </w:r>
      <w:r>
        <w:rPr>
          <w:rFonts w:ascii="Arial" w:cs="Arial" w:eastAsia="Arial" w:hAnsi="Arial"/>
          <w:sz w:val="17"/>
          <w:szCs w:val="17"/>
          <w:color w:val="auto"/>
        </w:rPr>
        <w:t>discharges, releases, satisfactions, settlements, petitions, schedules, accounts, affidavits, bonds, undertakings, proxies and other instruments or documents may be signed, executed, acknowledged, verified, delivered or accepted on behalf of the association by the chairperson of the board, or the president, or any vice president, or the secretary, or the treasurer, or, if in connection with the exercise of fiduciary powers of the association, by any of those offices or by any trust officer. Any such instruments may also be executed, acknowledged, verified, delivered or accepted on behalf of the association in such other manner and by such other officers as the board of directors may from time to time direct. The provisions of this section 2 are supplementary to any other provision of these bylaws.</w:t>
      </w:r>
    </w:p>
    <w:p>
      <w:pPr>
        <w:spacing w:after="0" w:line="172" w:lineRule="exact"/>
        <w:rPr>
          <w:sz w:val="20"/>
          <w:szCs w:val="20"/>
          <w:color w:val="auto"/>
        </w:rPr>
      </w:pPr>
    </w:p>
    <w:p>
      <w:pPr>
        <w:jc w:val="both"/>
        <w:ind w:right="260" w:firstLine="441"/>
        <w:spacing w:after="0" w:line="289" w:lineRule="auto"/>
        <w:rPr>
          <w:sz w:val="20"/>
          <w:szCs w:val="20"/>
          <w:color w:val="auto"/>
        </w:rPr>
      </w:pPr>
      <w:r>
        <w:rPr>
          <w:rFonts w:ascii="Arial" w:cs="Arial" w:eastAsia="Arial" w:hAnsi="Arial"/>
          <w:sz w:val="17"/>
          <w:szCs w:val="17"/>
          <w:b w:val="1"/>
          <w:bCs w:val="1"/>
          <w:color w:val="auto"/>
        </w:rPr>
        <w:t>Section 3. Records</w:t>
      </w:r>
      <w:r>
        <w:rPr>
          <w:rFonts w:ascii="Arial" w:cs="Arial" w:eastAsia="Arial" w:hAnsi="Arial"/>
          <w:sz w:val="17"/>
          <w:szCs w:val="17"/>
          <w:color w:val="auto"/>
        </w:rPr>
        <w:t>. The articles of association, the bylaws and the proceedings of all meetings of the shareholders, the board of directors,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committees of the board of directors shall be recorded in appropriate minute books provided for that purpose. The minutes of each meeting shall be signed by the secretary, treasurer or other officer appointed to act as secretary of the meeting.</w:t>
      </w:r>
    </w:p>
    <w:p>
      <w:pPr>
        <w:spacing w:after="0" w:line="158" w:lineRule="exact"/>
        <w:rPr>
          <w:sz w:val="20"/>
          <w:szCs w:val="20"/>
          <w:color w:val="auto"/>
        </w:rPr>
      </w:pPr>
    </w:p>
    <w:p>
      <w:pPr>
        <w:jc w:val="both"/>
        <w:ind w:right="140" w:firstLine="441"/>
        <w:spacing w:after="0" w:line="266" w:lineRule="auto"/>
        <w:rPr>
          <w:sz w:val="20"/>
          <w:szCs w:val="20"/>
          <w:color w:val="auto"/>
        </w:rPr>
      </w:pPr>
      <w:r>
        <w:rPr>
          <w:rFonts w:ascii="Arial" w:cs="Arial" w:eastAsia="Arial" w:hAnsi="Arial"/>
          <w:sz w:val="18"/>
          <w:szCs w:val="18"/>
          <w:b w:val="1"/>
          <w:bCs w:val="1"/>
          <w:color w:val="auto"/>
        </w:rPr>
        <w:t xml:space="preserve">Section 4. Corporate Governance Procedures. </w:t>
      </w:r>
      <w:r>
        <w:rPr>
          <w:rFonts w:ascii="Arial" w:cs="Arial" w:eastAsia="Arial" w:hAnsi="Arial"/>
          <w:sz w:val="18"/>
          <w:szCs w:val="18"/>
          <w:color w:val="auto"/>
        </w:rPr>
        <w:t>To the extent not inconsistent with federal banking statutes and regulations, or safe and sound</w:t>
      </w:r>
      <w:r>
        <w:rPr>
          <w:rFonts w:ascii="Arial" w:cs="Arial" w:eastAsia="Arial" w:hAnsi="Arial"/>
          <w:sz w:val="18"/>
          <w:szCs w:val="18"/>
          <w:b w:val="1"/>
          <w:bCs w:val="1"/>
          <w:color w:val="auto"/>
        </w:rPr>
        <w:t xml:space="preserve"> </w:t>
      </w:r>
      <w:r>
        <w:rPr>
          <w:rFonts w:ascii="Arial" w:cs="Arial" w:eastAsia="Arial" w:hAnsi="Arial"/>
          <w:sz w:val="18"/>
          <w:szCs w:val="18"/>
          <w:color w:val="auto"/>
        </w:rPr>
        <w:t>banking practices, the association may follow the Delaware General Corporation Law, Del. Code Ann. tit. 8 (1991, as amended 1994, and as amended thereafter) with respect to matters of corporate governance procedures.</w:t>
      </w:r>
    </w:p>
    <w:p>
      <w:pPr>
        <w:spacing w:after="0" w:line="176" w:lineRule="exact"/>
        <w:rPr>
          <w:sz w:val="20"/>
          <w:szCs w:val="20"/>
          <w:color w:val="auto"/>
        </w:rPr>
      </w:pPr>
    </w:p>
    <w:p>
      <w:pPr>
        <w:ind w:right="460" w:firstLine="441"/>
        <w:spacing w:after="0" w:line="282" w:lineRule="auto"/>
        <w:rPr>
          <w:sz w:val="20"/>
          <w:szCs w:val="20"/>
          <w:color w:val="auto"/>
        </w:rPr>
      </w:pPr>
      <w:r>
        <w:rPr>
          <w:rFonts w:ascii="Arial" w:cs="Arial" w:eastAsia="Arial" w:hAnsi="Arial"/>
          <w:sz w:val="18"/>
          <w:szCs w:val="18"/>
          <w:b w:val="1"/>
          <w:bCs w:val="1"/>
          <w:color w:val="auto"/>
        </w:rPr>
        <w:t xml:space="preserve">Section 5. Indemnification. </w:t>
      </w:r>
      <w:r>
        <w:rPr>
          <w:rFonts w:ascii="Arial" w:cs="Arial" w:eastAsia="Arial" w:hAnsi="Arial"/>
          <w:sz w:val="18"/>
          <w:szCs w:val="18"/>
          <w:color w:val="auto"/>
        </w:rPr>
        <w:t>For purposes of this Section 5 of Article VIII, the term “institution-affiliated party” shall mean any institution-affiliated party of the association as such term is defined in 12 U.S.C. 1813(u).</w:t>
      </w:r>
    </w:p>
    <w:p>
      <w:pPr>
        <w:spacing w:after="0" w:line="166"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w:t>
      </w:r>
    </w:p>
    <w:p>
      <w:pPr>
        <w:spacing w:after="0" w:line="183"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 –</w:t>
      </w:r>
    </w:p>
    <w:p>
      <w:pPr>
        <w:sectPr>
          <w:pgSz w:w="11900" w:h="16838" w:orient="portrait"/>
          <w:cols w:equalWidth="0" w:num="1">
            <w:col w:w="10960"/>
          </w:cols>
          <w:pgMar w:left="440" w:top="270" w:right="499" w:bottom="1440" w:gutter="0" w:footer="0" w:header="0"/>
        </w:sectPr>
      </w:pPr>
    </w:p>
    <w:bookmarkStart w:id="109" w:name="page110"/>
    <w:bookmarkEnd w:id="10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basis for prevailing on the merits, (b) a determination that the indemnified individual (or his or her heirs, executors or administrators) will have the financial capacity to reimburse the bank in the event he or she does not prevail, (c) a determination that the payment of expenses and fees by the association will not adversely affect the safety and soundness of the association, and (d) receipt of an undertaking by 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these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 such institution- affiliated party (or his or her heirs, executors or administrators) is ultimately found not to be entitled to indemnification as authorized by these bylaws and (b) approval by the board of directors acting by a quorum consisting of directors who are not parties to such action or proceeding or, if such a quorum is not obtainable, then approval by stockholders. To the extent permitted by law, the board of directors or, if applicable, the stockholders, shall not be required to find that the institution-affiliated party has met the applicable standard of conduct provided by law for indemnification in connection with such action or proceeding.</w:t>
      </w:r>
    </w:p>
    <w:p>
      <w:pPr>
        <w:spacing w:after="0" w:line="172"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Section 5 of Article VIII have been met. If independent legal counsel opines that said conditions have been met, the remaining members of the board of directors may rely on such opinion in authorizing the requested indemnification.</w:t>
      </w:r>
    </w:p>
    <w:p>
      <w:pPr>
        <w:spacing w:after="0" w:line="173"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Section 5 of Article VIII have been met. If legal counsel opines that said conditions have been met, the board of directors may rely on such opinion in authorizing the requested indemnification.</w:t>
      </w:r>
    </w:p>
    <w:p>
      <w:pPr>
        <w:spacing w:after="0" w:line="171"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To the extent permitted under applicable law, the rights of indemnification and to the advancement of expenses provided in these articles of association (a) shall be available with respect to events occurring prior to the adoption of these bylaws, (b) shall continue to exist after any restrictive amendment of these bylaws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w:t>
      </w:r>
    </w:p>
    <w:p>
      <w:pPr>
        <w:spacing w:after="0" w:line="16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rights of indemnification and to the advancement of expenses provided in these bylaws shall not, to the extent permitted under applicable law, be deemed exclusive of any other rights to which any such institution-affiliated party (or his or her heirs, executors or administrators) may now or hereafter be otherwise entitled whether contained in the association’s articles of association, these bylaws, a resolution of stockholders, a resolution of the board of directors, or an agreement providing such indemnification, the creation of such other rights being hereby expressly authorized. Without limiting the generality of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 –</w:t>
      </w:r>
    </w:p>
    <w:p>
      <w:pPr>
        <w:sectPr>
          <w:pgSz w:w="11900" w:h="16838" w:orient="portrait"/>
          <w:cols w:equalWidth="0" w:num="1">
            <w:col w:w="11000"/>
          </w:cols>
          <w:pgMar w:left="440" w:top="274" w:right="459" w:bottom="1440" w:gutter="0" w:footer="0" w:header="0"/>
        </w:sectPr>
      </w:pPr>
    </w:p>
    <w:bookmarkStart w:id="110" w:name="page111"/>
    <w:bookmarkEnd w:id="110"/>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foregoing, the rights of indemnification and to the advancement of expenses provided in these bylaws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w:t>
      </w:r>
    </w:p>
    <w:p>
      <w:pPr>
        <w:spacing w:after="0" w:line="187" w:lineRule="exact"/>
        <w:rPr>
          <w:sz w:val="20"/>
          <w:szCs w:val="20"/>
          <w:color w:val="auto"/>
        </w:rPr>
      </w:pPr>
    </w:p>
    <w:p>
      <w:pPr>
        <w:ind w:right="460" w:firstLine="441"/>
        <w:spacing w:after="0" w:line="264" w:lineRule="auto"/>
        <w:rPr>
          <w:sz w:val="20"/>
          <w:szCs w:val="20"/>
          <w:color w:val="auto"/>
        </w:rPr>
      </w:pPr>
      <w:r>
        <w:rPr>
          <w:rFonts w:ascii="Arial" w:cs="Arial" w:eastAsia="Arial" w:hAnsi="Arial"/>
          <w:sz w:val="18"/>
          <w:szCs w:val="18"/>
          <w:color w:val="auto"/>
        </w:rPr>
        <w:t>If this Section 5 of Article VIII or any part hereof shall be held unenforceable in any respect by a court of competent jurisdiction, it shall be deemed modified to the minimum extent necessary to make it enforceable, and the remainder of this Section 5 of Article VIII shall remain fully enforceable.</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association may, upon affirmative vote of a majority of its board of directors, purchase insurance to indemnify its institution-affiliated parties to the extent that such indemnification is allowed in these bylaws; provided, however, that no such insurance shall include coverage for a final order assessing civil money penalties against such persons by a bank regulatory agency. Such insurance may, but need not, be for the benefit of all institution-affiliated parties.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 –</w:t>
      </w:r>
    </w:p>
    <w:p>
      <w:pPr>
        <w:sectPr>
          <w:pgSz w:w="11900" w:h="16838" w:orient="portrait"/>
          <w:cols w:equalWidth="0" w:num="1">
            <w:col w:w="10940"/>
          </w:cols>
          <w:pgMar w:left="440" w:top="274" w:right="51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Inspection and Amendments</w:t>
      </w:r>
    </w:p>
    <w:p>
      <w:pPr>
        <w:spacing w:after="0" w:line="207"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b w:val="1"/>
          <w:bCs w:val="1"/>
          <w:color w:val="auto"/>
        </w:rPr>
        <w:t>Section 1. Inspection</w:t>
      </w:r>
      <w:r>
        <w:rPr>
          <w:rFonts w:ascii="Arial" w:cs="Arial" w:eastAsia="Arial" w:hAnsi="Arial"/>
          <w:sz w:val="18"/>
          <w:szCs w:val="18"/>
          <w:color w:val="auto"/>
        </w:rPr>
        <w:t>. A copy of the bylaws of the association, with all amendments, shall at all times be kept in a convenient place at the main</w:t>
      </w:r>
      <w:r>
        <w:rPr>
          <w:rFonts w:ascii="Arial" w:cs="Arial" w:eastAsia="Arial" w:hAnsi="Arial"/>
          <w:sz w:val="18"/>
          <w:szCs w:val="18"/>
          <w:b w:val="1"/>
          <w:bCs w:val="1"/>
          <w:color w:val="auto"/>
        </w:rPr>
        <w:t xml:space="preserve"> </w:t>
      </w:r>
      <w:r>
        <w:rPr>
          <w:rFonts w:ascii="Arial" w:cs="Arial" w:eastAsia="Arial" w:hAnsi="Arial"/>
          <w:sz w:val="18"/>
          <w:szCs w:val="18"/>
          <w:color w:val="auto"/>
        </w:rPr>
        <w:t>office of the association, and shall be open for inspection to all shareholders during banking hours.</w:t>
      </w:r>
    </w:p>
    <w:p>
      <w:pPr>
        <w:spacing w:after="0" w:line="162"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b w:val="1"/>
          <w:bCs w:val="1"/>
          <w:color w:val="auto"/>
        </w:rPr>
        <w:t>Section 2. Amendments</w:t>
      </w:r>
      <w:r>
        <w:rPr>
          <w:rFonts w:ascii="Arial" w:cs="Arial" w:eastAsia="Arial" w:hAnsi="Arial"/>
          <w:sz w:val="18"/>
          <w:szCs w:val="18"/>
          <w:color w:val="auto"/>
        </w:rPr>
        <w:t>. The bylaws of the association may be amended, altered or repealed, at any regular meeting of the board of directors, by</w:t>
      </w:r>
      <w:r>
        <w:rPr>
          <w:rFonts w:ascii="Arial" w:cs="Arial" w:eastAsia="Arial" w:hAnsi="Arial"/>
          <w:sz w:val="18"/>
          <w:szCs w:val="18"/>
          <w:b w:val="1"/>
          <w:bCs w:val="1"/>
          <w:color w:val="auto"/>
        </w:rPr>
        <w:t xml:space="preserve"> </w:t>
      </w:r>
      <w:r>
        <w:rPr>
          <w:rFonts w:ascii="Arial" w:cs="Arial" w:eastAsia="Arial" w:hAnsi="Arial"/>
          <w:sz w:val="18"/>
          <w:szCs w:val="18"/>
          <w:color w:val="auto"/>
        </w:rPr>
        <w:t>a vote of a majority of the total number of the directors except as provided below, and provided that the following language accompany any such change.</w:t>
      </w:r>
    </w:p>
    <w:p>
      <w:pPr>
        <w:spacing w:after="0" w:line="180" w:lineRule="exact"/>
        <w:rPr>
          <w:sz w:val="20"/>
          <w:szCs w:val="20"/>
          <w:color w:val="auto"/>
        </w:rPr>
      </w:pPr>
    </w:p>
    <w:p>
      <w:pPr>
        <w:ind w:left="440"/>
        <w:spacing w:after="0"/>
        <w:tabs>
          <w:tab w:leader="none" w:pos="1120" w:val="left"/>
          <w:tab w:leader="none" w:pos="66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certify that: (1) I am the duly constituted (secretary or treasurer) of</w:t>
      </w:r>
      <w:r>
        <w:rPr>
          <w:sz w:val="20"/>
          <w:szCs w:val="20"/>
          <w:color w:val="auto"/>
        </w:rPr>
        <w:tab/>
      </w:r>
      <w:r>
        <w:rPr>
          <w:rFonts w:ascii="Arial" w:cs="Arial" w:eastAsia="Arial" w:hAnsi="Arial"/>
          <w:sz w:val="16"/>
          <w:szCs w:val="16"/>
          <w:color w:val="auto"/>
        </w:rPr>
        <w:t>and secretary of its board of directors, and as such officer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-10160</wp:posOffset>
            </wp:positionV>
            <wp:extent cx="285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the official custodian of its records; (2) the foregoing bylaws are the bylaws of the association, and all of them are now lawfully in force and effect.</w:t>
      </w:r>
    </w:p>
    <w:p>
      <w:pPr>
        <w:spacing w:after="0" w:line="222" w:lineRule="exact"/>
        <w:rPr>
          <w:sz w:val="20"/>
          <w:szCs w:val="20"/>
          <w:color w:val="auto"/>
        </w:rPr>
      </w:pPr>
    </w:p>
    <w:p>
      <w:pPr>
        <w:ind w:left="440"/>
        <w:spacing w:after="0"/>
        <w:tabs>
          <w:tab w:leader="none" w:pos="4760" w:val="left"/>
          <w:tab w:leader="none" w:pos="5800" w:val="left"/>
        </w:tabs>
        <w:rPr>
          <w:sz w:val="20"/>
          <w:szCs w:val="20"/>
          <w:color w:val="auto"/>
        </w:rPr>
      </w:pPr>
      <w:r>
        <w:rPr>
          <w:rFonts w:ascii="Arial" w:cs="Arial" w:eastAsia="Arial" w:hAnsi="Arial"/>
          <w:sz w:val="18"/>
          <w:szCs w:val="18"/>
          <w:color w:val="auto"/>
        </w:rPr>
        <w:t>I have hereunto affixed my official signature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443865</wp:posOffset>
            </wp:positionV>
            <wp:extent cx="18351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(Secretary or Treasurer)</w:t>
      </w:r>
    </w:p>
    <w:p>
      <w:pPr>
        <w:spacing w:after="0" w:line="225"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The association’s shareholders may amend or repeal the bylaws even though the bylaws also may be amended or repealed by the board of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 –</w:t>
      </w:r>
    </w:p>
    <w:p>
      <w:pPr>
        <w:sectPr>
          <w:pgSz w:w="11900" w:h="16838" w:orient="portrait"/>
          <w:cols w:equalWidth="0" w:num="1">
            <w:col w:w="11000"/>
          </w:cols>
          <w:pgMar w:left="440" w:top="270" w:right="459" w:bottom="1440" w:gutter="0" w:footer="0" w:header="0"/>
        </w:sectPr>
      </w:pPr>
    </w:p>
    <w:bookmarkStart w:id="112" w:name="page113"/>
    <w:bookmarkEnd w:id="11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321(b) Consent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Section 321(b) of the Trust Indenture Act of 1939, as amended, Wilmington Trust, National Association hereby consents that reports of examinations by Federal, State, Territorial or District authorities may be furnished by such authorities to the Securities and Exchange Commission upon requests therefor.</w:t>
      </w:r>
    </w:p>
    <w:p>
      <w:pPr>
        <w:spacing w:after="0" w:line="32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WILMINGTON TRUST, NATIONAL ASSOCIATION</w:t>
      </w: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Dated: April 24, 2019</w:t>
      </w:r>
      <w:r>
        <w:rPr>
          <w:sz w:val="20"/>
          <w:szCs w:val="20"/>
          <w:color w:val="auto"/>
        </w:rPr>
        <w:tab/>
      </w:r>
      <w:r>
        <w:rPr>
          <w:rFonts w:ascii="Arial" w:cs="Arial" w:eastAsia="Arial" w:hAnsi="Arial"/>
          <w:sz w:val="17"/>
          <w:szCs w:val="17"/>
          <w:color w:val="auto"/>
        </w:rPr>
        <w:t>By: /s/ Sarah Vilhauer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Sarah Vilhauer</w:t>
      </w:r>
    </w:p>
    <w:p>
      <w:pPr>
        <w:spacing w:after="0" w:line="23"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Banking Officer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 –</w:t>
      </w:r>
    </w:p>
    <w:p>
      <w:pPr>
        <w:sectPr>
          <w:pgSz w:w="11900" w:h="16838" w:orient="portrait"/>
          <w:cols w:equalWidth="0" w:num="1">
            <w:col w:w="10940"/>
          </w:cols>
          <w:pgMar w:left="440" w:top="270" w:right="5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40" w:type="dxa"/>
            <w:vAlign w:val="bottom"/>
          </w:tcPr>
          <w:p>
            <w:pPr>
              <w:jc w:val="center"/>
              <w:ind w:left="1990"/>
              <w:spacing w:after="0"/>
              <w:rPr>
                <w:sz w:val="20"/>
                <w:szCs w:val="20"/>
                <w:color w:val="auto"/>
              </w:rPr>
            </w:pPr>
            <w:r>
              <w:rPr>
                <w:rFonts w:ascii="Arial" w:cs="Arial" w:eastAsia="Arial" w:hAnsi="Arial"/>
                <w:sz w:val="18"/>
                <w:szCs w:val="18"/>
                <w:b w:val="1"/>
                <w:bCs w:val="1"/>
                <w:color w:val="auto"/>
              </w:rPr>
              <w:t>EXHIBIT 7</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40" w:type="dxa"/>
            <w:vAlign w:val="bottom"/>
          </w:tcPr>
          <w:p>
            <w:pPr>
              <w:jc w:val="center"/>
              <w:ind w:left="1990"/>
              <w:spacing w:after="0"/>
              <w:rPr>
                <w:sz w:val="20"/>
                <w:szCs w:val="20"/>
                <w:color w:val="auto"/>
              </w:rPr>
            </w:pPr>
            <w:r>
              <w:rPr>
                <w:rFonts w:ascii="Arial" w:cs="Arial" w:eastAsia="Arial" w:hAnsi="Arial"/>
                <w:sz w:val="18"/>
                <w:szCs w:val="18"/>
                <w:b w:val="1"/>
                <w:bCs w:val="1"/>
                <w:color w:val="auto"/>
                <w:w w:val="98"/>
              </w:rPr>
              <w:t>R E P O R T O F C O N D I T I O N</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40" w:type="dxa"/>
            <w:vAlign w:val="bottom"/>
          </w:tcPr>
          <w:p>
            <w:pPr>
              <w:jc w:val="center"/>
              <w:ind w:left="2010"/>
              <w:spacing w:after="0"/>
              <w:rPr>
                <w:sz w:val="20"/>
                <w:szCs w:val="20"/>
                <w:color w:val="auto"/>
              </w:rPr>
            </w:pPr>
            <w:r>
              <w:rPr>
                <w:rFonts w:ascii="Arial" w:cs="Arial" w:eastAsia="Arial" w:hAnsi="Arial"/>
                <w:sz w:val="18"/>
                <w:szCs w:val="18"/>
                <w:b w:val="1"/>
                <w:bCs w:val="1"/>
                <w:color w:val="auto"/>
              </w:rPr>
              <w:t>WILMINGTON TRUST, NATIONAL ASSOCIATION</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40" w:type="dxa"/>
            <w:vAlign w:val="bottom"/>
          </w:tcPr>
          <w:p>
            <w:pPr>
              <w:jc w:val="center"/>
              <w:ind w:left="1990"/>
              <w:spacing w:after="0"/>
              <w:rPr>
                <w:sz w:val="20"/>
                <w:szCs w:val="20"/>
                <w:color w:val="auto"/>
              </w:rPr>
            </w:pPr>
            <w:r>
              <w:rPr>
                <w:rFonts w:ascii="Arial" w:cs="Arial" w:eastAsia="Arial" w:hAnsi="Arial"/>
                <w:sz w:val="18"/>
                <w:szCs w:val="18"/>
                <w:color w:val="auto"/>
                <w:w w:val="89"/>
              </w:rPr>
              <w:t>As of the close of business on December 31, 2018</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1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Thousands of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balances due from depository institutions: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Securities:</w:t>
            </w:r>
          </w:p>
        </w:tc>
        <w:tc>
          <w:tcPr>
            <w:tcW w:w="2100" w:type="dxa"/>
            <w:vAlign w:val="bottom"/>
          </w:tcPr>
          <w:p>
            <w:pPr>
              <w:jc w:val="right"/>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securities purchased under agreement to resell:</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Loans and leases held for sale:</w:t>
            </w:r>
          </w:p>
        </w:tc>
        <w:tc>
          <w:tcPr>
            <w:tcW w:w="21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leases net of unearned income, allowance: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Premises and fixed asset</w:t>
            </w:r>
          </w:p>
        </w:tc>
        <w:tc>
          <w:tcPr>
            <w:tcW w:w="2100" w:type="dxa"/>
            <w:vAlign w:val="bottom"/>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21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Intangible assets:</w:t>
            </w:r>
          </w:p>
        </w:tc>
        <w:tc>
          <w:tcPr>
            <w:tcW w:w="21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Assets:</w:t>
            </w:r>
          </w:p>
        </w:tc>
        <w:tc>
          <w:tcPr>
            <w:tcW w:w="2100" w:type="dxa"/>
            <w:vAlign w:val="bottom"/>
          </w:tcPr>
          <w:p>
            <w:pPr>
              <w:jc w:val="right"/>
              <w:spacing w:after="0"/>
              <w:rPr>
                <w:sz w:val="20"/>
                <w:szCs w:val="20"/>
                <w:color w:val="auto"/>
              </w:rPr>
            </w:pPr>
            <w:r>
              <w:rPr>
                <w:rFonts w:ascii="Arial" w:cs="Arial" w:eastAsia="Arial" w:hAnsi="Arial"/>
                <w:sz w:val="18"/>
                <w:szCs w:val="18"/>
                <w:color w:val="auto"/>
              </w:rPr>
              <w:t>4,322,138</w:t>
            </w:r>
          </w:p>
        </w:tc>
        <w:tc>
          <w:tcPr>
            <w:tcW w:w="0" w:type="dxa"/>
            <w:vAlign w:val="bottom"/>
          </w:tcPr>
          <w:p>
            <w:pPr>
              <w:spacing w:after="0"/>
              <w:rPr>
                <w:sz w:val="1"/>
                <w:szCs w:val="1"/>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Thousands of Dollars</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3,688,737</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7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Other Liabilities:</w:t>
            </w:r>
          </w:p>
        </w:tc>
        <w:tc>
          <w:tcPr>
            <w:tcW w:w="2740" w:type="dxa"/>
            <w:vAlign w:val="bottom"/>
          </w:tcPr>
          <w:p>
            <w:pPr>
              <w:jc w:val="right"/>
              <w:spacing w:after="0"/>
              <w:rPr>
                <w:sz w:val="20"/>
                <w:szCs w:val="20"/>
                <w:color w:val="auto"/>
              </w:rPr>
            </w:pPr>
            <w:r>
              <w:rPr>
                <w:rFonts w:ascii="Arial" w:cs="Arial" w:eastAsia="Arial" w:hAnsi="Arial"/>
                <w:sz w:val="18"/>
                <w:szCs w:val="18"/>
                <w:color w:val="auto"/>
              </w:rPr>
              <w:t>48,112</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3,736,849</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EQUITY CAPITAL</w:t>
            </w:r>
          </w:p>
        </w:tc>
        <w:tc>
          <w:tcPr>
            <w:tcW w:w="5480" w:type="dxa"/>
            <w:vAlign w:val="bottom"/>
          </w:tcPr>
          <w:p>
            <w:pPr>
              <w:jc w:val="right"/>
              <w:ind w:right="30"/>
              <w:spacing w:after="0"/>
              <w:rPr>
                <w:sz w:val="20"/>
                <w:szCs w:val="20"/>
                <w:color w:val="auto"/>
              </w:rPr>
            </w:pPr>
            <w:r>
              <w:rPr>
                <w:rFonts w:ascii="Arial" w:cs="Arial" w:eastAsia="Arial" w:hAnsi="Arial"/>
                <w:sz w:val="18"/>
                <w:szCs w:val="18"/>
                <w:b w:val="1"/>
                <w:bCs w:val="1"/>
                <w:color w:val="auto"/>
              </w:rPr>
              <w:t>Thousands of Dollars</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5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Surplus</w:t>
            </w:r>
          </w:p>
        </w:tc>
        <w:tc>
          <w:tcPr>
            <w:tcW w:w="5480" w:type="dxa"/>
            <w:vAlign w:val="bottom"/>
          </w:tcPr>
          <w:p>
            <w:pPr>
              <w:jc w:val="right"/>
              <w:ind w:right="10"/>
              <w:spacing w:after="0"/>
              <w:rPr>
                <w:sz w:val="20"/>
                <w:szCs w:val="20"/>
                <w:color w:val="auto"/>
              </w:rPr>
            </w:pPr>
            <w:r>
              <w:rPr>
                <w:rFonts w:ascii="Arial" w:cs="Arial" w:eastAsia="Arial" w:hAnsi="Arial"/>
                <w:sz w:val="18"/>
                <w:szCs w:val="18"/>
                <w:color w:val="auto"/>
              </w:rPr>
              <w:t>398,090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186,677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548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5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585,289</w:t>
            </w: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5480" w:type="dxa"/>
            <w:vAlign w:val="bottom"/>
          </w:tcPr>
          <w:p>
            <w:pPr>
              <w:jc w:val="right"/>
              <w:ind w:right="10"/>
              <w:spacing w:after="0"/>
              <w:rPr>
                <w:sz w:val="20"/>
                <w:szCs w:val="20"/>
                <w:color w:val="auto"/>
              </w:rPr>
            </w:pPr>
            <w:r>
              <w:rPr>
                <w:rFonts w:ascii="Arial" w:cs="Arial" w:eastAsia="Arial" w:hAnsi="Arial"/>
                <w:sz w:val="18"/>
                <w:szCs w:val="18"/>
                <w:color w:val="auto"/>
              </w:rPr>
              <w:t>4,322,138</w:t>
            </w:r>
          </w:p>
        </w:tc>
      </w:tr>
      <w:tr>
        <w:trPr>
          <w:trHeight w:val="346"/>
        </w:trPr>
        <w:tc>
          <w:tcPr>
            <w:tcW w:w="3780" w:type="dxa"/>
            <w:vAlign w:val="bottom"/>
          </w:tcPr>
          <w:p>
            <w:pPr>
              <w:spacing w:after="0"/>
              <w:rPr>
                <w:sz w:val="24"/>
                <w:szCs w:val="24"/>
                <w:color w:val="auto"/>
              </w:rPr>
            </w:pPr>
          </w:p>
        </w:tc>
        <w:tc>
          <w:tcPr>
            <w:tcW w:w="5480" w:type="dxa"/>
            <w:vAlign w:val="bottom"/>
          </w:tcPr>
          <w:p>
            <w:pPr>
              <w:jc w:val="right"/>
              <w:ind w:right="4370"/>
              <w:spacing w:after="0"/>
              <w:rPr>
                <w:sz w:val="20"/>
                <w:szCs w:val="20"/>
                <w:color w:val="auto"/>
              </w:rPr>
            </w:pPr>
            <w:r>
              <w:rPr>
                <w:rFonts w:ascii="Arial" w:cs="Arial" w:eastAsia="Arial" w:hAnsi="Arial"/>
                <w:sz w:val="18"/>
                <w:szCs w:val="18"/>
                <w:color w:val="auto"/>
              </w:rPr>
              <w:t>26 –</w:t>
            </w:r>
          </w:p>
        </w:tc>
      </w:tr>
    </w:tbl>
    <w:p>
      <w:pPr>
        <w:spacing w:after="0" w:line="1" w:lineRule="exact"/>
        <w:rPr>
          <w:sz w:val="20"/>
          <w:szCs w:val="20"/>
          <w:color w:val="auto"/>
        </w:rPr>
      </w:pPr>
    </w:p>
    <w:sectPr>
      <w:pgSz w:w="11900" w:h="16838" w:orient="portrait"/>
      <w:cols w:equalWidth="0" w:num="1">
        <w:col w:w="9260"/>
      </w:cols>
      <w:pgMar w:left="1320" w:top="270"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decimal"/>
      <w:start w:val="888"/>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1)"/>
      <w:numFmt w:val="decimal"/>
      <w:start w:val="1"/>
    </w:lvl>
    <w:lvl w:ilvl="1">
      <w:lvlJc w:val="left"/>
      <w:lvlText w:val="(%2)"/>
      <w:numFmt w:val="lowerRoman"/>
      <w:start w:val="1"/>
    </w:lvl>
  </w:abstractNum>
  <w:abstractNum w:abstractNumId="27">
    <w:nsid w:val="3F6AB60F"/>
    <w:multiLevelType w:val="hybridMultilevel"/>
    <w:lvl w:ilvl="0">
      <w:lvlJc w:val="left"/>
      <w:lvlText w:val="%1"/>
      <w:numFmt w:val="decimal"/>
      <w:start w:val="1"/>
    </w:lvl>
    <w:lvl w:ilvl="1">
      <w:lvlJc w:val="left"/>
      <w:lvlText w:val="(%2)"/>
      <w:numFmt w:val="upperLetter"/>
      <w:start w:val="1"/>
    </w:lvl>
  </w:abstractNum>
  <w:abstractNum w:abstractNumId="28">
    <w:nsid w:val="61574095"/>
    <w:multiLevelType w:val="hybridMultilevel"/>
    <w:lvl w:ilvl="0">
      <w:lvlJc w:val="left"/>
      <w:lvlText w:val="(%1)"/>
      <w:numFmt w:val="decimal"/>
      <w:start w:val="2"/>
    </w:lvl>
    <w:lvl w:ilvl="1">
      <w:lvlJc w:val="left"/>
      <w:lvlText w:val="%2"/>
      <w:numFmt w:val="upperLetter"/>
      <w:start w:val="1"/>
    </w:lvl>
  </w:abstractNum>
  <w:abstractNum w:abstractNumId="29">
    <w:nsid w:val="7E0C57B1"/>
    <w:multiLevelType w:val="hybridMultilevel"/>
    <w:lvl w:ilvl="0">
      <w:lvlJc w:val="left"/>
      <w:lvlText w:val="%1"/>
      <w:numFmt w:val="decimal"/>
      <w:start w:val="1"/>
    </w:lvl>
    <w:lvl w:ilvl="1">
      <w:lvlJc w:val="left"/>
      <w:lvlText w:val="(%2)"/>
      <w:numFmt w:val="lowerRoman"/>
      <w:start w:val="1"/>
    </w:lvl>
  </w:abstractNum>
  <w:abstractNum w:abstractNumId="30">
    <w:nsid w:val="77AE35EB"/>
    <w:multiLevelType w:val="hybridMultilevel"/>
    <w:lvl w:ilvl="0">
      <w:lvlJc w:val="left"/>
      <w:lvlText w:val="(%1)"/>
      <w:numFmt w:val="decimal"/>
      <w:start w:val="5"/>
    </w:lvl>
    <w:lvl w:ilvl="1">
      <w:lvlJc w:val="left"/>
      <w:lvlText w:val="(%2)"/>
      <w:numFmt w:val="lowerRoman"/>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decimal"/>
      <w:start w:val="5"/>
    </w:lvl>
  </w:abstractNum>
  <w:abstractNum w:abstractNumId="35">
    <w:nsid w:val="25A70BF7"/>
    <w:multiLevelType w:val="hybridMultilevel"/>
    <w:lvl w:ilvl="0">
      <w:lvlJc w:val="left"/>
      <w:lvlText w:val="%1"/>
      <w:numFmt w:val="decimal"/>
      <w:start w:val="1"/>
    </w:lvl>
    <w:lvl w:ilvl="1">
      <w:lvlJc w:val="left"/>
      <w:lvlText w:val="(%2)"/>
      <w:numFmt w:val="decimal"/>
      <w:start w:val="8"/>
    </w:lvl>
  </w:abstractNum>
  <w:abstractNum w:abstractNumId="36">
    <w:nsid w:val="1DBABF00"/>
    <w:multiLevelType w:val="hybridMultilevel"/>
    <w:lvl w:ilvl="0">
      <w:lvlJc w:val="left"/>
      <w:lvlText w:val="(%1)"/>
      <w:numFmt w:val="decimal"/>
      <w:start w:val="4"/>
    </w:lvl>
    <w:lvl w:ilvl="1">
      <w:lvlJc w:val="left"/>
      <w:lvlText w:val="(%2)"/>
      <w:numFmt w:val="decimal"/>
      <w:start w:val="11"/>
    </w:lvl>
  </w:abstractNum>
  <w:abstractNum w:abstractNumId="37">
    <w:nsid w:val="4AD084E9"/>
    <w:multiLevelType w:val="hybridMultilevel"/>
    <w:lvl w:ilvl="0">
      <w:lvlJc w:val="left"/>
      <w:lvlText w:val="(%1)"/>
      <w:numFmt w:val="decimal"/>
      <w:start w:val="14"/>
    </w:lvl>
  </w:abstractNum>
  <w:abstractNum w:abstractNumId="38">
    <w:nsid w:val="1F48EAA1"/>
    <w:multiLevelType w:val="hybridMultilevel"/>
    <w:lvl w:ilvl="0">
      <w:lvlJc w:val="left"/>
      <w:lvlText w:val="%1"/>
      <w:numFmt w:val="lowerLetter"/>
      <w:start w:val="1"/>
    </w:lvl>
    <w:lvl w:ilvl="1">
      <w:lvlJc w:val="left"/>
      <w:lvlText w:val="(%2)"/>
      <w:numFmt w:val="decimal"/>
      <w:start w:val="16"/>
    </w:lvl>
  </w:abstractNum>
  <w:abstractNum w:abstractNumId="39">
    <w:nsid w:val="1381823A"/>
    <w:multiLevelType w:val="hybridMultilevel"/>
    <w:lvl w:ilvl="0">
      <w:lvlJc w:val="left"/>
      <w:lvlText w:val="(%1)"/>
      <w:numFmt w:val="lowerLetter"/>
      <w:start w:val="2"/>
    </w:lvl>
    <w:lvl w:ilvl="1">
      <w:lvlJc w:val="left"/>
      <w:lvlText w:val="%2"/>
      <w:numFmt w:val="decimal"/>
      <w:start w:val="1"/>
    </w:lvl>
  </w:abstractNum>
  <w:abstractNum w:abstractNumId="40">
    <w:nsid w:val="5DB70AE5"/>
    <w:multiLevelType w:val="hybridMultilevel"/>
    <w:lvl w:ilvl="0">
      <w:lvlJc w:val="left"/>
      <w:lvlText w:val="(%1)"/>
      <w:numFmt w:val="decimal"/>
      <w:start w:val="1"/>
    </w:lvl>
  </w:abstractNum>
  <w:abstractNum w:abstractNumId="41">
    <w:nsid w:val="100F8FCA"/>
    <w:multiLevelType w:val="hybridMultilevel"/>
    <w:lvl w:ilvl="0">
      <w:lvlJc w:val="left"/>
      <w:lvlText w:val="(%1)"/>
      <w:numFmt w:val="lowerLetter"/>
      <w:start w:val="1"/>
    </w:lvl>
  </w:abstractNum>
  <w:abstractNum w:abstractNumId="42">
    <w:nsid w:val="6590700B"/>
    <w:multiLevelType w:val="hybridMultilevel"/>
    <w:lvl w:ilvl="0">
      <w:lvlJc w:val="left"/>
      <w:lvlText w:val="(%1)"/>
      <w:numFmt w:val="lowerLetter"/>
      <w:start w:val="15"/>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lowerLetter"/>
      <w:start w:val="3"/>
    </w:lvl>
  </w:abstractNum>
  <w:abstractNum w:abstractNumId="45">
    <w:nsid w:val="98A3148"/>
    <w:multiLevelType w:val="hybridMultilevel"/>
    <w:lvl w:ilvl="0">
      <w:lvlJc w:val="left"/>
      <w:lvlText w:val="(%1)"/>
      <w:numFmt w:val="lowerLetter"/>
      <w:start w:val="1"/>
    </w:lvl>
  </w:abstractNum>
  <w:abstractNum w:abstractNumId="46">
    <w:nsid w:val="799D0247"/>
    <w:multiLevelType w:val="hybridMultilevel"/>
    <w:lvl w:ilvl="0">
      <w:lvlJc w:val="left"/>
      <w:lvlText w:val="(%1)"/>
      <w:numFmt w:val="lowerLetter"/>
      <w:start w:val="2"/>
    </w:lvl>
  </w:abstractNum>
  <w:abstractNum w:abstractNumId="47">
    <w:nsid w:val="6B94764"/>
    <w:multiLevelType w:val="hybridMultilevel"/>
    <w:lvl w:ilvl="0">
      <w:lvlJc w:val="left"/>
      <w:lvlText w:val="(%1)"/>
      <w:numFmt w:val="lowerLetter"/>
      <w:start w:val="4"/>
    </w:lvl>
  </w:abstractNum>
  <w:abstractNum w:abstractNumId="48">
    <w:nsid w:val="42C296BD"/>
    <w:multiLevelType w:val="hybridMultilevel"/>
    <w:lvl w:ilvl="0">
      <w:lvlJc w:val="left"/>
      <w:lvlText w:val="(%1)"/>
      <w:numFmt w:val="lowerLetter"/>
      <w:start w:val="6"/>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1)"/>
      <w:numFmt w:val="decimal"/>
      <w:start w:val="6"/>
    </w:lvl>
  </w:abstractNum>
  <w:abstractNum w:abstractNumId="51">
    <w:nsid w:val="661E3F1E"/>
    <w:multiLevelType w:val="hybridMultilevel"/>
    <w:lvl w:ilvl="0">
      <w:lvlJc w:val="left"/>
      <w:lvlText w:val="(%1)"/>
      <w:numFmt w:val="lowerLetter"/>
      <w:start w:val="1"/>
    </w:lvl>
  </w:abstractNum>
  <w:abstractNum w:abstractNumId="52">
    <w:nsid w:val="5DC79EA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53">
    <w:nsid w:val="540A471C"/>
    <w:multiLevelType w:val="hybridMultilevel"/>
    <w:lvl w:ilvl="0">
      <w:lvlJc w:val="left"/>
      <w:lvlText w:val="%1"/>
      <w:numFmt w:val="decimal"/>
      <w:start w:val="1"/>
    </w:lvl>
    <w:lvl w:ilvl="1">
      <w:lvlJc w:val="left"/>
      <w:lvlText w:val="(%2)"/>
      <w:numFmt w:val="decimal"/>
      <w:start w:val="3"/>
    </w:lvl>
  </w:abstractNum>
  <w:abstractNum w:abstractNumId="54">
    <w:nsid w:val="7BD3EE7B"/>
    <w:multiLevelType w:val="hybridMultilevel"/>
    <w:lvl w:ilvl="0">
      <w:lvlJc w:val="left"/>
      <w:lvlText w:val="(%1)"/>
      <w:numFmt w:val="decimal"/>
      <w:start w:val="2"/>
    </w:lvl>
    <w:lvl w:ilvl="1">
      <w:lvlJc w:val="left"/>
      <w:lvlText w:val="%2"/>
      <w:numFmt w:val="decimal"/>
      <w:start w:val="1"/>
    </w:lvl>
  </w:abstractNum>
  <w:abstractNum w:abstractNumId="55">
    <w:nsid w:val="51D9C564"/>
    <w:multiLevelType w:val="hybridMultilevel"/>
    <w:lvl w:ilvl="0">
      <w:lvlJc w:val="left"/>
      <w:lvlText w:val="(%1)"/>
      <w:numFmt w:val="lowerLetter"/>
      <w:start w:val="1"/>
    </w:lvl>
    <w:lvl w:ilvl="1">
      <w:lvlJc w:val="left"/>
      <w:lvlText w:val="(%2)"/>
      <w:numFmt w:val="decimal"/>
      <w:start w:val="1"/>
    </w:lvl>
  </w:abstractNum>
  <w:abstractNum w:abstractNumId="56">
    <w:nsid w:val="613EFDC5"/>
    <w:multiLevelType w:val="hybridMultilevel"/>
    <w:lvl w:ilvl="0">
      <w:lvlJc w:val="left"/>
      <w:lvlText w:val="%1"/>
      <w:numFmt w:val="lowerLetter"/>
      <w:start w:val="1"/>
    </w:lvl>
    <w:lvl w:ilvl="1">
      <w:lvlJc w:val="left"/>
      <w:lvlText w:val="(%2)"/>
      <w:numFmt w:val="decimal"/>
      <w:start w:val="4"/>
    </w:lvl>
  </w:abstractNum>
  <w:abstractNum w:abstractNumId="57">
    <w:nsid w:val="BF72B14"/>
    <w:multiLevelType w:val="hybridMultilevel"/>
    <w:lvl w:ilvl="0">
      <w:lvlJc w:val="left"/>
      <w:lvlText w:val="(%1)"/>
      <w:numFmt w:val="lowerLetter"/>
      <w:start w:val="5"/>
    </w:lvl>
    <w:lvl w:ilvl="1">
      <w:lvlJc w:val="left"/>
      <w:lvlText w:val="%2"/>
      <w:numFmt w:val="decimal"/>
      <w:start w:val="1"/>
    </w:lvl>
  </w:abstractNum>
  <w:abstractNum w:abstractNumId="58">
    <w:nsid w:val="11447B73"/>
    <w:multiLevelType w:val="hybridMultilevel"/>
    <w:lvl w:ilvl="0">
      <w:lvlJc w:val="left"/>
      <w:lvlText w:val="(%1)"/>
      <w:numFmt w:val="lowerRoman"/>
      <w:start w:val="1"/>
    </w:lvl>
  </w:abstractNum>
  <w:abstractNum w:abstractNumId="59">
    <w:nsid w:val="42963E5A"/>
    <w:multiLevelType w:val="hybridMultilevel"/>
    <w:lvl w:ilvl="0">
      <w:lvlJc w:val="left"/>
      <w:lvlText w:val="(%1)"/>
      <w:numFmt w:val="lowerLetter"/>
      <w:start w:val="1"/>
    </w:lvl>
  </w:abstractNum>
  <w:abstractNum w:abstractNumId="60">
    <w:nsid w:val="A0382C5"/>
    <w:multiLevelType w:val="hybridMultilevel"/>
    <w:lvl w:ilvl="0">
      <w:lvlJc w:val="left"/>
      <w:lvlText w:val="(%1)"/>
      <w:numFmt w:val="lowerLetter"/>
      <w:start w:val="1"/>
    </w:lvl>
    <w:lvl w:ilvl="1">
      <w:lvlJc w:val="left"/>
      <w:lvlText w:val="(%2)"/>
      <w:numFmt w:val="decimal"/>
      <w:start w:val="1"/>
    </w:lvl>
  </w:abstractNum>
  <w:abstractNum w:abstractNumId="61">
    <w:nsid w:val="8F2B15E"/>
    <w:multiLevelType w:val="hybridMultilevel"/>
    <w:lvl w:ilvl="0">
      <w:lvlJc w:val="left"/>
      <w:lvlText w:val="(%1)"/>
      <w:numFmt w:val="lowerLetter"/>
      <w:start w:val="6"/>
    </w:lvl>
  </w:abstractNum>
  <w:abstractNum w:abstractNumId="62">
    <w:nsid w:val="1A32234B"/>
    <w:multiLevelType w:val="hybridMultilevel"/>
    <w:lvl w:ilvl="0">
      <w:lvlJc w:val="left"/>
      <w:lvlText w:val="(%1)"/>
      <w:numFmt w:val="lowerLetter"/>
      <w:start w:val="1"/>
    </w:lvl>
  </w:abstractNum>
  <w:abstractNum w:abstractNumId="63">
    <w:nsid w:val="3B0FD379"/>
    <w:multiLevelType w:val="hybridMultilevel"/>
    <w:lvl w:ilvl="0">
      <w:lvlJc w:val="left"/>
      <w:lvlText w:val="(%1)"/>
      <w:numFmt w:val="lowerLetter"/>
      <w:start w:val="9"/>
    </w:lvl>
  </w:abstractNum>
  <w:abstractNum w:abstractNumId="64">
    <w:nsid w:val="68EB2F63"/>
    <w:multiLevelType w:val="hybridMultilevel"/>
    <w:lvl w:ilvl="0">
      <w:lvlJc w:val="left"/>
      <w:lvlText w:val="(%1)"/>
      <w:numFmt w:val="lowerLetter"/>
      <w:start w:val="2"/>
    </w:lvl>
  </w:abstractNum>
  <w:abstractNum w:abstractNumId="65">
    <w:nsid w:val="4962813B"/>
    <w:multiLevelType w:val="hybridMultilevel"/>
    <w:lvl w:ilvl="0">
      <w:lvlJc w:val="left"/>
      <w:lvlText w:val="(%1)"/>
      <w:numFmt w:val="lowerLetter"/>
      <w:start w:val="1"/>
    </w:lvl>
  </w:abstractNum>
  <w:abstractNum w:abstractNumId="66">
    <w:nsid w:val="60B6DF70"/>
    <w:multiLevelType w:val="hybridMultilevel"/>
    <w:lvl w:ilvl="0">
      <w:lvlJc w:val="left"/>
      <w:lvlText w:val="(%1)"/>
      <w:numFmt w:val="lowerLetter"/>
      <w:start w:val="3"/>
    </w:lvl>
  </w:abstractNum>
  <w:abstractNum w:abstractNumId="67">
    <w:nsid w:val="6A5EE64"/>
    <w:multiLevelType w:val="hybridMultilevel"/>
    <w:lvl w:ilvl="0">
      <w:lvlJc w:val="left"/>
      <w:lvlText w:val="(%1)"/>
      <w:numFmt w:val="lowerLetter"/>
      <w:start w:val="1"/>
    </w:lvl>
    <w:lvl w:ilvl="1">
      <w:lvlJc w:val="left"/>
      <w:lvlText w:val="(%2)"/>
      <w:numFmt w:val="decimal"/>
      <w:start w:val="1"/>
    </w:lvl>
  </w:abstractNum>
  <w:abstractNum w:abstractNumId="68">
    <w:nsid w:val="14330624"/>
    <w:multiLevelType w:val="hybridMultilevel"/>
    <w:lvl w:ilvl="0">
      <w:lvlJc w:val="left"/>
      <w:lvlText w:val="(%1)"/>
      <w:numFmt w:val="lowerLetter"/>
      <w:start w:val="7"/>
    </w:lvl>
  </w:abstractNum>
  <w:abstractNum w:abstractNumId="69">
    <w:nsid w:val="7FFFCA11"/>
    <w:multiLevelType w:val="hybridMultilevel"/>
    <w:lvl w:ilvl="0">
      <w:lvlJc w:val="left"/>
      <w:lvlText w:val="(%1)"/>
      <w:numFmt w:val="lowerLetter"/>
      <w:start w:val="1"/>
    </w:lvl>
  </w:abstractNum>
  <w:abstractNum w:abstractNumId="70">
    <w:nsid w:val="1A27709E"/>
    <w:multiLevelType w:val="hybridMultilevel"/>
    <w:lvl w:ilvl="0">
      <w:lvlJc w:val="left"/>
      <w:lvlText w:val="(%1)"/>
      <w:numFmt w:val="lowerLetter"/>
      <w:start w:val="2"/>
    </w:lvl>
  </w:abstractNum>
  <w:abstractNum w:abstractNumId="71">
    <w:nsid w:val="71EA1109"/>
    <w:multiLevelType w:val="hybridMultilevel"/>
    <w:lvl w:ilvl="0">
      <w:lvlJc w:val="left"/>
      <w:lvlText w:val="(%1)"/>
      <w:numFmt w:val="lowerLetter"/>
      <w:start w:val="1"/>
    </w:lvl>
    <w:lvl w:ilvl="1">
      <w:lvlJc w:val="left"/>
      <w:lvlText w:val="(%2)"/>
      <w:numFmt w:val="decimal"/>
      <w:start w:val="1"/>
    </w:lvl>
  </w:abstractNum>
  <w:abstractNum w:abstractNumId="72">
    <w:nsid w:val="100F59DC"/>
    <w:multiLevelType w:val="hybridMultilevel"/>
    <w:lvl w:ilvl="0">
      <w:lvlJc w:val="left"/>
      <w:lvlText w:val="(%1)"/>
      <w:numFmt w:val="lowerLetter"/>
      <w:start w:val="3"/>
    </w:lvl>
  </w:abstractNum>
  <w:abstractNum w:abstractNumId="73">
    <w:nsid w:val="7FB7E0AA"/>
    <w:multiLevelType w:val="hybridMultilevel"/>
    <w:lvl w:ilvl="0">
      <w:lvlJc w:val="left"/>
      <w:lvlText w:val="(%1)"/>
      <w:numFmt w:val="lowerLetter"/>
      <w:start w:val="1"/>
    </w:lvl>
  </w:abstractNum>
  <w:abstractNum w:abstractNumId="74">
    <w:nsid w:val="6EB5BD4"/>
    <w:multiLevelType w:val="hybridMultilevel"/>
    <w:lvl w:ilvl="0">
      <w:lvlJc w:val="left"/>
      <w:lvlText w:val="(%1)"/>
      <w:numFmt w:val="lowerLetter"/>
      <w:start w:val="1"/>
    </w:lvl>
  </w:abstractNum>
  <w:abstractNum w:abstractNumId="75">
    <w:nsid w:val="6F6DD9AC"/>
    <w:multiLevelType w:val="hybridMultilevel"/>
    <w:lvl w:ilvl="0">
      <w:lvlJc w:val="left"/>
      <w:lvlText w:val="(%1)"/>
      <w:numFmt w:val="lowerLetter"/>
      <w:start w:val="8"/>
    </w:lvl>
  </w:abstractNum>
  <w:abstractNum w:abstractNumId="76">
    <w:nsid w:val="94211F2"/>
    <w:multiLevelType w:val="hybridMultilevel"/>
    <w:lvl w:ilvl="0">
      <w:lvlJc w:val="left"/>
      <w:lvlText w:val="(%1)"/>
      <w:numFmt w:val="lowerLetter"/>
      <w:start w:val="1"/>
    </w:lvl>
    <w:lvl w:ilvl="1">
      <w:lvlJc w:val="left"/>
      <w:lvlText w:val="(%2)"/>
      <w:numFmt w:val="decimal"/>
      <w:start w:val="1"/>
    </w:lvl>
  </w:abstractNum>
  <w:abstractNum w:abstractNumId="77">
    <w:nsid w:val="885E1B"/>
    <w:multiLevelType w:val="hybridMultilevel"/>
    <w:lvl w:ilvl="0">
      <w:lvlJc w:val="left"/>
      <w:lvlText w:val="(%1)"/>
      <w:numFmt w:val="lowerLetter"/>
      <w:start w:val="2"/>
    </w:lvl>
  </w:abstractNum>
  <w:abstractNum w:abstractNumId="78">
    <w:nsid w:val="76272110"/>
    <w:multiLevelType w:val="hybridMultilevel"/>
    <w:lvl w:ilvl="0">
      <w:lvlJc w:val="left"/>
      <w:lvlText w:val="(%1)"/>
      <w:numFmt w:val="lowerLetter"/>
      <w:start w:val="1"/>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decimal"/>
      <w:start w:val="1"/>
    </w:lvl>
  </w:abstractNum>
  <w:abstractNum w:abstractNumId="81">
    <w:nsid w:val="14E17E33"/>
    <w:multiLevelType w:val="hybridMultilevel"/>
    <w:lvl w:ilvl="0">
      <w:lvlJc w:val="left"/>
      <w:lvlText w:val="(%1)"/>
      <w:numFmt w:val="lowerRoman"/>
      <w:start w:val="3"/>
    </w:lvl>
  </w:abstractNum>
  <w:abstractNum w:abstractNumId="82">
    <w:nsid w:val="3222E7CD"/>
    <w:multiLevelType w:val="hybridMultilevel"/>
    <w:lvl w:ilvl="0">
      <w:lvlJc w:val="left"/>
      <w:lvlText w:val="%1."/>
      <w:numFmt w:val="decimal"/>
      <w:start w:val="1"/>
    </w:lvl>
  </w:abstractNum>
  <w:abstractNum w:abstractNumId="83">
    <w:nsid w:val="74DE0EE3"/>
    <w:multiLevelType w:val="hybridMultilevel"/>
    <w:lvl w:ilvl="0">
      <w:lvlJc w:val="left"/>
      <w:lvlText w:val="%1."/>
      <w:numFmt w:val="decimal"/>
      <w:start w:val="5"/>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1)"/>
      <w:numFmt w:val="lowerLetter"/>
      <w:start w:val="1"/>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decimal"/>
      <w:start w:val="1"/>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1)"/>
      <w:numFmt w:val="decimal"/>
      <w:start w:val="1"/>
    </w:lvl>
  </w:abstractNum>
  <w:abstractNum w:abstractNumId="92">
    <w:nsid w:val="60EF0119"/>
    <w:multiLevelType w:val="hybridMultilevel"/>
    <w:lvl w:ilvl="0">
      <w:lvlJc w:val="left"/>
      <w:lvlText w:val="(%1)"/>
      <w:numFmt w:val="decimal"/>
      <w:start w:val="5"/>
    </w:lvl>
  </w:abstractNum>
  <w:abstractNum w:abstractNumId="93">
    <w:nsid w:val="26F324BA"/>
    <w:multiLevelType w:val="hybridMultilevel"/>
    <w:lvl w:ilvl="0">
      <w:lvlJc w:val="left"/>
      <w:lvlText w:val="(%1)"/>
      <w:numFmt w:val="decimal"/>
      <w:start w:val="6"/>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jpeg"/><Relationship Id="rId125" Type="http://schemas.openxmlformats.org/officeDocument/2006/relationships/image" Target="media/image116.png"/><Relationship Id="rId126" Type="http://schemas.openxmlformats.org/officeDocument/2006/relationships/image" Target="media/image117.jpeg"/><Relationship Id="rId127" Type="http://schemas.openxmlformats.org/officeDocument/2006/relationships/image" Target="media/image118.png"/><Relationship Id="rId128" Type="http://schemas.openxmlformats.org/officeDocument/2006/relationships/image" Target="media/image119.jpeg"/><Relationship Id="rId129" Type="http://schemas.openxmlformats.org/officeDocument/2006/relationships/image" Target="media/image120.png"/><Relationship Id="rId130" Type="http://schemas.openxmlformats.org/officeDocument/2006/relationships/image" Target="media/image121.jpe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58" Type="http://schemas.openxmlformats.org/officeDocument/2006/relationships/hyperlink" Target="http://www.sec.gov/Archives/edgar/data/3197/000095013102001241/dex3i.txt" TargetMode="External"/><Relationship Id="rId59" Type="http://schemas.openxmlformats.org/officeDocument/2006/relationships/hyperlink" Target="http://www.sec.gov/Archives/edgar/data/0000003197/000119312517368365/d47760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2019-12-03T07:22:22Z</dcterms:created>
  <dcterms:modified xsi:type="dcterms:W3CDTF">2019-12-03T07:22:22Z</dcterms:modified>
</cp:coreProperties>
</file>