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Inc.</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Douglas Granat</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3" w:name="page4"/>
    <w:bookmarkEnd w:id="3"/>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Lawrence A. Oberman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4" w:name="page5"/>
    <w:bookmarkEnd w:id="4"/>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G. Simon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5" w:name="page6"/>
    <w:bookmarkEnd w:id="5"/>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Bradley F. Simon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6" w:name="page7"/>
    <w:bookmarkEnd w:id="6"/>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R. Monieson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4,637,498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4,637,498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4,637,498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13.3% (based on 34,950,463 shares of common stock issued and outstanding as of October 31, 2018 per CECO Environmental Corp. Form 10-Q dated November 7, 2018).</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-2180590</wp:posOffset>
            </wp:positionV>
            <wp:extent cx="5866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6320" w:type="dxa"/>
            <w:vAlign w:val="bottom"/>
          </w:tcPr>
          <w:p>
            <w:pPr>
              <w:ind w:left="1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54"/>
        </w:trPr>
        <w:tc>
          <w:tcPr>
            <w:tcW w:w="146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364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rPr>
              <w:t>CECO Environmental Corp.</w:t>
            </w: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1(b)</w:t>
            </w:r>
          </w:p>
        </w:tc>
        <w:tc>
          <w:tcPr>
            <w:tcW w:w="3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60" w:type="dxa"/>
            <w:vAlign w:val="bottom"/>
            <w:vMerge w:val="continue"/>
          </w:tcPr>
          <w:p>
            <w:pPr>
              <w:spacing w:after="0"/>
              <w:rPr>
                <w:sz w:val="21"/>
                <w:szCs w:val="21"/>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w w:val="95"/>
              </w:rPr>
              <w:t>Address of Issuer’s Principal Executive Offices:</w:t>
            </w:r>
          </w:p>
        </w:tc>
        <w:tc>
          <w:tcPr>
            <w:tcW w:w="6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rPr>
              <w:t>14651 North Dallas Parkway</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rPr>
              <w:t>Dallas, Texas 75254</w:t>
            </w: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0" w:gutter="0" w:footer="0" w:header="0"/>
        </w:sectPr>
      </w:pP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2(a)</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2(b)</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186690</wp:posOffset>
            </wp:positionV>
            <wp:extent cx="6329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201295</wp:posOffset>
            </wp:positionV>
            <wp:extent cx="63290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840" w:space="660"/>
            <w:col w:w="9920"/>
          </w:cols>
          <w:pgMar w:left="240" w:top="395" w:right="239" w:bottom="0" w:gutter="0" w:footer="0" w:header="0"/>
          <w:type w:val="continuous"/>
        </w:sectPr>
      </w:pPr>
    </w:p>
    <w:tbl>
      <w:tblPr>
        <w:tblLayout w:type="fixed"/>
        <w:tblInd w:w="52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2(e)</w:t>
            </w:r>
          </w:p>
        </w:tc>
        <w:tc>
          <w:tcPr>
            <w:tcW w:w="9960" w:type="dxa"/>
            <w:vAlign w:val="bottom"/>
          </w:tcPr>
          <w:p>
            <w:pPr>
              <w:ind w:left="40"/>
              <w:spacing w:after="0"/>
              <w:rPr>
                <w:sz w:val="20"/>
                <w:szCs w:val="20"/>
                <w:color w:val="auto"/>
              </w:rPr>
            </w:pPr>
            <w:r>
              <w:rPr>
                <w:rFonts w:ascii="Arial" w:cs="Arial" w:eastAsia="Arial" w:hAnsi="Arial"/>
                <w:sz w:val="18"/>
                <w:szCs w:val="18"/>
                <w:color w:val="auto"/>
              </w:rPr>
              <w:t>CUSIP Number:</w:t>
            </w:r>
          </w:p>
        </w:tc>
      </w:tr>
      <w:tr>
        <w:trPr>
          <w:trHeight w:val="230"/>
        </w:trPr>
        <w:tc>
          <w:tcPr>
            <w:tcW w:w="94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125141101</w:t>
            </w:r>
          </w:p>
        </w:tc>
      </w:tr>
      <w:tr>
        <w:trPr>
          <w:trHeight w:val="54"/>
        </w:trPr>
        <w:tc>
          <w:tcPr>
            <w:tcW w:w="9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r>
    </w:tbl>
    <w:p>
      <w:pPr>
        <w:spacing w:after="0" w:line="23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020" w:right="160" w:hanging="1107"/>
        <w:spacing w:after="0" w:line="277" w:lineRule="auto"/>
        <w:tabs>
          <w:tab w:leader="none" w:pos="15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500" w:hanging="587"/>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13d–1(b)(1)(ii)(K). If filing as a non-U.S. institution in accordance with</w:t>
      </w:r>
    </w:p>
    <w:p>
      <w:pPr>
        <w:sectPr>
          <w:pgSz w:w="11900" w:h="16838" w:orient="portrait"/>
          <w:cols w:equalWidth="0" w:num="1">
            <w:col w:w="11420"/>
          </w:cols>
          <w:pgMar w:left="240" w:top="395" w:right="239" w:bottom="0" w:gutter="0" w:footer="0" w:header="0"/>
          <w:type w:val="continuous"/>
        </w:sectPr>
      </w:pPr>
    </w:p>
    <w:bookmarkStart w:id="8" w:name="page9"/>
    <w:bookmarkEnd w:id="8"/>
    <w:p>
      <w:pPr>
        <w:ind w:left="1100"/>
        <w:spacing w:after="0"/>
        <w:rPr>
          <w:sz w:val="20"/>
          <w:szCs w:val="20"/>
          <w:color w:val="auto"/>
        </w:rPr>
      </w:pPr>
      <w:r>
        <w:rPr>
          <w:rFonts w:ascii="Arial" w:cs="Arial" w:eastAsia="Arial" w:hAnsi="Arial"/>
          <w:sz w:val="16"/>
          <w:szCs w:val="16"/>
          <w:color w:val="auto"/>
        </w:rPr>
        <w:t>Rule 13d–1(b)(1)(ii)(J), please specify the type of institution:____________________________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this statement is filed pursuant to Rule 13d-1(c), check this box. o</w:t>
      </w: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99"/>
          </w:cols>
          <w:pgMar w:left="1160" w:top="12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640" w:type="dxa"/>
            <w:vAlign w:val="bottom"/>
          </w:tcPr>
          <w:p>
            <w:pPr>
              <w:ind w:left="1440"/>
              <w:spacing w:after="0"/>
              <w:rPr>
                <w:sz w:val="20"/>
                <w:szCs w:val="20"/>
                <w:color w:val="auto"/>
              </w:rPr>
            </w:pPr>
            <w:r>
              <w:rPr>
                <w:rFonts w:ascii="Arial" w:cs="Arial" w:eastAsia="Arial" w:hAnsi="Arial"/>
                <w:sz w:val="18"/>
                <w:szCs w:val="18"/>
                <w:color w:val="auto"/>
              </w:rPr>
              <w:t>Schedule 13G</w:t>
            </w:r>
          </w:p>
        </w:tc>
      </w:tr>
      <w:tr>
        <w:trPr>
          <w:trHeight w:val="54"/>
        </w:trPr>
        <w:tc>
          <w:tcPr>
            <w:tcW w:w="8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48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920" w:type="dxa"/>
            <w:vAlign w:val="bottom"/>
          </w:tcPr>
          <w:p>
            <w:pPr>
              <w:ind w:left="320"/>
              <w:spacing w:after="0"/>
              <w:rPr>
                <w:sz w:val="20"/>
                <w:szCs w:val="20"/>
                <w:color w:val="auto"/>
              </w:rPr>
            </w:pPr>
            <w:r>
              <w:rPr>
                <w:rFonts w:ascii="Arial" w:cs="Arial" w:eastAsia="Arial" w:hAnsi="Arial"/>
                <w:sz w:val="18"/>
                <w:szCs w:val="18"/>
                <w:b w:val="1"/>
                <w:bCs w:val="1"/>
                <w:color w:val="auto"/>
              </w:rPr>
              <w:t>Ownership: (1)</w:t>
            </w:r>
          </w:p>
        </w:tc>
        <w:tc>
          <w:tcPr>
            <w:tcW w:w="764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1660" w:hanging="394"/>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478"/>
        <w:spacing w:after="0"/>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503"/>
        <w:spacing w:after="0"/>
        <w:tabs>
          <w:tab w:leader="none" w:pos="2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80" w:hanging="498"/>
        <w:spacing w:after="0"/>
        <w:tabs>
          <w:tab w:leader="none" w:pos="2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Douglas Granat, Lawrence A. Oberman, Steven G. Simon, Bradley F. Simon and Steven R. Monieson 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-430530</wp:posOffset>
            </wp:positionV>
            <wp:extent cx="58400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-885190</wp:posOffset>
            </wp:positionV>
            <wp:extent cx="58400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controlling shareholders and/or sole directors of Trigran Investments, Inc. and thus may be considered the beneficial owners of shares beneficially owned by Trigran Investments, Inc.</w:t>
      </w:r>
    </w:p>
    <w:p>
      <w:pPr>
        <w:sectPr>
          <w:pgSz w:w="11900" w:h="16838" w:orient="portrait"/>
          <w:cols w:equalWidth="0" w:num="1">
            <w:col w:w="11460"/>
          </w:cols>
          <w:pgMar w:left="240" w:top="395" w:right="199" w:bottom="1440" w:gutter="0" w:footer="0" w:header="0"/>
        </w:sect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60" w:space="620"/>
            <w:col w:w="10280"/>
          </w:cols>
          <w:pgMar w:left="240" w:top="395" w:right="199" w:bottom="1440" w:gutter="0" w:footer="0" w:header="0"/>
          <w:type w:val="continuous"/>
        </w:sectPr>
      </w:pPr>
    </w:p>
    <w:p>
      <w:pPr>
        <w:ind w:left="118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60"/>
          </w:cols>
          <w:pgMar w:left="240" w:top="395" w:right="19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60" w:space="620"/>
            <w:col w:w="10280"/>
          </w:cols>
          <w:pgMar w:left="240" w:top="395" w:right="199" w:bottom="1440" w:gutter="0" w:footer="0" w:header="0"/>
          <w:type w:val="continuous"/>
        </w:sectPr>
      </w:pPr>
    </w:p>
    <w:p>
      <w:pPr>
        <w:jc w:val="both"/>
        <w:ind w:left="60" w:right="180"/>
        <w:spacing w:after="0" w:line="264"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9</w:t>
            </w:r>
          </w:p>
        </w:tc>
      </w:tr>
      <w:tr>
        <w:trPr>
          <w:trHeight w:val="132"/>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00" w:type="dxa"/>
            <w:vAlign w:val="bottom"/>
          </w:tcPr>
          <w:p>
            <w:pPr>
              <w:ind w:left="1500"/>
              <w:spacing w:after="0"/>
              <w:rPr>
                <w:sz w:val="20"/>
                <w:szCs w:val="20"/>
                <w:color w:val="auto"/>
              </w:rPr>
            </w:pPr>
            <w:r>
              <w:rPr>
                <w:rFonts w:ascii="Arial" w:cs="Arial" w:eastAsia="Arial" w:hAnsi="Arial"/>
                <w:sz w:val="18"/>
                <w:szCs w:val="18"/>
                <w:color w:val="auto"/>
              </w:rPr>
              <w:t>Schedule 13G</w:t>
            </w:r>
          </w:p>
        </w:tc>
      </w:tr>
      <w:tr>
        <w:trPr>
          <w:trHeight w:val="54"/>
        </w:trPr>
        <w:tc>
          <w:tcPr>
            <w:tcW w:w="9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700" w:type="dxa"/>
            <w:vAlign w:val="bottom"/>
          </w:tcPr>
          <w:p>
            <w:pPr>
              <w:spacing w:after="0"/>
              <w:rPr>
                <w:sz w:val="24"/>
                <w:szCs w:val="24"/>
                <w:color w:val="auto"/>
              </w:rPr>
            </w:pPr>
          </w:p>
        </w:tc>
      </w:tr>
    </w:tbl>
    <w:p>
      <w:pPr>
        <w:spacing w:after="0" w:line="94"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of February,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Lawrence A. Oberman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060" w:type="dxa"/>
            <w:vAlign w:val="bottom"/>
            <w:gridSpan w:val="4"/>
          </w:tcPr>
          <w:p>
            <w:pPr>
              <w:jc w:val="center"/>
              <w:ind w:right="4420"/>
              <w:spacing w:after="0"/>
              <w:rPr>
                <w:sz w:val="20"/>
                <w:szCs w:val="20"/>
                <w:color w:val="auto"/>
              </w:rPr>
            </w:pPr>
            <w:r>
              <w:rPr>
                <w:rFonts w:ascii="Arial" w:cs="Arial" w:eastAsia="Arial" w:hAnsi="Arial"/>
                <w:sz w:val="18"/>
                <w:szCs w:val="18"/>
                <w:color w:val="auto"/>
                <w:w w:val="87"/>
              </w:rPr>
              <w:t>Schedule 13G</w:t>
            </w:r>
          </w:p>
        </w:tc>
      </w:tr>
      <w:tr>
        <w:trPr>
          <w:trHeight w:val="54"/>
        </w:trPr>
        <w:tc>
          <w:tcPr>
            <w:tcW w:w="440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58"/>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 TO EXHIBITS</w:t>
            </w:r>
          </w:p>
        </w:tc>
        <w:tc>
          <w:tcPr>
            <w:tcW w:w="55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53"/>
        </w:trPr>
        <w:tc>
          <w:tcPr>
            <w:tcW w:w="4400" w:type="dxa"/>
            <w:vAlign w:val="bottom"/>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70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4400" w:type="dxa"/>
            <w:vAlign w:val="bottom"/>
          </w:tcPr>
          <w:p>
            <w:pPr>
              <w:spacing w:after="0"/>
              <w:rPr>
                <w:sz w:val="24"/>
                <w:szCs w:val="24"/>
                <w:color w:val="auto"/>
              </w:rPr>
            </w:pPr>
          </w:p>
        </w:tc>
        <w:tc>
          <w:tcPr>
            <w:tcW w:w="5540" w:type="dxa"/>
            <w:vAlign w:val="bottom"/>
          </w:tcPr>
          <w:p>
            <w:pPr>
              <w:jc w:val="right"/>
              <w:ind w:right="405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14, 2019</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436C6125"/>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
    <w:nsid w:val="628C895D"/>
    <w:multiLevelType w:val="hybridMultilevel"/>
    <w:lvl w:ilvl="0">
      <w:lvlJc w:val="left"/>
      <w:lvlText w:val="%1"/>
      <w:numFmt w:val="decimal"/>
      <w:start w:val="1"/>
    </w:lvl>
    <w:lvl w:ilvl="1">
      <w:lvlJc w:val="left"/>
      <w:lvlText w:val="%2."/>
      <w:numFmt w:val="decimal"/>
      <w:start w:val="8"/>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
    <w:nsid w:val="2D1D5A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9">
    <w:nsid w:val="6763845E"/>
    <w:multiLevelType w:val="hybridMultilevel"/>
    <w:lvl w:ilvl="0">
      <w:lvlJc w:val="left"/>
      <w:lvlText w:val="%1"/>
      <w:numFmt w:val="decimal"/>
      <w:start w:val="1"/>
    </w:lvl>
    <w:lvl w:ilvl="1">
      <w:lvlJc w:val="left"/>
      <w:lvlText w:val="%2."/>
      <w:numFmt w:val="decimal"/>
      <w:start w:val="8"/>
    </w:lvl>
  </w:abstractNum>
  <w:abstractNum w:abstractNumId="10">
    <w:nsid w:val="75A2A8D4"/>
    <w:multiLevelType w:val="hybridMultilevel"/>
    <w:lvl w:ilvl="0">
      <w:lvlJc w:val="left"/>
      <w:lvlText w:val="%1."/>
      <w:numFmt w:val="decimal"/>
      <w:start w:val="9"/>
    </w:lvl>
    <w:lvl w:ilvl="1">
      <w:lvlJc w:val="left"/>
      <w:lvlText w:val="%2"/>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
    <w:nsid w:val="4353D0CD"/>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4">
    <w:nsid w:val="B03E0C6"/>
    <w:multiLevelType w:val="hybridMultilevel"/>
    <w:lvl w:ilvl="0">
      <w:lvlJc w:val="left"/>
      <w:lvlText w:val="%1"/>
      <w:numFmt w:val="decimal"/>
      <w:start w:val="1"/>
    </w:lvl>
    <w:lvl w:ilvl="1">
      <w:lvlJc w:val="left"/>
      <w:lvlText w:val="%2."/>
      <w:numFmt w:val="decimal"/>
      <w:start w:val="8"/>
    </w:lvl>
  </w:abstractNum>
  <w:abstractNum w:abstractNumId="15">
    <w:nsid w:val="189A769B"/>
    <w:multiLevelType w:val="hybridMultilevel"/>
    <w:lvl w:ilvl="0">
      <w:lvlJc w:val="left"/>
      <w:lvlText w:val="%1."/>
      <w:numFmt w:val="decimal"/>
      <w:start w:val="9"/>
    </w:lvl>
    <w:lvl w:ilvl="1">
      <w:lvlJc w:val="left"/>
      <w:lvlText w:val="%2"/>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
    <w:nsid w:val="2CA8861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9">
    <w:nsid w:val="836C40E"/>
    <w:multiLevelType w:val="hybridMultilevel"/>
    <w:lvl w:ilvl="0">
      <w:lvlJc w:val="left"/>
      <w:lvlText w:val="%1"/>
      <w:numFmt w:val="decimal"/>
      <w:start w:val="1"/>
    </w:lvl>
    <w:lvl w:ilvl="1">
      <w:lvlJc w:val="left"/>
      <w:lvlText w:val="%2."/>
      <w:numFmt w:val="decimal"/>
      <w:start w:val="8"/>
    </w:lvl>
  </w:abstractNum>
  <w:abstractNum w:abstractNumId="20">
    <w:nsid w:val="2901D82"/>
    <w:multiLevelType w:val="hybridMultilevel"/>
    <w:lvl w:ilvl="0">
      <w:lvlJc w:val="left"/>
      <w:lvlText w:val="%1."/>
      <w:numFmt w:val="decimal"/>
      <w:start w:val="9"/>
    </w:lvl>
    <w:lvl w:ilvl="1">
      <w:lvlJc w:val="left"/>
      <w:lvlText w:val="%2"/>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
    <w:nsid w:val="1E7FF52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4">
    <w:nsid w:val="7C3DBD3D"/>
    <w:multiLevelType w:val="hybridMultilevel"/>
    <w:lvl w:ilvl="0">
      <w:lvlJc w:val="left"/>
      <w:lvlText w:val="%1"/>
      <w:numFmt w:val="decimal"/>
      <w:start w:val="1"/>
    </w:lvl>
    <w:lvl w:ilvl="1">
      <w:lvlJc w:val="left"/>
      <w:lvlText w:val="%2."/>
      <w:numFmt w:val="decimal"/>
      <w:start w:val="8"/>
    </w:lvl>
  </w:abstractNum>
  <w:abstractNum w:abstractNumId="25">
    <w:nsid w:val="737B8DDC"/>
    <w:multiLevelType w:val="hybridMultilevel"/>
    <w:lvl w:ilvl="0">
      <w:lvlJc w:val="left"/>
      <w:lvlText w:val="%1."/>
      <w:numFmt w:val="decimal"/>
      <w:start w:val="9"/>
    </w:lvl>
    <w:lvl w:ilvl="1">
      <w:lvlJc w:val="left"/>
      <w:lvlText w:val="%2"/>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8">
    <w:nsid w:val="4516DD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9">
    <w:nsid w:val="3006C83E"/>
    <w:multiLevelType w:val="hybridMultilevel"/>
    <w:lvl w:ilvl="0">
      <w:lvlJc w:val="left"/>
      <w:lvlText w:val="%1"/>
      <w:numFmt w:val="decimal"/>
      <w:start w:val="1"/>
    </w:lvl>
    <w:lvl w:ilvl="1">
      <w:lvlJc w:val="left"/>
      <w:lvlText w:val="%2."/>
      <w:numFmt w:val="decimal"/>
      <w:start w:val="8"/>
    </w:lvl>
  </w:abstractNum>
  <w:abstractNum w:abstractNumId="30">
    <w:nsid w:val="614FD4A1"/>
    <w:multiLevelType w:val="hybridMultilevel"/>
    <w:lvl w:ilvl="0">
      <w:lvlJc w:val="left"/>
      <w:lvlText w:val="%1."/>
      <w:numFmt w:val="decimal"/>
      <w:start w:val="9"/>
    </w:lvl>
    <w:lvl w:ilvl="1">
      <w:lvlJc w:val="left"/>
      <w:lvlText w:val="%2"/>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Roman"/>
      <w:start w:val="1"/>
    </w:lvl>
  </w:abstractNum>
  <w:abstractNum w:abstractNumId="34">
    <w:nsid w:val="5072367"/>
    <w:multiLevelType w:val="hybridMultilevel"/>
    <w:lvl w:ilvl="0">
      <w:lvlJc w:val="left"/>
      <w:lvlText w:val="(%1)"/>
      <w:numFmt w:val="lowerRoman"/>
      <w:start w:val="2"/>
    </w:lvl>
  </w:abstractNum>
  <w:abstractNum w:abstractNumId="35">
    <w:nsid w:val="3804823E"/>
    <w:multiLevelType w:val="hybridMultilevel"/>
    <w:lvl w:ilvl="0">
      <w:lvlJc w:val="left"/>
      <w:lvlText w:val="%1"/>
      <w:numFmt w:val="decimal"/>
      <w:start w:val="1"/>
    </w:lvl>
    <w:lvl w:ilvl="1">
      <w:lvlJc w:val="left"/>
      <w:lvlText w:val="(%2)"/>
      <w:numFmt w:val="lowerRoman"/>
      <w:start w:val="3"/>
    </w:lvl>
  </w:abstractNum>
  <w:abstractNum w:abstractNumId="36">
    <w:nsid w:val="77465F01"/>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2020-01-09T20:46:14Z</dcterms:created>
  <dcterms:modified xsi:type="dcterms:W3CDTF">2020-01-09T20:46:14Z</dcterms:modified>
</cp:coreProperties>
</file>