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Date of Report (Date of earliest event reported): April 13, 2010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000-7099</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 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3120 Forrer Street,</w:t>
            </w:r>
          </w:p>
          <w:p>
            <w:pPr>
              <w:pStyle w:val="TableContents"/>
              <w:spacing w:before="0" w:after="15"/>
              <w:jc w:val="center"/>
              <w:rPr>
                <w:rFonts w:ascii="Times New Roman" w:hAnsi="Times New Roman"/>
                <w:b/>
                <w:sz w:val="20"/>
              </w:rPr>
            </w:pPr>
            <w:r>
              <w:rPr>
                <w:rFonts w:ascii="Times New Roman" w:hAnsi="Times New Roman"/>
                <w:b/>
                <w:sz w:val="20"/>
              </w:rPr>
              <w:t>Cincinnati, OH</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5.02</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spacing w:before="90" w:after="0"/>
        <w:rPr>
          <w:rFonts w:ascii="Times New Roman" w:hAnsi="Times New Roman"/>
          <w:sz w:val="20"/>
        </w:rPr>
      </w:pPr>
      <w:r>
        <w:rPr>
          <w:rFonts w:ascii="Times New Roman" w:hAnsi="Times New Roman"/>
          <w:sz w:val="20"/>
        </w:rPr>
        <w:t xml:space="preserve">(e) It was determined on April 13, 2010 that the Amended and Restated Employment Agreement dated March 26, 2007 between David D. Blum and CECO Environmental Corp. will not renew as of the end of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4"/>
        <w:gridCol w:w="114"/>
        <w:gridCol w:w="268"/>
        <w:gridCol w:w="114"/>
        <w:gridCol w:w="4925"/>
      </w:tblGrid>
      <w:tr>
        <w:trPr/>
        <w:tc>
          <w:tcPr>
            <w:tcW w:w="478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925" w:type="dxa"/>
            <w:tcBorders/>
            <w:shd w:fill="auto" w:val="clear"/>
            <w:vAlign w:val="center"/>
          </w:tcPr>
          <w:p>
            <w:pPr>
              <w:pStyle w:val="TableContents"/>
              <w:spacing w:before="0" w:after="283"/>
              <w:rPr>
                <w:sz w:val="4"/>
                <w:szCs w:val="4"/>
              </w:rPr>
            </w:pPr>
            <w:r>
              <w:rPr>
                <w:sz w:val="4"/>
                <w:szCs w:val="4"/>
              </w:rPr>
            </w:r>
          </w:p>
        </w:tc>
      </w:tr>
      <w:tr>
        <w:trPr/>
        <w:tc>
          <w:tcPr>
            <w:tcW w:w="4784" w:type="dxa"/>
            <w:tcBorders/>
            <w:shd w:fill="auto" w:val="clear"/>
          </w:tcPr>
          <w:p>
            <w:pPr>
              <w:pStyle w:val="TableContents"/>
              <w:spacing w:before="0" w:after="283"/>
              <w:rPr>
                <w:rFonts w:ascii="Times New Roman" w:hAnsi="Times New Roman"/>
                <w:sz w:val="20"/>
              </w:rPr>
            </w:pPr>
            <w:r>
              <w:rPr>
                <w:rFonts w:ascii="Times New Roman" w:hAnsi="Times New Roman"/>
                <w:sz w:val="20"/>
              </w:rPr>
              <w:t>Date: April 16, 2010</w:t>
            </w:r>
          </w:p>
        </w:tc>
        <w:tc>
          <w:tcPr>
            <w:tcW w:w="114"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784"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Dennis W. Blazer</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Vice PresidentFinance and Administration</w:t>
            </w:r>
          </w:p>
          <w:p>
            <w:pPr>
              <w:pStyle w:val="TableContents"/>
              <w:spacing w:before="0" w:after="15"/>
              <w:jc w:val="center"/>
              <w:rPr>
                <w:rFonts w:ascii="Times New Roman" w:hAnsi="Times New Roman"/>
                <w:b/>
                <w:sz w:val="14"/>
              </w:rPr>
            </w:pPr>
            <w:r>
              <w:rPr>
                <w:rFonts w:ascii="Times New Roman" w:hAnsi="Times New Roman"/>
                <w:b/>
                <w:sz w:val="14"/>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298</Words>
  <CharactersWithSpaces>1981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