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Date of Report (Date of earliest event reported): June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161290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6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55" w:lineRule="exact"/>
        <w:rPr>
          <w:sz w:val="24"/>
          <w:szCs w:val="24"/>
          <w:color w:val="auto"/>
        </w:rPr>
      </w:pPr>
    </w:p>
    <w:p>
      <w:pPr>
        <w:sectPr>
          <w:pgSz w:w="11900" w:h="16838" w:orient="portrait"/>
          <w:cols w:equalWidth="0" w:num="3">
            <w:col w:w="4560" w:space="720"/>
            <w:col w:w="3020" w:space="720"/>
            <w:col w:w="2060"/>
          </w:cols>
          <w:pgMar w:left="320" w:top="796" w:right="499" w:bottom="1440" w:gutter="0" w:footer="0" w:header="0"/>
          <w:type w:val="continuous"/>
        </w:sectPr>
      </w:pPr>
    </w:p>
    <w:p>
      <w:pPr>
        <w:jc w:val="center"/>
        <w:ind w:right="90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9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0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940" w:space="720"/>
            <w:col w:w="2200"/>
          </w:cols>
          <w:pgMar w:left="320" w:top="796" w:right="499" w:bottom="1440" w:gutter="0" w:footer="0" w:header="0"/>
          <w:type w:val="continuous"/>
        </w:sectPr>
      </w:pPr>
    </w:p>
    <w:p>
      <w:pPr>
        <w:spacing w:after="0" w:line="46"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14651 North Dallas Parkway, Suite 500</w:t>
      </w:r>
    </w:p>
    <w:p>
      <w:pPr>
        <w:spacing w:after="0" w:line="50" w:lineRule="exact"/>
        <w:rPr>
          <w:sz w:val="24"/>
          <w:szCs w:val="24"/>
          <w:color w:val="auto"/>
        </w:rPr>
      </w:pPr>
    </w:p>
    <w:p>
      <w:pPr>
        <w:jc w:val="center"/>
        <w:ind w:right="2020"/>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75254</w:t>
      </w:r>
    </w:p>
    <w:p>
      <w:pPr>
        <w:spacing w:after="0" w:line="54" w:lineRule="exact"/>
        <w:rPr>
          <w:sz w:val="24"/>
          <w:szCs w:val="24"/>
          <w:color w:val="auto"/>
        </w:rPr>
      </w:pPr>
    </w:p>
    <w:p>
      <w:pPr>
        <w:sectPr>
          <w:pgSz w:w="11900" w:h="16838" w:orient="portrait"/>
          <w:cols w:equalWidth="0" w:num="2">
            <w:col w:w="7540" w:space="720"/>
            <w:col w:w="2820"/>
          </w:cols>
          <w:pgMar w:left="320" w:top="796" w:right="49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79" w:lineRule="exact"/>
        <w:rPr>
          <w:sz w:val="24"/>
          <w:szCs w:val="24"/>
          <w:color w:val="auto"/>
        </w:rPr>
      </w:pPr>
    </w:p>
    <w:p>
      <w:pPr>
        <w:sectPr>
          <w:pgSz w:w="11900" w:h="16838" w:orient="portrait"/>
          <w:cols w:equalWidth="0" w:num="2">
            <w:col w:w="7440" w:space="720"/>
            <w:col w:w="2920"/>
          </w:cols>
          <w:pgMar w:left="320" w:top="796"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560" w:right="2180" w:hanging="3552"/>
        <w:spacing w:after="0" w:line="447" w:lineRule="auto"/>
        <w:tabs>
          <w:tab w:leader="none" w:pos="88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47"/>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9"/>
          <w:szCs w:val="19"/>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96" w:right="499" w:bottom="1440" w:gutter="0" w:footer="0" w:header="0"/>
          <w:type w:val="continuous"/>
        </w:sectPr>
      </w:pPr>
    </w:p>
    <w:bookmarkStart w:id="1" w:name="page2"/>
    <w:bookmarkEnd w:id="1"/>
    <w:p>
      <w:pPr>
        <w:ind w:right="1100"/>
        <w:spacing w:after="0" w:line="267" w:lineRule="auto"/>
        <w:rPr>
          <w:sz w:val="20"/>
          <w:szCs w:val="20"/>
          <w:color w:val="auto"/>
        </w:rPr>
      </w:pPr>
      <w:r>
        <w:rPr>
          <w:rFonts w:ascii="Arial" w:cs="Arial" w:eastAsia="Arial" w:hAnsi="Arial"/>
          <w:sz w:val="20"/>
          <w:szCs w:val="20"/>
          <w:b w:val="1"/>
          <w:bCs w:val="1"/>
          <w:color w:val="auto"/>
        </w:rPr>
        <w:t>5.02. Departure of Directors or Certain Officers; Election of Directors; Appointment of Certain Officers; Compensatory Arrangements of Certain Officers.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Chief Accounting Officer</w:t>
      </w:r>
    </w:p>
    <w:p>
      <w:pPr>
        <w:spacing w:after="0" w:line="1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CECO Environmental Corp. (“CECO” or the “Company”) announced on June 29, 2023 that Paul Gohr, its Chief Accounting Officer, will cease serving as the Company’s Chief Accounting Officer, effective August 31, 2023 (the “Effective Date”). Mr. Gohr has agreed to stay through the Effective Date to facilitate a smooth and orderly transition of his responsibilities and will continue to be compensated in accordance with existing arrangements until the Effective Date. In conjunction with his departure from the Company, Mr. Gohr and the Company will enter into a written separation agreement and release providing for certain severance payments and benefits to Mr. Gohr and a general release of claims in favor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Accounting Officer</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also announced on June 29, 2023 the appointment of Kiril Kovachev, 48, as the Company’s Chief Accounting Officer, effective September 1, 2023. Prior to September 1, 2023, Mr. Kovachev will serve as the Company's Vice President, Global Controller. From 2014 to the present, Mr. Kovachev was employed by Lennox International Inc., where he served as Senior Director, Corporate Accounting and Consolidations from 2018 to 2023; Senior Director, Worldwide Refrigeration Segment from 2016 to 2018; Senior Director, Global Business Processes, Residential and Commercials Segments from 2015 to 2016; and Senior Director, Global Controller Worldwide Refrigeration Segment from 2014 to 2015. Before joining Lennox International, Mr. Kovachev spent ten years in accounting, finance and reporting leadership roles at Celanese Corp. and IBM Corp. Mr. Kovachev also spent six years in public accounting, most recently as Audit Manager in Deloitte &amp; Touche's Assurance Practice.</w:t>
      </w:r>
    </w:p>
    <w:p>
      <w:pPr>
        <w:spacing w:after="0" w:line="1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Mr. Kovachev holds a bachelor's degree in accounting from the University of Bridgeport and an MBA from New York University. He is a Certified Public Accountant.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customary employee benefits, Mr. Kovachev will be eligible to receive the following compensation:</w:t>
      </w:r>
    </w:p>
    <w:p>
      <w:pPr>
        <w:spacing w:after="0" w:line="185" w:lineRule="exact"/>
        <w:rPr>
          <w:sz w:val="20"/>
          <w:szCs w:val="20"/>
          <w:color w:val="auto"/>
        </w:rPr>
      </w:pPr>
    </w:p>
    <w:p>
      <w:pPr>
        <w:ind w:left="1080" w:hanging="563"/>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Initial base salary of $255,000 per year;</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Participation in the Company’s annual incentive program with a target opportunity equal to 40% of earned base wages (with actual payout ranging from 0-120% of target based on performance);</w:t>
      </w:r>
    </w:p>
    <w:p>
      <w:pPr>
        <w:spacing w:after="0" w:line="62" w:lineRule="exact"/>
        <w:rPr>
          <w:rFonts w:ascii="Arial" w:cs="Arial" w:eastAsia="Arial" w:hAnsi="Arial"/>
          <w:sz w:val="18"/>
          <w:szCs w:val="18"/>
          <w:color w:val="auto"/>
        </w:rPr>
      </w:pPr>
    </w:p>
    <w:p>
      <w:pPr>
        <w:ind w:left="1020" w:right="640" w:hanging="503"/>
        <w:spacing w:after="0" w:line="308" w:lineRule="auto"/>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Annual participation in the Company’s long-term equity program at a target value of $100,000 of service-based restricted stock units (“RSUs”), inclusive of a 2023 grant of $100,000 of service-based RSUs vesting in four equal annual installments;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initial cash bonus payment of $75,000 (subject to repayment for a voluntary termination within 12 months).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terms of severance benefits, Mr. Kovachev will participate in the Company’s Executive Change in Control Severance Plan, as may be in place from time to time, as a Tier II participant effective September 1, 2023.</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are no family relationships between Mr. Kovachev and any director or other executive officer. There are no arrangements or understandings between Mr. Kovachev and any other persons pursuant to which he was selected as an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July 5, 2023</w:t>
            </w:r>
          </w:p>
        </w:tc>
        <w:tc>
          <w:tcPr>
            <w:tcW w:w="7240" w:type="dxa"/>
            <w:vAlign w:val="bottom"/>
            <w:gridSpan w:val="2"/>
          </w:tcPr>
          <w:p>
            <w:pPr>
              <w:ind w:left="2640"/>
              <w:spacing w:after="0"/>
              <w:rPr>
                <w:sz w:val="20"/>
                <w:szCs w:val="20"/>
                <w:color w:val="auto"/>
              </w:rPr>
            </w:pPr>
            <w:r>
              <w:rPr>
                <w:rFonts w:ascii="Arial" w:cs="Arial" w:eastAsia="Arial" w:hAnsi="Arial"/>
                <w:sz w:val="18"/>
                <w:szCs w:val="18"/>
                <w:color w:val="auto"/>
              </w:rPr>
              <w:t>CECO Environmental Corp.</w:t>
            </w:r>
          </w:p>
        </w:tc>
      </w:tr>
      <w:tr>
        <w:trPr>
          <w:trHeight w:val="493"/>
        </w:trPr>
        <w:tc>
          <w:tcPr>
            <w:tcW w:w="3980" w:type="dxa"/>
            <w:vAlign w:val="bottom"/>
          </w:tcPr>
          <w:p>
            <w:pPr>
              <w:spacing w:after="0"/>
              <w:rPr>
                <w:sz w:val="24"/>
                <w:szCs w:val="24"/>
                <w:color w:val="auto"/>
              </w:rPr>
            </w:pPr>
          </w:p>
        </w:tc>
        <w:tc>
          <w:tcPr>
            <w:tcW w:w="3240" w:type="dxa"/>
            <w:vAlign w:val="bottom"/>
          </w:tcPr>
          <w:p>
            <w:pPr>
              <w:ind w:left="264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Joycelynn Watkins-Asiyanbi</w:t>
            </w:r>
          </w:p>
        </w:tc>
      </w:tr>
      <w:tr>
        <w:trPr>
          <w:trHeight w:val="230"/>
        </w:trPr>
        <w:tc>
          <w:tcPr>
            <w:tcW w:w="39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Joycelynn Watkins-Asiyanbi</w:t>
            </w:r>
          </w:p>
        </w:tc>
      </w:tr>
    </w:tbl>
    <w:p>
      <w:pPr>
        <w:spacing w:after="0" w:line="12"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SVP, Chief Administrative and Legal Officer and</w:t>
      </w:r>
    </w:p>
    <w:p>
      <w:pPr>
        <w:spacing w:after="0" w:line="2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2023-07-05T09:56:37Z</dcterms:created>
  <dcterms:modified xsi:type="dcterms:W3CDTF">2023-07-05T09:56:37Z</dcterms:modified>
</cp:coreProperties>
</file>