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sz w:val="20"/>
        </w:rPr>
      </w:pPr>
      <w:bookmarkStart w:id="0" w:name="d523726d425.htm"/>
      <w:bookmarkStart w:id="1" w:name="ksd523726d425"/>
      <w:bookmarkEnd w:id="0"/>
      <w:bookmarkEnd w:id="1"/>
      <w:r>
        <w:rPr>
          <w:rFonts w:ascii="Times New Roman" w:hAnsi="Times New Roman"/>
          <w:sz w:val="20"/>
        </w:rPr>
        <w:t xml:space="preserve">Filed by CECO Environmental Corp. </w:t>
      </w:r>
    </w:p>
    <w:p>
      <w:pPr>
        <w:pStyle w:val="TextBody"/>
        <w:spacing w:before="0" w:after="0"/>
        <w:jc w:val="right"/>
        <w:rPr>
          <w:rFonts w:ascii="Times New Roman" w:hAnsi="Times New Roman"/>
          <w:sz w:val="20"/>
        </w:rPr>
      </w:pPr>
      <w:r>
        <w:rPr>
          <w:rFonts w:ascii="Times New Roman" w:hAnsi="Times New Roman"/>
          <w:sz w:val="20"/>
        </w:rPr>
        <w:t xml:space="preserve">Pursuant to Rule 425 under the Securities Act of 1933 and </w:t>
      </w:r>
    </w:p>
    <w:p>
      <w:pPr>
        <w:pStyle w:val="TextBody"/>
        <w:spacing w:before="0" w:after="0"/>
        <w:jc w:val="right"/>
        <w:rPr>
          <w:rFonts w:ascii="Times New Roman" w:hAnsi="Times New Roman"/>
          <w:sz w:val="20"/>
        </w:rPr>
      </w:pPr>
      <w:r>
        <w:rPr>
          <w:rFonts w:ascii="Times New Roman" w:hAnsi="Times New Roman"/>
          <w:sz w:val="20"/>
        </w:rPr>
        <w:t xml:space="preserve">deemed filed pursuant to Rule 14a-12 of the Securities Exchange Act of 1934 </w:t>
      </w:r>
    </w:p>
    <w:p>
      <w:pPr>
        <w:pStyle w:val="TextBody"/>
        <w:spacing w:before="180" w:after="0"/>
        <w:jc w:val="right"/>
        <w:rPr>
          <w:rFonts w:ascii="Times New Roman" w:hAnsi="Times New Roman"/>
          <w:sz w:val="20"/>
        </w:rPr>
      </w:pPr>
      <w:r>
        <w:rPr>
          <w:rFonts w:ascii="Times New Roman" w:hAnsi="Times New Roman"/>
          <w:sz w:val="20"/>
        </w:rPr>
        <w:t xml:space="preserve">Subject Company: Met-Pro Corporation </w:t>
      </w:r>
    </w:p>
    <w:p>
      <w:pPr>
        <w:pStyle w:val="TextBody"/>
        <w:spacing w:before="0" w:after="0"/>
        <w:jc w:val="right"/>
        <w:rPr>
          <w:rFonts w:ascii="Times New Roman" w:hAnsi="Times New Roman"/>
          <w:sz w:val="20"/>
        </w:rPr>
      </w:pPr>
      <w:r>
        <w:rPr>
          <w:rFonts w:ascii="Times New Roman" w:hAnsi="Times New Roman"/>
          <w:sz w:val="20"/>
        </w:rPr>
        <w:t xml:space="preserve">Commission File No. 001-07763 </w:t>
      </w:r>
      <w:r>
        <w:br w:type="page"/>
      </w:r>
    </w:p>
    <w:p>
      <w:pPr>
        <w:pStyle w:val="HorizontalLine"/>
        <w:pBdr>
          <w:bottom w:val="double" w:sz="6" w:space="0" w:color="808080"/>
        </w:pBdr>
        <w:rPr/>
      </w:pPr>
      <w:r>
        <w:rPr/>
      </w:r>
    </w:p>
    <w:p>
      <w:pPr>
        <w:pStyle w:val="Normal"/>
        <w:spacing w:before="0" w:after="0"/>
        <w:rPr>
          <w:sz w:val="4"/>
          <w:szCs w:val="4"/>
        </w:rPr>
      </w:pPr>
      <w:r>
        <w:rPr>
          <w:sz w:val="4"/>
          <w:szCs w:val="4"/>
        </w:rPr>
      </w:r>
      <w:bookmarkStart w:id="2" w:name="pageTable"/>
      <w:bookmarkStart w:id="3" w:name="pageTable"/>
      <w:bookmarkEnd w:id="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Integrated Clean Air Solutions for Industry</w:t>
            </w:r>
          </w:p>
          <w:p>
            <w:pPr>
              <w:pStyle w:val="TableContents"/>
              <w:spacing w:before="0" w:after="0"/>
              <w:rPr>
                <w:rFonts w:ascii="arial;times new roman;times;serif" w:hAnsi="arial;times new roman;times;serif"/>
                <w:b/>
                <w:i w:val="false"/>
                <w:caps w:val="false"/>
                <w:smallCaps w:val="false"/>
                <w:color w:val="214473"/>
                <w:sz w:val="44"/>
              </w:rPr>
            </w:pPr>
            <w:r>
              <w:rPr>
                <w:rFonts w:ascii="arial;times new roman;times;serif" w:hAnsi="arial;times new roman;times;serif"/>
                <w:b/>
                <w:i w:val="false"/>
                <w:caps w:val="false"/>
                <w:smallCaps w:val="false"/>
                <w:color w:val="214473"/>
                <w:sz w:val="44"/>
              </w:rPr>
              <w:t>CECO and Met-Pro</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Combining Forces for a Stronger Tomorrow</w:t>
            </w:r>
          </w:p>
          <w:p>
            <w:pPr>
              <w:pStyle w:val="TableContents"/>
              <w:spacing w:before="0" w:after="0"/>
              <w:rPr>
                <w:rFonts w:ascii="arial;times new roman;times;serif" w:hAnsi="arial;times new roman;times;serif"/>
                <w:b w:val="false"/>
                <w:i w:val="false"/>
                <w:caps w:val="false"/>
                <w:smallCaps w:val="false"/>
                <w:color w:val="214473"/>
                <w:sz w:val="29"/>
              </w:rPr>
            </w:pPr>
            <w:r>
              <w:rPr>
                <w:rFonts w:ascii="arial;times new roman;times;serif" w:hAnsi="arial;times new roman;times;serif"/>
                <w:b w:val="false"/>
                <w:i w:val="false"/>
                <w:caps w:val="false"/>
                <w:smallCaps w:val="false"/>
                <w:color w:val="214473"/>
                <w:sz w:val="29"/>
              </w:rPr>
              <w:t>April 22, 2013</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4" w:name="pageTable1"/>
      <w:bookmarkStart w:id="5" w:name="pageTable1"/>
      <w:bookmarkEnd w:id="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2</w:t>
            </w:r>
          </w:p>
          <w:p>
            <w:pPr>
              <w:pStyle w:val="TableContents"/>
              <w:spacing w:before="0" w:after="0"/>
              <w:rPr>
                <w:rFonts w:ascii="arial;times new roman;times;serif" w:hAnsi="arial;times new roman;times;serif"/>
                <w:b w:val="false"/>
                <w:i w:val="false"/>
                <w:caps w:val="false"/>
                <w:smallCaps w:val="false"/>
                <w:color w:val="595959"/>
                <w:sz w:val="41"/>
              </w:rPr>
            </w:pPr>
            <w:r>
              <w:rPr>
                <w:rFonts w:ascii="arial;times new roman;times;serif" w:hAnsi="arial;times new roman;times;serif"/>
                <w:b w:val="false"/>
                <w:i w:val="false"/>
                <w:caps w:val="false"/>
                <w:smallCaps w:val="false"/>
                <w:color w:val="595959"/>
                <w:sz w:val="41"/>
              </w:rPr>
              <w:t>Jeff Lang</w:t>
            </w:r>
          </w:p>
          <w:p>
            <w:pPr>
              <w:pStyle w:val="TableContents"/>
              <w:spacing w:before="0" w:after="0"/>
              <w:rPr>
                <w:rFonts w:ascii="arial;times new roman;times;serif" w:hAnsi="arial;times new roman;times;serif"/>
                <w:b w:val="false"/>
                <w:i w:val="false"/>
                <w:caps w:val="false"/>
                <w:smallCaps w:val="false"/>
                <w:color w:val="595959"/>
                <w:sz w:val="41"/>
              </w:rPr>
            </w:pPr>
            <w:r>
              <w:rPr>
                <w:rFonts w:ascii="arial;times new roman;times;serif" w:hAnsi="arial;times new roman;times;serif"/>
                <w:b w:val="false"/>
                <w:i w:val="false"/>
                <w:caps w:val="false"/>
                <w:smallCaps w:val="false"/>
                <w:color w:val="595959"/>
                <w:sz w:val="41"/>
              </w:rPr>
              <w:t>Chief Executive Officer &amp; Director</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6" w:name="pageTable2"/>
      <w:bookmarkStart w:id="7" w:name="pageTable2"/>
      <w:bookmarkEnd w:id="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3</w:t>
            </w:r>
          </w:p>
          <w:p>
            <w:pPr>
              <w:pStyle w:val="TableContents"/>
              <w:spacing w:before="0" w:after="0"/>
              <w:rPr>
                <w:rFonts w:ascii="arial;sans-serif" w:hAnsi="arial;sans-serif"/>
                <w:b/>
                <w:i w:val="false"/>
                <w:caps w:val="false"/>
                <w:smallCaps w:val="false"/>
                <w:color w:val="000000"/>
                <w:sz w:val="14"/>
              </w:rPr>
            </w:pPr>
            <w:r>
              <w:rPr>
                <w:rFonts w:ascii="arial;sans-serif" w:hAnsi="arial;sans-serif"/>
                <w:b/>
                <w:i w:val="false"/>
                <w:caps w:val="false"/>
                <w:smallCaps w:val="false"/>
                <w:color w:val="000000"/>
                <w:sz w:val="14"/>
              </w:rPr>
              <w:t xml:space="preserve">Forward Looking Statements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Information in this document contains forward-looking statements, which involve a number of risks and uncertainties. CECO Environmental Corp. (CECO) and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Met-Pro Corporation (Met-Pro) caution readers that any forward-looking information is not a guarantee of future performance and that actual results could differ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materially from those contained in the forward-looking information. All such forward-looking statements include, but are not limited to, statements about the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benefits of the business combination transaction involving CECO and Met-Pro, including future financial and operating results, the new companys plans,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objectives, expectations and intentions and other statements that are not historical facts.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The following factors, among others, could cause actual results to differ from those set forth in the forward-looking statements: the failure of CECO or Met-Pro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stockholders to approve the transaction; the risk that the businesses will not be integrated successfully; the risk that the cost savings and any other synergies from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the transaction may not be fully realized or may take longer to realize than expected; disruption from the transaction making it more difficult to maintain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relationships with customers, employees or suppliers; competition and its effect on pricing, spending, third-party relationships and revenues.  Additional factors that</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may affect future results are contained in CECOs and Met-Pros filings with the SEC.  CECO and Met-Pro disclaim any obligation to update and revise statements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contained in these materials based on new information or otherwise. </w:t>
            </w:r>
          </w:p>
          <w:p>
            <w:pPr>
              <w:pStyle w:val="TableContents"/>
              <w:spacing w:before="0" w:after="0"/>
              <w:rPr>
                <w:rFonts w:ascii="arial;sans-serif" w:hAnsi="arial;sans-serif"/>
                <w:b/>
                <w:i w:val="false"/>
                <w:caps w:val="false"/>
                <w:smallCaps w:val="false"/>
                <w:color w:val="000000"/>
                <w:sz w:val="14"/>
              </w:rPr>
            </w:pPr>
            <w:r>
              <w:rPr>
                <w:rFonts w:ascii="arial;sans-serif" w:hAnsi="arial;sans-serif"/>
                <w:b/>
                <w:i w:val="false"/>
                <w:caps w:val="false"/>
                <w:smallCaps w:val="false"/>
                <w:color w:val="000000"/>
                <w:sz w:val="14"/>
              </w:rPr>
              <w:t xml:space="preserve">Important Information for Investors and Stockholders </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This communication does not constitute an offer to sell or the solicitation of an offer to buy securities or a solicitation of any vote or approval.  This communication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is not a substitute for the prospectus/proxy statement CECO Environmental Corp. and Met-Pro Corporation will file with the SEC. </w:t>
            </w:r>
            <w:r>
              <w:rPr>
                <w:rFonts w:ascii="arial;sans-serif" w:hAnsi="arial;sans-serif"/>
                <w:b/>
                <w:i w:val="false"/>
                <w:caps w:val="false"/>
                <w:smallCaps w:val="false"/>
                <w:color w:val="000000"/>
                <w:sz w:val="20"/>
              </w:rPr>
              <w:t xml:space="preserve">Investors in CECO or Met-Pro </w:t>
            </w:r>
          </w:p>
          <w:p>
            <w:pPr>
              <w:pStyle w:val="TableContents"/>
              <w:spacing w:before="0" w:after="0"/>
              <w:rPr>
                <w:rFonts w:ascii="arial;sans-serif" w:hAnsi="arial;sans-serif"/>
                <w:b/>
                <w:i w:val="false"/>
                <w:caps w:val="false"/>
                <w:smallCaps w:val="false"/>
                <w:color w:val="000000"/>
                <w:sz w:val="14"/>
              </w:rPr>
            </w:pPr>
            <w:r>
              <w:rPr>
                <w:rFonts w:ascii="arial;sans-serif" w:hAnsi="arial;sans-serif"/>
                <w:b/>
                <w:i w:val="false"/>
                <w:caps w:val="false"/>
                <w:smallCaps w:val="false"/>
                <w:color w:val="000000"/>
                <w:sz w:val="14"/>
              </w:rPr>
              <w:t xml:space="preserve">are urged to read the prospectus/proxy statement, which will contain important information, including detailed risk factors, when it becomes available.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The prospectus/proxy statement and other documents that will be filed by the Company and Met-Pro with the SEC will be available free of charge at the SECs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website, www.sec.gov, or by directing a request when such a filing is made to CECO Environmental Corp., 4625 Red Bank Road, Suite 200, Cincinnati, Ohio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45227, Attention: Investor Relations; or to Met-Pro Corporation, 160 Cassell Road, Harleysville, Pennsylvania 19438, Attention: Investor Relations. A final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prospectus/proxy statement will be mailed to CECOs stockholders and shareholders of Met-Pro.</w:t>
            </w:r>
          </w:p>
          <w:p>
            <w:pPr>
              <w:pStyle w:val="TableContents"/>
              <w:spacing w:before="0" w:after="0"/>
              <w:rPr>
                <w:caps w:val="false"/>
                <w:smallCaps w:val="false"/>
                <w:color w:val="000000"/>
              </w:rPr>
            </w:pPr>
            <w:r>
              <w:rPr>
                <w:caps w:val="false"/>
                <w:smallCaps w:val="false"/>
                <w:color w:val="000000"/>
              </w:rPr>
              <w:t xml:space="preserve">  </w:t>
            </w:r>
          </w:p>
          <w:p>
            <w:pPr>
              <w:pStyle w:val="TableContents"/>
              <w:spacing w:before="0" w:after="0"/>
              <w:rPr>
                <w:rFonts w:ascii="arial;sans-serif" w:hAnsi="arial;sans-serif"/>
                <w:b/>
                <w:i w:val="false"/>
                <w:caps w:val="false"/>
                <w:smallCaps w:val="false"/>
                <w:color w:val="000000"/>
                <w:sz w:val="14"/>
              </w:rPr>
            </w:pPr>
            <w:r>
              <w:rPr>
                <w:rFonts w:ascii="arial;sans-serif" w:hAnsi="arial;sans-serif"/>
                <w:b/>
                <w:i w:val="false"/>
                <w:caps w:val="false"/>
                <w:smallCaps w:val="false"/>
                <w:color w:val="000000"/>
                <w:sz w:val="14"/>
              </w:rPr>
              <w:t xml:space="preserve">Non-GAAP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These slides may contain non-GAAP financial measures. For purposes of Regulation G, a non-GAAP financial measure is a numerical measure of historical or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future financial performance that excludes amounts that are included in the most directly comparable measure calculated and presented in accordance with GAAP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in the statement of income, balance sheet or statement of cash flows (or equivalent statements). In accordance with the requirements of Regulation G, the table in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the Appendix presents the most directly comparable GAAP financial measure and reconciles non-GAAP adjusted EBITDA to the comparable GAAP measure.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Adjusted EBITDA is not calculated in accordance with GAAP, and should be considered supplemental to, and not as a substitute for, or superior to, financial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measures calculated in accordance with GAAP.  </w:t>
            </w:r>
          </w:p>
          <w:p>
            <w:pPr>
              <w:pStyle w:val="TableContents"/>
              <w:spacing w:before="0" w:after="0"/>
              <w:rPr>
                <w:rFonts w:ascii="arial;sans-serif" w:hAnsi="arial;sans-serif"/>
                <w:b/>
                <w:i w:val="false"/>
                <w:caps w:val="false"/>
                <w:smallCaps w:val="false"/>
                <w:color w:val="000000"/>
                <w:sz w:val="14"/>
              </w:rPr>
            </w:pPr>
            <w:r>
              <w:rPr>
                <w:rFonts w:ascii="arial;sans-serif" w:hAnsi="arial;sans-serif"/>
                <w:b/>
                <w:i w:val="false"/>
                <w:caps w:val="false"/>
                <w:smallCaps w:val="false"/>
                <w:color w:val="000000"/>
                <w:sz w:val="14"/>
              </w:rPr>
              <w:t xml:space="preserve">Proxy Solicitation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CECO and Met-Pro, and certain of their respective directors, executive officers and other members of management and employees may be deemed participants in</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the solicitation of proxies in connection with the proposed transactions. Information about the directors and executive officers of CECO is set forth in the proxy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statement for CECOs 2013 annual meeting of stockholders and CECOs 10-K for the year ended December 31, 2012. Information about the directors and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executive officers of Met-Pro is set forth in the proxy statement for Met-Pros 2012 annual meeting of shareholders and Met-Pros Form 10-K for the year ended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January 31, 2012. Investors may obtain additional information regarding the interests of such participants in the proposed transactions by reading the </w:t>
            </w:r>
          </w:p>
          <w:p>
            <w:pPr>
              <w:pStyle w:val="TableContents"/>
              <w:spacing w:before="0" w:after="0"/>
              <w:rPr>
                <w:rFonts w:ascii="arial;sans-serif" w:hAnsi="arial;sans-serif"/>
                <w:b w:val="false"/>
                <w:i w:val="false"/>
                <w:caps w:val="false"/>
                <w:smallCaps w:val="false"/>
                <w:color w:val="000000"/>
                <w:sz w:val="14"/>
              </w:rPr>
            </w:pPr>
            <w:r>
              <w:rPr>
                <w:rFonts w:ascii="arial;sans-serif" w:hAnsi="arial;sans-serif"/>
                <w:b w:val="false"/>
                <w:i w:val="false"/>
                <w:caps w:val="false"/>
                <w:smallCaps w:val="false"/>
                <w:color w:val="000000"/>
                <w:sz w:val="14"/>
              </w:rPr>
              <w:t xml:space="preserve">prospectus/proxy statement for such proposed transactions when it becomes available.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8" w:name="pageTable3"/>
      <w:bookmarkStart w:id="9" w:name="pageTable3"/>
      <w:bookmarkEnd w:id="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Transaction Summary</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4</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Structure &amp;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Consideration</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 xml:space="preserve">Structure &amp; </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Consideration</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(1)</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(2)</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Financial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Benefits</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 xml:space="preserve">Financial </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Benefits</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Expect ~$9 million in annual cost synergies with full realization by CY2014</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Strong margin uplift</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Improved free cash flow performance</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Highly accretive to EPS</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Conditions &amp;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 xml:space="preserve">Expected </w:t>
            </w:r>
          </w:p>
          <w:p>
            <w:pPr>
              <w:pStyle w:val="TableContents"/>
              <w:spacing w:before="0" w:after="0"/>
              <w:rPr>
                <w:rFonts w:ascii="arial;times new roman;times;serif" w:hAnsi="arial;times new roman;times;serif"/>
                <w:b w:val="false"/>
                <w:i w:val="false"/>
                <w:caps w:val="false"/>
                <w:smallCaps w:val="false"/>
                <w:color w:val="000000"/>
                <w:sz w:val="20"/>
              </w:rPr>
            </w:pPr>
            <w:r>
              <w:rPr>
                <w:rFonts w:ascii="arial;times new roman;times;serif" w:hAnsi="arial;times new roman;times;serif"/>
                <w:b w:val="false"/>
                <w:i w:val="false"/>
                <w:caps w:val="false"/>
                <w:smallCaps w:val="false"/>
                <w:color w:val="000000"/>
                <w:sz w:val="20"/>
              </w:rPr>
              <w:t>Closing</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 xml:space="preserve">Conditions &amp; </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 xml:space="preserve">Expected </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Closing</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Shareholder approval from both parties</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NASDAQ approval</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Other customary approvals and closing conditions</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Expected close: September 2013</w:t>
            </w:r>
          </w:p>
          <w:p>
            <w:pPr>
              <w:pStyle w:val="TableContents"/>
              <w:spacing w:before="0" w:after="0"/>
              <w:rPr>
                <w:rFonts w:ascii="arial;sans-serif" w:hAnsi="arial;sans-serif"/>
                <w:b w:val="false"/>
                <w:i w:val="false"/>
                <w:caps w:val="false"/>
                <w:smallCaps w:val="false"/>
                <w:color w:val="595959"/>
                <w:sz w:val="17"/>
              </w:rPr>
            </w:pPr>
            <w:r>
              <w:rPr>
                <w:rFonts w:ascii="arial;sans-serif" w:hAnsi="arial;sans-serif"/>
                <w:b w:val="false"/>
                <w:i w:val="false"/>
                <w:caps w:val="false"/>
                <w:smallCaps w:val="false"/>
                <w:color w:val="595959"/>
                <w:sz w:val="17"/>
              </w:rPr>
              <w:t xml:space="preserve">CECO has agreed to acquire Met-Pro for $13.75 per share in cash and/or CECO common stock </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Stock</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consideration:</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$6.50</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per</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share</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($97.1</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million,</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representing</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~31%</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ownership</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in</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pro</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forma</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entity)</w:t>
            </w:r>
          </w:p>
          <w:p>
            <w:pPr>
              <w:pStyle w:val="TableContents"/>
              <w:spacing w:before="0" w:after="0"/>
              <w:rPr>
                <w:rFonts w:ascii="arial;times new roman;times;serif" w:hAnsi="arial;times new roman;times;serif"/>
                <w:b w:val="false"/>
                <w:i w:val="false"/>
                <w:caps w:val="false"/>
                <w:smallCaps w:val="false"/>
                <w:color w:val="595959"/>
                <w:sz w:val="11"/>
              </w:rPr>
            </w:pPr>
            <w:r>
              <w:rPr>
                <w:rFonts w:ascii="arial;times new roman;times;serif" w:hAnsi="arial;times new roman;times;serif"/>
                <w:b w:val="false"/>
                <w:i w:val="false"/>
                <w:caps w:val="false"/>
                <w:smallCaps w:val="false"/>
                <w:color w:val="595959"/>
                <w:sz w:val="11"/>
              </w:rPr>
              <w:t>(1)</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 xml:space="preserve">Cash / Stock election: Met-Pro shareholders have the right to elect consideration in varying amounts of cash </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or stock, subject to proration mechanism</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Collar:</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stock</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consideration</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exchange</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ratio</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equals</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$13.75</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per</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share</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divided</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by</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the</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Parent</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Trading</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Price</w:t>
            </w:r>
          </w:p>
          <w:p>
            <w:pPr>
              <w:pStyle w:val="TableContents"/>
              <w:spacing w:before="0" w:after="0"/>
              <w:rPr>
                <w:rFonts w:ascii="arial;times new roman;times;serif" w:hAnsi="arial;times new roman;times;serif"/>
                <w:b w:val="false"/>
                <w:i w:val="false"/>
                <w:caps w:val="false"/>
                <w:smallCaps w:val="false"/>
                <w:color w:val="595959"/>
                <w:sz w:val="11"/>
              </w:rPr>
            </w:pPr>
            <w:r>
              <w:rPr>
                <w:rFonts w:ascii="arial;times new roman;times;serif" w:hAnsi="arial;times new roman;times;serif"/>
                <w:b w:val="false"/>
                <w:i w:val="false"/>
                <w:caps w:val="false"/>
                <w:smallCaps w:val="false"/>
                <w:color w:val="595959"/>
                <w:sz w:val="11"/>
              </w:rPr>
              <w:t>(2)</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 xml:space="preserve">provided that if the result of such calculation is less than or equal to 1.000x, the exchange ratio shall be 1.000x, </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and if the result of such calculation is greater than or equal to 1.352x, the exchange ratio shall be 1.352x.</w:t>
            </w:r>
          </w:p>
          <w:p>
            <w:pPr>
              <w:pStyle w:val="TableContents"/>
              <w:spacing w:before="0" w:after="0"/>
              <w:rPr>
                <w:rFonts w:ascii="arial;sans-serif" w:hAnsi="arial;sans-serif"/>
                <w:b w:val="false"/>
                <w:i w:val="false"/>
                <w:caps w:val="false"/>
                <w:smallCaps w:val="false"/>
                <w:color w:val="595959"/>
                <w:sz w:val="9"/>
              </w:rPr>
            </w:pPr>
            <w:r>
              <w:rPr>
                <w:rFonts w:ascii="arial;sans-serif" w:hAnsi="arial;sans-serif"/>
                <w:b w:val="false"/>
                <w:i w:val="false"/>
                <w:caps w:val="false"/>
                <w:smallCaps w:val="false"/>
                <w:color w:val="595959"/>
                <w:sz w:val="9"/>
              </w:rPr>
              <w:t>15 day volume-weighted average closing price was $11.96 as of April 19, 2013.  Stock consideration subject to floating exchange ratio and collar mechanism.</w:t>
            </w:r>
            <w:r>
              <w:rPr>
                <w:rFonts w:ascii="arial;sans-serif" w:hAnsi="arial;sans-serif"/>
                <w:b w:val="false"/>
                <w:i w:val="false"/>
                <w:caps w:val="false"/>
                <w:smallCaps w:val="false"/>
                <w:color w:val="000000"/>
                <w:sz w:val="9"/>
              </w:rPr>
              <w:t xml:space="preserve"> </w:t>
            </w:r>
          </w:p>
          <w:p>
            <w:pPr>
              <w:pStyle w:val="TableContents"/>
              <w:spacing w:before="0" w:after="0"/>
              <w:rPr>
                <w:rFonts w:ascii="arial;sans-serif" w:hAnsi="arial;sans-serif"/>
                <w:b w:val="false"/>
                <w:i w:val="false"/>
                <w:caps w:val="false"/>
                <w:smallCaps w:val="false"/>
                <w:color w:val="595959"/>
                <w:sz w:val="9"/>
              </w:rPr>
            </w:pPr>
            <w:r>
              <w:rPr>
                <w:rFonts w:ascii="arial;sans-serif" w:hAnsi="arial;sans-serif"/>
                <w:b w:val="false"/>
                <w:i w:val="false"/>
                <w:caps w:val="false"/>
                <w:smallCaps w:val="false"/>
                <w:color w:val="595959"/>
                <w:sz w:val="9"/>
              </w:rPr>
              <w:t xml:space="preserve">Parent Trading Price means the volume weighted average price of CECO common stock, as reported on the Nasdaq Global Market for the fifteen (15) consecutive trading days ending on the trading day immediately preceding the closing date. </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Cash</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consideration:</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$7.25</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per</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share</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($110.2</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million)</w:t>
            </w:r>
          </w:p>
          <w:p>
            <w:pPr>
              <w:pStyle w:val="TableContents"/>
              <w:spacing w:before="0" w:after="0"/>
              <w:rPr>
                <w:rFonts w:ascii="arial;times new roman;times;serif" w:hAnsi="arial;times new roman;times;serif"/>
                <w:b w:val="false"/>
                <w:i w:val="false"/>
                <w:caps w:val="false"/>
                <w:smallCaps w:val="false"/>
                <w:color w:val="595959"/>
                <w:sz w:val="11"/>
              </w:rPr>
            </w:pPr>
            <w:r>
              <w:rPr>
                <w:rFonts w:ascii="arial;times new roman;times;serif" w:hAnsi="arial;times new roman;times;serif"/>
                <w:b w:val="false"/>
                <w:i w:val="false"/>
                <w:caps w:val="false"/>
                <w:smallCaps w:val="false"/>
                <w:color w:val="595959"/>
                <w:sz w:val="11"/>
              </w:rPr>
              <w:t>(1)</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0" w:name="pageTable4"/>
      <w:bookmarkStart w:id="11" w:name="pageTable4"/>
      <w:bookmarkEnd w:id="1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Key Transaction Benefits</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 xml:space="preserve">Combination Creates a New Class of Air Pollution Control Assets Poised to </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Achieve Superior Growth</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5</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Strong strategic fit</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 xml:space="preserve">Opportunity to consolidate highly fragmented market and become clear </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independent market leader</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Expanded global reach</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1.</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2.</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3.</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4.</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 xml:space="preserve">5. </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 xml:space="preserve">6. </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Attractive market growth drivers underpin strong growth potential</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 xml:space="preserve">7. </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Experienced management with proven track records as public companies</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 xml:space="preserve">8. </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Poised to benefit from enhanced end-market and customer diversity</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Highly financially compelling with enhanced scale</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Poised to achieve significant synergies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2" w:name="pageTable5"/>
      <w:bookmarkStart w:id="13" w:name="pageTable5"/>
      <w:bookmarkEnd w:id="1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Significant Benefits to CECO Shareholders</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6</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 xml:space="preserve">Significant majority ownership of the highly attractive CECO / Met-Pro combined </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company</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Stronger, more attractive industry competitor than CECO on standalone basis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 xml:space="preserve">Forms a premier global leader in air pollution control, fluid handling, filtration &amp; equipment </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solutions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Greater ability to penetrate higher growth geographies and end-markets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Benefit from increased scale and improved market liquidity</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Participation in considerable value creation resulting from the combination</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~69%</w:t>
            </w:r>
          </w:p>
          <w:p>
            <w:pPr>
              <w:pStyle w:val="TableContents"/>
              <w:spacing w:before="0" w:after="0"/>
              <w:rPr>
                <w:rFonts w:ascii="arial;times new roman;times;serif" w:hAnsi="arial;times new roman;times;serif"/>
                <w:b w:val="false"/>
                <w:i w:val="false"/>
                <w:caps w:val="false"/>
                <w:smallCaps w:val="false"/>
                <w:color w:val="595959"/>
                <w:sz w:val="18"/>
              </w:rPr>
            </w:pPr>
            <w:r>
              <w:rPr>
                <w:rFonts w:ascii="arial;times new roman;times;serif" w:hAnsi="arial;times new roman;times;serif"/>
                <w:b w:val="false"/>
                <w:i w:val="false"/>
                <w:caps w:val="false"/>
                <w:smallCaps w:val="false"/>
                <w:color w:val="595959"/>
                <w:sz w:val="18"/>
              </w:rPr>
              <w:t>(1)</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ownership of pro forma Company for CECO shareholders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Expect to realize ~$9 million in annual cost synergies</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 xml:space="preserve">Combination with a highly complementary strategic partner with proven track record as </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a public company</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Benefit from increased size, diversification</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Combination Significantly More Compelling than Standalone</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(1)</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Based on 15 day volume-weighted average closing price of $11.96 as of April 19, 2013.  Stock consideration subject to floating exchange ratio and collar mechanism.</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4" w:name="pageTable6"/>
      <w:bookmarkStart w:id="15" w:name="pageTable6"/>
      <w:bookmarkEnd w:id="1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Strong Strategic Fit</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7</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Filtration</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Core Overlapping Competencies</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Ventilation Systems</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Catalytic Reduction</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Equipment, Components, Parts</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Filtration and purification equipment</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Fluid handling equipment</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Proprietary chemicals</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 xml:space="preserve">Air pollution control equipment &amp; </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technology</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 xml:space="preserve">Related parts and services for </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industrial air systems</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Ability to leverage unique trade knowledge, patents and manufacturing capabilities</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Introduction of pumps business enhances margin profile while diversifying end-market exposure</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Opportunity to Capitalize on Core Business Alignment</w:t>
            </w:r>
          </w:p>
          <w:p>
            <w:pPr>
              <w:pStyle w:val="TableContents"/>
              <w:spacing w:before="0" w:after="0"/>
              <w:rPr>
                <w:rFonts w:ascii="arial;sans-serif" w:hAnsi="arial;sans-serif"/>
                <w:b w:val="false"/>
                <w:i w:val="false"/>
                <w:caps w:val="false"/>
                <w:smallCaps w:val="false"/>
                <w:color w:val="595959"/>
                <w:sz w:val="21"/>
              </w:rPr>
            </w:pPr>
            <w:r>
              <w:rPr>
                <w:rFonts w:ascii="arial;sans-serif" w:hAnsi="arial;sans-serif"/>
                <w:b w:val="false"/>
                <w:i w:val="false"/>
                <w:caps w:val="false"/>
                <w:smallCaps w:val="false"/>
                <w:color w:val="595959"/>
                <w:sz w:val="21"/>
              </w:rPr>
              <w:t xml:space="preserve">Strong complementary product portfolio creates one-stop-shop to best serve customers </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6" w:name="pageTable7"/>
      <w:bookmarkStart w:id="17" w:name="pageTable7"/>
      <w:bookmarkEnd w:id="1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67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53525" cy="6867525"/>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Poised to Benefit from Enhanced End-Market and Customer Diversity</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8</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Combination enhances breadth and depth of end-market exposure to blue-chip customer base</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Expansion results in natural hedge against market and customer-specific volatility</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Unlocks significant cross-selling opportunities with access to over 11,500 active customers worldwide</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Strong play to consolidate market and benefit from economies of scale and scope</w:t>
            </w:r>
          </w:p>
          <w:p>
            <w:pPr>
              <w:pStyle w:val="TableContents"/>
              <w:spacing w:before="0" w:after="0"/>
              <w:rPr>
                <w:rFonts w:ascii="arial;times new roman;times;serif" w:hAnsi="arial;times new roman;times;serif"/>
                <w:b/>
                <w:i w:val="false"/>
                <w:caps w:val="false"/>
                <w:smallCaps w:val="false"/>
                <w:color w:val="595959"/>
                <w:sz w:val="18"/>
              </w:rPr>
            </w:pPr>
            <w:r>
              <w:rPr>
                <w:rFonts w:ascii="arial;times new roman;times;serif" w:hAnsi="arial;times new roman;times;serif"/>
                <w:b/>
                <w:i w:val="false"/>
                <w:caps w:val="false"/>
                <w:smallCaps w:val="false"/>
                <w:color w:val="595959"/>
                <w:sz w:val="18"/>
              </w:rPr>
              <w:t>Core Competencies</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Pharmaceutical</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Automotive</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Chemical / Petro</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Steel &amp; Metal</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Refinery</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Industrial Manufacturing</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Food Processing</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 xml:space="preserve">Saltwater </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Aquariums</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 xml:space="preserve">Semiconductor / </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Electronics</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Municipalities</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Universities</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Hospitals</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 xml:space="preserve">Government </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Facilities</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Industrial Ventilation</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 xml:space="preserve">Traditional Power &amp; Natural Gas </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Power</w:t>
            </w:r>
          </w:p>
          <w:p>
            <w:pPr>
              <w:pStyle w:val="TableContents"/>
              <w:spacing w:before="0" w:after="0"/>
              <w:rPr>
                <w:rFonts w:ascii="arial;times new roman;times;serif" w:hAnsi="arial;times new roman;times;serif"/>
                <w:b/>
                <w:i w:val="false"/>
                <w:caps w:val="false"/>
                <w:smallCaps w:val="false"/>
                <w:color w:val="595959"/>
                <w:sz w:val="20"/>
              </w:rPr>
            </w:pPr>
            <w:r>
              <w:rPr>
                <w:rFonts w:ascii="arial;times new roman;times;serif" w:hAnsi="arial;times new roman;times;serif"/>
                <w:b/>
                <w:i w:val="false"/>
                <w:caps w:val="false"/>
                <w:smallCaps w:val="false"/>
                <w:color w:val="595959"/>
                <w:sz w:val="20"/>
              </w:rPr>
              <w:t>Aerospace</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18" w:name="pageTable8"/>
      <w:bookmarkStart w:id="19" w:name="pageTable8"/>
      <w:bookmarkEnd w:id="1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Attractive Market Growth Drivers</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9</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Favorable Industry Dynamics Underpin Strong Growth Potential</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Increasingly stringent air pollution control regulatory environment</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U.S. EPA: Mandated air quality standards for power plants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OSHA: Established permissible exposure limits for contaminants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U.S. DOE: Promoting new technology growth in biomass and gasification</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Shale revolution driving natural gas power generation</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Consumption of natural gas expected to grow ~45% by 2035</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Natural gas is expected to displace coal-fired plants</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Chinas rapid industrialization and focus on compliance</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 xml:space="preserve">12th 5-Year Plan: All coal/oil fired thermal units must comply with significantly stricter air </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pollution controls by January 1, 2014</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Increased demand from refining and chemical processes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North American shale gas feedstock fundamentals drive manufacturing advantage</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Re-industrialization</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 xml:space="preserve">of North America: Many new industrial/manufacturing projects slated for </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startup</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0" w:name="pageTable9"/>
      <w:bookmarkStart w:id="21" w:name="pageTable9"/>
      <w:bookmarkEnd w:id="2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Expanded Global Reach</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10</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Strengthened Geographic Footprint with Deep Emerging Market Exposure</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Pro</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forma</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company</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will</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have</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a</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well-balanced</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geographic</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portfolio</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of</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assets</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Combined</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platform</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enhances</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ability</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to</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capitalize</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on</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emerging</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market</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growth</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Well-established</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presence</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in</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China,</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India</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and</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Latin</w:t>
            </w:r>
          </w:p>
          <w:p>
            <w:pPr>
              <w:pStyle w:val="TableContents"/>
              <w:spacing w:before="0" w:after="0"/>
              <w:rPr>
                <w:rFonts w:ascii="arial;times new roman;times;serif" w:hAnsi="arial;times new roman;times;serif"/>
                <w:b w:val="false"/>
                <w:i w:val="false"/>
                <w:caps w:val="false"/>
                <w:smallCaps w:val="false"/>
                <w:color w:val="595959"/>
                <w:sz w:val="23"/>
              </w:rPr>
            </w:pPr>
            <w:r>
              <w:rPr>
                <w:rFonts w:ascii="arial;times new roman;times;serif" w:hAnsi="arial;times new roman;times;serif"/>
                <w:b w:val="false"/>
                <w:i w:val="false"/>
                <w:caps w:val="false"/>
                <w:smallCaps w:val="false"/>
                <w:color w:val="595959"/>
                <w:sz w:val="23"/>
              </w:rPr>
              <w:t>America</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Component Parts Facilities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Future Facilities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Agents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Contracting / Services Facilities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Engineered Equipment Facilities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CECO Headquarters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Mefiag Filtration Technologies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Filtration / Purification Technologies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Fluid Handling Technologies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Product Recovery/Pollution Control Technologies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Met-Pro Headquarters</w:t>
            </w:r>
          </w:p>
          <w:p>
            <w:pPr>
              <w:pStyle w:val="TableContents"/>
              <w:spacing w:before="0" w:after="0"/>
              <w:rPr>
                <w:rFonts w:ascii="arial;times new roman;times;serif" w:hAnsi="arial;times new roman;times;serif"/>
                <w:b/>
                <w:i w:val="false"/>
                <w:caps w:val="false"/>
                <w:smallCaps w:val="false"/>
                <w:color w:val="EEECE1"/>
                <w:sz w:val="18"/>
              </w:rPr>
            </w:pPr>
            <w:r>
              <w:rPr>
                <w:rFonts w:ascii="arial;times new roman;times;serif" w:hAnsi="arial;times new roman;times;serif"/>
                <w:b/>
                <w:i w:val="false"/>
                <w:caps w:val="false"/>
                <w:smallCaps w:val="false"/>
                <w:color w:val="EEECE1"/>
                <w:sz w:val="18"/>
              </w:rPr>
              <w:t>CECO</w:t>
            </w:r>
          </w:p>
          <w:p>
            <w:pPr>
              <w:pStyle w:val="TableContents"/>
              <w:spacing w:before="0" w:after="0"/>
              <w:rPr>
                <w:rFonts w:ascii="arial;times new roman;times;serif" w:hAnsi="arial;times new roman;times;serif"/>
                <w:b/>
                <w:i w:val="false"/>
                <w:caps w:val="false"/>
                <w:smallCaps w:val="false"/>
                <w:color w:val="EEECE1"/>
                <w:sz w:val="18"/>
              </w:rPr>
            </w:pPr>
            <w:r>
              <w:rPr>
                <w:rFonts w:ascii="arial;times new roman;times;serif" w:hAnsi="arial;times new roman;times;serif"/>
                <w:b/>
                <w:i w:val="false"/>
                <w:caps w:val="false"/>
                <w:smallCaps w:val="false"/>
                <w:color w:val="EEECE1"/>
                <w:sz w:val="18"/>
              </w:rPr>
              <w:t>Met-Pro</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2" w:name="pageTable10"/>
      <w:bookmarkStart w:id="23" w:name="pageTable10"/>
      <w:bookmarkEnd w:id="2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Experienced Management Teams with Proven Track Records of Success</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11</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 xml:space="preserve">Opportunity to Leverage the Strength of Two World-Class Management Teams </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with Deep Industry, Operational and Technical Expertise</w:t>
            </w:r>
          </w:p>
          <w:p>
            <w:pPr>
              <w:pStyle w:val="TableContents"/>
              <w:spacing w:before="0" w:after="0"/>
              <w:rPr>
                <w:rFonts w:ascii="arial;times new roman;times;serif" w:hAnsi="arial;times new roman;times;serif"/>
                <w:b w:val="false"/>
                <w:i w:val="false"/>
                <w:caps w:val="false"/>
                <w:smallCaps w:val="false"/>
                <w:color w:val="000000"/>
                <w:sz w:val="23"/>
              </w:rPr>
            </w:pPr>
            <w:r>
              <w:rPr>
                <w:rFonts w:ascii="arial;times new roman;times;serif" w:hAnsi="arial;times new roman;times;serif"/>
                <w:b w:val="false"/>
                <w:i w:val="false"/>
                <w:caps w:val="false"/>
                <w:smallCaps w:val="false"/>
                <w:color w:val="000000"/>
                <w:sz w:val="23"/>
              </w:rPr>
              <w:t>Key Management</w:t>
            </w:r>
          </w:p>
          <w:p>
            <w:pPr>
              <w:pStyle w:val="TableContents"/>
              <w:spacing w:before="0" w:after="0"/>
              <w:rPr>
                <w:rFonts w:ascii="arial;times new roman;times;serif" w:hAnsi="arial;times new roman;times;serif"/>
                <w:b w:val="false"/>
                <w:i w:val="false"/>
                <w:caps w:val="false"/>
                <w:smallCaps w:val="false"/>
                <w:color w:val="FFFFFF"/>
                <w:sz w:val="23"/>
              </w:rPr>
            </w:pPr>
            <w:r>
              <w:rPr>
                <w:rFonts w:ascii="arial;times new roman;times;serif" w:hAnsi="arial;times new roman;times;serif"/>
                <w:b w:val="false"/>
                <w:i w:val="false"/>
                <w:caps w:val="false"/>
                <w:smallCaps w:val="false"/>
                <w:color w:val="FFFFFF"/>
                <w:sz w:val="23"/>
              </w:rPr>
              <w:t>Key Management</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 xml:space="preserve">Jeff Lang </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 xml:space="preserve">Benton Cook, CPA </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 xml:space="preserve">Roland Bollman </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Bruce Brashear</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Jack Neiser</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Bill Frank</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 xml:space="preserve">Hilliary Jeffries </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Raymond J. De Hont</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Neal E. Murphy</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Gennaro A. DAlterio</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Gregory C. Kimmer</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Paul A. Tetley</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Hans J.D. Huizinga</w:t>
            </w:r>
          </w:p>
          <w:p>
            <w:pPr>
              <w:pStyle w:val="TableContents"/>
              <w:spacing w:before="0" w:after="0"/>
              <w:rPr>
                <w:rFonts w:ascii="arial;times new roman;times;serif" w:hAnsi="arial;times new roman;times;serif"/>
                <w:b w:val="false"/>
                <w:i w:val="false"/>
                <w:caps w:val="false"/>
                <w:smallCaps w:val="false"/>
                <w:color w:val="595959"/>
                <w:sz w:val="15"/>
              </w:rPr>
            </w:pPr>
            <w:r>
              <w:rPr>
                <w:rFonts w:ascii="arial;times new roman;times;serif" w:hAnsi="arial;times new roman;times;serif"/>
                <w:b w:val="false"/>
                <w:i w:val="false"/>
                <w:caps w:val="false"/>
                <w:smallCaps w:val="false"/>
                <w:color w:val="595959"/>
                <w:sz w:val="15"/>
              </w:rPr>
              <w:t>Chief Executive Officer and Director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Interim Chief Financial Officer, Corporate Controller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Executive Vice President, Services, Parts and Filters</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Vice President, FKI-Buell</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President, EFFOX Global</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President, Adwest, CECO Abatement and Busch International</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Vice President, HR &amp; Administration</w:t>
            </w:r>
          </w:p>
          <w:p>
            <w:pPr>
              <w:pStyle w:val="TableContents"/>
              <w:spacing w:before="0" w:after="0"/>
              <w:rPr>
                <w:rFonts w:ascii="arial;times new roman;times;serif" w:hAnsi="arial;times new roman;times;serif"/>
                <w:b w:val="false"/>
                <w:i w:val="false"/>
                <w:caps w:val="false"/>
                <w:smallCaps w:val="false"/>
                <w:color w:val="595959"/>
                <w:sz w:val="15"/>
              </w:rPr>
            </w:pPr>
            <w:r>
              <w:rPr>
                <w:rFonts w:ascii="arial;times new roman;times;serif" w:hAnsi="arial;times new roman;times;serif"/>
                <w:b w:val="false"/>
                <w:i w:val="false"/>
                <w:caps w:val="false"/>
                <w:smallCaps w:val="false"/>
                <w:color w:val="595959"/>
                <w:sz w:val="15"/>
              </w:rPr>
              <w:t>Chief Executive Officer and President</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VP-Finance, Chief Financial Officer, Secretary and Treasurer</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VP/GM Met-Pro Global Pump Solutions and Keystone Filters</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VP.GM Met-Pro Environmental Air Solutions</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VP/GM Strobic Air Corporation</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 xml:space="preserve">Managing Director Mefiag BV and GZ Filter Systems and GM Mefiag </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USA</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4" w:name="pageTable11"/>
      <w:bookmarkStart w:id="25" w:name="pageTable11"/>
      <w:bookmarkEnd w:id="2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Combination has Potential to Achieve Significant Synergies</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Expected Annual Cost Synergies of ~$9 million by 2014</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Significant Implied Liquidity Through Monetization of Real Estate</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12</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CECO / Met-Pro Cost Synergies</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CECO / Met-Pro Cost Synergies</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Operational Synergies</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Manufacturing / Fabrication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Optimization</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Value Creation</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Value Creation</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Cash Flow Synergies</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Cash Flow Synergies</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Monetization of Real Estate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Assets</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Integration Efficiencies</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 xml:space="preserve">~$2.3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 xml:space="preserve">~$9.0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 xml:space="preserve">$2.0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 xml:space="preserve">$4.0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 xml:space="preserve">$6.0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 xml:space="preserve">$8.0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 xml:space="preserve">$10.0 </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2013E</w:t>
            </w:r>
          </w:p>
          <w:p>
            <w:pPr>
              <w:pStyle w:val="TableContents"/>
              <w:spacing w:before="0" w:after="0"/>
              <w:rPr>
                <w:rFonts w:ascii="arial;times new roman;times;serif" w:hAnsi="arial;times new roman;times;serif"/>
                <w:b w:val="false"/>
                <w:i w:val="false"/>
                <w:caps w:val="false"/>
                <w:smallCaps w:val="false"/>
                <w:color w:val="000000"/>
                <w:sz w:val="14"/>
              </w:rPr>
            </w:pPr>
            <w:r>
              <w:rPr>
                <w:rFonts w:ascii="arial;times new roman;times;serif" w:hAnsi="arial;times new roman;times;serif"/>
                <w:b w:val="false"/>
                <w:i w:val="false"/>
                <w:caps w:val="false"/>
                <w:smallCaps w:val="false"/>
                <w:color w:val="000000"/>
                <w:sz w:val="14"/>
              </w:rPr>
              <w:t>2014E</w:t>
            </w:r>
          </w:p>
          <w:p>
            <w:pPr>
              <w:pStyle w:val="TableContents"/>
              <w:spacing w:before="0" w:after="0"/>
              <w:rPr>
                <w:rFonts w:ascii="arial;times new roman;times;serif" w:hAnsi="arial;times new roman;times;serif"/>
                <w:b/>
                <w:i w:val="false"/>
                <w:caps w:val="false"/>
                <w:smallCaps w:val="false"/>
                <w:color w:val="000000"/>
                <w:sz w:val="18"/>
              </w:rPr>
            </w:pPr>
            <w:r>
              <w:rPr>
                <w:rFonts w:ascii="arial;times new roman;times;serif" w:hAnsi="arial;times new roman;times;serif"/>
                <w:b/>
                <w:i w:val="false"/>
                <w:caps w:val="false"/>
                <w:smallCaps w:val="false"/>
                <w:color w:val="000000"/>
                <w:sz w:val="18"/>
              </w:rPr>
              <w:t>Estimated Expected Synergies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6" w:name="pageTable12"/>
      <w:bookmarkStart w:id="27" w:name="pageTable12"/>
      <w:bookmarkEnd w:id="27"/>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Additional Potential Sources of Synergies</w:t>
            </w:r>
          </w:p>
          <w:p>
            <w:pPr>
              <w:pStyle w:val="TableContents"/>
              <w:spacing w:before="0" w:after="0"/>
              <w:rPr>
                <w:rFonts w:ascii="arial;times new roman;times;serif" w:hAnsi="arial;times new roman;times;serif"/>
                <w:b/>
                <w:i w:val="false"/>
                <w:caps w:val="false"/>
                <w:smallCaps w:val="false"/>
                <w:color w:val="214473"/>
                <w:sz w:val="29"/>
              </w:rPr>
            </w:pPr>
            <w:r>
              <w:rPr>
                <w:rFonts w:ascii="arial;times new roman;times;serif" w:hAnsi="arial;times new roman;times;serif"/>
                <w:b/>
                <w:i w:val="false"/>
                <w:caps w:val="false"/>
                <w:smallCaps w:val="false"/>
                <w:color w:val="214473"/>
                <w:sz w:val="29"/>
              </w:rPr>
              <w:t>Further Upside Potential from Revenue Synergies</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13</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Potential Revenue Synergies</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Potential Revenue Synergies</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 xml:space="preserve">Abatement </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Systems</w:t>
            </w:r>
          </w:p>
          <w:p>
            <w:pPr>
              <w:pStyle w:val="TableContents"/>
              <w:spacing w:before="0" w:after="0"/>
              <w:rPr>
                <w:rFonts w:ascii="arial;times new roman;times;serif" w:hAnsi="arial;times new roman;times;serif"/>
                <w:b w:val="false"/>
                <w:i w:val="false"/>
                <w:caps w:val="false"/>
                <w:smallCaps w:val="false"/>
                <w:color w:val="000000"/>
                <w:sz w:val="26"/>
              </w:rPr>
            </w:pPr>
            <w:r>
              <w:rPr>
                <w:rFonts w:ascii="arial;times new roman;times;serif" w:hAnsi="arial;times new roman;times;serif"/>
                <w:b w:val="false"/>
                <w:i w:val="false"/>
                <w:caps w:val="false"/>
                <w:smallCaps w:val="false"/>
                <w:color w:val="000000"/>
                <w:sz w:val="26"/>
              </w:rPr>
              <w:t>Cross-Selling Opportunities</w:t>
            </w:r>
          </w:p>
          <w:p>
            <w:pPr>
              <w:pStyle w:val="TableContents"/>
              <w:spacing w:before="0" w:after="0"/>
              <w:rPr>
                <w:rFonts w:ascii="arial;times new roman;times;serif" w:hAnsi="arial;times new roman;times;serif"/>
                <w:b w:val="false"/>
                <w:i w:val="false"/>
                <w:caps w:val="false"/>
                <w:smallCaps w:val="false"/>
                <w:color w:val="FFFFFF"/>
                <w:sz w:val="26"/>
              </w:rPr>
            </w:pPr>
            <w:r>
              <w:rPr>
                <w:rFonts w:ascii="arial;times new roman;times;serif" w:hAnsi="arial;times new roman;times;serif"/>
                <w:b w:val="false"/>
                <w:i w:val="false"/>
                <w:caps w:val="false"/>
                <w:smallCaps w:val="false"/>
                <w:color w:val="FFFFFF"/>
                <w:sz w:val="26"/>
              </w:rPr>
              <w:t>Cross-Selling Opportunities</w:t>
            </w:r>
          </w:p>
          <w:p>
            <w:pPr>
              <w:pStyle w:val="TableContents"/>
              <w:spacing w:before="0" w:after="0"/>
              <w:rPr>
                <w:rFonts w:ascii="arial;times new roman;times;serif" w:hAnsi="arial;times new roman;times;serif"/>
                <w:b w:val="false"/>
                <w:i w:val="false"/>
                <w:caps w:val="false"/>
                <w:smallCaps w:val="false"/>
                <w:color w:val="214473"/>
                <w:sz w:val="29"/>
              </w:rPr>
            </w:pPr>
            <w:r>
              <w:rPr>
                <w:rFonts w:ascii="arial;times new roman;times;serif" w:hAnsi="arial;times new roman;times;serif"/>
                <w:b w:val="false"/>
                <w:i w:val="false"/>
                <w:caps w:val="false"/>
                <w:smallCaps w:val="false"/>
                <w:color w:val="214473"/>
                <w:sz w:val="29"/>
              </w:rPr>
              <w:t></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Small, medium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and large RTOs</w:t>
            </w:r>
          </w:p>
          <w:p>
            <w:pPr>
              <w:pStyle w:val="TableContents"/>
              <w:spacing w:before="0" w:after="0"/>
              <w:rPr>
                <w:rFonts w:ascii="arial;times new roman;times;serif" w:hAnsi="arial;times new roman;times;serif"/>
                <w:b w:val="false"/>
                <w:i w:val="false"/>
                <w:caps w:val="false"/>
                <w:smallCaps w:val="false"/>
                <w:color w:val="214473"/>
                <w:sz w:val="29"/>
              </w:rPr>
            </w:pPr>
            <w:r>
              <w:rPr>
                <w:rFonts w:ascii="arial;times new roman;times;serif" w:hAnsi="arial;times new roman;times;serif"/>
                <w:b w:val="false"/>
                <w:i w:val="false"/>
                <w:caps w:val="false"/>
                <w:smallCaps w:val="false"/>
                <w:color w:val="214473"/>
                <w:sz w:val="29"/>
              </w:rPr>
              <w:t></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Some abatement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systems need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pre-filters</w:t>
            </w:r>
          </w:p>
          <w:p>
            <w:pPr>
              <w:pStyle w:val="TableContents"/>
              <w:spacing w:before="0" w:after="0"/>
              <w:rPr>
                <w:rFonts w:ascii="arial;times new roman;times;serif" w:hAnsi="arial;times new roman;times;serif"/>
                <w:b w:val="false"/>
                <w:i w:val="false"/>
                <w:caps w:val="false"/>
                <w:smallCaps w:val="false"/>
                <w:color w:val="214473"/>
                <w:sz w:val="29"/>
              </w:rPr>
            </w:pPr>
            <w:r>
              <w:rPr>
                <w:rFonts w:ascii="arial;times new roman;times;serif" w:hAnsi="arial;times new roman;times;serif"/>
                <w:b w:val="false"/>
                <w:i w:val="false"/>
                <w:caps w:val="false"/>
                <w:smallCaps w:val="false"/>
                <w:color w:val="214473"/>
                <w:sz w:val="29"/>
              </w:rPr>
              <w:t></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Engineering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Installations</w:t>
            </w:r>
          </w:p>
          <w:p>
            <w:pPr>
              <w:pStyle w:val="TableContents"/>
              <w:spacing w:before="0" w:after="0"/>
              <w:rPr>
                <w:rFonts w:ascii="arial;times new roman;times;serif" w:hAnsi="arial;times new roman;times;serif"/>
                <w:b w:val="false"/>
                <w:i w:val="false"/>
                <w:caps w:val="false"/>
                <w:smallCaps w:val="false"/>
                <w:color w:val="214473"/>
                <w:sz w:val="29"/>
              </w:rPr>
            </w:pPr>
            <w:r>
              <w:rPr>
                <w:rFonts w:ascii="arial;times new roman;times;serif" w:hAnsi="arial;times new roman;times;serif"/>
                <w:b w:val="false"/>
                <w:i w:val="false"/>
                <w:caps w:val="false"/>
                <w:smallCaps w:val="false"/>
                <w:color w:val="214473"/>
                <w:sz w:val="29"/>
              </w:rPr>
              <w:t></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MPEAS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manufactures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TOs, catalytic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oxidizers and has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a concentrator</w:t>
            </w:r>
          </w:p>
          <w:p>
            <w:pPr>
              <w:pStyle w:val="TableContents"/>
              <w:spacing w:before="0" w:after="0"/>
              <w:rPr>
                <w:rFonts w:ascii="arial;times new roman;times;serif" w:hAnsi="arial;times new roman;times;serif"/>
                <w:b w:val="false"/>
                <w:i w:val="false"/>
                <w:caps w:val="false"/>
                <w:smallCaps w:val="false"/>
                <w:color w:val="214473"/>
                <w:sz w:val="29"/>
              </w:rPr>
            </w:pPr>
            <w:r>
              <w:rPr>
                <w:rFonts w:ascii="arial;times new roman;times;serif" w:hAnsi="arial;times new roman;times;serif"/>
                <w:b w:val="false"/>
                <w:i w:val="false"/>
                <w:caps w:val="false"/>
                <w:smallCaps w:val="false"/>
                <w:color w:val="214473"/>
                <w:sz w:val="29"/>
              </w:rPr>
              <w:t></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MPEAS / Bio-</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Reaction</w:t>
            </w:r>
          </w:p>
          <w:p>
            <w:pPr>
              <w:pStyle w:val="TableContents"/>
              <w:spacing w:before="0" w:after="0"/>
              <w:rPr>
                <w:rFonts w:ascii="arial;times new roman;times;serif" w:hAnsi="arial;times new roman;times;serif"/>
                <w:b w:val="false"/>
                <w:i w:val="false"/>
                <w:caps w:val="false"/>
                <w:smallCaps w:val="false"/>
                <w:color w:val="214473"/>
                <w:sz w:val="29"/>
              </w:rPr>
            </w:pPr>
            <w:r>
              <w:rPr>
                <w:rFonts w:ascii="arial;times new roman;times;serif" w:hAnsi="arial;times new roman;times;serif"/>
                <w:b w:val="false"/>
                <w:i w:val="false"/>
                <w:caps w:val="false"/>
                <w:smallCaps w:val="false"/>
                <w:color w:val="214473"/>
                <w:sz w:val="29"/>
              </w:rPr>
              <w:t></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Clamp together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duct components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for any (lab)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hoods and the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plenums</w:t>
            </w:r>
          </w:p>
          <w:p>
            <w:pPr>
              <w:pStyle w:val="TableContents"/>
              <w:spacing w:before="0" w:after="0"/>
              <w:rPr>
                <w:rFonts w:ascii="arial;times new roman;times;serif" w:hAnsi="arial;times new roman;times;serif"/>
                <w:b w:val="false"/>
                <w:i w:val="false"/>
                <w:caps w:val="false"/>
                <w:smallCaps w:val="false"/>
                <w:color w:val="214473"/>
                <w:sz w:val="29"/>
              </w:rPr>
            </w:pPr>
            <w:r>
              <w:rPr>
                <w:rFonts w:ascii="arial;times new roman;times;serif" w:hAnsi="arial;times new roman;times;serif"/>
                <w:b w:val="false"/>
                <w:i w:val="false"/>
                <w:caps w:val="false"/>
                <w:smallCaps w:val="false"/>
                <w:color w:val="214473"/>
                <w:sz w:val="29"/>
              </w:rPr>
              <w:t></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Duall Scrubbers</w:t>
            </w:r>
          </w:p>
          <w:p>
            <w:pPr>
              <w:pStyle w:val="TableContents"/>
              <w:spacing w:before="0" w:after="0"/>
              <w:rPr>
                <w:rFonts w:ascii="arial;times new roman;times;serif" w:hAnsi="arial;times new roman;times;serif"/>
                <w:b w:val="false"/>
                <w:i w:val="false"/>
                <w:caps w:val="false"/>
                <w:smallCaps w:val="false"/>
                <w:color w:val="214473"/>
                <w:sz w:val="20"/>
              </w:rPr>
            </w:pPr>
            <w:r>
              <w:rPr>
                <w:rFonts w:ascii="arial;times new roman;times;serif" w:hAnsi="arial;times new roman;times;serif"/>
                <w:b w:val="false"/>
                <w:i w:val="false"/>
                <w:caps w:val="false"/>
                <w:smallCaps w:val="false"/>
                <w:color w:val="214473"/>
                <w:sz w:val="20"/>
              </w:rPr>
              <w:t></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Strobic Air</w:t>
            </w:r>
          </w:p>
          <w:p>
            <w:pPr>
              <w:pStyle w:val="TableContents"/>
              <w:spacing w:before="0" w:after="0"/>
              <w:rPr>
                <w:rFonts w:ascii="arial;times new roman;times;serif" w:hAnsi="arial;times new roman;times;serif"/>
                <w:b w:val="false"/>
                <w:i w:val="false"/>
                <w:caps w:val="false"/>
                <w:smallCaps w:val="false"/>
                <w:color w:val="214473"/>
                <w:sz w:val="20"/>
              </w:rPr>
            </w:pPr>
            <w:r>
              <w:rPr>
                <w:rFonts w:ascii="arial;times new roman;times;serif" w:hAnsi="arial;times new roman;times;serif"/>
                <w:b w:val="false"/>
                <w:i w:val="false"/>
                <w:caps w:val="false"/>
                <w:smallCaps w:val="false"/>
                <w:color w:val="214473"/>
                <w:sz w:val="20"/>
              </w:rPr>
              <w:t></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 xml:space="preserve">Steel flanges, </w:t>
            </w:r>
          </w:p>
          <w:p>
            <w:pPr>
              <w:pStyle w:val="TableContents"/>
              <w:spacing w:before="0" w:after="0"/>
              <w:rPr>
                <w:rFonts w:ascii="arial;times new roman;times;serif" w:hAnsi="arial;times new roman;times;serif"/>
                <w:b w:val="false"/>
                <w:i w:val="false"/>
                <w:caps w:val="false"/>
                <w:smallCaps w:val="false"/>
                <w:color w:val="595959"/>
                <w:sz w:val="20"/>
              </w:rPr>
            </w:pPr>
            <w:r>
              <w:rPr>
                <w:rFonts w:ascii="arial;times new roman;times;serif" w:hAnsi="arial;times new roman;times;serif"/>
                <w:b w:val="false"/>
                <w:i w:val="false"/>
                <w:caps w:val="false"/>
                <w:smallCaps w:val="false"/>
                <w:color w:val="595959"/>
                <w:sz w:val="20"/>
              </w:rPr>
              <w:t>expansion joints</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Increased customer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penetration</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Greater emerging market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presence</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Benefits from scale &amp;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technology platforms</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1.</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2.</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3.</w:t>
            </w:r>
          </w:p>
          <w:p>
            <w:pPr>
              <w:pStyle w:val="TableContents"/>
              <w:spacing w:before="0" w:after="0"/>
              <w:rPr>
                <w:rFonts w:ascii="arial;times new roman;times;serif" w:hAnsi="arial;times new roman;times;serif"/>
                <w:b/>
                <w:i w:val="false"/>
                <w:caps w:val="false"/>
                <w:smallCaps w:val="false"/>
                <w:color w:val="EEECE1"/>
                <w:sz w:val="26"/>
              </w:rPr>
            </w:pPr>
            <w:r>
              <w:rPr>
                <w:rFonts w:ascii="arial;times new roman;times;serif" w:hAnsi="arial;times new roman;times;serif"/>
                <w:b/>
                <w:i w:val="false"/>
                <w:caps w:val="false"/>
                <w:smallCaps w:val="false"/>
                <w:color w:val="EEECE1"/>
                <w:sz w:val="26"/>
              </w:rPr>
              <w:t>4.</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Leverage service footprint to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 xml:space="preserve">grow aftermarket &amp; recurring </w:t>
            </w:r>
          </w:p>
          <w:p>
            <w:pPr>
              <w:pStyle w:val="TableContents"/>
              <w:spacing w:before="0" w:after="0"/>
              <w:rPr>
                <w:rFonts w:ascii="arial;times new roman;times;serif" w:hAnsi="arial;times new roman;times;serif"/>
                <w:b/>
                <w:i w:val="false"/>
                <w:caps w:val="false"/>
                <w:smallCaps w:val="false"/>
                <w:color w:val="000000"/>
                <w:sz w:val="26"/>
              </w:rPr>
            </w:pPr>
            <w:r>
              <w:rPr>
                <w:rFonts w:ascii="arial;times new roman;times;serif" w:hAnsi="arial;times new roman;times;serif"/>
                <w:b/>
                <w:i w:val="false"/>
                <w:caps w:val="false"/>
                <w:smallCaps w:val="false"/>
                <w:color w:val="000000"/>
                <w:sz w:val="26"/>
              </w:rPr>
              <w:t>revenue</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 xml:space="preserve">Service &amp; </w:t>
            </w:r>
          </w:p>
          <w:p>
            <w:pPr>
              <w:pStyle w:val="TableContents"/>
              <w:spacing w:before="0" w:after="0"/>
              <w:rPr>
                <w:rFonts w:ascii="arial;times new roman;times;serif" w:hAnsi="arial;times new roman;times;serif"/>
                <w:b w:val="false"/>
                <w:i w:val="false"/>
                <w:caps w:val="false"/>
                <w:smallCaps w:val="false"/>
                <w:color w:val="FFFFFF"/>
                <w:sz w:val="20"/>
              </w:rPr>
            </w:pPr>
            <w:r>
              <w:rPr>
                <w:rFonts w:ascii="arial;times new roman;times;serif" w:hAnsi="arial;times new roman;times;serif"/>
                <w:b w:val="false"/>
                <w:i w:val="false"/>
                <w:caps w:val="false"/>
                <w:smallCaps w:val="false"/>
                <w:color w:val="FFFFFF"/>
                <w:sz w:val="20"/>
              </w:rPr>
              <w:t>Parts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28" w:name="pageTable13"/>
      <w:bookmarkStart w:id="29" w:name="pageTable13"/>
      <w:bookmarkEnd w:id="29"/>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Highly Financially Compelling with Enhanced Scale</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14</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(1)</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Pro forma for the full year impact of the Adwest and Aarding acquisitions, representing $41.5 million of Sales.</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(2)</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Pro forma for the full year impact of the Adwest and Aarding acquisitions, representing $6.1 million of EBITDA.</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(3)</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Based</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on</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LTM</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12/31/2012</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combined</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EBITDA</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of</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$40.4</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million,</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which</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includes</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full</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year</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impact</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of</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the</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Adwest</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and</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Aarding</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acquisitions,</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representing</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$6.1</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million</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of</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EBITDA.</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Includes</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$2.25</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million</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in</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pro</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forma</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synergies.</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Total</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pro</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forma</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debt</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 xml:space="preserve">of </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approximately</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$95</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million</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at</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rates</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of</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approximately</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LIBOR</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plus</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175</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200</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bps.</w:t>
            </w:r>
          </w:p>
          <w:p>
            <w:pPr>
              <w:pStyle w:val="TableContents"/>
              <w:spacing w:before="0" w:after="0"/>
              <w:rPr>
                <w:rFonts w:ascii="arial;times new roman;times;serif" w:hAnsi="arial;times new roman;times;serif"/>
                <w:b w:val="false"/>
                <w:i w:val="false"/>
                <w:caps w:val="false"/>
                <w:smallCaps w:val="false"/>
                <w:color w:val="595959"/>
                <w:sz w:val="14"/>
              </w:rPr>
            </w:pPr>
            <w:r>
              <w:rPr>
                <w:rFonts w:ascii="arial;times new roman;times;serif" w:hAnsi="arial;times new roman;times;serif"/>
                <w:b w:val="false"/>
                <w:i w:val="false"/>
                <w:caps w:val="false"/>
                <w:smallCaps w:val="false"/>
                <w:color w:val="595959"/>
                <w:sz w:val="14"/>
              </w:rPr>
              <w:t>($ Millions)</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PF Leverage (w/ Syn.)</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(1/31/2013)</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(12/31/2012)</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Standalone</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CECO Plus</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Aarding / Adwest</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LTM Margin (%)</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LTM Adj. EBITDA</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LTM Sales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13.7%</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$18.5</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$135.1</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14.3%</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$15.8</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$109.9</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2.2x</w:t>
            </w:r>
          </w:p>
          <w:p>
            <w:pPr>
              <w:pStyle w:val="TableContents"/>
              <w:spacing w:before="0" w:after="0"/>
              <w:rPr>
                <w:rFonts w:ascii="arial;times new roman;times;serif" w:hAnsi="arial;times new roman;times;serif"/>
                <w:b/>
                <w:i w:val="false"/>
                <w:caps w:val="false"/>
                <w:smallCaps w:val="false"/>
                <w:color w:val="595959"/>
                <w:sz w:val="9"/>
              </w:rPr>
            </w:pPr>
            <w:r>
              <w:rPr>
                <w:rFonts w:ascii="arial;times new roman;times;serif" w:hAnsi="arial;times new roman;times;serif"/>
                <w:b/>
                <w:i w:val="false"/>
                <w:caps w:val="false"/>
                <w:smallCaps w:val="false"/>
                <w:color w:val="595959"/>
                <w:sz w:val="9"/>
              </w:rPr>
              <w:t>(3)</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14.1%</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$40.4</w:t>
            </w:r>
          </w:p>
          <w:p>
            <w:pPr>
              <w:pStyle w:val="TableContents"/>
              <w:spacing w:before="0" w:after="0"/>
              <w:rPr>
                <w:rFonts w:ascii="arial;times new roman;times;serif" w:hAnsi="arial;times new roman;times;serif"/>
                <w:b/>
                <w:i w:val="false"/>
                <w:caps w:val="false"/>
                <w:smallCaps w:val="false"/>
                <w:color w:val="595959"/>
                <w:sz w:val="9"/>
              </w:rPr>
            </w:pPr>
            <w:r>
              <w:rPr>
                <w:rFonts w:ascii="arial;times new roman;times;serif" w:hAnsi="arial;times new roman;times;serif"/>
                <w:b/>
                <w:i w:val="false"/>
                <w:caps w:val="false"/>
                <w:smallCaps w:val="false"/>
                <w:color w:val="595959"/>
                <w:sz w:val="9"/>
              </w:rPr>
              <w:t>(2)</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$286.5</w:t>
            </w:r>
          </w:p>
          <w:p>
            <w:pPr>
              <w:pStyle w:val="TableContents"/>
              <w:spacing w:before="0" w:after="0"/>
              <w:rPr>
                <w:rFonts w:ascii="arial;times new roman;times;serif" w:hAnsi="arial;times new roman;times;serif"/>
                <w:b/>
                <w:i w:val="false"/>
                <w:caps w:val="false"/>
                <w:smallCaps w:val="false"/>
                <w:color w:val="595959"/>
                <w:sz w:val="9"/>
              </w:rPr>
            </w:pPr>
            <w:r>
              <w:rPr>
                <w:rFonts w:ascii="arial;times new roman;times;serif" w:hAnsi="arial;times new roman;times;serif"/>
                <w:b/>
                <w:i w:val="false"/>
                <w:caps w:val="false"/>
                <w:smallCaps w:val="false"/>
                <w:color w:val="595959"/>
                <w:sz w:val="9"/>
              </w:rPr>
              <w:t>(1)</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13.9%</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$24.6</w:t>
            </w:r>
          </w:p>
          <w:p>
            <w:pPr>
              <w:pStyle w:val="TableContents"/>
              <w:spacing w:before="0" w:after="0"/>
              <w:rPr>
                <w:rFonts w:ascii="arial;times new roman;times;serif" w:hAnsi="arial;times new roman;times;serif"/>
                <w:b/>
                <w:i w:val="false"/>
                <w:caps w:val="false"/>
                <w:smallCaps w:val="false"/>
                <w:color w:val="595959"/>
                <w:sz w:val="9"/>
              </w:rPr>
            </w:pPr>
            <w:r>
              <w:rPr>
                <w:rFonts w:ascii="arial;times new roman;times;serif" w:hAnsi="arial;times new roman;times;serif"/>
                <w:b/>
                <w:i w:val="false"/>
                <w:caps w:val="false"/>
                <w:smallCaps w:val="false"/>
                <w:color w:val="595959"/>
                <w:sz w:val="9"/>
              </w:rPr>
              <w:t>(2)</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$176.6</w:t>
            </w:r>
          </w:p>
          <w:p>
            <w:pPr>
              <w:pStyle w:val="TableContents"/>
              <w:spacing w:before="0" w:after="0"/>
              <w:rPr>
                <w:rFonts w:ascii="arial;times new roman;times;serif" w:hAnsi="arial;times new roman;times;serif"/>
                <w:b/>
                <w:i w:val="false"/>
                <w:caps w:val="false"/>
                <w:smallCaps w:val="false"/>
                <w:color w:val="595959"/>
                <w:sz w:val="9"/>
              </w:rPr>
            </w:pPr>
            <w:r>
              <w:rPr>
                <w:rFonts w:ascii="arial;times new roman;times;serif" w:hAnsi="arial;times new roman;times;serif"/>
                <w:b/>
                <w:i w:val="false"/>
                <w:caps w:val="false"/>
                <w:smallCaps w:val="false"/>
                <w:color w:val="595959"/>
                <w:sz w:val="9"/>
              </w:rPr>
              <w:t>(1)</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Highly Favorable Financing Terms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Low leverage profile supported by strong cash flow to effectively service debt</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Total</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new</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debt</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of</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approximately</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$95</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million</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at</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rates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of</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LIBOR</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plus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175</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200</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Strong revolver flexibility with $60 million total capacity</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0" w:name="pageTable14"/>
      <w:bookmarkStart w:id="31" w:name="pageTable14"/>
      <w:bookmarkEnd w:id="31"/>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In Summary</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15</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Two Industry Leaders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Strong alignment with mega trends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Positive outlook for 2013 and beyond for both companies</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Combined Strengths = Unique Value Creation Potential</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Sector leaders serving high growth, attractive markets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Leading company with strong air pollution control, fluid handling and filtration platforms</w:t>
            </w:r>
          </w:p>
          <w:p>
            <w:pPr>
              <w:pStyle w:val="TableContents"/>
              <w:spacing w:before="0" w:after="0"/>
              <w:rPr>
                <w:rFonts w:ascii="arial;times new roman;times;serif" w:hAnsi="arial;times new roman;times;serif"/>
                <w:b/>
                <w:i w:val="false"/>
                <w:caps w:val="false"/>
                <w:smallCaps w:val="false"/>
                <w:color w:val="595959"/>
                <w:sz w:val="26"/>
              </w:rPr>
            </w:pPr>
            <w:r>
              <w:rPr>
                <w:rFonts w:ascii="arial;times new roman;times;serif" w:hAnsi="arial;times new roman;times;serif"/>
                <w:b/>
                <w:i w:val="false"/>
                <w:caps w:val="false"/>
                <w:smallCaps w:val="false"/>
                <w:color w:val="595959"/>
                <w:sz w:val="26"/>
              </w:rPr>
              <w:t>Expected highly accretive to earnings and future growth</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Day one winning combination for CECO and Met-Pro shareholders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 xml:space="preserve">Substantial cost and revenue synergies as well as and long-term value creation </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opportunities</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 xml:space="preserve">Strong balance sheet and cash flow to support growth and cash returned to </w:t>
            </w:r>
          </w:p>
          <w:p>
            <w:pPr>
              <w:pStyle w:val="TableContents"/>
              <w:spacing w:before="0" w:after="0"/>
              <w:rPr>
                <w:rFonts w:ascii="arial;times new roman;times;serif" w:hAnsi="arial;times new roman;times;serif"/>
                <w:b w:val="false"/>
                <w:i w:val="false"/>
                <w:caps w:val="false"/>
                <w:smallCaps w:val="false"/>
                <w:color w:val="595959"/>
                <w:sz w:val="26"/>
              </w:rPr>
            </w:pPr>
            <w:r>
              <w:rPr>
                <w:rFonts w:ascii="arial;times new roman;times;serif" w:hAnsi="arial;times new roman;times;serif"/>
                <w:b w:val="false"/>
                <w:i w:val="false"/>
                <w:caps w:val="false"/>
                <w:smallCaps w:val="false"/>
                <w:color w:val="595959"/>
                <w:sz w:val="26"/>
              </w:rPr>
              <w:t>shareholders</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2" w:name="pageTable15"/>
      <w:bookmarkStart w:id="33" w:name="pageTable15"/>
      <w:bookmarkEnd w:id="33"/>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Appendix</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16</w:t>
            </w:r>
          </w:p>
        </w:tc>
      </w:tr>
    </w:tbl>
    <w:p>
      <w:pPr>
        <w:pStyle w:val="HorizontalLine"/>
        <w:pBdr>
          <w:bottom w:val="double" w:sz="6" w:space="0" w:color="808080"/>
        </w:pBdr>
        <w:rPr/>
      </w:pPr>
      <w:r>
        <w:br w:type="page"/>
      </w:r>
      <w:r>
        <w:rPr/>
      </w:r>
    </w:p>
    <w:p>
      <w:pPr>
        <w:pStyle w:val="Normal"/>
        <w:spacing w:before="0" w:after="0"/>
        <w:rPr>
          <w:sz w:val="4"/>
          <w:szCs w:val="4"/>
        </w:rPr>
      </w:pPr>
      <w:r>
        <w:rPr>
          <w:sz w:val="4"/>
          <w:szCs w:val="4"/>
        </w:rPr>
      </w:r>
      <w:bookmarkStart w:id="34" w:name="pageTable16"/>
      <w:bookmarkStart w:id="35" w:name="pageTable16"/>
      <w:bookmarkEnd w:id="35"/>
    </w:p>
    <w:tbl>
      <w:tblPr>
        <w:tblW w:w="14715" w:type="dxa"/>
        <w:jc w:val="left"/>
        <w:tblInd w:w="0" w:type="dxa"/>
        <w:tblCellMar>
          <w:top w:w="28" w:type="dxa"/>
          <w:left w:w="28" w:type="dxa"/>
          <w:bottom w:w="28" w:type="dxa"/>
          <w:right w:w="28" w:type="dxa"/>
        </w:tblCellMar>
      </w:tblPr>
      <w:tblGrid>
        <w:gridCol w:w="14715"/>
      </w:tblGrid>
      <w:tr>
        <w:trPr/>
        <w:tc>
          <w:tcPr>
            <w:tcW w:w="14715" w:type="dxa"/>
            <w:tcBorders/>
            <w:shd w:fill="auto" w:val="clear"/>
            <w:vAlign w:val="center"/>
          </w:tcPr>
          <w:p>
            <w:pPr>
              <w:pStyle w:val="TableContents"/>
              <w:spacing w:before="0" w:after="283"/>
              <w:rPr>
                <w:sz w:val="4"/>
                <w:szCs w:val="4"/>
              </w:rPr>
            </w:pPr>
            <w:r>
              <w:rPr>
                <w:sz w:val="4"/>
                <w:szCs w:val="4"/>
              </w:rPr>
            </w:r>
          </w:p>
        </w:tc>
      </w:tr>
      <w:tr>
        <w:trPr/>
        <w:tc>
          <w:tcPr>
            <w:tcW w:w="14715" w:type="dxa"/>
            <w:tcBorders/>
            <w:shd w:fill="auto" w:val="clear"/>
            <w:vAlign w:val="center"/>
          </w:tcPr>
          <w:p>
            <w:pPr>
              <w:pStyle w:val="TableContents"/>
              <w:spacing w:before="0" w:after="0"/>
              <w:rPr/>
            </w:pPr>
            <w:r>
              <w:rPr/>
              <w:drawing>
                <wp:inline distT="0" distB="0" distL="0" distR="0">
                  <wp:extent cx="9153525" cy="68770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53525" cy="6877050"/>
                          </a:xfrm>
                          <a:prstGeom prst="rect">
                            <a:avLst/>
                          </a:prstGeom>
                        </pic:spPr>
                      </pic:pic>
                    </a:graphicData>
                  </a:graphic>
                </wp:inline>
              </w:drawing>
            </w:r>
          </w:p>
          <w:p>
            <w:pPr>
              <w:pStyle w:val="TableContents"/>
              <w:spacing w:before="0" w:after="0"/>
              <w:rPr>
                <w:rFonts w:ascii="arial;times new roman;times;serif" w:hAnsi="arial;times new roman;times;serif"/>
                <w:b/>
                <w:i/>
                <w:color w:val="214473"/>
                <w:sz w:val="33"/>
              </w:rPr>
            </w:pPr>
            <w:r>
              <w:rPr>
                <w:rFonts w:ascii="arial;times new roman;times;serif" w:hAnsi="arial;times new roman;times;serif"/>
                <w:b/>
                <w:i/>
                <w:color w:val="214473"/>
                <w:sz w:val="33"/>
              </w:rPr>
              <w:t>Reconciliation of Adjusted EBITDA</w:t>
            </w:r>
          </w:p>
          <w:p>
            <w:pPr>
              <w:pStyle w:val="TableContents"/>
              <w:spacing w:before="0" w:after="0"/>
              <w:rPr>
                <w:rFonts w:ascii="arial bold;times new roman;times;serif" w:hAnsi="arial bold;times new roman;times;serif"/>
                <w:b/>
                <w:i w:val="false"/>
                <w:caps w:val="false"/>
                <w:smallCaps w:val="false"/>
                <w:color w:val="898989"/>
                <w:sz w:val="18"/>
              </w:rPr>
            </w:pPr>
            <w:r>
              <w:rPr>
                <w:rFonts w:ascii="arial bold;times new roman;times;serif" w:hAnsi="arial bold;times new roman;times;serif"/>
                <w:b/>
                <w:i w:val="false"/>
                <w:caps w:val="false"/>
                <w:smallCaps w:val="false"/>
                <w:color w:val="898989"/>
                <w:sz w:val="18"/>
              </w:rPr>
              <w:t>17</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(12/31/2012)</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Standalone</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CECO Plus</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Aarding / Adwest</w:t>
            </w:r>
          </w:p>
          <w:p>
            <w:pPr>
              <w:pStyle w:val="TableContents"/>
              <w:spacing w:before="0" w:after="0"/>
              <w:rPr>
                <w:rFonts w:ascii="arial;times new roman;times;serif" w:hAnsi="arial;times new roman;times;serif"/>
                <w:b/>
                <w:i w:val="false"/>
                <w:caps w:val="false"/>
                <w:smallCaps w:val="false"/>
                <w:color w:val="595959"/>
                <w:sz w:val="9"/>
              </w:rPr>
            </w:pPr>
            <w:r>
              <w:rPr>
                <w:rFonts w:ascii="arial;times new roman;times;serif" w:hAnsi="arial;times new roman;times;serif"/>
                <w:b/>
                <w:i w:val="false"/>
                <w:caps w:val="false"/>
                <w:smallCaps w:val="false"/>
                <w:color w:val="595959"/>
                <w:sz w:val="9"/>
              </w:rPr>
              <w:t>(1)</w:t>
            </w:r>
          </w:p>
          <w:p>
            <w:pPr>
              <w:pStyle w:val="TableContents"/>
              <w:spacing w:before="0" w:after="0"/>
              <w:rPr>
                <w:rFonts w:ascii="arial;times new roman;times;serif" w:hAnsi="arial;times new roman;times;serif"/>
                <w:b/>
                <w:i w:val="false"/>
                <w:caps w:val="false"/>
                <w:smallCaps w:val="false"/>
                <w:color w:val="595959"/>
                <w:sz w:val="29"/>
              </w:rPr>
            </w:pPr>
            <w:r>
              <w:rPr>
                <w:rFonts w:ascii="arial;times new roman;times;serif" w:hAnsi="arial;times new roman;times;serif"/>
                <w:b/>
                <w:i w:val="false"/>
                <w:caps w:val="false"/>
                <w:smallCaps w:val="false"/>
                <w:color w:val="595959"/>
                <w:sz w:val="29"/>
              </w:rPr>
              <w:t>Pro Forma</w:t>
            </w:r>
          </w:p>
          <w:p>
            <w:pPr>
              <w:pStyle w:val="TableContents"/>
              <w:spacing w:before="0" w:after="0"/>
              <w:rPr>
                <w:rFonts w:ascii="arial;times new roman;times;serif" w:hAnsi="arial;times new roman;times;serif"/>
                <w:b/>
                <w:i w:val="false"/>
                <w:caps w:val="false"/>
                <w:smallCaps w:val="false"/>
                <w:color w:val="595959"/>
                <w:sz w:val="9"/>
              </w:rPr>
            </w:pPr>
            <w:r>
              <w:rPr>
                <w:rFonts w:ascii="arial;times new roman;times;serif" w:hAnsi="arial;times new roman;times;serif"/>
                <w:b/>
                <w:i w:val="false"/>
                <w:caps w:val="false"/>
                <w:smallCaps w:val="false"/>
                <w:color w:val="595959"/>
                <w:sz w:val="9"/>
              </w:rPr>
              <w:t>(1)</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(1)</w:t>
            </w:r>
          </w:p>
          <w:p>
            <w:pPr>
              <w:pStyle w:val="TableContents"/>
              <w:spacing w:before="0" w:after="0"/>
              <w:rPr>
                <w:rFonts w:ascii="arial;times new roman;times;serif" w:hAnsi="arial;times new roman;times;serif"/>
                <w:b w:val="false"/>
                <w:i w:val="false"/>
                <w:caps w:val="false"/>
                <w:smallCaps w:val="false"/>
                <w:color w:val="595959"/>
                <w:sz w:val="9"/>
              </w:rPr>
            </w:pPr>
            <w:r>
              <w:rPr>
                <w:rFonts w:ascii="arial;times new roman;times;serif" w:hAnsi="arial;times new roman;times;serif"/>
                <w:b w:val="false"/>
                <w:i w:val="false"/>
                <w:caps w:val="false"/>
                <w:smallCaps w:val="false"/>
                <w:color w:val="595959"/>
                <w:sz w:val="9"/>
              </w:rPr>
              <w:t>Pro forma for the full year impact of the Adwest and Aarding acquisitions.</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Sales</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$ 135.1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176.6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109.9</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286.5</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Net Income</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10.9</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14.3</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8.0</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22.3</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Income Tax (Benefit)</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4.5</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6.1</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3.8</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9.9</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Interest Expense</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1.2</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1.2</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0.2</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1.4</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D&amp;A</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1.2</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1.8</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2.0</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3.8</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Option Wage Expense</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0.7</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0.7</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0.9</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1.6</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Other</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0.6</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0.8</w:t>
            </w:r>
          </w:p>
          <w:p>
            <w:pPr>
              <w:pStyle w:val="TableContents"/>
              <w:spacing w:before="0" w:after="0"/>
              <w:rPr>
                <w:rFonts w:ascii="arial;times new roman;times;serif" w:hAnsi="arial;times new roman;times;serif"/>
                <w:b w:val="false"/>
                <w:i w:val="false"/>
                <w:caps w:val="false"/>
                <w:smallCaps w:val="false"/>
                <w:color w:val="000000"/>
                <w:sz w:val="21"/>
              </w:rPr>
            </w:pPr>
            <w:r>
              <w:rPr>
                <w:rFonts w:ascii="arial;times new roman;times;serif" w:hAnsi="arial;times new roman;times;serif"/>
                <w:b w:val="false"/>
                <w:i w:val="false"/>
                <w:caps w:val="false"/>
                <w:smallCaps w:val="false"/>
                <w:color w:val="000000"/>
                <w:sz w:val="21"/>
              </w:rPr>
              <w:t>1.4</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Adjusted EBITDA</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18.5</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24.6</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15.8</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40.4</w:t>
            </w:r>
          </w:p>
          <w:p>
            <w:pPr>
              <w:pStyle w:val="TableContents"/>
              <w:spacing w:before="0" w:after="0"/>
              <w:rPr>
                <w:rFonts w:ascii="arial;times new roman;times;serif" w:hAnsi="arial;times new roman;times;serif"/>
                <w:b/>
                <w:i w:val="false"/>
                <w:caps w:val="false"/>
                <w:smallCaps w:val="false"/>
                <w:color w:val="000000"/>
                <w:sz w:val="21"/>
              </w:rPr>
            </w:pPr>
            <w:r>
              <w:rPr>
                <w:rFonts w:ascii="arial;times new roman;times;serif" w:hAnsi="arial;times new roman;times;serif"/>
                <w:b/>
                <w:i w:val="false"/>
                <w:caps w:val="false"/>
                <w:smallCaps w:val="false"/>
                <w:color w:val="000000"/>
                <w:sz w:val="21"/>
              </w:rPr>
              <w:t xml:space="preserve">$  </w:t>
            </w:r>
          </w:p>
          <w:p>
            <w:pPr>
              <w:pStyle w:val="TableContents"/>
              <w:spacing w:before="0" w:after="0"/>
              <w:rPr>
                <w:rFonts w:ascii="arial;times new roman;times;serif" w:hAnsi="arial;times new roman;times;serif"/>
                <w:b/>
                <w:i w:val="false"/>
                <w:caps w:val="false"/>
                <w:smallCaps w:val="false"/>
                <w:color w:val="595959"/>
                <w:sz w:val="15"/>
              </w:rPr>
            </w:pPr>
            <w:r>
              <w:rPr>
                <w:rFonts w:ascii="arial;times new roman;times;serif" w:hAnsi="arial;times new roman;times;serif"/>
                <w:b/>
                <w:i w:val="false"/>
                <w:caps w:val="false"/>
                <w:smallCaps w:val="false"/>
                <w:color w:val="595959"/>
                <w:sz w:val="15"/>
              </w:rPr>
              <w:t>(1/31/2013)</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altName w:val="times new roman"/>
    <w:charset w:val="00"/>
    <w:family w:val="auto"/>
    <w:pitch w:val="default"/>
  </w:font>
  <w:font w:name="arial bold">
    <w:altName w:val="times new roman"/>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2250</Words>
  <CharactersWithSpaces>14996</CharactersWithSpaces>
  <Paragraphs>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