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8k.htm"/>
      <w:bookmarkStart w:id="1" w:name="ksd8k"/>
      <w:bookmarkEnd w:id="0"/>
      <w:bookmarkEnd w:id="1"/>
      <w:r>
        <w:rPr/>
        <w:t> </w:t>
      </w:r>
    </w:p>
    <w:p>
      <w:pPr>
        <w:pStyle w:val="TextBody"/>
        <w:pBdr>
          <w:bottom w:val="single" w:sz="4" w:space="1" w:color="000000"/>
        </w:pBdr>
        <w:spacing w:lineRule="atLeast" w:line="141" w:before="0" w:after="30"/>
        <w:rPr/>
      </w:pPr>
      <w:r>
        <w:rPr/>
        <w:t> </w:t>
      </w:r>
    </w:p>
    <w:p>
      <w:pPr>
        <w:pStyle w:val="TextBody"/>
        <w:spacing w:before="45"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4"/>
        </w:rPr>
      </w:pPr>
      <w:r>
        <w:rPr>
          <w:rFonts w:ascii="Times New Roman" w:hAnsi="Times New Roman"/>
          <w:b/>
          <w:sz w:val="24"/>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Securities Exchange Act of 1934 </w:t>
      </w:r>
    </w:p>
    <w:p>
      <w:pPr>
        <w:pStyle w:val="TextBody"/>
        <w:spacing w:before="0" w:after="0"/>
        <w:jc w:val="center"/>
        <w:rPr>
          <w:rFonts w:ascii="Times New Roman" w:hAnsi="Times New Roman"/>
          <w:b/>
          <w:sz w:val="20"/>
        </w:rPr>
      </w:pPr>
      <w:r>
        <w:rPr>
          <w:rFonts w:ascii="Times New Roman" w:hAnsi="Times New Roman"/>
          <w:b/>
          <w:sz w:val="20"/>
        </w:rPr>
        <w:t xml:space="preserve">Date of Report (Date of earliest event reported): March 10, 2008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0-7099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(Commission 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including zip code) </w:t>
      </w:r>
    </w:p>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(416) 593-6543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2.02.</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90" w:after="0"/>
        <w:rPr>
          <w:rFonts w:ascii="Times New Roman" w:hAnsi="Times New Roman"/>
          <w:sz w:val="20"/>
        </w:rPr>
      </w:pPr>
      <w:r>
        <w:rPr>
          <w:rFonts w:ascii="Times New Roman" w:hAnsi="Times New Roman"/>
          <w:sz w:val="20"/>
        </w:rPr>
        <w:t xml:space="preserve">On March 10, 2008, CECO Environmental Corp. issued a press release announcing its financial results for the three and twelve months ended December 31, 2007. A copy of the press release is furnished as Exhibit 99.1. to this report and is incorporated herein by reference. </w:t>
      </w:r>
    </w:p>
    <w:p>
      <w:pPr>
        <w:pStyle w:val="TextBody"/>
        <w:spacing w:before="180" w:after="0"/>
        <w:rPr>
          <w:rFonts w:ascii="Times New Roman" w:hAnsi="Times New Roman"/>
          <w:sz w:val="20"/>
        </w:rPr>
      </w:pPr>
      <w:r>
        <w:rPr>
          <w:rFonts w:ascii="Times New Roman" w:hAnsi="Times New Roman"/>
          <w:sz w:val="20"/>
        </w:rPr>
        <w:t xml:space="preserve">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9"/>
        <w:gridCol w:w="204"/>
        <w:gridCol w:w="9492"/>
      </w:tblGrid>
      <w:tr>
        <w:trPr/>
        <w:tc>
          <w:tcPr>
            <w:tcW w:w="5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9492" w:type="dxa"/>
            <w:tcBorders/>
            <w:shd w:fill="auto" w:val="clear"/>
            <w:vAlign w:val="center"/>
          </w:tcPr>
          <w:p>
            <w:pPr>
              <w:pStyle w:val="TableContents"/>
              <w:spacing w:before="0" w:after="283"/>
              <w:rPr>
                <w:sz w:val="4"/>
                <w:szCs w:val="4"/>
              </w:rPr>
            </w:pPr>
            <w:r>
              <w:rPr>
                <w:sz w:val="4"/>
                <w:szCs w:val="4"/>
              </w:rPr>
            </w:r>
          </w:p>
        </w:tc>
      </w:tr>
      <w:tr>
        <w:trPr/>
        <w:tc>
          <w:tcPr>
            <w:tcW w:w="50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204" w:type="dxa"/>
            <w:tcBorders/>
            <w:shd w:fill="auto" w:val="clear"/>
            <w:vAlign w:val="bottom"/>
          </w:tcPr>
          <w:p>
            <w:pPr>
              <w:pStyle w:val="TableContents"/>
              <w:spacing w:before="0" w:after="283"/>
              <w:rPr/>
            </w:pPr>
            <w:r>
              <w:rPr/>
              <w:t> </w:t>
            </w:r>
          </w:p>
        </w:tc>
        <w:tc>
          <w:tcPr>
            <w:tcW w:w="9492"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Exhibit Title</w:t>
            </w:r>
          </w:p>
        </w:tc>
      </w:tr>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204" w:type="dxa"/>
            <w:tcBorders/>
            <w:shd w:fill="auto" w:val="clear"/>
            <w:vAlign w:val="bottom"/>
          </w:tcPr>
          <w:p>
            <w:pPr>
              <w:pStyle w:val="TableContents"/>
              <w:spacing w:before="0" w:after="283"/>
              <w:rPr/>
            </w:pPr>
            <w:r>
              <w:rPr/>
              <w:t> </w:t>
            </w:r>
          </w:p>
        </w:tc>
        <w:tc>
          <w:tcPr>
            <w:tcW w:w="94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Press Release dated March 10, 2008.</w:t>
            </w:r>
          </w:p>
        </w:tc>
      </w:tr>
    </w:tbl>
    <w:p>
      <w:pPr>
        <w:pStyle w:val="HorizontalLine"/>
        <w:pBdr>
          <w:bottom w:val="double" w:sz="6" w:space="0" w:color="999999"/>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58"/>
        <w:gridCol w:w="118"/>
        <w:gridCol w:w="838"/>
        <w:gridCol w:w="118"/>
        <w:gridCol w:w="323"/>
        <w:gridCol w:w="118"/>
        <w:gridCol w:w="4532"/>
      </w:tblGrid>
      <w:tr>
        <w:trPr/>
        <w:tc>
          <w:tcPr>
            <w:tcW w:w="415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4532" w:type="dxa"/>
            <w:tcBorders/>
            <w:shd w:fill="auto" w:val="clear"/>
            <w:vAlign w:val="center"/>
          </w:tcPr>
          <w:p>
            <w:pPr>
              <w:pStyle w:val="TableContents"/>
              <w:spacing w:before="0" w:after="283"/>
              <w:rPr>
                <w:sz w:val="4"/>
                <w:szCs w:val="4"/>
              </w:rPr>
            </w:pPr>
            <w:r>
              <w:rPr>
                <w:sz w:val="4"/>
                <w:szCs w:val="4"/>
              </w:rPr>
            </w:r>
          </w:p>
        </w:tc>
      </w:tr>
      <w:tr>
        <w:trPr/>
        <w:tc>
          <w:tcPr>
            <w:tcW w:w="4158" w:type="dxa"/>
            <w:tcBorders/>
            <w:shd w:fill="auto" w:val="clear"/>
          </w:tcPr>
          <w:p>
            <w:pPr>
              <w:pStyle w:val="TableContents"/>
              <w:spacing w:before="0" w:after="283"/>
              <w:rPr>
                <w:rFonts w:ascii="Times New Roman" w:hAnsi="Times New Roman"/>
                <w:sz w:val="20"/>
              </w:rPr>
            </w:pPr>
            <w:r>
              <w:rPr>
                <w:rFonts w:ascii="Times New Roman" w:hAnsi="Times New Roman"/>
                <w:sz w:val="20"/>
              </w:rPr>
              <w:t>Date: March 10, 2008</w:t>
            </w:r>
          </w:p>
        </w:tc>
        <w:tc>
          <w:tcPr>
            <w:tcW w:w="118" w:type="dxa"/>
            <w:tcBorders/>
            <w:shd w:fill="auto" w:val="clear"/>
            <w:vAlign w:val="bottom"/>
          </w:tcPr>
          <w:p>
            <w:pPr>
              <w:pStyle w:val="TableContents"/>
              <w:spacing w:before="0" w:after="283"/>
              <w:rPr/>
            </w:pPr>
            <w:r>
              <w:rPr/>
              <w:t> </w:t>
            </w:r>
          </w:p>
        </w:tc>
        <w:tc>
          <w:tcPr>
            <w:tcW w:w="838"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973"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158" w:type="dxa"/>
            <w:tcBorders/>
            <w:shd w:fill="auto" w:val="clear"/>
            <w:vAlign w:val="center"/>
          </w:tcPr>
          <w:p>
            <w:pPr>
              <w:pStyle w:val="TableContents"/>
              <w:spacing w:before="0" w:after="283"/>
              <w:rPr>
                <w:sz w:val="4"/>
                <w:szCs w:val="4"/>
              </w:rPr>
            </w:pPr>
            <w:r>
              <w:rPr>
                <w:sz w:val="4"/>
                <w:szCs w:val="4"/>
              </w:rPr>
            </w:r>
          </w:p>
        </w:tc>
        <w:tc>
          <w:tcPr>
            <w:tcW w:w="956" w:type="dxa"/>
            <w:gridSpan w:val="2"/>
            <w:tcBorders/>
            <w:shd w:fill="auto" w:val="clear"/>
            <w:vAlign w:val="center"/>
          </w:tcPr>
          <w:p>
            <w:pPr>
              <w:pStyle w:val="TableContents"/>
              <w:spacing w:before="0" w:after="283"/>
              <w:rPr>
                <w:sz w:val="4"/>
                <w:szCs w:val="4"/>
              </w:rPr>
            </w:pPr>
            <w:r>
              <w:rPr>
                <w:sz w:val="4"/>
                <w:szCs w:val="4"/>
              </w:rPr>
            </w:r>
          </w:p>
        </w:tc>
        <w:tc>
          <w:tcPr>
            <w:tcW w:w="441" w:type="dxa"/>
            <w:gridSpan w:val="2"/>
            <w:tcBorders/>
            <w:shd w:fill="auto" w:val="clear"/>
            <w:vAlign w:val="center"/>
          </w:tcPr>
          <w:p>
            <w:pPr>
              <w:pStyle w:val="TableContents"/>
              <w:spacing w:before="0" w:after="283"/>
              <w:rPr>
                <w:sz w:val="4"/>
                <w:szCs w:val="4"/>
              </w:rPr>
            </w:pPr>
            <w:r>
              <w:rPr>
                <w:sz w:val="4"/>
                <w:szCs w:val="4"/>
              </w:rPr>
            </w:r>
          </w:p>
        </w:tc>
        <w:tc>
          <w:tcPr>
            <w:tcW w:w="4650" w:type="dxa"/>
            <w:gridSpan w:val="2"/>
            <w:tcBorders/>
            <w:shd w:fill="auto" w:val="clear"/>
            <w:vAlign w:val="center"/>
          </w:tcPr>
          <w:p>
            <w:pPr>
              <w:pStyle w:val="TableContents"/>
              <w:spacing w:before="0" w:after="283"/>
              <w:rPr>
                <w:sz w:val="4"/>
                <w:szCs w:val="4"/>
              </w:rPr>
            </w:pPr>
            <w:r>
              <w:rPr>
                <w:sz w:val="4"/>
                <w:szCs w:val="4"/>
              </w:rPr>
            </w:r>
          </w:p>
        </w:tc>
      </w:tr>
      <w:tr>
        <w:trPr/>
        <w:tc>
          <w:tcPr>
            <w:tcW w:w="4158"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838"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8" w:type="dxa"/>
            <w:tcBorders/>
            <w:shd w:fill="auto" w:val="clear"/>
            <w:vAlign w:val="bottom"/>
          </w:tcPr>
          <w:p>
            <w:pPr>
              <w:pStyle w:val="TableContents"/>
              <w:spacing w:before="0" w:after="283"/>
              <w:rPr/>
            </w:pPr>
            <w:r>
              <w:rPr/>
              <w:t> </w:t>
            </w:r>
          </w:p>
        </w:tc>
        <w:tc>
          <w:tcPr>
            <w:tcW w:w="4532"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158"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838"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5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158"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838" w:type="dxa"/>
            <w:tcBorders/>
            <w:shd w:fill="auto" w:val="clea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pPr>
            <w:r>
              <w:rPr/>
              <w:t> </w:t>
            </w:r>
          </w:p>
        </w:tc>
        <w:tc>
          <w:tcPr>
            <w:tcW w:w="45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Financial Officer and Vice President  Finance and Administration</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TextBody"/>
        <w:spacing w:before="0" w:after="0"/>
        <w:jc w:val="right"/>
        <w:rPr>
          <w:rFonts w:ascii="Times New Roman" w:hAnsi="Times New Roman"/>
          <w:b/>
          <w:sz w:val="20"/>
        </w:rPr>
      </w:pPr>
      <w:bookmarkStart w:id="2" w:name="dex991.htm"/>
      <w:bookmarkStart w:id="3" w:name="ksdex991"/>
      <w:bookmarkEnd w:id="2"/>
      <w:bookmarkEnd w:id="3"/>
      <w:r>
        <w:rPr>
          <w:rFonts w:ascii="Times New Roman" w:hAnsi="Times New Roman"/>
          <w:b/>
          <w:sz w:val="20"/>
        </w:rPr>
        <w:t xml:space="preserve">Exhibit 99.1 </w:t>
      </w:r>
    </w:p>
    <w:p>
      <w:pPr>
        <w:pStyle w:val="TextBody"/>
        <w:spacing w:before="180" w:after="0"/>
        <w:jc w:val="center"/>
        <w:rPr/>
      </w:pPr>
      <w:r>
        <w:rPr/>
        <w:drawing>
          <wp:inline distT="0" distB="0" distL="0" distR="0">
            <wp:extent cx="196215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647700"/>
                    </a:xfrm>
                    <a:prstGeom prst="rect">
                      <a:avLst/>
                    </a:prstGeom>
                  </pic:spPr>
                </pic:pic>
              </a:graphicData>
            </a:graphic>
          </wp:inline>
        </w:drawing>
      </w:r>
      <w:r>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3"/>
        <w:gridCol w:w="4898"/>
      </w:tblGrid>
      <w:tr>
        <w:trPr/>
        <w:tc>
          <w:tcPr>
            <w:tcW w:w="51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898"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rPr>
                <w:rFonts w:ascii="Times New Roman" w:hAnsi="Times New Roman"/>
                <w:b/>
                <w:sz w:val="20"/>
              </w:rPr>
            </w:pPr>
            <w:r>
              <w:rPr>
                <w:rFonts w:ascii="Times New Roman" w:hAnsi="Times New Roman"/>
                <w:b/>
                <w:sz w:val="20"/>
              </w:rPr>
              <w:t>NASDAQ:CECE</w:t>
            </w:r>
          </w:p>
        </w:tc>
        <w:tc>
          <w:tcPr>
            <w:tcW w:w="203" w:type="dxa"/>
            <w:tcBorders/>
            <w:shd w:fill="auto" w:val="clear"/>
            <w:vAlign w:val="bottom"/>
          </w:tcPr>
          <w:p>
            <w:pPr>
              <w:pStyle w:val="TableContents"/>
              <w:spacing w:before="0" w:after="283"/>
              <w:rPr/>
            </w:pPr>
            <w:r>
              <w:rPr/>
              <w:t> </w:t>
            </w:r>
          </w:p>
        </w:tc>
        <w:tc>
          <w:tcPr>
            <w:tcW w:w="489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NEWS RELEASE</w:t>
            </w:r>
          </w:p>
        </w:tc>
      </w:tr>
    </w:tbl>
    <w:p>
      <w:pPr>
        <w:pStyle w:val="TextBody"/>
        <w:spacing w:before="360" w:after="0"/>
        <w:jc w:val="center"/>
        <w:rPr>
          <w:rFonts w:ascii="Times New Roman" w:hAnsi="Times New Roman"/>
          <w:b/>
          <w:sz w:val="20"/>
        </w:rPr>
      </w:pPr>
      <w:r>
        <w:rPr>
          <w:rFonts w:ascii="Times New Roman" w:hAnsi="Times New Roman"/>
          <w:b/>
          <w:sz w:val="20"/>
        </w:rPr>
        <w:t xml:space="preserve">CECO ENVIRONMENTAL REPORTS </w:t>
      </w:r>
    </w:p>
    <w:p>
      <w:pPr>
        <w:pStyle w:val="TextBody"/>
        <w:spacing w:before="0" w:after="0"/>
        <w:jc w:val="center"/>
        <w:rPr>
          <w:rFonts w:ascii="Times New Roman" w:hAnsi="Times New Roman"/>
          <w:b/>
          <w:sz w:val="20"/>
        </w:rPr>
      </w:pPr>
      <w:r>
        <w:rPr>
          <w:rFonts w:ascii="Times New Roman" w:hAnsi="Times New Roman"/>
          <w:b/>
          <w:sz w:val="20"/>
        </w:rPr>
        <w:t xml:space="preserve">RECORD FOURTH QUARTER AND FULL YEAR 2007 RESULTS </w:t>
      </w:r>
    </w:p>
    <w:p>
      <w:pPr>
        <w:pStyle w:val="TextBody"/>
        <w:spacing w:before="180" w:after="0"/>
        <w:jc w:val="center"/>
        <w:rPr>
          <w:rFonts w:ascii="Times New Roman" w:hAnsi="Times New Roman"/>
          <w:b/>
          <w:sz w:val="20"/>
        </w:rPr>
      </w:pPr>
      <w:r>
        <w:rPr>
          <w:rFonts w:ascii="Times New Roman" w:hAnsi="Times New Roman"/>
          <w:b/>
          <w:sz w:val="20"/>
        </w:rPr>
        <w:t xml:space="preserve">Annual Revenues Increase 74.3% to $235.9 Million </w:t>
      </w:r>
    </w:p>
    <w:p>
      <w:pPr>
        <w:pStyle w:val="TextBody"/>
        <w:spacing w:before="0" w:after="0"/>
        <w:jc w:val="center"/>
        <w:rPr>
          <w:rFonts w:ascii="Times New Roman" w:hAnsi="Times New Roman"/>
          <w:b/>
          <w:sz w:val="20"/>
        </w:rPr>
      </w:pPr>
      <w:r>
        <w:rPr>
          <w:rFonts w:ascii="Times New Roman" w:hAnsi="Times New Roman"/>
          <w:b/>
          <w:sz w:val="20"/>
        </w:rPr>
        <w:t xml:space="preserve">Annual Operating Income Increases 109% to $12.6 Million </w:t>
      </w:r>
    </w:p>
    <w:p>
      <w:pPr>
        <w:pStyle w:val="TextBody"/>
        <w:spacing w:before="180" w:after="0"/>
        <w:rPr>
          <w:rFonts w:ascii="Times New Roman" w:hAnsi="Times New Roman"/>
          <w:sz w:val="20"/>
        </w:rPr>
      </w:pPr>
      <w:r>
        <w:rPr>
          <w:rFonts w:ascii="Times New Roman" w:hAnsi="Times New Roman"/>
          <w:b/>
          <w:sz w:val="20"/>
        </w:rPr>
        <w:t xml:space="preserve">NEW YORK, March 10, 2008CECO Environmental Corp. </w:t>
      </w:r>
      <w:r>
        <w:rPr>
          <w:rFonts w:ascii="Times New Roman" w:hAnsi="Times New Roman"/>
          <w:sz w:val="20"/>
        </w:rPr>
        <w:t xml:space="preserve">(NASDAQ:CECE), a leading provider of industrial ventilation and pollution control systems, today announced record fourth quarter and full year results for the period ended December 31, 2007. </w:t>
      </w:r>
    </w:p>
    <w:p>
      <w:pPr>
        <w:pStyle w:val="TextBody"/>
        <w:spacing w:before="180" w:after="0"/>
        <w:rPr>
          <w:rFonts w:ascii="Times New Roman" w:hAnsi="Times New Roman"/>
          <w:b/>
          <w:sz w:val="20"/>
        </w:rPr>
      </w:pPr>
      <w:r>
        <w:rPr>
          <w:rFonts w:ascii="Times New Roman" w:hAnsi="Times New Roman"/>
          <w:b/>
          <w:sz w:val="20"/>
        </w:rPr>
        <w:t xml:space="preserve">Financial highlights for the fourth quarter of 2007 compared to the fourth quarter of 2006 include: </w:t>
      </w:r>
    </w:p>
    <w:p>
      <w:pPr>
        <w:pStyle w:val="TextBody"/>
        <w:spacing w:before="90" w:after="0"/>
        <w:rPr>
          <w:rFonts w:ascii="Times New Roman" w:hAnsi="Times New Roman"/>
          <w:sz w:val="20"/>
        </w:rPr>
      </w:pPr>
      <w:r>
        <w:rPr>
          <w:rFonts w:ascii="Times New Roman" w:hAnsi="Times New Roman"/>
          <w:sz w:val="20"/>
        </w:rPr>
        <w:t xml:space="preserve">Net sales increased 63.8% to $68.0 million; </w:t>
      </w:r>
    </w:p>
    <w:p>
      <w:pPr>
        <w:pStyle w:val="TextBody"/>
        <w:spacing w:before="90" w:after="0"/>
        <w:rPr>
          <w:rFonts w:ascii="Times New Roman" w:hAnsi="Times New Roman"/>
          <w:sz w:val="20"/>
        </w:rPr>
      </w:pPr>
      <w:r>
        <w:rPr>
          <w:rFonts w:ascii="Times New Roman" w:hAnsi="Times New Roman"/>
          <w:sz w:val="20"/>
        </w:rPr>
        <w:t xml:space="preserve">Gross profit increased 39.8% to $11.5 million; </w:t>
      </w:r>
    </w:p>
    <w:p>
      <w:pPr>
        <w:pStyle w:val="TextBody"/>
        <w:spacing w:before="90" w:after="0"/>
        <w:rPr>
          <w:rFonts w:ascii="Times New Roman" w:hAnsi="Times New Roman"/>
          <w:sz w:val="20"/>
        </w:rPr>
      </w:pPr>
      <w:r>
        <w:rPr>
          <w:rFonts w:ascii="Times New Roman" w:hAnsi="Times New Roman"/>
          <w:sz w:val="20"/>
        </w:rPr>
        <w:t xml:space="preserve">Operating income increased 13.7% to $2.8 million; </w:t>
      </w:r>
    </w:p>
    <w:p>
      <w:pPr>
        <w:pStyle w:val="TextBody"/>
        <w:spacing w:before="90" w:after="0"/>
        <w:rPr>
          <w:rFonts w:ascii="Times New Roman" w:hAnsi="Times New Roman"/>
          <w:sz w:val="20"/>
        </w:rPr>
      </w:pPr>
      <w:r>
        <w:rPr>
          <w:rFonts w:ascii="Times New Roman" w:hAnsi="Times New Roman"/>
          <w:sz w:val="20"/>
        </w:rPr>
        <w:t xml:space="preserve">Net income$1.8 million, a 51.4% increase over 2006; </w:t>
      </w:r>
    </w:p>
    <w:p>
      <w:pPr>
        <w:pStyle w:val="TextBody"/>
        <w:spacing w:before="90" w:after="0"/>
        <w:rPr>
          <w:rFonts w:ascii="Times New Roman" w:hAnsi="Times New Roman"/>
          <w:sz w:val="20"/>
        </w:rPr>
      </w:pPr>
      <w:r>
        <w:rPr>
          <w:rFonts w:ascii="Times New Roman" w:hAnsi="Times New Roman"/>
          <w:sz w:val="20"/>
        </w:rPr>
        <w:t xml:space="preserve">Earnings per diluted share increased 33.3% to $0.12 from $0.09 in 2006. </w:t>
      </w:r>
    </w:p>
    <w:p>
      <w:pPr>
        <w:pStyle w:val="TextBody"/>
        <w:spacing w:before="180" w:after="0"/>
        <w:rPr>
          <w:rFonts w:ascii="Times New Roman" w:hAnsi="Times New Roman"/>
          <w:b/>
          <w:sz w:val="20"/>
        </w:rPr>
      </w:pPr>
      <w:r>
        <w:rPr>
          <w:rFonts w:ascii="Times New Roman" w:hAnsi="Times New Roman"/>
          <w:b/>
          <w:sz w:val="20"/>
        </w:rPr>
        <w:t xml:space="preserve">Financial highlights for the twelve months ended December 31, 2007 compared to twelve months ended December 31, 2006 include: </w:t>
      </w:r>
    </w:p>
    <w:p>
      <w:pPr>
        <w:pStyle w:val="TextBody"/>
        <w:spacing w:before="90" w:after="0"/>
        <w:rPr>
          <w:rFonts w:ascii="Times New Roman" w:hAnsi="Times New Roman"/>
          <w:sz w:val="20"/>
        </w:rPr>
      </w:pPr>
      <w:r>
        <w:rPr>
          <w:rFonts w:ascii="Times New Roman" w:hAnsi="Times New Roman"/>
          <w:sz w:val="20"/>
        </w:rPr>
        <w:t xml:space="preserve">Net sales increased 74.3% to $235.9 million; </w:t>
      </w:r>
    </w:p>
    <w:p>
      <w:pPr>
        <w:pStyle w:val="TextBody"/>
        <w:spacing w:before="90" w:after="0"/>
        <w:rPr>
          <w:rFonts w:ascii="Times New Roman" w:hAnsi="Times New Roman"/>
          <w:sz w:val="20"/>
        </w:rPr>
      </w:pPr>
      <w:r>
        <w:rPr>
          <w:rFonts w:ascii="Times New Roman" w:hAnsi="Times New Roman"/>
          <w:sz w:val="20"/>
        </w:rPr>
        <w:t xml:space="preserve">Gross profit increased 67.7% to $40.4 million; </w:t>
      </w:r>
    </w:p>
    <w:p>
      <w:pPr>
        <w:pStyle w:val="TextBody"/>
        <w:spacing w:before="90" w:after="0"/>
        <w:rPr>
          <w:rFonts w:ascii="Times New Roman" w:hAnsi="Times New Roman"/>
          <w:sz w:val="20"/>
        </w:rPr>
      </w:pPr>
      <w:r>
        <w:rPr>
          <w:rFonts w:ascii="Times New Roman" w:hAnsi="Times New Roman"/>
          <w:sz w:val="20"/>
        </w:rPr>
        <w:t xml:space="preserve">Operating income increased 108.9% to $12.6 million; </w:t>
      </w:r>
    </w:p>
    <w:p>
      <w:pPr>
        <w:pStyle w:val="TextBody"/>
        <w:spacing w:before="90" w:after="0"/>
        <w:rPr>
          <w:rFonts w:ascii="Times New Roman" w:hAnsi="Times New Roman"/>
          <w:sz w:val="20"/>
        </w:rPr>
      </w:pPr>
      <w:r>
        <w:rPr>
          <w:rFonts w:ascii="Times New Roman" w:hAnsi="Times New Roman"/>
          <w:sz w:val="20"/>
        </w:rPr>
        <w:t xml:space="preserve">Net income GAAP$6.3 million (increase of 103.8%); </w:t>
      </w:r>
    </w:p>
    <w:p>
      <w:pPr>
        <w:pStyle w:val="TextBody"/>
        <w:spacing w:before="0" w:after="0"/>
        <w:rPr>
          <w:rFonts w:ascii="Times New Roman" w:hAnsi="Times New Roman"/>
          <w:sz w:val="20"/>
        </w:rPr>
      </w:pPr>
      <w:r>
        <w:rPr>
          <w:rFonts w:ascii="Times New Roman" w:hAnsi="Times New Roman"/>
          <w:sz w:val="20"/>
        </w:rPr>
        <w:t xml:space="preserve">Net income non-GAAP$7.0 million (increase of 204%); </w:t>
      </w:r>
    </w:p>
    <w:p>
      <w:pPr>
        <w:pStyle w:val="TextBody"/>
        <w:spacing w:before="90" w:after="0"/>
        <w:rPr>
          <w:rFonts w:ascii="Times New Roman" w:hAnsi="Times New Roman"/>
          <w:sz w:val="20"/>
        </w:rPr>
      </w:pPr>
      <w:r>
        <w:rPr>
          <w:rFonts w:ascii="Times New Roman" w:hAnsi="Times New Roman"/>
          <w:sz w:val="20"/>
        </w:rPr>
        <w:t xml:space="preserve">GAAP Earnings per diluted share$0.45 (increase of 87.5%); </w:t>
      </w:r>
    </w:p>
    <w:p>
      <w:pPr>
        <w:pStyle w:val="TextBody"/>
        <w:spacing w:before="0" w:after="0"/>
        <w:rPr>
          <w:rFonts w:ascii="Times New Roman" w:hAnsi="Times New Roman"/>
          <w:sz w:val="20"/>
        </w:rPr>
      </w:pPr>
      <w:r>
        <w:rPr>
          <w:rFonts w:ascii="Times New Roman" w:hAnsi="Times New Roman"/>
          <w:sz w:val="20"/>
        </w:rPr>
        <w:t xml:space="preserve">Non-GAAP Earnings per diluted share $0.50 (increase of 256%). </w:t>
      </w:r>
    </w:p>
    <w:p>
      <w:pPr>
        <w:pStyle w:val="TextBody"/>
        <w:spacing w:before="180" w:after="0"/>
        <w:rPr>
          <w:rFonts w:ascii="Times New Roman" w:hAnsi="Times New Roman"/>
          <w:sz w:val="20"/>
        </w:rPr>
      </w:pPr>
      <w:r>
        <w:rPr>
          <w:rFonts w:ascii="Times New Roman" w:hAnsi="Times New Roman"/>
          <w:sz w:val="20"/>
        </w:rPr>
        <w:t xml:space="preserve">CECOs reported results for the twelve months ended December 31, 2006 included $842,000 in net non-cash income from the valuation of warrants and CECOs reported results for the twelve months ended December 31, 2007 include a non-cash interest expense of $740,000 related to retirement of subordinated debt. </w:t>
      </w:r>
    </w:p>
    <w:p>
      <w:pPr>
        <w:pStyle w:val="TextBody"/>
        <w:spacing w:before="180" w:after="0"/>
        <w:rPr>
          <w:rFonts w:ascii="Times New Roman" w:hAnsi="Times New Roman"/>
          <w:sz w:val="20"/>
        </w:rPr>
      </w:pPr>
      <w:r>
        <w:rPr>
          <w:rFonts w:ascii="Times New Roman" w:hAnsi="Times New Roman"/>
          <w:sz w:val="20"/>
        </w:rPr>
        <w:t xml:space="preserve">The adjustments to non-GAAP net income and non-GAAP earnings per diluted share are detailed in the tables below. </w:t>
      </w:r>
    </w:p>
    <w:p>
      <w:pPr>
        <w:pStyle w:val="TextBody"/>
        <w:spacing w:before="180" w:after="0"/>
        <w:rPr>
          <w:rFonts w:ascii="Times New Roman" w:hAnsi="Times New Roman"/>
          <w:sz w:val="20"/>
        </w:rPr>
      </w:pPr>
      <w:r>
        <w:rPr>
          <w:rFonts w:ascii="Times New Roman" w:hAnsi="Times New Roman"/>
          <w:sz w:val="20"/>
        </w:rPr>
        <w:t xml:space="preserve">Backlog as of December 31, 2007 was $85.5 million compared to $97.1 million as of December 31, 2006. </w:t>
      </w:r>
    </w:p>
    <w:p>
      <w:pPr>
        <w:pStyle w:val="TextBody"/>
        <w:spacing w:before="180" w:after="0"/>
        <w:rPr>
          <w:rFonts w:ascii="Times New Roman" w:hAnsi="Times New Roman"/>
          <w:sz w:val="20"/>
        </w:rPr>
      </w:pPr>
      <w:r>
        <w:rPr>
          <w:rFonts w:ascii="Times New Roman" w:hAnsi="Times New Roman"/>
          <w:sz w:val="20"/>
        </w:rPr>
        <w:t xml:space="preserve">Chairman and CEO, Phillip DeZwirek, stated, Our fourth quarter results mark our eighth consecutive quarter over quarter of record revenues and gross profitability. After eliminating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those certain non-cash income and expense items related to the valuation of warrants and the related subordinated debt discount discussed above, our adjusted results for the quarters and twelve month periods more accurately reflect our significant progress. </w:t>
      </w:r>
    </w:p>
    <w:p>
      <w:pPr>
        <w:pStyle w:val="TextBody"/>
        <w:spacing w:before="180" w:after="0"/>
        <w:rPr>
          <w:rFonts w:ascii="Times New Roman" w:hAnsi="Times New Roman"/>
          <w:sz w:val="20"/>
        </w:rPr>
      </w:pPr>
      <w:r>
        <w:rPr>
          <w:rFonts w:ascii="Times New Roman" w:hAnsi="Times New Roman"/>
          <w:sz w:val="20"/>
        </w:rPr>
        <w:t xml:space="preserve">Mr. DeZwirek continued, Our gross profit margin percentage declined slightly for the year as anticipated due to the lower gross margin on our large automotive project. It is important to note, however, that our operating margin percentage and dollars have continued to increase as expected. We anticipate that both gross and operating margin percentages will increase in the future as the large project is completed and anticipated new higher margin contracts are completed. </w:t>
      </w:r>
    </w:p>
    <w:p>
      <w:pPr>
        <w:pStyle w:val="TextBody"/>
        <w:spacing w:before="180" w:after="0"/>
        <w:rPr>
          <w:rFonts w:ascii="Times New Roman" w:hAnsi="Times New Roman"/>
          <w:sz w:val="20"/>
        </w:rPr>
      </w:pPr>
      <w:r>
        <w:rPr>
          <w:rFonts w:ascii="Times New Roman" w:hAnsi="Times New Roman"/>
          <w:sz w:val="20"/>
        </w:rPr>
        <w:t xml:space="preserve">Rick Blum, COO, commented, Our order flow this year has remained consistently strong with bookings through December 2007 of over $199.7 million plus acquired backlog from Effox and GMD of $24.6 million for a total of $224.3 million compared to $203.6 million through December of 2006, which included a large $50 million order received in December. Our backlog at December 31, 2006 excluding this large order was $47.1 million and our backlog at December 31, 2007 was $85.5 million. </w:t>
      </w:r>
    </w:p>
    <w:p>
      <w:pPr>
        <w:pStyle w:val="TextBody"/>
        <w:spacing w:before="180" w:after="0"/>
        <w:rPr>
          <w:rFonts w:ascii="Times New Roman" w:hAnsi="Times New Roman"/>
          <w:sz w:val="20"/>
        </w:rPr>
      </w:pPr>
      <w:r>
        <w:rPr>
          <w:rFonts w:ascii="Times New Roman" w:hAnsi="Times New Roman"/>
          <w:sz w:val="20"/>
        </w:rPr>
        <w:t xml:space="preserve">It is also worth noting that we recently announced the acquisition of Fisher-Klosterman, Inc (FKI) and that we continue to search for acquisition candidates that fit into our turn-key strategy of horizontal and vertical integration. </w:t>
      </w:r>
    </w:p>
    <w:p>
      <w:pPr>
        <w:pStyle w:val="TextBody"/>
        <w:spacing w:before="180" w:after="0"/>
        <w:rPr>
          <w:rFonts w:ascii="Times New Roman" w:hAnsi="Times New Roman"/>
          <w:sz w:val="20"/>
        </w:rPr>
      </w:pPr>
      <w:r>
        <w:rPr>
          <w:rFonts w:ascii="Times New Roman" w:hAnsi="Times New Roman"/>
          <w:sz w:val="20"/>
        </w:rPr>
        <w:t xml:space="preserve">CECO will hold its quarterly conference call to discuss fourth quarter results on Tuesday, March 11, 2008 at 10:00 a.m. eastern daylight time. </w:t>
      </w:r>
    </w:p>
    <w:p>
      <w:pPr>
        <w:pStyle w:val="TextBody"/>
        <w:spacing w:before="180" w:after="0"/>
        <w:rPr>
          <w:rFonts w:ascii="Times New Roman" w:hAnsi="Times New Roman"/>
          <w:sz w:val="20"/>
        </w:rPr>
      </w:pPr>
      <w:r>
        <w:rPr>
          <w:rFonts w:ascii="Times New Roman" w:hAnsi="Times New Roman"/>
          <w:sz w:val="20"/>
        </w:rPr>
        <w:t xml:space="preserve">Dial in number: 888.713.4214 </w:t>
      </w:r>
    </w:p>
    <w:p>
      <w:pPr>
        <w:pStyle w:val="TextBody"/>
        <w:spacing w:before="0" w:after="0"/>
        <w:rPr>
          <w:rFonts w:ascii="Times New Roman" w:hAnsi="Times New Roman"/>
          <w:sz w:val="20"/>
        </w:rPr>
      </w:pPr>
      <w:r>
        <w:rPr>
          <w:rFonts w:ascii="Times New Roman" w:hAnsi="Times New Roman"/>
          <w:sz w:val="20"/>
        </w:rPr>
        <w:t xml:space="preserve">International: 617.213.4866 </w:t>
      </w:r>
    </w:p>
    <w:p>
      <w:pPr>
        <w:pStyle w:val="TextBody"/>
        <w:spacing w:before="0" w:after="0"/>
        <w:rPr>
          <w:rFonts w:ascii="Times New Roman" w:hAnsi="Times New Roman"/>
          <w:sz w:val="20"/>
        </w:rPr>
      </w:pPr>
      <w:r>
        <w:rPr>
          <w:rFonts w:ascii="Times New Roman" w:hAnsi="Times New Roman"/>
          <w:sz w:val="20"/>
        </w:rPr>
        <w:t xml:space="preserve">Passcode: 49981438 </w:t>
      </w:r>
    </w:p>
    <w:p>
      <w:pPr>
        <w:pStyle w:val="TextBody"/>
        <w:spacing w:before="180" w:after="0"/>
        <w:rPr>
          <w:rFonts w:ascii="Times New Roman" w:hAnsi="Times New Roman"/>
          <w:sz w:val="20"/>
        </w:rPr>
      </w:pPr>
      <w:r>
        <w:rPr>
          <w:rFonts w:ascii="Times New Roman" w:hAnsi="Times New Roman"/>
          <w:sz w:val="20"/>
        </w:rPr>
        <w:t xml:space="preserve">Additional information on CECOs reported results, including a reconciliation of the non-GAAP adjusted results, are included in the financial tables below. </w:t>
      </w:r>
    </w:p>
    <w:p>
      <w:pPr>
        <w:pStyle w:val="TextBody"/>
        <w:spacing w:before="270" w:after="0"/>
        <w:rPr>
          <w:rFonts w:ascii="Times New Roman" w:hAnsi="Times New Roman"/>
          <w:b/>
          <w:sz w:val="20"/>
        </w:rPr>
      </w:pPr>
      <w:r>
        <w:rPr>
          <w:rFonts w:ascii="Times New Roman" w:hAnsi="Times New Roman"/>
          <w:b/>
          <w:sz w:val="20"/>
        </w:rPr>
        <w:t xml:space="preserve">ABOUT CECO ENVIRONMENTAL </w:t>
      </w:r>
    </w:p>
    <w:p>
      <w:pPr>
        <w:pStyle w:val="TextBody"/>
        <w:spacing w:before="90" w:after="0"/>
        <w:rPr>
          <w:rFonts w:ascii="Times New Roman" w:hAnsi="Times New Roman"/>
          <w:sz w:val="20"/>
        </w:rPr>
      </w:pPr>
      <w:r>
        <w:rPr>
          <w:rFonts w:ascii="Times New Roman" w:hAnsi="Times New Roman"/>
          <w:sz w:val="20"/>
        </w:rPr>
        <w:t xml:space="preserve">CECO Environmental Corp. is North Americas largest independent air pollution control company. Through its ten subsidiaries  Busch, CECOaire, CECO Filters, CECO Abatement Systems, kbd/Technic, Kirk &amp; Blum, H. M. White, Inc., Effox, GMD Environmental and FKI  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electric power, semiconductor, chemical, cement, metalworking, glass, foundry and virtually all industrial process industries. </w:t>
      </w:r>
    </w:p>
    <w:p>
      <w:pPr>
        <w:pStyle w:val="TextBody"/>
        <w:spacing w:before="180" w:after="0"/>
        <w:rPr>
          <w:rFonts w:ascii="Times New Roman" w:hAnsi="Times New Roman"/>
          <w:sz w:val="20"/>
        </w:rPr>
      </w:pPr>
      <w:r>
        <w:rPr>
          <w:rFonts w:ascii="Times New Roman" w:hAnsi="Times New Roman"/>
          <w:sz w:val="20"/>
        </w:rPr>
        <w:t xml:space="preserve">For more information please visit the Companys website at http://www.cecoenviro.com/ </w:t>
      </w:r>
    </w:p>
    <w:p>
      <w:pPr>
        <w:pStyle w:val="TextBody"/>
        <w:spacing w:before="180" w:after="0"/>
        <w:rPr>
          <w:rFonts w:ascii="Times New Roman" w:hAnsi="Times New Roman"/>
          <w:sz w:val="20"/>
        </w:rPr>
      </w:pPr>
      <w:r>
        <w:rPr>
          <w:rFonts w:ascii="Times New Roman" w:hAnsi="Times New Roman"/>
          <w:sz w:val="20"/>
        </w:rPr>
        <w:t xml:space="preserve">Contact: </w:t>
      </w:r>
    </w:p>
    <w:p>
      <w:pPr>
        <w:pStyle w:val="TextBody"/>
        <w:spacing w:before="0" w:after="0"/>
        <w:rPr>
          <w:rFonts w:ascii="Times New Roman" w:hAnsi="Times New Roman"/>
          <w:sz w:val="20"/>
        </w:rPr>
      </w:pPr>
      <w:r>
        <w:rPr>
          <w:rFonts w:ascii="Times New Roman" w:hAnsi="Times New Roman"/>
          <w:sz w:val="20"/>
        </w:rPr>
        <w:t xml:space="preserve">Corporate Information </w:t>
      </w:r>
    </w:p>
    <w:p>
      <w:pPr>
        <w:pStyle w:val="TextBody"/>
        <w:spacing w:before="0" w:after="0"/>
        <w:rPr>
          <w:rFonts w:ascii="Times New Roman" w:hAnsi="Times New Roman"/>
          <w:sz w:val="20"/>
        </w:rPr>
      </w:pPr>
      <w:r>
        <w:rPr>
          <w:rFonts w:ascii="Times New Roman" w:hAnsi="Times New Roman"/>
          <w:sz w:val="20"/>
        </w:rPr>
        <w:t xml:space="preserve">Phillip DeZwirek, CECO Environmental Corp. </w:t>
      </w:r>
    </w:p>
    <w:p>
      <w:pPr>
        <w:pStyle w:val="TextBody"/>
        <w:spacing w:before="0" w:after="0"/>
        <w:rPr>
          <w:rFonts w:ascii="Times New Roman" w:hAnsi="Times New Roman"/>
          <w:sz w:val="20"/>
        </w:rPr>
      </w:pPr>
      <w:r>
        <w:rPr>
          <w:rFonts w:ascii="Times New Roman" w:hAnsi="Times New Roman"/>
          <w:sz w:val="20"/>
        </w:rPr>
        <w:t xml:space="preserve">Email: investors@cecoenviro.com </w:t>
      </w:r>
    </w:p>
    <w:p>
      <w:pPr>
        <w:pStyle w:val="TextBody"/>
        <w:spacing w:before="0" w:after="0"/>
        <w:rPr>
          <w:rFonts w:ascii="Times New Roman" w:hAnsi="Times New Roman"/>
          <w:sz w:val="20"/>
        </w:rPr>
      </w:pPr>
      <w:r>
        <w:rPr>
          <w:rFonts w:ascii="Times New Roman" w:hAnsi="Times New Roman"/>
          <w:sz w:val="20"/>
        </w:rPr>
        <w:t xml:space="preserve">1-800-606-CECO (2326) </w:t>
      </w:r>
    </w:p>
    <w:p>
      <w:pPr>
        <w:pStyle w:val="TextBody"/>
        <w:spacing w:before="180" w:after="0"/>
        <w:rPr>
          <w:rFonts w:ascii="Times New Roman" w:hAnsi="Times New Roman"/>
          <w:sz w:val="20"/>
        </w:rPr>
      </w:pPr>
      <w:r>
        <w:rPr>
          <w:rFonts w:ascii="Times New Roman" w:hAnsi="Times New Roman"/>
          <w:sz w:val="20"/>
        </w:rPr>
        <w:t xml:space="preserve">This press release may contain forward-looking statements within the meaning of the Private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Securities Litigation Reform Act of 1995. Such forward- looking statements may be identified by words such as believe, anticipate, intend, expect, may, could, would, will, should, plan, or similar statements. All forward-looking statements are based largely on current expectations, beliefs and assumptions concerning future events that are subject to certain substantial risks and uncertainties. These risks and uncertainties, which are more fully described in CECOs Annual and Quarterly Reports filed with the Securities and Exchange Commission, include changes in economic conditions and changes in market conditions in the industries in which the Company Operates. Should one or more of these risks or uncertainties materialize, or should the assumptions prove incorrect, actual results may vary in material aspects from those currently anticipated. </w:t>
      </w:r>
    </w:p>
    <w:p>
      <w:pPr>
        <w:pStyle w:val="TextBody"/>
        <w:spacing w:before="180" w:after="0"/>
        <w:rPr>
          <w:rFonts w:ascii="Times New Roman" w:hAnsi="Times New Roman"/>
          <w:sz w:val="20"/>
        </w:rPr>
      </w:pPr>
      <w:r>
        <w:rPr>
          <w:rFonts w:ascii="Times New Roman" w:hAnsi="Times New Roman"/>
          <w:sz w:val="20"/>
        </w:rPr>
        <w:t xml:space="preserve">CECO Environmental </w:t>
      </w:r>
    </w:p>
    <w:p>
      <w:pPr>
        <w:pStyle w:val="TextBody"/>
        <w:spacing w:before="0" w:after="0"/>
        <w:rPr>
          <w:rFonts w:ascii="Times New Roman" w:hAnsi="Times New Roman"/>
          <w:sz w:val="20"/>
        </w:rPr>
      </w:pPr>
      <w:r>
        <w:rPr>
          <w:rFonts w:ascii="Times New Roman" w:hAnsi="Times New Roman"/>
          <w:sz w:val="20"/>
        </w:rPr>
        <w:t xml:space="preserve">Condensed Consolidated Statement of Operations </w:t>
      </w:r>
    </w:p>
    <w:p>
      <w:pPr>
        <w:pStyle w:val="TextBody"/>
        <w:spacing w:before="0" w:after="0"/>
        <w:rPr>
          <w:rFonts w:ascii="Times New Roman" w:hAnsi="Times New Roman"/>
          <w:sz w:val="20"/>
        </w:rPr>
      </w:pPr>
      <w:r>
        <w:rPr>
          <w:rFonts w:ascii="Times New Roman" w:hAnsi="Times New Roman"/>
          <w:sz w:val="20"/>
        </w:rPr>
        <w:t xml:space="preserve">(In thousands, except share and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627"/>
        <w:gridCol w:w="272"/>
        <w:gridCol w:w="125"/>
        <w:gridCol w:w="953"/>
        <w:gridCol w:w="80"/>
        <w:gridCol w:w="223"/>
        <w:gridCol w:w="125"/>
        <w:gridCol w:w="953"/>
        <w:gridCol w:w="80"/>
        <w:gridCol w:w="223"/>
        <w:gridCol w:w="125"/>
        <w:gridCol w:w="953"/>
        <w:gridCol w:w="80"/>
        <w:gridCol w:w="223"/>
        <w:gridCol w:w="124"/>
        <w:gridCol w:w="953"/>
        <w:gridCol w:w="86"/>
      </w:tblGrid>
      <w:tr>
        <w:trPr/>
        <w:tc>
          <w:tcPr>
            <w:tcW w:w="46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r>
      <w:tr>
        <w:trPr/>
        <w:tc>
          <w:tcPr>
            <w:tcW w:w="462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245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45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Twelve months ended</w:t>
            </w:r>
          </w:p>
        </w:tc>
        <w:tc>
          <w:tcPr>
            <w:tcW w:w="86" w:type="dxa"/>
            <w:tcBorders/>
            <w:shd w:fill="auto" w:val="clear"/>
            <w:vAlign w:val="bottom"/>
          </w:tcPr>
          <w:p>
            <w:pPr>
              <w:pStyle w:val="TableContents"/>
              <w:spacing w:before="0" w:after="283"/>
              <w:rPr/>
            </w:pPr>
            <w:r>
              <w:rPr/>
              <w:t> </w:t>
            </w:r>
          </w:p>
        </w:tc>
      </w:tr>
      <w:tr>
        <w:trPr/>
        <w:tc>
          <w:tcPr>
            <w:tcW w:w="4627"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0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12/31/2007</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12/31/2006</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7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12/31/2007</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7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12/31/2006</w:t>
            </w:r>
          </w:p>
        </w:tc>
        <w:tc>
          <w:tcPr>
            <w:tcW w:w="86" w:type="dxa"/>
            <w:tcBorders/>
            <w:shd w:fill="auto" w:val="clear"/>
            <w:vAlign w:val="bottom"/>
          </w:tcPr>
          <w:p>
            <w:pPr>
              <w:pStyle w:val="TableContents"/>
              <w:spacing w:before="0" w:after="283"/>
              <w:rPr/>
            </w:pPr>
            <w:r>
              <w:rPr/>
              <w:t> </w:t>
            </w:r>
          </w:p>
        </w:tc>
      </w:tr>
      <w:tr>
        <w:trPr/>
        <w:tc>
          <w:tcPr>
            <w:tcW w:w="4627"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67,986</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41,498</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235,953</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135,359</w:t>
            </w:r>
          </w:p>
        </w:tc>
        <w:tc>
          <w:tcPr>
            <w:tcW w:w="86" w:type="dxa"/>
            <w:tcBorders/>
            <w:shd w:fill="CCEEFF" w:val="clear"/>
            <w:vAlign w:val="bottom"/>
          </w:tcPr>
          <w:p>
            <w:pPr>
              <w:pStyle w:val="TableContents"/>
              <w:spacing w:before="0" w:after="283"/>
              <w:rPr/>
            </w:pPr>
            <w:r>
              <w:rPr/>
              <w:t> </w:t>
            </w:r>
          </w:p>
        </w:tc>
      </w:tr>
      <w:tr>
        <w:trPr/>
        <w:tc>
          <w:tcPr>
            <w:tcW w:w="4627"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56,491</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33,278</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195,548</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111,261</w:t>
            </w:r>
          </w:p>
        </w:tc>
        <w:tc>
          <w:tcPr>
            <w:tcW w:w="86" w:type="dxa"/>
            <w:tcBorders/>
            <w:shd w:fill="auto" w:val="clear"/>
            <w:vAlign w:val="bottom"/>
          </w:tcPr>
          <w:p>
            <w:pPr>
              <w:pStyle w:val="TableContents"/>
              <w:spacing w:before="0" w:after="283"/>
              <w:rPr/>
            </w:pPr>
            <w:r>
              <w:rPr/>
              <w:t> </w:t>
            </w:r>
          </w:p>
        </w:tc>
      </w:tr>
      <w:tr>
        <w:trPr/>
        <w:tc>
          <w:tcPr>
            <w:tcW w:w="4627"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r>
      <w:tr>
        <w:trPr/>
        <w:tc>
          <w:tcPr>
            <w:tcW w:w="4627"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11,495</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8,220</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40,405</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24,098</w:t>
            </w:r>
          </w:p>
        </w:tc>
        <w:tc>
          <w:tcPr>
            <w:tcW w:w="86" w:type="dxa"/>
            <w:tcBorders/>
            <w:shd w:fill="CCEEFF" w:val="clear"/>
            <w:vAlign w:val="bottom"/>
          </w:tcPr>
          <w:p>
            <w:pPr>
              <w:pStyle w:val="TableContents"/>
              <w:spacing w:before="0" w:after="283"/>
              <w:rPr/>
            </w:pPr>
            <w:r>
              <w:rPr/>
              <w:t> </w:t>
            </w:r>
          </w:p>
        </w:tc>
      </w:tr>
      <w:tr>
        <w:trPr/>
        <w:tc>
          <w:tcPr>
            <w:tcW w:w="4627" w:type="dxa"/>
            <w:tcBorders/>
            <w:shd w:fill="auto" w:val="clear"/>
          </w:tcPr>
          <w:p>
            <w:pPr>
              <w:pStyle w:val="TableContents"/>
              <w:spacing w:before="0" w:after="283"/>
              <w:rPr>
                <w:rFonts w:ascii="Times New Roman" w:hAnsi="Times New Roman"/>
                <w:sz w:val="20"/>
              </w:rPr>
            </w:pPr>
            <w:r>
              <w:rPr>
                <w:rFonts w:ascii="Times New Roman" w:hAnsi="Times New Roman"/>
                <w:sz w:val="20"/>
              </w:rPr>
              <w:t>Selling &amp; Administrative</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8,188</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5,422</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26,148</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16,822</w:t>
            </w:r>
          </w:p>
        </w:tc>
        <w:tc>
          <w:tcPr>
            <w:tcW w:w="86" w:type="dxa"/>
            <w:tcBorders/>
            <w:shd w:fill="auto" w:val="clear"/>
            <w:vAlign w:val="bottom"/>
          </w:tcPr>
          <w:p>
            <w:pPr>
              <w:pStyle w:val="TableContents"/>
              <w:spacing w:before="0" w:after="283"/>
              <w:rPr/>
            </w:pPr>
            <w:r>
              <w:rPr/>
              <w:t> </w:t>
            </w:r>
          </w:p>
        </w:tc>
      </w:tr>
      <w:tr>
        <w:trPr/>
        <w:tc>
          <w:tcPr>
            <w:tcW w:w="4627"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&amp; amortization</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1,623</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1,229</w:t>
            </w:r>
          </w:p>
        </w:tc>
        <w:tc>
          <w:tcPr>
            <w:tcW w:w="86" w:type="dxa"/>
            <w:tcBorders/>
            <w:shd w:fill="CCEEFF" w:val="clear"/>
            <w:vAlign w:val="bottom"/>
          </w:tcPr>
          <w:p>
            <w:pPr>
              <w:pStyle w:val="TableContents"/>
              <w:spacing w:before="0" w:after="283"/>
              <w:rPr/>
            </w:pPr>
            <w:r>
              <w:rPr/>
              <w:t> </w:t>
            </w:r>
          </w:p>
        </w:tc>
      </w:tr>
      <w:tr>
        <w:trPr/>
        <w:tc>
          <w:tcPr>
            <w:tcW w:w="4627"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r>
      <w:tr>
        <w:trPr/>
        <w:tc>
          <w:tcPr>
            <w:tcW w:w="4627"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2,783</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2,447</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12,634</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6,047</w:t>
            </w:r>
          </w:p>
        </w:tc>
        <w:tc>
          <w:tcPr>
            <w:tcW w:w="86" w:type="dxa"/>
            <w:tcBorders/>
            <w:shd w:fill="auto" w:val="clear"/>
            <w:vAlign w:val="bottom"/>
          </w:tcPr>
          <w:p>
            <w:pPr>
              <w:pStyle w:val="TableContents"/>
              <w:spacing w:before="0" w:after="283"/>
              <w:rPr/>
            </w:pPr>
            <w:r>
              <w:rPr/>
              <w:t> </w:t>
            </w:r>
          </w:p>
        </w:tc>
      </w:tr>
      <w:tr>
        <w:trPr/>
        <w:tc>
          <w:tcPr>
            <w:tcW w:w="4627" w:type="dxa"/>
            <w:tcBorders/>
            <w:shd w:fill="CCEEFF" w:val="clear"/>
          </w:tcPr>
          <w:p>
            <w:pPr>
              <w:pStyle w:val="TableContents"/>
              <w:spacing w:before="0" w:after="283"/>
              <w:rPr>
                <w:rFonts w:ascii="Times New Roman" w:hAnsi="Times New Roman"/>
                <w:sz w:val="20"/>
              </w:rPr>
            </w:pPr>
            <w:r>
              <w:rPr>
                <w:rFonts w:ascii="Times New Roman" w:hAnsi="Times New Roman"/>
                <w:sz w:val="20"/>
              </w:rPr>
              <w:t>Other income</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812</w:t>
            </w:r>
          </w:p>
        </w:tc>
        <w:tc>
          <w:tcPr>
            <w:tcW w:w="86" w:type="dxa"/>
            <w:tcBorders/>
            <w:shd w:fill="CCEEFF" w:val="clear"/>
            <w:vAlign w:val="bottom"/>
          </w:tcPr>
          <w:p>
            <w:pPr>
              <w:pStyle w:val="TableContents"/>
              <w:spacing w:before="0" w:after="283"/>
              <w:rPr/>
            </w:pPr>
            <w:r>
              <w:rPr/>
              <w:t> </w:t>
            </w:r>
          </w:p>
        </w:tc>
      </w:tr>
      <w:tr>
        <w:trPr/>
        <w:tc>
          <w:tcPr>
            <w:tcW w:w="4627"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(1,997</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627"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r>
      <w:tr>
        <w:trPr/>
        <w:tc>
          <w:tcPr>
            <w:tcW w:w="4627"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2,649</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2,116</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10,666</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4,862</w:t>
            </w:r>
          </w:p>
        </w:tc>
        <w:tc>
          <w:tcPr>
            <w:tcW w:w="86" w:type="dxa"/>
            <w:tcBorders/>
            <w:shd w:fill="CCEEFF" w:val="clear"/>
            <w:vAlign w:val="bottom"/>
          </w:tcPr>
          <w:p>
            <w:pPr>
              <w:pStyle w:val="TableContents"/>
              <w:spacing w:before="0" w:after="283"/>
              <w:rPr/>
            </w:pPr>
            <w:r>
              <w:rPr/>
              <w:t> </w:t>
            </w:r>
          </w:p>
        </w:tc>
      </w:tr>
      <w:tr>
        <w:trPr/>
        <w:tc>
          <w:tcPr>
            <w:tcW w:w="4627"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915</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4,361</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1,768</w:t>
            </w:r>
          </w:p>
        </w:tc>
        <w:tc>
          <w:tcPr>
            <w:tcW w:w="86" w:type="dxa"/>
            <w:tcBorders/>
            <w:shd w:fill="auto" w:val="clear"/>
            <w:vAlign w:val="bottom"/>
          </w:tcPr>
          <w:p>
            <w:pPr>
              <w:pStyle w:val="TableContents"/>
              <w:spacing w:before="0" w:after="283"/>
              <w:rPr/>
            </w:pPr>
            <w:r>
              <w:rPr/>
              <w:t> </w:t>
            </w:r>
          </w:p>
        </w:tc>
      </w:tr>
      <w:tr>
        <w:trPr/>
        <w:tc>
          <w:tcPr>
            <w:tcW w:w="4627"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3" w:type="dxa"/>
            <w:tcBorders>
              <w:top w:val="single" w:sz="2" w:space="0" w:color="000000"/>
            </w:tcBorders>
            <w:shd w:fill="auto" w:val="clear"/>
            <w:tcMar>
              <w:top w:w="28" w:type="dxa"/>
            </w:tcMar>
            <w:vAlign w:val="bottom"/>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r>
      <w:tr>
        <w:trPr/>
        <w:tc>
          <w:tcPr>
            <w:tcW w:w="462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1,818</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1,201</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6,305</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3,094</w:t>
            </w:r>
          </w:p>
        </w:tc>
        <w:tc>
          <w:tcPr>
            <w:tcW w:w="86" w:type="dxa"/>
            <w:tcBorders/>
            <w:shd w:fill="CCEEFF" w:val="clear"/>
            <w:vAlign w:val="bottom"/>
          </w:tcPr>
          <w:p>
            <w:pPr>
              <w:pStyle w:val="TableContents"/>
              <w:spacing w:before="0" w:after="283"/>
              <w:rPr/>
            </w:pPr>
            <w:r>
              <w:rPr/>
              <w:t> </w:t>
            </w:r>
          </w:p>
        </w:tc>
      </w:tr>
      <w:tr>
        <w:trPr/>
        <w:tc>
          <w:tcPr>
            <w:tcW w:w="4627"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53" w:type="dxa"/>
            <w:tcBorders>
              <w:top w:val="double" w:sz="6" w:space="0" w:color="000000"/>
            </w:tcBorders>
            <w:shd w:fill="auto" w:val="clear"/>
            <w:tcMar>
              <w:top w:w="28" w:type="dxa"/>
            </w:tcMar>
            <w:vAlign w:val="bottom"/>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r>
      <w:tr>
        <w:trPr/>
        <w:tc>
          <w:tcPr>
            <w:tcW w:w="4627" w:type="dxa"/>
            <w:tcBorders/>
            <w:shd w:fill="auto" w:val="clear"/>
          </w:tcPr>
          <w:p>
            <w:pPr>
              <w:pStyle w:val="TableContents"/>
              <w:spacing w:before="0" w:after="283"/>
              <w:rPr>
                <w:rFonts w:ascii="Times New Roman" w:hAnsi="Times New Roman"/>
                <w:sz w:val="20"/>
              </w:rPr>
            </w:pPr>
            <w:r>
              <w:rPr>
                <w:rFonts w:ascii="Times New Roman" w:hAnsi="Times New Roman"/>
                <w:sz w:val="20"/>
              </w:rPr>
              <w:t>Per share data</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3"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3"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3"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953"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r>
      <w:tr>
        <w:trPr/>
        <w:tc>
          <w:tcPr>
            <w:tcW w:w="462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per basic share</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86" w:type="dxa"/>
            <w:tcBorders/>
            <w:shd w:fill="CCEEFF" w:val="clear"/>
            <w:vAlign w:val="bottom"/>
          </w:tcPr>
          <w:p>
            <w:pPr>
              <w:pStyle w:val="TableContents"/>
              <w:spacing w:before="0" w:after="283"/>
              <w:rPr/>
            </w:pPr>
            <w:r>
              <w:rPr/>
              <w:t> </w:t>
            </w:r>
          </w:p>
        </w:tc>
      </w:tr>
      <w:tr>
        <w:trPr/>
        <w:tc>
          <w:tcPr>
            <w:tcW w:w="4627"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per diluted share</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86" w:type="dxa"/>
            <w:tcBorders/>
            <w:shd w:fill="auto" w:val="clear"/>
            <w:vAlign w:val="bottom"/>
          </w:tcPr>
          <w:p>
            <w:pPr>
              <w:pStyle w:val="TableContents"/>
              <w:spacing w:before="0" w:after="283"/>
              <w:rPr/>
            </w:pPr>
            <w:r>
              <w:rPr/>
              <w:t> </w:t>
            </w:r>
          </w:p>
        </w:tc>
      </w:tr>
      <w:tr>
        <w:trPr>
          <w:trHeight w:val="120" w:hRule="atLeast"/>
        </w:trPr>
        <w:tc>
          <w:tcPr>
            <w:tcW w:w="4627" w:type="dxa"/>
            <w:tcBorders/>
            <w:shd w:fill="auto" w:val="clear"/>
            <w:vAlign w:val="center"/>
          </w:tcPr>
          <w:p>
            <w:pPr>
              <w:pStyle w:val="TableContents"/>
              <w:spacing w:before="0" w:after="283"/>
              <w:rPr>
                <w:sz w:val="4"/>
                <w:szCs w:val="4"/>
              </w:rPr>
            </w:pPr>
            <w:r>
              <w:rPr>
                <w:sz w:val="4"/>
                <w:szCs w:val="4"/>
              </w:rPr>
            </w:r>
          </w:p>
        </w:tc>
        <w:tc>
          <w:tcPr>
            <w:tcW w:w="1430" w:type="dxa"/>
            <w:gridSpan w:val="4"/>
            <w:tcBorders/>
            <w:shd w:fill="auto" w:val="clear"/>
            <w:vAlign w:val="center"/>
          </w:tcPr>
          <w:p>
            <w:pPr>
              <w:pStyle w:val="TableContents"/>
              <w:spacing w:before="0" w:after="283"/>
              <w:rPr>
                <w:sz w:val="4"/>
                <w:szCs w:val="4"/>
              </w:rPr>
            </w:pPr>
            <w:r>
              <w:rPr>
                <w:sz w:val="4"/>
                <w:szCs w:val="4"/>
              </w:rPr>
            </w:r>
          </w:p>
        </w:tc>
        <w:tc>
          <w:tcPr>
            <w:tcW w:w="1381" w:type="dxa"/>
            <w:gridSpan w:val="4"/>
            <w:tcBorders/>
            <w:shd w:fill="auto" w:val="clear"/>
            <w:vAlign w:val="center"/>
          </w:tcPr>
          <w:p>
            <w:pPr>
              <w:pStyle w:val="TableContents"/>
              <w:spacing w:before="0" w:after="283"/>
              <w:rPr>
                <w:sz w:val="4"/>
                <w:szCs w:val="4"/>
              </w:rPr>
            </w:pPr>
            <w:r>
              <w:rPr>
                <w:sz w:val="4"/>
                <w:szCs w:val="4"/>
              </w:rPr>
            </w:r>
          </w:p>
        </w:tc>
        <w:tc>
          <w:tcPr>
            <w:tcW w:w="1381" w:type="dxa"/>
            <w:gridSpan w:val="4"/>
            <w:tcBorders/>
            <w:shd w:fill="auto" w:val="clear"/>
            <w:vAlign w:val="center"/>
          </w:tcPr>
          <w:p>
            <w:pPr>
              <w:pStyle w:val="TableContents"/>
              <w:spacing w:before="0" w:after="283"/>
              <w:rPr>
                <w:sz w:val="4"/>
                <w:szCs w:val="4"/>
              </w:rPr>
            </w:pPr>
            <w:r>
              <w:rPr>
                <w:sz w:val="4"/>
                <w:szCs w:val="4"/>
              </w:rPr>
            </w:r>
          </w:p>
        </w:tc>
        <w:tc>
          <w:tcPr>
            <w:tcW w:w="1386" w:type="dxa"/>
            <w:gridSpan w:val="4"/>
            <w:tcBorders/>
            <w:shd w:fill="auto" w:val="clear"/>
            <w:vAlign w:val="center"/>
          </w:tcPr>
          <w:p>
            <w:pPr>
              <w:pStyle w:val="TableContents"/>
              <w:spacing w:before="0" w:after="283"/>
              <w:rPr>
                <w:sz w:val="4"/>
                <w:szCs w:val="4"/>
              </w:rPr>
            </w:pPr>
            <w:r>
              <w:rPr>
                <w:sz w:val="4"/>
                <w:szCs w:val="4"/>
              </w:rPr>
            </w:r>
          </w:p>
        </w:tc>
      </w:tr>
      <w:tr>
        <w:trPr/>
        <w:tc>
          <w:tcPr>
            <w:tcW w:w="4627"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shares outstanding</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3"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3"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3"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953" w:type="dxa"/>
            <w:tcBorders/>
            <w:shd w:fill="CCEEFF" w:val="clear"/>
            <w:vAlign w:val="bottom"/>
          </w:tcPr>
          <w:p>
            <w:pPr>
              <w:pStyle w:val="TableContents"/>
              <w:spacing w:before="0" w:after="283"/>
              <w:rPr>
                <w:sz w:val="4"/>
                <w:szCs w:val="4"/>
              </w:rPr>
            </w:pPr>
            <w:r>
              <w:rPr>
                <w:sz w:val="4"/>
                <w:szCs w:val="4"/>
              </w:rPr>
            </w:r>
          </w:p>
        </w:tc>
        <w:tc>
          <w:tcPr>
            <w:tcW w:w="86" w:type="dxa"/>
            <w:tcBorders/>
            <w:shd w:fill="CCEEFF" w:val="clear"/>
            <w:vAlign w:val="bottom"/>
          </w:tcPr>
          <w:p>
            <w:pPr>
              <w:pStyle w:val="TableContents"/>
              <w:spacing w:before="0" w:after="283"/>
              <w:rPr>
                <w:sz w:val="4"/>
                <w:szCs w:val="4"/>
              </w:rPr>
            </w:pPr>
            <w:r>
              <w:rPr>
                <w:sz w:val="4"/>
                <w:szCs w:val="4"/>
              </w:rPr>
            </w:r>
          </w:p>
        </w:tc>
      </w:tr>
      <w:tr>
        <w:trPr/>
        <w:tc>
          <w:tcPr>
            <w:tcW w:w="4627"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14,650,164</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11,482,997</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13,456,580</w:t>
            </w:r>
          </w:p>
        </w:tc>
        <w:tc>
          <w:tcPr>
            <w:tcW w:w="8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11,260,459</w:t>
            </w:r>
          </w:p>
        </w:tc>
        <w:tc>
          <w:tcPr>
            <w:tcW w:w="86" w:type="dxa"/>
            <w:tcBorders/>
            <w:shd w:fill="auto" w:val="clear"/>
            <w:vAlign w:val="bottom"/>
          </w:tcPr>
          <w:p>
            <w:pPr>
              <w:pStyle w:val="TableContents"/>
              <w:spacing w:before="0" w:after="283"/>
              <w:rPr/>
            </w:pPr>
            <w:r>
              <w:rPr/>
              <w:t> </w:t>
            </w:r>
          </w:p>
        </w:tc>
      </w:tr>
      <w:tr>
        <w:trPr/>
        <w:tc>
          <w:tcPr>
            <w:tcW w:w="4627"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15,253,834</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13,173,862</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14,042,234</w:t>
            </w:r>
          </w:p>
        </w:tc>
        <w:tc>
          <w:tcPr>
            <w:tcW w:w="8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12,890,401</w:t>
            </w:r>
          </w:p>
        </w:tc>
        <w:tc>
          <w:tcPr>
            <w:tcW w:w="86" w:type="dxa"/>
            <w:tcBorders/>
            <w:shd w:fill="CCEEFF" w:val="clear"/>
            <w:vAlign w:val="bottom"/>
          </w:tcPr>
          <w:p>
            <w:pPr>
              <w:pStyle w:val="TableContents"/>
              <w:spacing w:before="0" w:after="283"/>
              <w:rPr/>
            </w:pPr>
            <w:r>
              <w:rPr/>
              <w:t> </w:t>
            </w:r>
          </w:p>
        </w:tc>
      </w:tr>
    </w:tbl>
    <w:p>
      <w:pPr>
        <w:pStyle w:val="HorizontalLine"/>
        <w:pBdr>
          <w:bottom w:val="double" w:sz="6" w:space="0" w:color="999999"/>
        </w:pBdr>
        <w:rPr/>
      </w:pPr>
      <w:r>
        <w:br w:type="page"/>
      </w:r>
      <w:r>
        <w:rPr/>
      </w:r>
    </w:p>
    <w:p>
      <w:pPr>
        <w:pStyle w:val="TextBody"/>
        <w:spacing w:before="0" w:after="0"/>
        <w:jc w:val="center"/>
        <w:rPr>
          <w:rFonts w:ascii="Times New Roman" w:hAnsi="Times New Roman"/>
          <w:sz w:val="20"/>
        </w:rPr>
      </w:pPr>
      <w:r>
        <w:rPr>
          <w:rFonts w:ascii="Times New Roman" w:hAnsi="Times New Roman"/>
          <w:sz w:val="20"/>
        </w:rPr>
        <w:t xml:space="preserve">CECO Environmental </w:t>
      </w:r>
    </w:p>
    <w:p>
      <w:pPr>
        <w:pStyle w:val="TextBody"/>
        <w:spacing w:before="0" w:after="0"/>
        <w:jc w:val="center"/>
        <w:rPr>
          <w:rFonts w:ascii="Times New Roman" w:hAnsi="Times New Roman"/>
          <w:sz w:val="20"/>
        </w:rPr>
      </w:pPr>
      <w:r>
        <w:rPr>
          <w:rFonts w:ascii="Times New Roman" w:hAnsi="Times New Roman"/>
          <w:sz w:val="20"/>
        </w:rPr>
        <w:t xml:space="preserve">Supplemental Financial Information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spacing w:before="180" w:after="0"/>
        <w:rPr>
          <w:rFonts w:ascii="Times New Roman" w:hAnsi="Times New Roman"/>
          <w:sz w:val="20"/>
        </w:rPr>
      </w:pPr>
      <w:r>
        <w:rPr>
          <w:rFonts w:ascii="Times New Roman" w:hAnsi="Times New Roman"/>
          <w:sz w:val="20"/>
        </w:rPr>
        <w:t xml:space="preserve">In millions except per share data </w:t>
      </w:r>
    </w:p>
    <w:p>
      <w:pPr>
        <w:pStyle w:val="TextBody"/>
        <w:spacing w:before="180" w:after="0"/>
        <w:rPr>
          <w:rFonts w:ascii="Times New Roman" w:hAnsi="Times New Roman"/>
          <w:sz w:val="20"/>
          <w:u w:val="single"/>
        </w:rPr>
      </w:pPr>
      <w:r>
        <w:rPr>
          <w:rFonts w:ascii="Times New Roman" w:hAnsi="Times New Roman"/>
          <w:sz w:val="20"/>
          <w:u w:val="single"/>
        </w:rPr>
        <w:t xml:space="preserve">Reconciliation of GAAP net income to adjusted net income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733"/>
        <w:gridCol w:w="610"/>
        <w:gridCol w:w="125"/>
        <w:gridCol w:w="959"/>
        <w:gridCol w:w="610"/>
        <w:gridCol w:w="125"/>
        <w:gridCol w:w="959"/>
        <w:gridCol w:w="84"/>
      </w:tblGrid>
      <w:tr>
        <w:trPr/>
        <w:tc>
          <w:tcPr>
            <w:tcW w:w="6733"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6733"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rPr/>
            </w:pPr>
            <w:r>
              <w:rPr/>
              <w:t>  </w:t>
            </w:r>
          </w:p>
        </w:tc>
        <w:tc>
          <w:tcPr>
            <w:tcW w:w="2778" w:type="dxa"/>
            <w:gridSpan w:val="5"/>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Twelve months ended</w:t>
            </w:r>
          </w:p>
        </w:tc>
        <w:tc>
          <w:tcPr>
            <w:tcW w:w="84" w:type="dxa"/>
            <w:tcBorders/>
            <w:shd w:fill="auto" w:val="clear"/>
            <w:vAlign w:val="bottom"/>
          </w:tcPr>
          <w:p>
            <w:pPr>
              <w:pStyle w:val="TableContents"/>
              <w:spacing w:before="0" w:after="283"/>
              <w:rPr/>
            </w:pPr>
            <w:r>
              <w:rPr/>
              <w:t> </w:t>
            </w:r>
          </w:p>
        </w:tc>
      </w:tr>
      <w:tr>
        <w:trPr/>
        <w:tc>
          <w:tcPr>
            <w:tcW w:w="6733"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rPr/>
            </w:pPr>
            <w:r>
              <w:rPr/>
              <w:t>  </w:t>
            </w:r>
          </w:p>
        </w:tc>
        <w:tc>
          <w:tcPr>
            <w:tcW w:w="10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12/31/2007</w:t>
            </w:r>
          </w:p>
        </w:tc>
        <w:tc>
          <w:tcPr>
            <w:tcW w:w="610" w:type="dxa"/>
            <w:tcBorders/>
            <w:shd w:fill="auto" w:val="clear"/>
            <w:vAlign w:val="bottom"/>
          </w:tcPr>
          <w:p>
            <w:pPr>
              <w:pStyle w:val="TableContents"/>
              <w:spacing w:before="0" w:after="283"/>
              <w:rPr/>
            </w:pPr>
            <w:r>
              <w:rPr/>
              <w:t>  </w:t>
            </w:r>
          </w:p>
        </w:tc>
        <w:tc>
          <w:tcPr>
            <w:tcW w:w="10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12/31/2006</w:t>
            </w:r>
          </w:p>
        </w:tc>
        <w:tc>
          <w:tcPr>
            <w:tcW w:w="84" w:type="dxa"/>
            <w:tcBorders/>
            <w:shd w:fill="auto" w:val="clear"/>
            <w:vAlign w:val="bottom"/>
          </w:tcPr>
          <w:p>
            <w:pPr>
              <w:pStyle w:val="TableContents"/>
              <w:spacing w:before="0" w:after="283"/>
              <w:rPr/>
            </w:pPr>
            <w:r>
              <w:rPr/>
              <w:t> </w:t>
            </w:r>
          </w:p>
        </w:tc>
      </w:tr>
      <w:tr>
        <w:trPr/>
        <w:tc>
          <w:tcPr>
            <w:tcW w:w="6733"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in accordance with GAAP</w:t>
            </w:r>
          </w:p>
        </w:tc>
        <w:tc>
          <w:tcPr>
            <w:tcW w:w="6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6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84" w:type="dxa"/>
            <w:tcBorders/>
            <w:shd w:fill="CCEEFF" w:val="clear"/>
            <w:vAlign w:val="bottom"/>
          </w:tcPr>
          <w:p>
            <w:pPr>
              <w:pStyle w:val="TableContents"/>
              <w:spacing w:before="0" w:after="283"/>
              <w:rPr/>
            </w:pPr>
            <w:r>
              <w:rPr/>
              <w:t> </w:t>
            </w:r>
          </w:p>
        </w:tc>
      </w:tr>
      <w:tr>
        <w:trPr/>
        <w:tc>
          <w:tcPr>
            <w:tcW w:w="6733"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 related to warrant valuation</w:t>
            </w:r>
          </w:p>
        </w:tc>
        <w:tc>
          <w:tcPr>
            <w:tcW w:w="6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9" w:type="dxa"/>
            <w:tcBorders/>
            <w:shd w:fill="auto" w:val="clear"/>
            <w:vAlign w:val="bottom"/>
          </w:tcPr>
          <w:p>
            <w:pPr>
              <w:pStyle w:val="TableContents"/>
              <w:spacing w:before="0" w:after="283"/>
              <w:rPr>
                <w:sz w:val="4"/>
                <w:szCs w:val="4"/>
              </w:rPr>
            </w:pPr>
            <w:r>
              <w:rPr>
                <w:sz w:val="4"/>
                <w:szCs w:val="4"/>
              </w:rPr>
            </w:r>
          </w:p>
        </w:tc>
        <w:tc>
          <w:tcPr>
            <w:tcW w:w="6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(0.8</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733"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related to subordinated debt discount</w:t>
            </w:r>
          </w:p>
        </w:tc>
        <w:tc>
          <w:tcPr>
            <w:tcW w:w="6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w:t>
            </w:r>
          </w:p>
        </w:tc>
        <w:tc>
          <w:tcPr>
            <w:tcW w:w="6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r>
      <w:tr>
        <w:trPr/>
        <w:tc>
          <w:tcPr>
            <w:tcW w:w="6733" w:type="dxa"/>
            <w:tcBorders/>
            <w:shd w:fill="auto" w:val="clear"/>
            <w:vAlign w:val="bottom"/>
          </w:tcPr>
          <w:p>
            <w:pPr>
              <w:pStyle w:val="TableContents"/>
              <w:spacing w:before="0" w:after="283"/>
              <w:rPr>
                <w:sz w:val="4"/>
                <w:szCs w:val="4"/>
              </w:rPr>
            </w:pPr>
            <w:r>
              <w:rPr>
                <w:sz w:val="4"/>
                <w:szCs w:val="4"/>
              </w:rPr>
            </w:r>
          </w:p>
        </w:tc>
        <w:tc>
          <w:tcPr>
            <w:tcW w:w="61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9" w:type="dxa"/>
            <w:tcBorders>
              <w:top w:val="single" w:sz="2" w:space="0" w:color="000000"/>
            </w:tcBorders>
            <w:shd w:fill="auto" w:val="clear"/>
            <w:tcMar>
              <w:top w:w="28" w:type="dxa"/>
            </w:tcMar>
            <w:vAlign w:val="bottom"/>
          </w:tcPr>
          <w:p>
            <w:pPr>
              <w:pStyle w:val="TableContents"/>
              <w:spacing w:before="0" w:after="283"/>
              <w:rPr/>
            </w:pPr>
            <w:r>
              <w:rPr/>
              <w:t> </w:t>
            </w:r>
          </w:p>
        </w:tc>
        <w:tc>
          <w:tcPr>
            <w:tcW w:w="61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9"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6733" w:type="dxa"/>
            <w:tcBorders/>
            <w:shd w:fill="auto" w:val="clear"/>
          </w:tcPr>
          <w:p>
            <w:pPr>
              <w:pStyle w:val="TableContents"/>
              <w:spacing w:before="0" w:after="283"/>
              <w:rPr>
                <w:rFonts w:ascii="Times New Roman" w:hAnsi="Times New Roman"/>
                <w:sz w:val="20"/>
              </w:rPr>
            </w:pPr>
            <w:r>
              <w:rPr>
                <w:rFonts w:ascii="Times New Roman" w:hAnsi="Times New Roman"/>
                <w:sz w:val="20"/>
              </w:rPr>
              <w:t>Adjusted net income</w:t>
            </w:r>
          </w:p>
        </w:tc>
        <w:tc>
          <w:tcPr>
            <w:tcW w:w="6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6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84" w:type="dxa"/>
            <w:tcBorders/>
            <w:shd w:fill="auto" w:val="clear"/>
            <w:vAlign w:val="bottom"/>
          </w:tcPr>
          <w:p>
            <w:pPr>
              <w:pStyle w:val="TableContents"/>
              <w:spacing w:before="0" w:after="283"/>
              <w:rPr/>
            </w:pPr>
            <w:r>
              <w:rPr/>
              <w:t> </w:t>
            </w:r>
          </w:p>
        </w:tc>
      </w:tr>
      <w:tr>
        <w:trPr/>
        <w:tc>
          <w:tcPr>
            <w:tcW w:w="6733" w:type="dxa"/>
            <w:tcBorders/>
            <w:shd w:fill="auto" w:val="clear"/>
            <w:vAlign w:val="bottom"/>
          </w:tcPr>
          <w:p>
            <w:pPr>
              <w:pStyle w:val="TableContents"/>
              <w:spacing w:before="0" w:after="283"/>
              <w:rPr>
                <w:sz w:val="4"/>
                <w:szCs w:val="4"/>
              </w:rPr>
            </w:pPr>
            <w:r>
              <w:rPr>
                <w:sz w:val="4"/>
                <w:szCs w:val="4"/>
              </w:rPr>
            </w:r>
          </w:p>
        </w:tc>
        <w:tc>
          <w:tcPr>
            <w:tcW w:w="61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9" w:type="dxa"/>
            <w:tcBorders>
              <w:top w:val="double" w:sz="6" w:space="0" w:color="000000"/>
            </w:tcBorders>
            <w:shd w:fill="auto" w:val="clear"/>
            <w:tcMar>
              <w:top w:w="28" w:type="dxa"/>
            </w:tcMar>
            <w:vAlign w:val="bottom"/>
          </w:tcPr>
          <w:p>
            <w:pPr>
              <w:pStyle w:val="TableContents"/>
              <w:spacing w:before="0" w:after="283"/>
              <w:rPr/>
            </w:pPr>
            <w:r>
              <w:rPr/>
              <w:t> </w:t>
            </w:r>
          </w:p>
        </w:tc>
        <w:tc>
          <w:tcPr>
            <w:tcW w:w="61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9"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6733" w:type="dxa"/>
            <w:tcBorders/>
            <w:shd w:fill="CCEEFF" w:val="clear"/>
          </w:tcPr>
          <w:p>
            <w:pPr>
              <w:pStyle w:val="TableContents"/>
              <w:spacing w:before="0" w:after="283"/>
              <w:rPr>
                <w:rFonts w:ascii="Times New Roman" w:hAnsi="Times New Roman"/>
                <w:sz w:val="20"/>
              </w:rPr>
            </w:pPr>
            <w:r>
              <w:rPr>
                <w:rFonts w:ascii="Times New Roman" w:hAnsi="Times New Roman"/>
                <w:sz w:val="20"/>
              </w:rPr>
              <w:t>GAAP basic net income per share</w:t>
            </w:r>
          </w:p>
        </w:tc>
        <w:tc>
          <w:tcPr>
            <w:tcW w:w="6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0.47</w:t>
            </w:r>
          </w:p>
        </w:tc>
        <w:tc>
          <w:tcPr>
            <w:tcW w:w="6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84" w:type="dxa"/>
            <w:tcBorders/>
            <w:shd w:fill="CCEEFF" w:val="clear"/>
            <w:vAlign w:val="bottom"/>
          </w:tcPr>
          <w:p>
            <w:pPr>
              <w:pStyle w:val="TableContents"/>
              <w:spacing w:before="0" w:after="283"/>
              <w:rPr/>
            </w:pPr>
            <w:r>
              <w:rPr/>
              <w:t> </w:t>
            </w:r>
          </w:p>
        </w:tc>
      </w:tr>
      <w:tr>
        <w:trPr/>
        <w:tc>
          <w:tcPr>
            <w:tcW w:w="6733" w:type="dxa"/>
            <w:tcBorders/>
            <w:shd w:fill="auto" w:val="clear"/>
          </w:tcPr>
          <w:p>
            <w:pPr>
              <w:pStyle w:val="TableContents"/>
              <w:spacing w:before="0" w:after="283"/>
              <w:rPr>
                <w:rFonts w:ascii="Times New Roman" w:hAnsi="Times New Roman"/>
                <w:sz w:val="20"/>
              </w:rPr>
            </w:pPr>
            <w:r>
              <w:rPr>
                <w:rFonts w:ascii="Times New Roman" w:hAnsi="Times New Roman"/>
                <w:sz w:val="20"/>
              </w:rPr>
              <w:t>GAAP diluted net income per share</w:t>
            </w:r>
          </w:p>
        </w:tc>
        <w:tc>
          <w:tcPr>
            <w:tcW w:w="6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0.45</w:t>
            </w:r>
          </w:p>
        </w:tc>
        <w:tc>
          <w:tcPr>
            <w:tcW w:w="6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0.24</w:t>
            </w:r>
          </w:p>
        </w:tc>
        <w:tc>
          <w:tcPr>
            <w:tcW w:w="84" w:type="dxa"/>
            <w:tcBorders/>
            <w:shd w:fill="auto" w:val="clear"/>
            <w:vAlign w:val="bottom"/>
          </w:tcPr>
          <w:p>
            <w:pPr>
              <w:pStyle w:val="TableContents"/>
              <w:spacing w:before="0" w:after="283"/>
              <w:rPr/>
            </w:pPr>
            <w:r>
              <w:rPr/>
              <w:t> </w:t>
            </w:r>
          </w:p>
        </w:tc>
      </w:tr>
      <w:tr>
        <w:trPr>
          <w:trHeight w:val="120" w:hRule="atLeast"/>
        </w:trPr>
        <w:tc>
          <w:tcPr>
            <w:tcW w:w="6733" w:type="dxa"/>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1778" w:type="dxa"/>
            <w:gridSpan w:val="4"/>
            <w:tcBorders/>
            <w:shd w:fill="auto" w:val="clear"/>
            <w:vAlign w:val="center"/>
          </w:tcPr>
          <w:p>
            <w:pPr>
              <w:pStyle w:val="TableContents"/>
              <w:spacing w:before="0" w:after="283"/>
              <w:rPr>
                <w:sz w:val="4"/>
                <w:szCs w:val="4"/>
              </w:rPr>
            </w:pPr>
            <w:r>
              <w:rPr>
                <w:sz w:val="4"/>
                <w:szCs w:val="4"/>
              </w:rPr>
            </w:r>
          </w:p>
        </w:tc>
      </w:tr>
      <w:tr>
        <w:trPr/>
        <w:tc>
          <w:tcPr>
            <w:tcW w:w="6733" w:type="dxa"/>
            <w:tcBorders/>
            <w:shd w:fill="CCEEFF" w:val="clear"/>
          </w:tcPr>
          <w:p>
            <w:pPr>
              <w:pStyle w:val="TableContents"/>
              <w:spacing w:before="0" w:after="283"/>
              <w:rPr>
                <w:rFonts w:ascii="Times New Roman" w:hAnsi="Times New Roman"/>
                <w:sz w:val="20"/>
              </w:rPr>
            </w:pPr>
            <w:r>
              <w:rPr>
                <w:rFonts w:ascii="Times New Roman" w:hAnsi="Times New Roman"/>
                <w:sz w:val="20"/>
              </w:rPr>
              <w:t>Adjusted basic net income per share</w:t>
            </w:r>
          </w:p>
        </w:tc>
        <w:tc>
          <w:tcPr>
            <w:tcW w:w="6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0.52</w:t>
            </w:r>
          </w:p>
        </w:tc>
        <w:tc>
          <w:tcPr>
            <w:tcW w:w="6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84" w:type="dxa"/>
            <w:tcBorders/>
            <w:shd w:fill="CCEEFF" w:val="clear"/>
            <w:vAlign w:val="bottom"/>
          </w:tcPr>
          <w:p>
            <w:pPr>
              <w:pStyle w:val="TableContents"/>
              <w:spacing w:before="0" w:after="283"/>
              <w:rPr/>
            </w:pPr>
            <w:r>
              <w:rPr/>
              <w:t> </w:t>
            </w:r>
          </w:p>
        </w:tc>
      </w:tr>
      <w:tr>
        <w:trPr/>
        <w:tc>
          <w:tcPr>
            <w:tcW w:w="6733" w:type="dxa"/>
            <w:tcBorders/>
            <w:shd w:fill="auto" w:val="clear"/>
          </w:tcPr>
          <w:p>
            <w:pPr>
              <w:pStyle w:val="TableContents"/>
              <w:spacing w:before="0" w:after="283"/>
              <w:rPr>
                <w:rFonts w:ascii="Times New Roman" w:hAnsi="Times New Roman"/>
                <w:sz w:val="20"/>
              </w:rPr>
            </w:pPr>
            <w:r>
              <w:rPr>
                <w:rFonts w:ascii="Times New Roman" w:hAnsi="Times New Roman"/>
                <w:sz w:val="20"/>
              </w:rPr>
              <w:t>Adjusted diluted net income per share</w:t>
            </w:r>
          </w:p>
        </w:tc>
        <w:tc>
          <w:tcPr>
            <w:tcW w:w="6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0.50</w:t>
            </w:r>
          </w:p>
        </w:tc>
        <w:tc>
          <w:tcPr>
            <w:tcW w:w="6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84" w:type="dxa"/>
            <w:tcBorders/>
            <w:shd w:fill="auto" w:val="clear"/>
            <w:vAlign w:val="bottom"/>
          </w:tcPr>
          <w:p>
            <w:pPr>
              <w:pStyle w:val="TableContents"/>
              <w:spacing w:before="0" w:after="283"/>
              <w:rPr/>
            </w:pPr>
            <w:r>
              <w:rPr/>
              <w:t> </w:t>
            </w:r>
          </w:p>
        </w:tc>
      </w:tr>
      <w:tr>
        <w:trPr>
          <w:trHeight w:val="120" w:hRule="atLeast"/>
        </w:trPr>
        <w:tc>
          <w:tcPr>
            <w:tcW w:w="6733" w:type="dxa"/>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1778" w:type="dxa"/>
            <w:gridSpan w:val="4"/>
            <w:tcBorders/>
            <w:shd w:fill="auto" w:val="clear"/>
            <w:vAlign w:val="center"/>
          </w:tcPr>
          <w:p>
            <w:pPr>
              <w:pStyle w:val="TableContents"/>
              <w:spacing w:before="0" w:after="283"/>
              <w:rPr>
                <w:sz w:val="4"/>
                <w:szCs w:val="4"/>
              </w:rPr>
            </w:pPr>
            <w:r>
              <w:rPr>
                <w:sz w:val="4"/>
                <w:szCs w:val="4"/>
              </w:rPr>
            </w:r>
          </w:p>
        </w:tc>
      </w:tr>
      <w:tr>
        <w:trPr/>
        <w:tc>
          <w:tcPr>
            <w:tcW w:w="6733" w:type="dxa"/>
            <w:tcBorders/>
            <w:shd w:fill="CCEEFF" w:val="clear"/>
          </w:tcPr>
          <w:p>
            <w:pPr>
              <w:pStyle w:val="TableContents"/>
              <w:spacing w:before="0" w:after="283"/>
              <w:rPr>
                <w:rFonts w:ascii="Times New Roman" w:hAnsi="Times New Roman"/>
                <w:sz w:val="20"/>
              </w:rPr>
            </w:pPr>
            <w:r>
              <w:rPr>
                <w:rFonts w:ascii="Times New Roman" w:hAnsi="Times New Roman"/>
                <w:sz w:val="20"/>
              </w:rPr>
              <w:t>Shares used to compute basic net income per share</w:t>
            </w:r>
          </w:p>
        </w:tc>
        <w:tc>
          <w:tcPr>
            <w:tcW w:w="6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13,456,580</w:t>
            </w:r>
          </w:p>
        </w:tc>
        <w:tc>
          <w:tcPr>
            <w:tcW w:w="6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11,260,459</w:t>
            </w:r>
          </w:p>
        </w:tc>
        <w:tc>
          <w:tcPr>
            <w:tcW w:w="84" w:type="dxa"/>
            <w:tcBorders/>
            <w:shd w:fill="CCEEFF" w:val="clear"/>
            <w:vAlign w:val="bottom"/>
          </w:tcPr>
          <w:p>
            <w:pPr>
              <w:pStyle w:val="TableContents"/>
              <w:spacing w:before="0" w:after="283"/>
              <w:rPr/>
            </w:pPr>
            <w:r>
              <w:rPr/>
              <w:t> </w:t>
            </w:r>
          </w:p>
        </w:tc>
      </w:tr>
      <w:tr>
        <w:trPr/>
        <w:tc>
          <w:tcPr>
            <w:tcW w:w="6733" w:type="dxa"/>
            <w:tcBorders/>
            <w:shd w:fill="auto" w:val="clear"/>
          </w:tcPr>
          <w:p>
            <w:pPr>
              <w:pStyle w:val="TableContents"/>
              <w:spacing w:before="0" w:after="283"/>
              <w:rPr>
                <w:rFonts w:ascii="Times New Roman" w:hAnsi="Times New Roman"/>
                <w:sz w:val="20"/>
              </w:rPr>
            </w:pPr>
            <w:r>
              <w:rPr>
                <w:rFonts w:ascii="Times New Roman" w:hAnsi="Times New Roman"/>
                <w:sz w:val="20"/>
              </w:rPr>
              <w:t>Shares used to compute diluted net income per share</w:t>
            </w:r>
          </w:p>
        </w:tc>
        <w:tc>
          <w:tcPr>
            <w:tcW w:w="6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14,042,324</w:t>
            </w:r>
          </w:p>
        </w:tc>
        <w:tc>
          <w:tcPr>
            <w:tcW w:w="61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12,890,401</w:t>
            </w:r>
          </w:p>
        </w:tc>
        <w:tc>
          <w:tcPr>
            <w:tcW w:w="84"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CECO is providing the non-GAAP historical financial measures presented above as the Company believes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the GAAP statement of operations. </w:t>
      </w:r>
    </w:p>
    <w:p>
      <w:pPr>
        <w:pStyle w:val="TextBody"/>
        <w:spacing w:before="180" w:after="0"/>
        <w:rPr>
          <w:rFonts w:ascii="Times New Roman" w:hAnsi="Times New Roman"/>
          <w:sz w:val="20"/>
        </w:rPr>
      </w:pPr>
      <w:r>
        <w:rPr>
          <w:rFonts w:ascii="Times New Roman" w:hAnsi="Times New Roman"/>
          <w:sz w:val="20"/>
        </w:rPr>
        <w:t xml:space="preserve">Non-GAAP adjusted net income and non-GAAP adjusted earnings per diluted share, as we present them in the financial data included in this press release, have been adjusted to exclude the effects of income and expenses for the valuation of warrants and the related subordinated debt discount interest expense. Management believes that excluding these items better reflects its operating performance as these non-GAAP figures exclude the effects of certain non-recurring or non-cash expenses. Management believes that these items are not necessarily representative of underlying trends in the Companys performance and their exclusion provides individuals with additional information to compare the companys results over multiple periods. We expect our financial statements to continue to be affected by items similar to those excluded in the non-GAAP adjustments described above, and exclusion of these items from our non-GAAP financial measures should not be construed as an inference that all such costs are unusual or infrequent. </w:t>
      </w:r>
    </w:p>
    <w:p>
      <w:pPr>
        <w:pStyle w:val="TextBody"/>
        <w:spacing w:before="180" w:after="0"/>
        <w:rPr>
          <w:rFonts w:ascii="Times New Roman" w:hAnsi="Times New Roman"/>
          <w:sz w:val="20"/>
        </w:rPr>
      </w:pPr>
      <w:r>
        <w:rPr>
          <w:rFonts w:ascii="Times New Roman" w:hAnsi="Times New Roman"/>
          <w:sz w:val="20"/>
        </w:rPr>
        <w:t xml:space="preserve">Adjusted net income and adjusted earnings per diluted share are not calculated in accordance with GAAP, and should be considered supplemental to, and not as a substitute for, or superior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w:t>
      </w:r>
    </w:p>
    <w:p>
      <w:pPr>
        <w:pStyle w:val="TextBody"/>
        <w:spacing w:before="180" w:after="0"/>
        <w:rPr>
          <w:rFonts w:ascii="Times New Roman" w:hAnsi="Times New Roman"/>
          <w:sz w:val="20"/>
        </w:rPr>
      </w:pPr>
      <w:r>
        <w:rPr>
          <w:rFonts w:ascii="Times New Roman" w:hAnsi="Times New Roman"/>
          <w:sz w:val="20"/>
        </w:rPr>
        <w:t xml:space="preserve">In accordance with the requirements of Regulation G issued by the Securities and Exchange Commission, the tables above present the most directly comparable GAAP financial measure and reconcile non-GAAP adjusted net income and non-GAAP adjusted earnings per diluted share to the comparable GAAP measures.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1901</Words>
  <CharactersWithSpaces>12474</CharactersWithSpaces>
  <Paragraphs>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dc:title>
</cp:coreProperties>
</file>