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3600" w:type="dxa"/>
            <w:vAlign w:val="bottom"/>
          </w:tcPr>
          <w:p>
            <w:pPr>
              <w:jc w:val="center"/>
              <w:ind w:right="186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9"/>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4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March 5, 2024, CECO Environmental Corp. (the “Company”) issued a press release announcing its financial results for the fourth quarter and year ended December 31, 2023.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Fourth Quarter and Full Year 2023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57"/>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FOURTH QUARTER AND FULL YEAR 2023 RESULTS </w:t>
      </w:r>
      <w:r>
        <w:rPr>
          <w:rFonts w:ascii="Times New Roman" w:cs="Times New Roman" w:eastAsia="Times New Roman" w:hAnsi="Times New Roman"/>
          <w:sz w:val="18"/>
          <w:szCs w:val="18"/>
          <w:i w:val="1"/>
          <w:iCs w:val="1"/>
          <w:color w:val="auto"/>
        </w:rPr>
        <w:t>Reports Q4 and Full Year Earnings with Multiple Financial Records Company Raises Full Year 2024 Guidance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DALLAS (March 5, 2024)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fourth quarter and full year results of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$128.3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$370.9 million, up 19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$153.7 million, up 32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$3.9 million, down 53 percent; non-GAAP net income of $10.1 million, up 36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$0.11; non-GAAP EPS (diluted) of $0.28</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$19.4 million, up 49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$12.2 million, up 36 percent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Year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$582.8 million, up 11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$544.8 million, up 29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$12.9 million, down 26 percent; non-GAAP net income of $26.6 million, up 3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$0.37; non-GAAP EPS (diluted) of $0.75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$57.7 million, up 37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$36.2 million, up 33 percent</w:t>
      </w:r>
    </w:p>
    <w:p>
      <w:pPr>
        <w:spacing w:after="0" w:line="19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continued to deliver successful results during the fourth quarter as our operating model produced record-breaking revenues, gross profits and adjusted EBITDA as well as strong free cash flow. We exit 2023 with a strong backlog and enter 2024 with a significant sales pursuit pipeline,” said CECO Chief Executive Officer, Todd Gleason. “I am pleased our results continue to be driven by balanced contributions from across our portfolio and that our growth continues to be sustained by double-digit organic sales increases, supported by accretive, programmatic M&amp;A execution.”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 quarter operating income was $12.7 million, up $4.3 million or 51 percent when compared to $8.4 million in the fourth quarter 2022. On an adjusted basis, non-GAAP operating income was $16.3 million, up $5.3 million or 48 percent when compared to $11.0 million in the fourth quarter of 2022. Net income was $3.9 million in the quarter, compared to $8.3 million in the fourth quarter 2022. Non-GAAP net income was $10.1 million, up $2.7 million compared to $7.4 million in the fourth quarter 2022. Adjusted EBITDA of $19.4 million, reflecting a margin of 12.6 percent, was up 49 percent compared to $13.0 million in the fourth quarter 2022. Free cash flow in the quarter was $12.2 million, up $3.2 million compared to $9.0 million in the fourth quarter of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Full year operating income was $34.6 million, up $12.4 million or 56 percent when compared to $22.2 million in 2022. On an adjusted basis, non-GAAP operating income was $48.1 million, up $13.3 million or 38 percent when compared to $34.8 million in 2022. Net income was $12.9 million in the year, compared to $17.4 million in 2022. Non-GAAP net income was $26.6 million, compared to $25.9 million in 2022. Adjusted EBITDA of $57.7 million, reflecting a margin of 10.6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was up 37 percent compared to $42.2 million in 2022. Free cash flow was $36.2 million, up $9.0 million or 33 percent compared to $27.2 million in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“CECO has continued to mindfully transform our portfolio into a well-positioned leader across industrial air, industrial water and the energy transition. The three acquisitions we completed in 2023 are delivering outstanding results across their strategically focused niche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markets. Additionally, our sustained investment to expand our global footprint and capabilities has improved our international sales mix and opened new geographic markets. I am extremely grateful to and proud of our dedicated employees and their commitment to delivering for our customers and partners,” added Gleason.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Financial Outlook: Raises 2024 Full Year Guidance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raising its 2024 full year revenue guidance to $590 to $610 million, up approximately 10% year over year at the midpoint, and Adjusted EBITDA guidance to $67 to $70 million, up approximately 19% year over year at the midpoint. The updated 2024 full year guidance is compared to the previously communicated outlook of $575 to $600 million in revenue and Adjusted EBITDA of $65 to $70 million. The Company reaffirms its previously communicated 2024 full year guidance of free cash flow of 50% to 70% of Adjusted EBITDA.</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raised our full year 2024 outlook to reflect our expectations given our tremendous backlog, coupled with our commercial and operational excellence programs, which will drive robust organic growth and further operating margin expansion opportunities. Additionally, we enter the year with a healthy balance sheet which provides added optionality to evaluate and execute on the most attractive internal growth programs as well as any potential accretive M&amp;A opportunities to advance our leadership positions in industrial air, industrial water and the energy transition to drive long-term shareholder value,”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fourth quarter and full year 2023 financial results. Please visit the Investor Relations portion of the website (https://investors.cecoenviro.com) to listen to the call via webcast. The conference call may also be accessed by visiting https://edge.media-server.com/mmc/p/7wfof7nx.</w:t>
      </w: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https://edge.media-server.com/mmc/p/7wfof7nx.</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$6,460 and $4,220</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34,835,293 and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34,381,668 shares issued and outstanding at December 31, 2023</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2022,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(6,387 )</w:t>
            </w:r>
          </w:p>
        </w:tc>
        <w:tc>
          <w:tcPr>
            <w:tcW w:w="5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(19,298 )</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(16,274 )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(17,996 )</w:t>
            </w:r>
          </w:p>
        </w:tc>
        <w:tc>
          <w:tcPr>
            <w:tcW w:w="0" w:type="dxa"/>
            <w:vAlign w:val="bottom"/>
          </w:tcPr>
          <w:p>
            <w:pPr>
              <w:spacing w:after="0"/>
              <w:rPr>
                <w:sz w:val="1"/>
                <w:szCs w:val="1"/>
                <w:color w:val="auto"/>
              </w:rPr>
            </w:pPr>
          </w:p>
        </w:tc>
      </w:tr>
      <w:tr>
        <w:trPr>
          <w:trHeight w:val="236"/>
        </w:trPr>
        <w:tc>
          <w:tcPr>
            <w:tcW w:w="7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450"/>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-6583045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-6583045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-5339715</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-5339715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-3136900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-1610995</wp:posOffset>
            </wp:positionV>
            <wp:extent cx="76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-967740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-950595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9"/>
                <w:szCs w:val="19"/>
                <w:color w:val="auto"/>
              </w:rPr>
            </w:pPr>
          </w:p>
        </w:tc>
        <w:tc>
          <w:tcPr>
            <w:tcW w:w="308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100,526</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373,829</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37,696</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171,016</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 (income)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2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(3,918 )</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(1,930 )</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(13,416 )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(5,419 )</w:t>
            </w:r>
          </w:p>
        </w:tc>
        <w:tc>
          <w:tcPr>
            <w:tcW w:w="0" w:type="dxa"/>
            <w:vAlign w:val="bottom"/>
          </w:tcPr>
          <w:p>
            <w:pPr>
              <w:spacing w:after="0"/>
              <w:rPr>
                <w:sz w:val="1"/>
                <w:szCs w:val="1"/>
                <w:color w:val="auto"/>
              </w:rPr>
            </w:pPr>
          </w:p>
        </w:tc>
      </w:tr>
      <w:tr>
        <w:trPr>
          <w:trHeight w:val="237"/>
        </w:trPr>
        <w:tc>
          <w:tcPr>
            <w:tcW w:w="4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(450 )</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(267 )</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(1,590 )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09"/>
        </w:trPr>
        <w:tc>
          <w:tcPr>
            <w:tcW w:w="4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w:t>
            </w: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w:t>
            </w:r>
          </w:p>
        </w:tc>
        <w:tc>
          <w:tcPr>
            <w:tcW w:w="3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34,823,663</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34,318,526</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34,665,473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34,672,007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35,687,092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34,919,398</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35,334,090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4"/>
        </w:trPr>
        <w:tc>
          <w:tcPr>
            <w:tcW w:w="4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-2682240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-2682240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-2682240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-2365375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-2365375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-2365375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-2047875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-2047875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-2047875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-839470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-822325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-839470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-822325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-839470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-822325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16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30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(1,041 )</w:t>
            </w: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(1,284 )</w:t>
            </w: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(229 )</w:t>
            </w: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(1,007 )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 based compensation expense</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(26,851 )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(6,751 )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(16,851 )</w:t>
            </w: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(6,896 )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(6,023 )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(1,420 )</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(1,976 )</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3"/>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(2,120 )</w:t>
            </w: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(3,680 )</w:t>
            </w:r>
          </w:p>
        </w:tc>
        <w:tc>
          <w:tcPr>
            <w:tcW w:w="180" w:type="dxa"/>
            <w:vAlign w:val="bottom"/>
            <w:shd w:val="clear" w:color="auto" w:fill="CFF0FC"/>
          </w:tcPr>
          <w:p>
            <w:pPr>
              <w:spacing w:after="0"/>
              <w:rPr>
                <w:sz w:val="20"/>
                <w:szCs w:val="20"/>
                <w:color w:val="auto"/>
              </w:rPr>
            </w:pPr>
          </w:p>
        </w:tc>
      </w:tr>
      <w:tr>
        <w:trPr>
          <w:trHeight w:val="223"/>
        </w:trPr>
        <w:tc>
          <w:tcPr>
            <w:tcW w:w="7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300" w:type="dxa"/>
            <w:vAlign w:val="bottom"/>
            <w:tcBorders>
              <w:top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(8,384 )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(3,376 )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(48,102 )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(44,900 )</w:t>
            </w:r>
          </w:p>
        </w:tc>
        <w:tc>
          <w:tcPr>
            <w:tcW w:w="180" w:type="dxa"/>
            <w:vAlign w:val="bottom"/>
          </w:tcPr>
          <w:p>
            <w:pPr>
              <w:spacing w:after="0"/>
              <w:rPr>
                <w:sz w:val="19"/>
                <w:szCs w:val="19"/>
                <w:color w:val="auto"/>
              </w:rPr>
            </w:pPr>
          </w:p>
        </w:tc>
      </w:tr>
      <w:tr>
        <w:trPr>
          <w:trHeight w:val="23"/>
        </w:trPr>
        <w:tc>
          <w:tcPr>
            <w:tcW w:w="7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7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(56,486 )</w:t>
            </w:r>
          </w:p>
        </w:tc>
        <w:tc>
          <w:tcPr>
            <w:tcW w:w="5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(48,257 )</w:t>
            </w:r>
          </w:p>
        </w:tc>
        <w:tc>
          <w:tcPr>
            <w:tcW w:w="180" w:type="dxa"/>
            <w:vAlign w:val="bottom"/>
            <w:shd w:val="clear" w:color="auto" w:fill="CFF0FC"/>
          </w:tcPr>
          <w:p>
            <w:pPr>
              <w:spacing w:after="0"/>
              <w:rPr>
                <w:sz w:val="19"/>
                <w:szCs w:val="19"/>
                <w:color w:val="auto"/>
              </w:rPr>
            </w:pPr>
          </w:p>
        </w:tc>
      </w:tr>
      <w:tr>
        <w:trPr>
          <w:trHeight w:val="220"/>
        </w:trPr>
        <w:tc>
          <w:tcPr>
            <w:tcW w:w="7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106,600</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(150,600 )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(35,900 )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3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(4,985 )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(3,120 )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180" w:type="dxa"/>
            <w:vAlign w:val="bottom"/>
            <w:shd w:val="clear" w:color="auto" w:fill="CFF0FC"/>
          </w:tcPr>
          <w:p>
            <w:pPr>
              <w:spacing w:after="0"/>
              <w:rPr>
                <w:sz w:val="20"/>
                <w:szCs w:val="20"/>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(363 )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(1,247 )</w:t>
            </w:r>
          </w:p>
        </w:tc>
        <w:tc>
          <w:tcPr>
            <w:tcW w:w="58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(907 )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(600 )</w:t>
            </w: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(2,123 )</w:t>
            </w:r>
          </w:p>
        </w:tc>
        <w:tc>
          <w:tcPr>
            <w:tcW w:w="58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(1,666 )</w:t>
            </w:r>
          </w:p>
        </w:tc>
        <w:tc>
          <w:tcPr>
            <w:tcW w:w="5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(1,425 )</w:t>
            </w:r>
          </w:p>
        </w:tc>
        <w:tc>
          <w:tcPr>
            <w:tcW w:w="18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(7,020 )</w:t>
            </w:r>
          </w:p>
        </w:tc>
        <w:tc>
          <w:tcPr>
            <w:tcW w:w="180" w:type="dxa"/>
            <w:vAlign w:val="bottom"/>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3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(442 )</w:t>
            </w:r>
          </w:p>
        </w:tc>
        <w:tc>
          <w:tcPr>
            <w:tcW w:w="5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(4,978 )</w:t>
            </w:r>
          </w:p>
        </w:tc>
        <w:tc>
          <w:tcPr>
            <w:tcW w:w="18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30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30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r>
        <w:trPr>
          <w:trHeight w:val="207"/>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73"/>
        </w:trPr>
        <w:tc>
          <w:tcPr>
            <w:tcW w:w="7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30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r>
      <w:tr>
        <w:trPr>
          <w:trHeight w:val="21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3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966"/>
        </w:trPr>
        <w:tc>
          <w:tcPr>
            <w:tcW w:w="7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-4714240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-4714240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-3813810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-3813810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-1756410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-1756410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-1148080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-1130935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-1148080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-1130935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-830580</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-814070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-830580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-814070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80" w:type="dxa"/>
            <w:vAlign w:val="bottom"/>
            <w:gridSpan w:val="8"/>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9"/>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2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2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as reported in accordance with GAAP</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37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 in accordance with GAAP</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8.3 %</w:t>
            </w:r>
          </w:p>
        </w:tc>
        <w:tc>
          <w:tcPr>
            <w:tcW w:w="2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7.2 %</w:t>
            </w:r>
          </w:p>
        </w:tc>
        <w:tc>
          <w:tcPr>
            <w:tcW w:w="3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6.4 %</w:t>
            </w:r>
          </w:p>
        </w:tc>
        <w:tc>
          <w:tcPr>
            <w:tcW w:w="320" w:type="dxa"/>
            <w:vAlign w:val="bottom"/>
          </w:tcPr>
          <w:p>
            <w:pPr>
              <w:spacing w:after="0"/>
              <w:rPr>
                <w:sz w:val="19"/>
                <w:szCs w:val="19"/>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5.3 %</w:t>
            </w:r>
          </w:p>
        </w:tc>
      </w:tr>
      <w:tr>
        <w:trPr>
          <w:trHeight w:val="238"/>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2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operating income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37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Non-GAAP operating margin</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10.6 %</w:t>
            </w:r>
          </w:p>
        </w:tc>
        <w:tc>
          <w:tcPr>
            <w:tcW w:w="2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9.5 %</w:t>
            </w:r>
          </w:p>
        </w:tc>
        <w:tc>
          <w:tcPr>
            <w:tcW w:w="3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8.8 %</w:t>
            </w:r>
          </w:p>
        </w:tc>
        <w:tc>
          <w:tcPr>
            <w:tcW w:w="32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8.2 %</w:t>
            </w:r>
          </w:p>
        </w:tc>
      </w:tr>
      <w:tr>
        <w:trPr>
          <w:trHeight w:val="449"/>
        </w:trPr>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8"/>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80" w:type="dxa"/>
            <w:vAlign w:val="bottom"/>
            <w:gridSpan w:val="9"/>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22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(1.3 )</w:t>
            </w:r>
          </w:p>
        </w:tc>
        <w:tc>
          <w:tcPr>
            <w:tcW w:w="40" w:type="dxa"/>
            <w:vAlign w:val="bottom"/>
          </w:tcPr>
          <w:p>
            <w:pPr>
              <w:spacing w:after="0"/>
              <w:rPr>
                <w:sz w:val="19"/>
                <w:szCs w:val="19"/>
                <w:color w:val="auto"/>
              </w:rPr>
            </w:pPr>
          </w:p>
        </w:tc>
      </w:tr>
      <w:tr>
        <w:trPr>
          <w:trHeight w:val="233"/>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40" w:type="dxa"/>
            <w:vAlign w:val="bottom"/>
          </w:tcPr>
          <w:p>
            <w:pPr>
              <w:spacing w:after="0"/>
              <w:rPr>
                <w:sz w:val="20"/>
                <w:szCs w:val="20"/>
                <w:color w:val="auto"/>
              </w:rPr>
            </w:pPr>
          </w:p>
        </w:tc>
      </w:tr>
      <w:tr>
        <w:trPr>
          <w:trHeight w:val="220"/>
        </w:trPr>
        <w:tc>
          <w:tcPr>
            <w:tcW w:w="37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80" w:type="dxa"/>
            <w:vAlign w:val="bottom"/>
            <w:tcBorders>
              <w:top w:val="single" w:sz="8" w:color="CFF0FC"/>
            </w:tcBorders>
          </w:tcPr>
          <w:p>
            <w:pPr>
              <w:spacing w:after="0"/>
              <w:rPr>
                <w:sz w:val="19"/>
                <w:szCs w:val="19"/>
                <w:color w:val="auto"/>
              </w:rPr>
            </w:pPr>
          </w:p>
        </w:tc>
        <w:tc>
          <w:tcPr>
            <w:tcW w:w="1300" w:type="dxa"/>
            <w:vAlign w:val="bottom"/>
            <w:tcBorders>
              <w:top w:val="single" w:sz="8" w:color="auto"/>
            </w:tcBorders>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53"/>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5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7"/>
              </w:rPr>
              <w:t>(0.1 )</w:t>
            </w:r>
          </w:p>
        </w:tc>
        <w:tc>
          <w:tcPr>
            <w:tcW w:w="2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(5.6 )</w:t>
            </w:r>
          </w:p>
        </w:tc>
        <w:tc>
          <w:tcPr>
            <w:tcW w:w="40" w:type="dxa"/>
            <w:vAlign w:val="bottom"/>
          </w:tcPr>
          <w:p>
            <w:pPr>
              <w:spacing w:after="0"/>
              <w:rPr>
                <w:sz w:val="21"/>
                <w:szCs w:val="21"/>
                <w:color w:val="auto"/>
              </w:rPr>
            </w:pPr>
          </w:p>
        </w:tc>
      </w:tr>
      <w:tr>
        <w:trPr>
          <w:trHeight w:val="239"/>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7"/>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9"/>
                <w:szCs w:val="19"/>
                <w:color w:val="auto"/>
              </w:rPr>
            </w:pPr>
          </w:p>
        </w:tc>
        <w:tc>
          <w:tcPr>
            <w:tcW w:w="1300" w:type="dxa"/>
            <w:vAlign w:val="bottom"/>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9"/>
                <w:szCs w:val="19"/>
                <w:color w:val="auto"/>
              </w:rPr>
            </w:pP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9"/>
                <w:szCs w:val="19"/>
                <w:color w:val="auto"/>
              </w:rPr>
            </w:pP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earnings per share:</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spacing w:after="0"/>
              <w:rPr>
                <w:sz w:val="19"/>
                <w:szCs w:val="19"/>
                <w:color w:val="auto"/>
              </w:rPr>
            </w:pPr>
          </w:p>
        </w:tc>
        <w:tc>
          <w:tcPr>
            <w:tcW w:w="1300" w:type="dxa"/>
            <w:vAlign w:val="bottom"/>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9"/>
                <w:szCs w:val="19"/>
                <w:color w:val="auto"/>
              </w:rPr>
            </w:pP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0.77</w:t>
            </w:r>
          </w:p>
        </w:tc>
        <w:tc>
          <w:tcPr>
            <w:tcW w:w="100" w:type="dxa"/>
            <w:vAlign w:val="bottom"/>
          </w:tcPr>
          <w:p>
            <w:pPr>
              <w:spacing w:after="0"/>
              <w:rPr>
                <w:sz w:val="19"/>
                <w:szCs w:val="19"/>
                <w:color w:val="auto"/>
              </w:rPr>
            </w:pPr>
          </w:p>
        </w:tc>
        <w:tc>
          <w:tcPr>
            <w:tcW w:w="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37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420" w:type="dxa"/>
            <w:vAlign w:val="bottom"/>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gridSpan w:val="3"/>
          </w:tcPr>
          <w:p>
            <w:pPr>
              <w:spacing w:after="0"/>
              <w:rPr>
                <w:sz w:val="24"/>
                <w:szCs w:val="24"/>
                <w:color w:val="auto"/>
              </w:rPr>
            </w:pPr>
          </w:p>
        </w:tc>
      </w:tr>
      <w:tr>
        <w:trPr>
          <w:trHeight w:val="21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5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7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Earnout payments (within operating activities)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6"/>
                <w:szCs w:val="16"/>
                <w:color w:val="auto"/>
              </w:rPr>
              <w:t>(2.9 )</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3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3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1214"/>
        </w:trPr>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-4328160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-4328160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-4328160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-4328160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-925195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-925195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-925195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-925195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65" w:right="2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2023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2024-03-05T06:10:04Z</dcterms:created>
  <dcterms:modified xsi:type="dcterms:W3CDTF">2024-03-05T06:10:04Z</dcterms:modified>
</cp:coreProperties>
</file>