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ceco-20230331.htm"/>
      <w:bookmarkStart w:id="1" w:name="ksceco20230331"/>
      <w:bookmarkEnd w:id="0"/>
      <w:bookmarkEnd w:id="1"/>
      <w:r>
        <w:rPr/>
        <w:t> </w:t>
      </w:r>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32"/>
        </w:rPr>
      </w:pPr>
      <w:r>
        <w:rPr>
          <w:rFonts w:ascii="Times New Roman;serif" w:hAnsi="Times New Roman;serif"/>
          <w:b/>
          <w:sz w:val="32"/>
        </w:rPr>
        <w:t>UNITED STATES</w:t>
      </w:r>
    </w:p>
    <w:p>
      <w:pPr>
        <w:pStyle w:val="TextBody"/>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4" w:space="1" w:color="000000"/>
        </w:pBdr>
        <w:spacing w:before="0" w:after="0"/>
        <w:jc w:val="center"/>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(Mark one)</w:t>
      </w:r>
    </w:p>
    <w:tbl>
      <w:tblPr>
        <w:tblW w:w="9437" w:type="dxa"/>
        <w:jc w:val="left"/>
        <w:tblInd w:w="0" w:type="dxa"/>
        <w:tblCellMar>
          <w:top w:w="28" w:type="dxa"/>
          <w:left w:w="28" w:type="dxa"/>
          <w:bottom w:w="28" w:type="dxa"/>
          <w:right w:w="28" w:type="dxa"/>
        </w:tblCellMar>
      </w:tblPr>
      <w:tblGrid>
        <w:gridCol w:w="331"/>
        <w:gridCol w:w="9106"/>
      </w:tblGrid>
      <w:tr>
        <w:trPr/>
        <w:tc>
          <w:tcPr>
            <w:tcW w:w="331" w:type="dxa"/>
            <w:tcBorders/>
            <w:shd w:fill="auto" w:val="clear"/>
            <w:vAlign w:val="center"/>
          </w:tcPr>
          <w:p>
            <w:pPr>
              <w:pStyle w:val="TableContents"/>
              <w:spacing w:before="0" w:after="283"/>
              <w:rPr>
                <w:sz w:val="4"/>
                <w:szCs w:val="4"/>
              </w:rPr>
            </w:pPr>
            <w:r>
              <w:rPr>
                <w:sz w:val="4"/>
                <w:szCs w:val="4"/>
              </w:rPr>
            </w:r>
          </w:p>
        </w:tc>
        <w:tc>
          <w:tcPr>
            <w:tcW w:w="910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106" w:type="dxa"/>
            <w:tcBorders/>
            <w:shd w:fill="auto" w:val="cle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spacing w:before="0" w:after="0"/>
        <w:jc w:val="center"/>
        <w:rPr>
          <w:rFonts w:ascii="Times New Roman" w:hAnsi="Times New Roman"/>
          <w:sz w:val="20"/>
        </w:rPr>
      </w:pPr>
      <w:r>
        <w:rPr>
          <w:rFonts w:ascii="Times New Roman;serif" w:hAnsi="Times New Roman;serif"/>
          <w:b/>
          <w:sz w:val="20"/>
        </w:rPr>
        <w:t>For the quarterly period ended March 31,</w:t>
      </w:r>
      <w:r>
        <w:rPr>
          <w:rFonts w:ascii="Times New Roman;serif" w:hAnsi="Times New Roman;serif"/>
          <w:sz w:val="20"/>
        </w:rPr>
        <w:t xml:space="preserve"> </w:t>
      </w:r>
      <w:r>
        <w:rPr>
          <w:rFonts w:ascii="Times New Roman;serif" w:hAnsi="Times New Roman;serif"/>
          <w:b/>
          <w:sz w:val="20"/>
        </w:rPr>
        <w:t>2023</w:t>
      </w:r>
    </w:p>
    <w:p>
      <w:pPr>
        <w:pStyle w:val="TextBody"/>
        <w:spacing w:before="0" w:after="0"/>
        <w:jc w:val="center"/>
        <w:rPr>
          <w:rFonts w:ascii="Times New Roman;serif" w:hAnsi="Times New Roman;serif"/>
          <w:b/>
          <w:sz w:val="20"/>
        </w:rPr>
      </w:pPr>
      <w:r>
        <w:rPr>
          <w:rFonts w:ascii="Times New Roman;serif" w:hAnsi="Times New Roman;serif"/>
          <w:b/>
          <w:sz w:val="20"/>
        </w:rPr>
        <w:t>or</w:t>
      </w:r>
    </w:p>
    <w:tbl>
      <w:tblPr>
        <w:tblW w:w="9497" w:type="dxa"/>
        <w:jc w:val="left"/>
        <w:tblInd w:w="0" w:type="dxa"/>
        <w:tblCellMar>
          <w:top w:w="28" w:type="dxa"/>
          <w:left w:w="28" w:type="dxa"/>
          <w:bottom w:w="28" w:type="dxa"/>
          <w:right w:w="28" w:type="dxa"/>
        </w:tblCellMar>
      </w:tblPr>
      <w:tblGrid>
        <w:gridCol w:w="331"/>
        <w:gridCol w:w="9166"/>
      </w:tblGrid>
      <w:tr>
        <w:trPr/>
        <w:tc>
          <w:tcPr>
            <w:tcW w:w="331" w:type="dxa"/>
            <w:tcBorders/>
            <w:shd w:fill="auto" w:val="clear"/>
            <w:vAlign w:val="center"/>
          </w:tcPr>
          <w:p>
            <w:pPr>
              <w:pStyle w:val="TableContents"/>
              <w:spacing w:before="0" w:after="283"/>
              <w:rPr>
                <w:sz w:val="4"/>
                <w:szCs w:val="4"/>
              </w:rPr>
            </w:pPr>
            <w:r>
              <w:rPr>
                <w:sz w:val="4"/>
                <w:szCs w:val="4"/>
              </w:rPr>
            </w:r>
          </w:p>
        </w:tc>
        <w:tc>
          <w:tcPr>
            <w:tcW w:w="916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166" w:type="dxa"/>
            <w:tcBorders/>
            <w:shd w:fill="auto" w:val="cle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Transition Report Pursuant to Section 13 or 15(d) of the Securities Exchange Act of 1934</w:t>
            </w:r>
          </w:p>
        </w:tc>
      </w:tr>
    </w:tbl>
    <w:p>
      <w:pPr>
        <w:pStyle w:val="TextBody"/>
        <w:spacing w:before="120" w:after="0"/>
        <w:jc w:val="center"/>
        <w:rPr>
          <w:rFonts w:ascii="Times New Roman" w:hAnsi="Times New Roman"/>
          <w:sz w:val="20"/>
        </w:rPr>
      </w:pPr>
      <w:r>
        <w:rPr>
          <w:rFonts w:ascii="Times New Roman;serif" w:hAnsi="Times New Roman;serif"/>
          <w:b/>
          <w:sz w:val="20"/>
        </w:rPr>
        <w:t>For the transition period from</w:t>
      </w:r>
      <w:r>
        <w:rPr>
          <w:rFonts w:ascii="Times New Roman" w:hAnsi="Times New Roman"/>
          <w:sz w:val="20"/>
          <w:u w:val="single"/>
        </w:rPr>
        <w:t xml:space="preserve"> </w:t>
      </w:r>
      <w:r>
        <w:rPr>
          <w:rFonts w:ascii="Times New Roman;serif" w:hAnsi="Times New Roman;serif"/>
          <w:b/>
          <w:sz w:val="20"/>
        </w:rPr>
        <w:t>to</w:t>
      </w:r>
      <w:r>
        <w:rPr>
          <w:rFonts w:ascii="Times New Roman" w:hAnsi="Times New Roman"/>
          <w:sz w:val="20"/>
        </w:rPr>
        <w:t xml:space="preserve"> </w:t>
      </w:r>
    </w:p>
    <w:p>
      <w:pPr>
        <w:pStyle w:val="TextBody"/>
        <w:spacing w:before="120" w:after="0"/>
        <w:jc w:val="center"/>
        <w:rPr>
          <w:rFonts w:ascii="Times New Roman;serif" w:hAnsi="Times New Roman;serif"/>
          <w:b/>
          <w:sz w:val="20"/>
        </w:rPr>
      </w:pPr>
      <w:r>
        <w:rPr>
          <w:rFonts w:ascii="Times New Roman;serif" w:hAnsi="Times New Roman;serif"/>
          <w:b/>
          <w:sz w:val="20"/>
        </w:rPr>
        <w:t>Commission File No. 0-07099</w:t>
      </w:r>
    </w:p>
    <w:p>
      <w:pPr>
        <w:pStyle w:val="TextBody"/>
        <w:pBdr>
          <w:bottom w:val="single" w:sz="4" w:space="1" w:color="000000"/>
        </w:pBdr>
        <w:spacing w:before="0" w:after="0"/>
        <w:jc w:val="center"/>
        <w:rPr/>
      </w:pPr>
      <w:r>
        <w:rPr/>
        <w:t> </w:t>
      </w:r>
    </w:p>
    <w:p>
      <w:pPr>
        <w:pStyle w:val="TextBody"/>
        <w:spacing w:before="120" w:after="0"/>
        <w:jc w:val="center"/>
        <w:rPr/>
      </w:pPr>
      <w:r>
        <w:rPr/>
        <w:drawing>
          <wp:inline distT="0" distB="0" distL="0" distR="0">
            <wp:extent cx="790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 cy="361950"/>
                    </a:xfrm>
                    <a:prstGeom prst="rect">
                      <a:avLst/>
                    </a:prstGeom>
                  </pic:spPr>
                </pic:pic>
              </a:graphicData>
            </a:graphic>
          </wp:inline>
        </w:drawing>
      </w:r>
      <w:r>
        <w:rPr/>
        <w:t> </w:t>
      </w:r>
    </w:p>
    <w:p>
      <w:pPr>
        <w:pStyle w:val="TextBody"/>
        <w:spacing w:before="120" w:after="0"/>
        <w:jc w:val="center"/>
        <w:rPr>
          <w:rFonts w:ascii="Times New Roman;serif" w:hAnsi="Times New Roman;serif"/>
          <w:b/>
          <w:sz w:val="38"/>
        </w:rPr>
      </w:pPr>
      <w:r>
        <w:rPr>
          <w:rFonts w:ascii="Times New Roman;serif" w:hAnsi="Times New Roman;serif"/>
          <w:b/>
          <w:sz w:val="38"/>
        </w:rPr>
        <w:t>CECO ENVIRONMENTAL CORP.</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4018" w:type="dxa"/>
        <w:jc w:val="left"/>
        <w:tblInd w:w="0" w:type="dxa"/>
        <w:tblCellMar>
          <w:top w:w="28" w:type="dxa"/>
          <w:left w:w="28" w:type="dxa"/>
          <w:bottom w:w="28" w:type="dxa"/>
          <w:right w:w="28" w:type="dxa"/>
        </w:tblCellMar>
      </w:tblPr>
      <w:tblGrid>
        <w:gridCol w:w="2386"/>
        <w:gridCol w:w="146"/>
        <w:gridCol w:w="1486"/>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vAlign w:val="center"/>
          </w:tcPr>
          <w:p>
            <w:pPr>
              <w:pStyle w:val="TableContents"/>
              <w:spacing w:before="0" w:after="0"/>
              <w:ind w:left="0" w:right="0" w:hanging="0"/>
              <w:jc w:val="center"/>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13-2566064</w:t>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shd w:fill="auto" w:val="clear"/>
            <w:vAlign w:val="center"/>
          </w:tcPr>
          <w:p>
            <w:pPr>
              <w:pStyle w:val="TableContents"/>
              <w:spacing w:before="0" w:after="0"/>
              <w:ind w:left="0" w:right="0" w:hanging="0"/>
              <w:jc w:val="center"/>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spacing w:before="0" w:after="0"/>
        <w:jc w:val="left"/>
        <w:rPr/>
      </w:pPr>
      <w:r>
        <w:rPr/>
        <w:t> </w:t>
      </w:r>
    </w:p>
    <w:tbl>
      <w:tblPr>
        <w:tblW w:w="4003" w:type="dxa"/>
        <w:jc w:val="left"/>
        <w:tblInd w:w="0" w:type="dxa"/>
        <w:tblCellMar>
          <w:top w:w="28" w:type="dxa"/>
          <w:left w:w="28" w:type="dxa"/>
          <w:bottom w:w="28" w:type="dxa"/>
          <w:right w:w="28" w:type="dxa"/>
        </w:tblCellMar>
      </w:tblPr>
      <w:tblGrid>
        <w:gridCol w:w="2926"/>
        <w:gridCol w:w="146"/>
        <w:gridCol w:w="93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14651 North Dallas Parkway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Suite 500</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Dallas, Texas</w:t>
            </w:r>
          </w:p>
        </w:tc>
        <w:tc>
          <w:tcPr>
            <w:tcW w:w="14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75254</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Registrant’s telephone number, including area code: (214) 357-6181</w:t>
      </w:r>
    </w:p>
    <w:p>
      <w:pPr>
        <w:pStyle w:val="TextBody"/>
        <w:spacing w:before="120" w:after="0"/>
        <w:jc w:val="center"/>
        <w:rPr>
          <w:rFonts w:ascii="Times New Roman;serif" w:hAnsi="Times New Roman;serif"/>
          <w:b w:val="false"/>
          <w:sz w:val="18"/>
        </w:rPr>
      </w:pPr>
      <w:r>
        <w:rPr>
          <w:rFonts w:ascii="Times New Roman;serif" w:hAnsi="Times New Roman;serif"/>
          <w:b w:val="false"/>
          <w:sz w:val="18"/>
        </w:rPr>
        <w:t>Securities registered pursuant to Section 12(b) of the Act:</w:t>
      </w:r>
    </w:p>
    <w:tbl>
      <w:tblPr>
        <w:tblW w:w="7638" w:type="dxa"/>
        <w:jc w:val="left"/>
        <w:tblInd w:w="0" w:type="dxa"/>
        <w:tblCellMar>
          <w:top w:w="28" w:type="dxa"/>
          <w:left w:w="28" w:type="dxa"/>
          <w:bottom w:w="28" w:type="dxa"/>
          <w:right w:w="28" w:type="dxa"/>
        </w:tblCellMar>
      </w:tblPr>
      <w:tblGrid>
        <w:gridCol w:w="3106"/>
        <w:gridCol w:w="1261"/>
        <w:gridCol w:w="3271"/>
      </w:tblGrid>
      <w:tr>
        <w:trPr/>
        <w:tc>
          <w:tcPr>
            <w:tcW w:w="310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3271" w:type="dxa"/>
            <w:tcBorders/>
            <w:shd w:fill="auto" w:val="clear"/>
            <w:vAlign w:val="center"/>
          </w:tcPr>
          <w:p>
            <w:pPr>
              <w:pStyle w:val="TableContents"/>
              <w:spacing w:before="0" w:after="283"/>
              <w:rPr>
                <w:sz w:val="4"/>
                <w:szCs w:val="4"/>
              </w:rPr>
            </w:pPr>
            <w:r>
              <w:rPr>
                <w:sz w:val="4"/>
                <w:szCs w:val="4"/>
              </w:rPr>
            </w:r>
          </w:p>
        </w:tc>
      </w:tr>
      <w:tr>
        <w:trPr/>
        <w:tc>
          <w:tcPr>
            <w:tcW w:w="3106" w:type="dxa"/>
            <w:tcBorders>
              <w:top w:val="single" w:sz="8" w:space="0" w:color="000000"/>
              <w:left w:val="single" w:sz="8" w:space="0" w:color="000000"/>
              <w:bottom w:val="single" w:sz="8" w:space="0" w:color="000000"/>
              <w:right w:val="single" w:sz="8" w:space="0" w:color="000000"/>
            </w:tcBorders>
            <w:shd w:fill="auto" w:val="clear"/>
            <w:tcMar>
              <w:left w:w="108" w:type="dxa"/>
              <w:right w:w="108" w:type="dxa"/>
            </w:tcMar>
            <w:vAlign w:val="center"/>
          </w:tcPr>
          <w:p>
            <w:pPr>
              <w:pStyle w:val="TableContents"/>
              <w:spacing w:before="0" w:after="44"/>
              <w:ind w:left="0" w:right="0" w:hanging="0"/>
              <w:jc w:val="center"/>
              <w:rPr>
                <w:rFonts w:ascii="Times New Roman;serif" w:hAnsi="Times New Roman;serif"/>
                <w:b w:val="false"/>
                <w:sz w:val="18"/>
              </w:rPr>
            </w:pPr>
            <w:r>
              <w:rPr>
                <w:rFonts w:ascii="Times New Roman;serif" w:hAnsi="Times New Roman;serif"/>
                <w:b w:val="false"/>
                <w:sz w:val="18"/>
              </w:rPr>
              <w:t>Title of each class</w:t>
            </w:r>
          </w:p>
        </w:tc>
        <w:tc>
          <w:tcPr>
            <w:tcW w:w="1261" w:type="dxa"/>
            <w:tcBorders>
              <w:top w:val="single" w:sz="8" w:space="0" w:color="000000"/>
              <w:bottom w:val="single" w:sz="8" w:space="0" w:color="000000"/>
              <w:right w:val="single" w:sz="8" w:space="0" w:color="000000"/>
            </w:tcBorders>
            <w:shd w:fill="auto" w:val="clear"/>
            <w:tcMar>
              <w:left w:w="0" w:type="dxa"/>
              <w:right w:w="108" w:type="dxa"/>
            </w:tcMar>
            <w:vAlign w:val="center"/>
          </w:tcPr>
          <w:p>
            <w:pPr>
              <w:pStyle w:val="TableContents"/>
              <w:spacing w:before="0" w:after="44"/>
              <w:ind w:left="0" w:right="0" w:hanging="0"/>
              <w:jc w:val="center"/>
              <w:rPr>
                <w:rFonts w:ascii="Times New Roman;serif" w:hAnsi="Times New Roman;serif"/>
                <w:b w:val="false"/>
                <w:sz w:val="18"/>
              </w:rPr>
            </w:pPr>
            <w:r>
              <w:rPr>
                <w:rFonts w:ascii="Times New Roman;serif" w:hAnsi="Times New Roman;serif"/>
                <w:b w:val="false"/>
                <w:sz w:val="18"/>
              </w:rPr>
              <w:t>Trading Symbol</w:t>
            </w:r>
          </w:p>
        </w:tc>
        <w:tc>
          <w:tcPr>
            <w:tcW w:w="3271" w:type="dxa"/>
            <w:tcBorders>
              <w:top w:val="single" w:sz="8" w:space="0" w:color="000000"/>
              <w:bottom w:val="single" w:sz="8" w:space="0" w:color="000000"/>
              <w:right w:val="single" w:sz="8" w:space="0" w:color="000000"/>
            </w:tcBorders>
            <w:shd w:fill="auto" w:val="clear"/>
            <w:tcMar>
              <w:left w:w="0" w:type="dxa"/>
              <w:right w:w="108" w:type="dxa"/>
            </w:tcMar>
            <w:vAlign w:val="center"/>
          </w:tcPr>
          <w:p>
            <w:pPr>
              <w:pStyle w:val="TableContents"/>
              <w:spacing w:before="0" w:after="44"/>
              <w:ind w:left="0" w:right="0" w:hanging="0"/>
              <w:jc w:val="center"/>
              <w:rPr>
                <w:rFonts w:ascii="Times New Roman;serif" w:hAnsi="Times New Roman;serif"/>
                <w:b w:val="false"/>
                <w:sz w:val="18"/>
              </w:rPr>
            </w:pPr>
            <w:r>
              <w:rPr>
                <w:rFonts w:ascii="Times New Roman;serif" w:hAnsi="Times New Roman;serif"/>
                <w:b w:val="false"/>
                <w:sz w:val="18"/>
              </w:rPr>
              <w:t>Name of each exchange on which registered</w:t>
            </w:r>
          </w:p>
        </w:tc>
      </w:tr>
      <w:tr>
        <w:trPr/>
        <w:tc>
          <w:tcPr>
            <w:tcW w:w="3106" w:type="dxa"/>
            <w:tcBorders>
              <w:left w:val="single" w:sz="8" w:space="0" w:color="000000"/>
              <w:bottom w:val="single" w:sz="8" w:space="0" w:color="000000"/>
              <w:right w:val="single" w:sz="8" w:space="0" w:color="000000"/>
            </w:tcBorders>
            <w:shd w:fill="auto" w:val="clear"/>
            <w:tcMar>
              <w:top w:w="0" w:type="dxa"/>
              <w:left w:w="108" w:type="dxa"/>
              <w:right w:w="108" w:type="dxa"/>
            </w:tcMar>
            <w:vAlign w:val="center"/>
          </w:tcPr>
          <w:p>
            <w:pPr>
              <w:pStyle w:val="TableContents"/>
              <w:spacing w:before="0" w:after="44"/>
              <w:ind w:left="0" w:right="0" w:hanging="0"/>
              <w:jc w:val="center"/>
              <w:rPr>
                <w:rFonts w:ascii="Times New Roman;serif" w:hAnsi="Times New Roman;serif"/>
                <w:b w:val="false"/>
                <w:sz w:val="18"/>
              </w:rPr>
            </w:pPr>
            <w:r>
              <w:rPr>
                <w:rFonts w:ascii="Times New Roman;serif" w:hAnsi="Times New Roman;serif"/>
                <w:b w:val="false"/>
                <w:sz w:val="18"/>
              </w:rPr>
              <w:t>Common Stock, par value $0.01 per share</w:t>
            </w:r>
          </w:p>
        </w:tc>
        <w:tc>
          <w:tcPr>
            <w:tcW w:w="1261" w:type="dxa"/>
            <w:tcBorders>
              <w:bottom w:val="single" w:sz="8" w:space="0" w:color="000000"/>
              <w:right w:val="single" w:sz="8" w:space="0" w:color="000000"/>
            </w:tcBorders>
            <w:shd w:fill="auto" w:val="clear"/>
            <w:tcMar>
              <w:top w:w="0" w:type="dxa"/>
              <w:left w:w="0" w:type="dxa"/>
              <w:right w:w="108" w:type="dxa"/>
            </w:tcMar>
            <w:vAlign w:val="center"/>
          </w:tcPr>
          <w:p>
            <w:pPr>
              <w:pStyle w:val="TableContents"/>
              <w:spacing w:before="0" w:after="44"/>
              <w:ind w:left="0" w:right="0" w:hanging="0"/>
              <w:jc w:val="center"/>
              <w:rPr>
                <w:rFonts w:ascii="Times New Roman;serif" w:hAnsi="Times New Roman;serif"/>
                <w:b w:val="false"/>
                <w:sz w:val="18"/>
              </w:rPr>
            </w:pPr>
            <w:r>
              <w:rPr>
                <w:rFonts w:ascii="Times New Roman;serif" w:hAnsi="Times New Roman;serif"/>
                <w:b w:val="false"/>
                <w:sz w:val="18"/>
              </w:rPr>
              <w:t>CECO</w:t>
            </w:r>
          </w:p>
        </w:tc>
        <w:tc>
          <w:tcPr>
            <w:tcW w:w="3271" w:type="dxa"/>
            <w:tcBorders>
              <w:bottom w:val="single" w:sz="8" w:space="0" w:color="000000"/>
              <w:right w:val="single" w:sz="8" w:space="0" w:color="000000"/>
            </w:tcBorders>
            <w:shd w:fill="auto" w:val="clear"/>
            <w:tcMar>
              <w:top w:w="0" w:type="dxa"/>
              <w:left w:w="0" w:type="dxa"/>
              <w:right w:w="108" w:type="dxa"/>
            </w:tcMar>
            <w:vAlign w:val="center"/>
          </w:tcPr>
          <w:p>
            <w:pPr>
              <w:pStyle w:val="TableContents"/>
              <w:spacing w:before="0" w:after="44"/>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12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spacing w:before="12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573" w:type="dxa"/>
        <w:jc w:val="left"/>
        <w:tblInd w:w="0" w:type="dxa"/>
        <w:tblCellMar>
          <w:top w:w="28" w:type="dxa"/>
          <w:left w:w="28" w:type="dxa"/>
          <w:bottom w:w="28" w:type="dxa"/>
          <w:right w:w="28" w:type="dxa"/>
        </w:tblCellMar>
      </w:tblPr>
      <w:tblGrid>
        <w:gridCol w:w="2585"/>
        <w:gridCol w:w="316"/>
        <w:gridCol w:w="2311"/>
        <w:gridCol w:w="361"/>
      </w:tblGrid>
      <w:tr>
        <w:trPr/>
        <w:tc>
          <w:tcPr>
            <w:tcW w:w="258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585" w:type="dxa"/>
            <w:tcBorders/>
            <w:shd w:fill="auto" w:val="clear"/>
            <w:vAlign w:val="center"/>
          </w:tcPr>
          <w:p>
            <w:pPr>
              <w:pStyle w:val="TableContents"/>
              <w:spacing w:before="0" w:after="0"/>
              <w:ind w:left="0" w:right="0" w:firstLine="259"/>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2585" w:type="dxa"/>
            <w:tcBorders/>
            <w:shd w:fill="auto" w:val="clear"/>
            <w:vAlign w:val="center"/>
          </w:tcPr>
          <w:p>
            <w:pPr>
              <w:pStyle w:val="TableContents"/>
              <w:spacing w:before="0" w:after="0"/>
              <w:ind w:left="0" w:right="0" w:firstLine="259"/>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2585" w:type="dxa"/>
            <w:tcBorders/>
            <w:shd w:fill="auto" w:val="clear"/>
            <w:vAlign w:val="center"/>
          </w:tcPr>
          <w:p>
            <w:pPr>
              <w:pStyle w:val="TableContents"/>
              <w:spacing w:before="0" w:after="0"/>
              <w:ind w:left="0" w:right="0" w:firstLine="259"/>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2585" w:type="dxa"/>
            <w:tcBorders/>
            <w:shd w:fill="auto" w:val="clear"/>
            <w:vAlign w:val="center"/>
          </w:tcPr>
          <w:p>
            <w:pPr>
              <w:pStyle w:val="TableContents"/>
              <w:spacing w:before="0" w:after="0"/>
              <w:ind w:left="0" w:right="0" w:firstLine="259"/>
              <w:jc w:val="left"/>
              <w:rPr>
                <w:rFonts w:ascii="Times New Roman;serif" w:hAnsi="Times New Roman;serif"/>
                <w:b w:val="false"/>
                <w:sz w:val="20"/>
              </w:rPr>
            </w:pPr>
            <w:r>
              <w:rPr>
                <w:rFonts w:ascii="Times New Roman;serif" w:hAnsi="Times New Roman;serif"/>
                <w:b w:val="false"/>
                <w:sz w:val="20"/>
              </w:rPr>
              <w:t>Emerging growth company</w:t>
            </w:r>
          </w:p>
        </w:tc>
        <w:tc>
          <w:tcPr>
            <w:tcW w:w="316" w:type="dxa"/>
            <w:tcBorders/>
            <w:shd w:fill="auto" w:val="clear"/>
            <w:vAlign w:val="center"/>
          </w:tcPr>
          <w:p>
            <w:pPr>
              <w:pStyle w:val="TableContents"/>
              <w:spacing w:before="0" w:after="0"/>
              <w:ind w:left="0" w:right="0" w:hanging="0"/>
              <w:jc w:val="left"/>
              <w:rPr/>
            </w:pPr>
            <w:r>
              <w:rPr/>
              <w:t>☐</w:t>
            </w:r>
          </w:p>
        </w:tc>
        <w:tc>
          <w:tcPr>
            <w:tcW w:w="231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No ☒</w:t>
      </w:r>
    </w:p>
    <w:p>
      <w:pPr>
        <w:pStyle w:val="TextBody"/>
        <w:spacing w:before="0" w:after="0"/>
        <w:jc w:val="both"/>
        <w:rPr>
          <w:rFonts w:ascii="Times New Roman" w:hAnsi="Times New Roman"/>
          <w:sz w:val="20"/>
        </w:rPr>
      </w:pPr>
      <w:r>
        <w:rPr>
          <w:rFonts w:ascii="Times New Roman;serif" w:hAnsi="Times New Roman;serif"/>
          <w:b w:val="false"/>
          <w:sz w:val="20"/>
        </w:rPr>
        <w:t>The number of shares outstanding of each of the issuer’s classes of common equity, as of the latest practical date: 34,590,733</w:t>
      </w:r>
      <w:r>
        <w:rPr>
          <w:rFonts w:ascii="Times New Roman" w:hAnsi="Times New Roman"/>
          <w:sz w:val="20"/>
        </w:rPr>
        <w:t xml:space="preserve"> </w:t>
      </w:r>
      <w:r>
        <w:rPr>
          <w:rFonts w:ascii="Times New Roman;serif" w:hAnsi="Times New Roman;serif"/>
          <w:b w:val="false"/>
          <w:sz w:val="20"/>
        </w:rPr>
        <w:t>shares of common stock, par value $0.01 per share, as of May 1, 2023.</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CECO ENVIRONMENTAL CORP. AND SUBSIDIARIES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QUARTERLY REPORT ON FORM 10-Q</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For the quarter ended March 31, 2023</w:t>
      </w:r>
    </w:p>
    <w:p>
      <w:pPr>
        <w:pStyle w:val="TextBody"/>
        <w:spacing w:before="120" w:after="0"/>
        <w:jc w:val="center"/>
        <w:rPr>
          <w:rFonts w:ascii="Times New Roman;serif" w:hAnsi="Times New Roman;serif"/>
          <w:b/>
          <w:sz w:val="20"/>
          <w:u w:val="single"/>
        </w:rPr>
      </w:pPr>
      <w:r>
        <w:rPr>
          <w:rFonts w:ascii="Times New Roman;serif" w:hAnsi="Times New Roman;serif"/>
          <w:b/>
          <w:sz w:val="20"/>
          <w:u w:val="single"/>
        </w:rPr>
        <w:t>Table of Contents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2"/>
        <w:gridCol w:w="636"/>
        <w:gridCol w:w="8359"/>
        <w:gridCol w:w="146"/>
        <w:gridCol w:w="362"/>
      </w:tblGrid>
      <w:tr>
        <w:trPr/>
        <w:tc>
          <w:tcPr>
            <w:tcW w:w="702"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83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Part I –</w:t>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Item 1. Financial Statements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firstLine="49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March 31, 2023 and December 31, 2022</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firstLine="49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condensed_consolidated_statements_operat">
              <w:r>
                <w:rPr>
                  <w:rStyle w:val="InternetLink"/>
                  <w:rFonts w:ascii="Times New Roman;serif" w:hAnsi="Times New Roman;serif"/>
                  <w:b w:val="false"/>
                  <w:sz w:val="20"/>
                  <w:u w:val="single"/>
                </w:rPr>
                <w:t>Condensed Consolidated Statements of Income for the three months ended March 31, 2023 and 2022</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firstLine="49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Income for the three months ended March 31, 2023 and 2022</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6" w:type="dxa"/>
            <w:tcBorders/>
            <w:shd w:fill="auto" w:val="clear"/>
            <w:tcMar>
              <w:top w:w="0" w:type="dxa"/>
              <w:left w:w="0" w:type="dxa"/>
              <w:bottom w:w="0" w:type="dxa"/>
              <w:right w:w="0" w:type="dxa"/>
            </w:tcMar>
            <w:vAlign w:val="center"/>
          </w:tcPr>
          <w:p>
            <w:pPr>
              <w:pStyle w:val="TableContents"/>
              <w:spacing w:before="0" w:after="0"/>
              <w:ind w:left="0" w:right="0" w:firstLine="490"/>
              <w:jc w:val="left"/>
              <w:rPr/>
            </w:pPr>
            <w:r>
              <w:rPr/>
              <w:t> </w:t>
            </w:r>
          </w:p>
        </w:tc>
        <w:tc>
          <w:tcPr>
            <w:tcW w:w="8359" w:type="dxa"/>
            <w:tcBorders/>
            <w:shd w:fill="auto" w:val="clear"/>
            <w:tcMar>
              <w:top w:w="0" w:type="dxa"/>
              <w:left w:w="0" w:type="dxa"/>
              <w:bottom w:w="0" w:type="dxa"/>
              <w:right w:w="0" w:type="dxa"/>
            </w:tcMar>
            <w:vAlign w:val="center"/>
          </w:tcPr>
          <w:p>
            <w:pPr>
              <w:pStyle w:val="TableContents"/>
              <w:spacing w:before="0" w:after="0"/>
              <w:ind w:left="49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firstLine="49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condensed_consolidated_statements_equity">
              <w:r>
                <w:rPr>
                  <w:rStyle w:val="InternetLink"/>
                  <w:rFonts w:ascii="Times New Roman;serif" w:hAnsi="Times New Roman;serif"/>
                  <w:b w:val="false"/>
                  <w:sz w:val="20"/>
                  <w:u w:val="single"/>
                </w:rPr>
                <w:t>Condensed Consolidated Statements of Shareholders’ Equity for the three months ended March 31, 2023 and 2022</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firstLine="49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three months ended March 31, 2023 and 2022</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firstLine="49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notes_consolidated_financial_statements">
              <w:r>
                <w:rPr>
                  <w:rStyle w:val="InternetLink"/>
                  <w:rFonts w:ascii="Times New Roman;serif" w:hAnsi="Times New Roman;serif"/>
                  <w:b w:val="false"/>
                  <w:sz w:val="20"/>
                  <w:u w:val="single"/>
                </w:rPr>
                <w:t>Notes to Condensed Consolidated Financial Statements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Item 3. Quantitative and Qualitative Disclosures about Market Risk</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Item 4. Controls and Procedures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Part II –</w:t>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r_information">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Item 1. Legal Proceedings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Item 5. 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Item 6. Exhibits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70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5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697"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val="false"/>
          <w:sz w:val="20"/>
          <w:u w:val="single"/>
        </w:rPr>
      </w:pPr>
      <w:r>
        <w:rPr>
          <w:rFonts w:ascii="Times New Roman;serif" w:hAnsi="Times New Roman;serif"/>
          <w:b w:val="false"/>
          <w:sz w:val="20"/>
          <w:u w:val="single"/>
        </w:rPr>
        <w:t>CECO ENVIRONMENTAL CORP. AND SUBSIDIARIES</w:t>
      </w:r>
    </w:p>
    <w:p>
      <w:pPr>
        <w:pStyle w:val="TextBody"/>
        <w:spacing w:before="240" w:after="0"/>
        <w:jc w:val="left"/>
        <w:rPr>
          <w:rFonts w:ascii="Times New Roman;serif" w:hAnsi="Times New Roman;serif"/>
          <w:b/>
          <w:sz w:val="18"/>
        </w:rPr>
      </w:pPr>
      <w:bookmarkStart w:id="2" w:name="part_i_financial_information"/>
      <w:bookmarkEnd w:id="2"/>
      <w:r>
        <w:rPr>
          <w:rFonts w:ascii="Times New Roman;serif" w:hAnsi="Times New Roman;serif"/>
          <w:b/>
          <w:sz w:val="18"/>
        </w:rPr>
        <w:t>PART I – FINANCIAL INFORMATION</w:t>
      </w:r>
    </w:p>
    <w:p>
      <w:pPr>
        <w:pStyle w:val="TextBody"/>
        <w:spacing w:before="0" w:after="0"/>
        <w:jc w:val="left"/>
        <w:rPr/>
      </w:pPr>
      <w:r>
        <w:rPr/>
        <w:t> </w:t>
      </w:r>
    </w:p>
    <w:p>
      <w:pPr>
        <w:pStyle w:val="TextBody"/>
        <w:spacing w:before="0" w:after="0"/>
        <w:jc w:val="left"/>
        <w:rPr>
          <w:rFonts w:ascii="Times New Roman;serif" w:hAnsi="Times New Roman;serif"/>
          <w:b/>
          <w:sz w:val="18"/>
        </w:rPr>
      </w:pPr>
      <w:bookmarkStart w:id="3" w:name="item_1_financial_statements"/>
      <w:bookmarkEnd w:id="3"/>
      <w:r>
        <w:rPr>
          <w:rFonts w:ascii="Times New Roman;serif" w:hAnsi="Times New Roman;serif"/>
          <w:b/>
          <w:sz w:val="18"/>
        </w:rPr>
        <w:t>ITEM 1. FINANCIAL STATEMENTS</w:t>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tbl>
      <w:tblPr>
        <w:tblW w:w="10205" w:type="dxa"/>
        <w:jc w:val="left"/>
        <w:tblInd w:w="0" w:type="dxa"/>
        <w:tblCellMar>
          <w:top w:w="28" w:type="dxa"/>
          <w:left w:w="28" w:type="dxa"/>
          <w:bottom w:w="28" w:type="dxa"/>
          <w:right w:w="28" w:type="dxa"/>
        </w:tblCellMar>
      </w:tblPr>
      <w:tblGrid>
        <w:gridCol w:w="6246"/>
        <w:gridCol w:w="146"/>
        <w:gridCol w:w="264"/>
        <w:gridCol w:w="978"/>
        <w:gridCol w:w="166"/>
        <w:gridCol w:w="146"/>
        <w:gridCol w:w="311"/>
        <w:gridCol w:w="1155"/>
        <w:gridCol w:w="793"/>
      </w:tblGrid>
      <w:tr>
        <w:trPr/>
        <w:tc>
          <w:tcPr>
            <w:tcW w:w="6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 share data)</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b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4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45,522</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83,086</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Costs and estimated earnings in excess of billings on uncompleted contracts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79,817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71,016</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26,526</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12,174</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income taxes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1,271</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275,452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240,658</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20,828</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from operating leases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11,373</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183,197</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 finite life,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35,251</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 indefinite life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9,508</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829</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charges and other assets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3,077</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567,568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504,721</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debt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3,579</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107,198</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Billings in excess of costs and estimated earnings on uncompleted contracts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32,716</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Notes payable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3,207</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146,700</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15,129</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Debt, less current portion</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107,625</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liability, net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8,666</w:t>
            </w:r>
          </w:p>
        </w:tc>
        <w:tc>
          <w:tcPr>
            <w:tcW w:w="793" w:type="dxa"/>
            <w:tcBorders/>
            <w:shd w:fill="auto" w:val="cle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8,453</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345,386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286,573</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Shareholders’ equity:</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$.01</w:t>
            </w:r>
            <w:r>
              <w:rPr>
                <w:rFonts w:ascii="Times New Roman" w:hAnsi="Times New Roman"/>
                <w:sz w:val="20"/>
              </w:rPr>
              <w:t> </w:t>
            </w:r>
            <w:r>
              <w:rPr>
                <w:rFonts w:ascii="Times New Roman;serif" w:hAnsi="Times New Roman;serif"/>
                <w:b w:val="false"/>
                <w:sz w:val="20"/>
              </w:rPr>
              <w:t>par value; 10,000</w:t>
            </w:r>
            <w:r>
              <w:rPr>
                <w:rFonts w:ascii="Times New Roman" w:hAnsi="Times New Roman"/>
                <w:sz w:val="20"/>
              </w:rPr>
              <w:t> </w:t>
            </w:r>
            <w:r>
              <w:rPr>
                <w:rFonts w:ascii="Times New Roman;serif" w:hAnsi="Times New Roman;serif"/>
                <w:b w:val="false"/>
                <w:sz w:val="20"/>
              </w:rPr>
              <w:t>shares authorized, none</w:t>
            </w:r>
            <w:r>
              <w:rPr>
                <w:rFonts w:ascii="Times New Roman" w:hAnsi="Times New Roman"/>
                <w:sz w:val="20"/>
              </w:rPr>
              <w:t> </w:t>
            </w:r>
            <w:r>
              <w:rPr>
                <w:rFonts w:ascii="Times New Roman;serif" w:hAnsi="Times New Roman;serif"/>
                <w:b w:val="false"/>
                <w:sz w:val="20"/>
              </w:rPr>
              <w:t>issued</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6" w:type="dxa"/>
            <w:gridSpan w:val="2"/>
            <w:tcBorders/>
            <w:shd w:fill="auto" w:val="clear"/>
            <w:vAlign w:val="center"/>
          </w:tcPr>
          <w:p>
            <w:pPr>
              <w:pStyle w:val="TableContents"/>
              <w:spacing w:before="0" w:after="0"/>
              <w:ind w:left="0" w:right="0" w:hanging="0"/>
              <w:jc w:val="right"/>
              <w:rPr/>
            </w:pPr>
            <w:r>
              <w:rPr/>
              <w:t>—</w:t>
            </w:r>
          </w:p>
        </w:tc>
        <w:tc>
          <w:tcPr>
            <w:tcW w:w="793" w:type="dxa"/>
            <w:tcBorders/>
            <w:shd w:fill="auto" w:val="clear"/>
            <w:vAlign w:val="center"/>
          </w:tcPr>
          <w:p>
            <w:pPr>
              <w:pStyle w:val="TableContents"/>
              <w:spacing w:before="0" w:after="0"/>
              <w:ind w:left="0" w:right="0" w:firstLine="200"/>
              <w:jc w:val="righ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shares authorized, 34,556,620</w:t>
            </w:r>
            <w:r>
              <w:rPr>
                <w:rFonts w:ascii="Times New Roman" w:hAnsi="Times New Roman"/>
                <w:sz w:val="20"/>
              </w:rPr>
              <w:t> </w:t>
            </w:r>
            <w:r>
              <w:rPr>
                <w:rFonts w:ascii="Times New Roman;serif" w:hAnsi="Times New Roman;serif"/>
                <w:b w:val="false"/>
                <w:sz w:val="20"/>
              </w:rPr>
              <w:t>and</w:t>
              <w:br/>
              <w:t>34,381,668</w:t>
            </w:r>
            <w:r>
              <w:rPr>
                <w:rFonts w:ascii="Times New Roman" w:hAnsi="Times New Roman"/>
                <w:sz w:val="20"/>
              </w:rPr>
              <w:t> </w:t>
            </w:r>
            <w:r>
              <w:rPr>
                <w:rFonts w:ascii="Times New Roman;serif" w:hAnsi="Times New Roman;serif"/>
                <w:b w:val="false"/>
                <w:sz w:val="20"/>
              </w:rPr>
              <w:t xml:space="preserve">shares issued and outstanding at March 31, 2023 and </w:t>
              <w:br/>
              <w:t>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 in excess of par value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250,971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250,174</w:t>
            </w:r>
          </w:p>
        </w:tc>
        <w:tc>
          <w:tcPr>
            <w:tcW w:w="793" w:type="dxa"/>
            <w:tcBorders/>
            <w:shd w:fill="auto" w:val="clear"/>
            <w:vAlign w:val="center"/>
          </w:tcPr>
          <w:p>
            <w:pPr>
              <w:pStyle w:val="TableContents"/>
              <w:spacing w:before="0" w:after="0"/>
              <w:ind w:left="0" w:right="0" w:firstLine="200"/>
              <w:jc w:val="left"/>
              <w:rPr/>
            </w:pPr>
            <w:r>
              <w:rPr/>
              <w:t> </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loss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(19,298</w:t>
            </w:r>
          </w:p>
        </w:tc>
        <w:tc>
          <w:tcPr>
            <w:tcW w:w="79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(17,996</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CECO shareholders' equity</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216,767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213,224</w:t>
            </w:r>
          </w:p>
        </w:tc>
        <w:tc>
          <w:tcPr>
            <w:tcW w:w="793" w:type="dxa"/>
            <w:tcBorders/>
            <w:shd w:fill="auto" w:val="cle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4,924</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2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shareholders' equity</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222,182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218,148</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24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567,568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504,721</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notes to the condensed consolidated financial statements are an integral part of the above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5" w:name="condensed_consolidated_statements_operat"/>
      <w:bookmarkEnd w:id="5"/>
      <w:r>
        <w:rPr>
          <w:rFonts w:ascii="Times New Roman;serif" w:hAnsi="Times New Roman;serif"/>
          <w:b/>
          <w:sz w:val="20"/>
        </w:rPr>
        <w:t>CONDENSED CONSOLIDATED STATEMENTS OF INCOME</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8194" w:type="dxa"/>
        <w:jc w:val="left"/>
        <w:tblInd w:w="0" w:type="dxa"/>
        <w:tblCellMar>
          <w:top w:w="28" w:type="dxa"/>
          <w:left w:w="28" w:type="dxa"/>
          <w:bottom w:w="28" w:type="dxa"/>
          <w:right w:w="28" w:type="dxa"/>
        </w:tblCellMar>
      </w:tblPr>
      <w:tblGrid>
        <w:gridCol w:w="4831"/>
        <w:gridCol w:w="146"/>
        <w:gridCol w:w="211"/>
        <w:gridCol w:w="1036"/>
        <w:gridCol w:w="166"/>
        <w:gridCol w:w="146"/>
        <w:gridCol w:w="211"/>
        <w:gridCol w:w="1036"/>
        <w:gridCol w:w="411"/>
      </w:tblGrid>
      <w:tr>
        <w:trPr/>
        <w:tc>
          <w:tcPr>
            <w:tcW w:w="4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8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 share data)</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92,436</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66,008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26,428</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18,652</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and earnout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and integration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5,202</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3,922</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2,810</w:t>
            </w:r>
          </w:p>
        </w:tc>
        <w:tc>
          <w:tcPr>
            <w:tcW w:w="41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CECO Environmental Corp.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share: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34,441,905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35,051,034</w:t>
            </w:r>
          </w:p>
        </w:tc>
        <w:tc>
          <w:tcPr>
            <w:tcW w:w="411" w:type="dxa"/>
            <w:tcBorders/>
            <w:shd w:fill="auto" w:val="cle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35,198,668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35,199,201</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notes to the condensed consolidated financial statements are an integral part of the above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6" w:name="condensed_consolidated_statements_compre"/>
      <w:bookmarkEnd w:id="6"/>
      <w:r>
        <w:rPr>
          <w:rFonts w:ascii="Times New Roman;serif" w:hAnsi="Times New Roman;serif"/>
          <w:b/>
          <w:sz w:val="20"/>
        </w:rPr>
        <w:t>CONDENSED CONSOLIDATED STATEMENTS OF COMPREHENSIVE INCOME</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p>
      <w:pPr>
        <w:pStyle w:val="TextBody"/>
        <w:spacing w:before="0" w:after="0"/>
        <w:jc w:val="center"/>
        <w:rPr/>
      </w:pPr>
      <w:r>
        <w:rPr/>
        <w:t> </w:t>
      </w:r>
    </w:p>
    <w:tbl>
      <w:tblPr>
        <w:tblW w:w="6149" w:type="dxa"/>
        <w:jc w:val="left"/>
        <w:tblInd w:w="0" w:type="dxa"/>
        <w:tblCellMar>
          <w:top w:w="28" w:type="dxa"/>
          <w:left w:w="28" w:type="dxa"/>
          <w:bottom w:w="28" w:type="dxa"/>
          <w:right w:w="28" w:type="dxa"/>
        </w:tblCellMar>
      </w:tblPr>
      <w:tblGrid>
        <w:gridCol w:w="3406"/>
        <w:gridCol w:w="267"/>
        <w:gridCol w:w="724"/>
        <w:gridCol w:w="185"/>
        <w:gridCol w:w="185"/>
        <w:gridCol w:w="267"/>
        <w:gridCol w:w="724"/>
        <w:gridCol w:w="391"/>
      </w:tblGrid>
      <w:tr>
        <w:trPr/>
        <w:tc>
          <w:tcPr>
            <w:tcW w:w="3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06" w:type="dxa"/>
            <w:tcBorders/>
            <w:shd w:fill="auto" w:val="clear"/>
            <w:vAlign w:val="center"/>
          </w:tcPr>
          <w:p>
            <w:pPr>
              <w:pStyle w:val="TableContents"/>
              <w:spacing w:before="0" w:after="0"/>
              <w:ind w:left="0" w:right="0" w:hanging="0"/>
              <w:jc w:val="center"/>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2,469</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net of tax:</w:t>
            </w:r>
          </w:p>
        </w:tc>
        <w:tc>
          <w:tcPr>
            <w:tcW w:w="991" w:type="dxa"/>
            <w:gridSpan w:val="2"/>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4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gain (loss)</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3,235</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notes to the condensed consolidated financial statements are an integral part of the above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7" w:name="condensed_consolidated_statements_equity"/>
      <w:bookmarkEnd w:id="7"/>
      <w:r>
        <w:rPr>
          <w:rFonts w:ascii="Times New Roman;serif" w:hAnsi="Times New Roman;serif"/>
          <w:b/>
          <w:sz w:val="20"/>
        </w:rPr>
        <w:t>CONDENSED CONSOLIDATED STATEMENTS OF SHAREHOLDERS’ EQUITY</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1865"/>
        <w:gridCol w:w="146"/>
        <w:gridCol w:w="146"/>
        <w:gridCol w:w="526"/>
        <w:gridCol w:w="146"/>
        <w:gridCol w:w="146"/>
        <w:gridCol w:w="216"/>
        <w:gridCol w:w="415"/>
        <w:gridCol w:w="146"/>
        <w:gridCol w:w="146"/>
        <w:gridCol w:w="181"/>
        <w:gridCol w:w="601"/>
        <w:gridCol w:w="151"/>
        <w:gridCol w:w="146"/>
        <w:gridCol w:w="227"/>
        <w:gridCol w:w="719"/>
        <w:gridCol w:w="151"/>
        <w:gridCol w:w="146"/>
        <w:gridCol w:w="263"/>
        <w:gridCol w:w="833"/>
        <w:gridCol w:w="151"/>
        <w:gridCol w:w="146"/>
        <w:gridCol w:w="322"/>
        <w:gridCol w:w="804"/>
        <w:gridCol w:w="146"/>
        <w:gridCol w:w="146"/>
        <w:gridCol w:w="225"/>
        <w:gridCol w:w="751"/>
        <w:gridCol w:w="198"/>
      </w:tblGrid>
      <w:tr>
        <w:trPr/>
        <w:tc>
          <w:tcPr>
            <w:tcW w:w="18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Capital in</w:t>
              <w:br/>
              <w:t>excess of</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Accumulated </w:t>
              <w:br/>
              <w:t>Other</w:t>
              <w:br/>
              <w:t>Comprehensive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Non-controlling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Total </w:t>
              <w:br/>
              <w:t>Shareholders'</w:t>
            </w:r>
          </w:p>
        </w:tc>
        <w:tc>
          <w:tcPr>
            <w:tcW w:w="198" w:type="dxa"/>
            <w:tcBorders/>
            <w:shd w:fill="auto" w:val="clear"/>
            <w:vAlign w:val="center"/>
          </w:tcPr>
          <w:p>
            <w:pPr>
              <w:pStyle w:val="TableContents"/>
              <w:spacing w:before="0" w:after="0"/>
              <w:ind w:left="0" w:right="0" w:hanging="0"/>
              <w:jc w:val="center"/>
              <w:rPr/>
            </w:pPr>
            <w:r>
              <w:rPr/>
              <w:t> </w:t>
            </w:r>
          </w:p>
        </w:tc>
      </w:tr>
      <w:tr>
        <w:trPr/>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Shares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Amount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par value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Loss</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Loss</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interest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Equity</w:t>
            </w:r>
          </w:p>
        </w:tc>
        <w:tc>
          <w:tcPr>
            <w:tcW w:w="198" w:type="dxa"/>
            <w:tcBorders/>
            <w:shd w:fill="auto" w:val="clear"/>
            <w:vAlign w:val="center"/>
          </w:tcPr>
          <w:p>
            <w:pPr>
              <w:pStyle w:val="TableContents"/>
              <w:spacing w:before="0" w:after="0"/>
              <w:ind w:left="0" w:right="0" w:hanging="0"/>
              <w:jc w:val="center"/>
              <w:rPr/>
            </w:pPr>
            <w:r>
              <w:rPr/>
              <w:t> </w:t>
            </w:r>
          </w:p>
        </w:tc>
      </w:tr>
      <w:tr>
        <w:trPr/>
        <w:tc>
          <w:tcPr>
            <w:tcW w:w="1865"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250,174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(19,298</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(17,996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4,924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218,148</w:t>
            </w:r>
          </w:p>
        </w:tc>
        <w:tc>
          <w:tcPr>
            <w:tcW w:w="198" w:type="dxa"/>
            <w:tcBorders/>
            <w:shd w:fill="auto" w:val="clear"/>
            <w:vAlign w:val="center"/>
          </w:tcPr>
          <w:p>
            <w:pPr>
              <w:pStyle w:val="TableContents"/>
              <w:spacing w:before="0" w:after="0"/>
              <w:ind w:left="0" w:right="0" w:hanging="0"/>
              <w:jc w:val="left"/>
              <w:rPr/>
            </w:pPr>
            <w:r>
              <w:rPr/>
              <w:t> </w:t>
            </w:r>
          </w:p>
        </w:tc>
      </w:tr>
      <w:tr>
        <w:trPr/>
        <w:tc>
          <w:tcPr>
            <w:tcW w:w="1865"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Net income for the three months ended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1,978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2,469</w:t>
            </w:r>
          </w:p>
        </w:tc>
        <w:tc>
          <w:tcPr>
            <w:tcW w:w="198" w:type="dxa"/>
            <w:tcBorders/>
            <w:shd w:fill="auto" w:val="clear"/>
            <w:vAlign w:val="center"/>
          </w:tcPr>
          <w:p>
            <w:pPr>
              <w:pStyle w:val="TableContents"/>
              <w:spacing w:before="0" w:after="0"/>
              <w:ind w:left="0" w:right="0" w:hanging="0"/>
              <w:jc w:val="left"/>
              <w:rPr/>
            </w:pPr>
            <w:r>
              <w:rPr/>
              <w:t> </w:t>
            </w:r>
          </w:p>
        </w:tc>
      </w:tr>
      <w:tr>
        <w:trPr/>
        <w:tc>
          <w:tcPr>
            <w:tcW w:w="1865"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611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612</w:t>
            </w:r>
          </w:p>
        </w:tc>
        <w:tc>
          <w:tcPr>
            <w:tcW w:w="198" w:type="dxa"/>
            <w:tcBorders/>
            <w:shd w:fill="auto" w:val="clear"/>
            <w:vAlign w:val="center"/>
          </w:tcPr>
          <w:p>
            <w:pPr>
              <w:pStyle w:val="TableContents"/>
              <w:spacing w:before="0" w:after="0"/>
              <w:ind w:left="0" w:right="0" w:hanging="0"/>
              <w:jc w:val="left"/>
              <w:rPr/>
            </w:pPr>
            <w:r>
              <w:rPr/>
              <w:t> </w:t>
            </w:r>
          </w:p>
        </w:tc>
      </w:tr>
      <w:tr>
        <w:trPr/>
        <w:tc>
          <w:tcPr>
            <w:tcW w:w="1865"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Restricted stock units issued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(622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(621</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1865"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Share based compensation earned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808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808</w:t>
            </w:r>
          </w:p>
        </w:tc>
        <w:tc>
          <w:tcPr>
            <w:tcW w:w="198" w:type="dxa"/>
            <w:tcBorders/>
            <w:shd w:fill="auto" w:val="clear"/>
            <w:vAlign w:val="center"/>
          </w:tcPr>
          <w:p>
            <w:pPr>
              <w:pStyle w:val="TableContents"/>
              <w:spacing w:before="0" w:after="0"/>
              <w:ind w:left="0" w:right="0" w:hanging="0"/>
              <w:jc w:val="left"/>
              <w:rPr/>
            </w:pPr>
            <w:r>
              <w:rPr/>
              <w:t> </w:t>
            </w:r>
          </w:p>
        </w:tc>
      </w:tr>
      <w:tr>
        <w:trPr/>
        <w:tc>
          <w:tcPr>
            <w:tcW w:w="1865"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Translation gain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766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766</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65"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Balance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34,557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250,971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(17,320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(17,230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5,415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222,182</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left"/>
        <w:rPr/>
      </w:pPr>
      <w:r>
        <w:rPr/>
        <w:t> </w:t>
      </w:r>
    </w:p>
    <w:tbl>
      <w:tblPr>
        <w:tblW w:w="10205" w:type="dxa"/>
        <w:jc w:val="left"/>
        <w:tblInd w:w="0" w:type="dxa"/>
        <w:tblCellMar>
          <w:top w:w="28" w:type="dxa"/>
          <w:left w:w="28" w:type="dxa"/>
          <w:bottom w:w="28" w:type="dxa"/>
          <w:right w:w="28" w:type="dxa"/>
        </w:tblCellMar>
      </w:tblPr>
      <w:tblGrid>
        <w:gridCol w:w="1864"/>
        <w:gridCol w:w="146"/>
        <w:gridCol w:w="146"/>
        <w:gridCol w:w="526"/>
        <w:gridCol w:w="146"/>
        <w:gridCol w:w="146"/>
        <w:gridCol w:w="216"/>
        <w:gridCol w:w="415"/>
        <w:gridCol w:w="146"/>
        <w:gridCol w:w="146"/>
        <w:gridCol w:w="181"/>
        <w:gridCol w:w="601"/>
        <w:gridCol w:w="151"/>
        <w:gridCol w:w="146"/>
        <w:gridCol w:w="227"/>
        <w:gridCol w:w="719"/>
        <w:gridCol w:w="151"/>
        <w:gridCol w:w="146"/>
        <w:gridCol w:w="263"/>
        <w:gridCol w:w="833"/>
        <w:gridCol w:w="151"/>
        <w:gridCol w:w="146"/>
        <w:gridCol w:w="322"/>
        <w:gridCol w:w="804"/>
        <w:gridCol w:w="151"/>
        <w:gridCol w:w="146"/>
        <w:gridCol w:w="224"/>
        <w:gridCol w:w="748"/>
        <w:gridCol w:w="198"/>
      </w:tblGrid>
      <w:tr>
        <w:trPr/>
        <w:tc>
          <w:tcPr>
            <w:tcW w:w="18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8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Capital in</w:t>
              <w:br/>
              <w:t>excess of</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Accumulated </w:t>
              <w:br/>
              <w:t>Other</w:t>
              <w:br/>
              <w:t>Comprehensive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Non-controlling</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Total </w:t>
              <w:br/>
              <w:t>Shareholders'</w:t>
            </w:r>
          </w:p>
        </w:tc>
        <w:tc>
          <w:tcPr>
            <w:tcW w:w="198" w:type="dxa"/>
            <w:tcBorders/>
            <w:shd w:fill="auto" w:val="clear"/>
            <w:vAlign w:val="center"/>
          </w:tcPr>
          <w:p>
            <w:pPr>
              <w:pStyle w:val="TableContents"/>
              <w:spacing w:before="0" w:after="0"/>
              <w:ind w:left="0" w:right="0" w:hanging="0"/>
              <w:jc w:val="center"/>
              <w:rPr/>
            </w:pPr>
            <w:r>
              <w:rPr/>
              <w:t> </w:t>
            </w:r>
          </w:p>
        </w:tc>
      </w:tr>
      <w:tr>
        <w:trPr/>
        <w:tc>
          <w:tcPr>
            <w:tcW w:w="18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Shares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Amount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par value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Loss</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Loss</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interest</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center"/>
              <w:rPr>
                <w:rFonts w:ascii="Times New Roman;serif" w:hAnsi="Times New Roman;serif"/>
                <w:b/>
                <w:sz w:val="15"/>
                <w:u w:val="single"/>
              </w:rPr>
            </w:pPr>
            <w:r>
              <w:rPr>
                <w:rFonts w:ascii="Times New Roman;serif" w:hAnsi="Times New Roman;serif"/>
                <w:b/>
                <w:sz w:val="15"/>
                <w:u w:val="single"/>
              </w:rPr>
              <w:t>Equity</w:t>
            </w:r>
          </w:p>
        </w:tc>
        <w:tc>
          <w:tcPr>
            <w:tcW w:w="198" w:type="dxa"/>
            <w:tcBorders/>
            <w:shd w:fill="auto" w:val="clear"/>
            <w:vAlign w:val="center"/>
          </w:tcPr>
          <w:p>
            <w:pPr>
              <w:pStyle w:val="TableContents"/>
              <w:spacing w:before="0" w:after="0"/>
              <w:ind w:left="0" w:right="0" w:hanging="0"/>
              <w:jc w:val="center"/>
              <w:rPr/>
            </w:pPr>
            <w:r>
              <w:rPr/>
              <w:t> </w:t>
            </w:r>
          </w:p>
        </w:tc>
      </w:tr>
      <w:tr>
        <w:trPr/>
        <w:tc>
          <w:tcPr>
            <w:tcW w:w="186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Balance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35,028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252,989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(36,715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(12,070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1,403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48"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205,957</w:t>
            </w:r>
          </w:p>
        </w:tc>
        <w:tc>
          <w:tcPr>
            <w:tcW w:w="198" w:type="dxa"/>
            <w:tcBorders/>
            <w:shd w:fill="auto" w:val="clear"/>
            <w:vAlign w:val="center"/>
          </w:tcPr>
          <w:p>
            <w:pPr>
              <w:pStyle w:val="TableContents"/>
              <w:spacing w:before="0" w:after="0"/>
              <w:ind w:left="0" w:right="0" w:hanging="0"/>
              <w:jc w:val="left"/>
              <w:rPr/>
            </w:pPr>
            <w:r>
              <w:rPr/>
              <w:t> </w:t>
            </w:r>
          </w:p>
        </w:tc>
      </w:tr>
      <w:tr>
        <w:trPr/>
        <w:tc>
          <w:tcPr>
            <w:tcW w:w="186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Net income for the three months ended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2,792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2,810</w:t>
            </w:r>
          </w:p>
        </w:tc>
        <w:tc>
          <w:tcPr>
            <w:tcW w:w="198" w:type="dxa"/>
            <w:tcBorders/>
            <w:shd w:fill="auto" w:val="clear"/>
            <w:vAlign w:val="center"/>
          </w:tcPr>
          <w:p>
            <w:pPr>
              <w:pStyle w:val="TableContents"/>
              <w:spacing w:before="0" w:after="0"/>
              <w:ind w:left="0" w:right="0" w:hanging="0"/>
              <w:jc w:val="left"/>
              <w:rPr/>
            </w:pPr>
            <w:r>
              <w:rPr/>
              <w:t> </w:t>
            </w:r>
          </w:p>
        </w:tc>
      </w:tr>
      <w:tr>
        <w:trPr/>
        <w:tc>
          <w:tcPr>
            <w:tcW w:w="186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Restricted stock units issued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186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Share based compensation earned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953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953</w:t>
            </w:r>
          </w:p>
        </w:tc>
        <w:tc>
          <w:tcPr>
            <w:tcW w:w="198" w:type="dxa"/>
            <w:tcBorders/>
            <w:shd w:fill="auto" w:val="clear"/>
            <w:vAlign w:val="center"/>
          </w:tcPr>
          <w:p>
            <w:pPr>
              <w:pStyle w:val="TableContents"/>
              <w:spacing w:before="0" w:after="0"/>
              <w:ind w:left="0" w:right="0" w:hanging="0"/>
              <w:jc w:val="left"/>
              <w:rPr/>
            </w:pPr>
            <w:r>
              <w:rPr/>
              <w:t> </w:t>
            </w:r>
          </w:p>
        </w:tc>
      </w:tr>
      <w:tr>
        <w:trPr/>
        <w:tc>
          <w:tcPr>
            <w:tcW w:w="186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Translation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(531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(531</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186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Noncontrolling interest distributions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4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(900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(900</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186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Fair value of noncontrolling interest equity issued (see Note 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5,000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5,000</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64"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Balance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35,076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253,875</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(33,923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(12,601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5,521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213,222</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notes to the condensed consolidated financial statements are an integral part of the above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8" w:name="condensed_consolidated_statements_cash_f"/>
      <w:bookmarkEnd w:id="8"/>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8645" w:type="dxa"/>
        <w:jc w:val="left"/>
        <w:tblInd w:w="0" w:type="dxa"/>
        <w:tblCellMar>
          <w:top w:w="28" w:type="dxa"/>
          <w:left w:w="28" w:type="dxa"/>
          <w:bottom w:w="28" w:type="dxa"/>
          <w:right w:w="28" w:type="dxa"/>
        </w:tblCellMar>
      </w:tblPr>
      <w:tblGrid>
        <w:gridCol w:w="5536"/>
        <w:gridCol w:w="146"/>
        <w:gridCol w:w="227"/>
        <w:gridCol w:w="768"/>
        <w:gridCol w:w="193"/>
        <w:gridCol w:w="169"/>
        <w:gridCol w:w="227"/>
        <w:gridCol w:w="768"/>
        <w:gridCol w:w="611"/>
      </w:tblGrid>
      <w:tr>
        <w:trPr/>
        <w:tc>
          <w:tcPr>
            <w:tcW w:w="5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5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income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2,469</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2,810</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Adjustments to reconcile net income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2,885</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2,288</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Unrealized foreign currency (gain) loss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Gain on sale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Debt discount amortization</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806</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877</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Bad debt expense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611" w:type="dxa"/>
            <w:tcBorders/>
            <w:shd w:fill="auto" w:val="clear"/>
            <w:vAlign w:val="center"/>
          </w:tcPr>
          <w:p>
            <w:pPr>
              <w:pStyle w:val="TableContents"/>
              <w:spacing w:before="0" w:after="0"/>
              <w:ind w:left="0" w:right="0" w:firstLine="400"/>
              <w:jc w:val="left"/>
              <w:rPr/>
            </w:pPr>
            <w:r>
              <w:rPr/>
              <w:t> </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Inventory reserve expense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175</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w:t>
            </w:r>
          </w:p>
        </w:tc>
        <w:tc>
          <w:tcPr>
            <w:tcW w:w="611" w:type="dxa"/>
            <w:tcBorders/>
            <w:shd w:fill="auto" w:val="cle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operating assets and liabilities, net of acquisitions: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(22,786</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(18,964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Costs and estimated earnings in excess of billings on uncompleted contracts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(8,418</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1,515</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(2,191</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(3,316</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572</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(878</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charges and other assets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(325</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996</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(1,056</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7,452</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Billings in excess of costs and estimated earnings on uncompleted contracts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16,838</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7,615</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137</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(1,038</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(1,341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(12,021</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Acquisitions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(2,513</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proceeds from sale of assets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paid for acquisitions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(24,142</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(19,583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(26,655</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(20,241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Borrowings on revolving credit lines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54,800</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17,800</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Repayments on revolving credit lines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(20,000</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(7,200</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Borrowing on long-term debt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11,000</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Repayments of long-term debt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(826</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(643</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financing fees paid</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Payments on finance leases and financing liability</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(225</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employee stock purchase plan and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610</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611" w:type="dxa"/>
            <w:tcBorders/>
            <w:shd w:fill="auto" w:val="cle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Noncontrolling interest distributions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(900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34,359</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19,859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exchange rate changes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(4,381</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(1,695</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46,585</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31,995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42,204</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30,300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paid during the period for:</w:t>
            </w:r>
          </w:p>
        </w:tc>
        <w:tc>
          <w:tcPr>
            <w:tcW w:w="146" w:type="dxa"/>
            <w:tcBorders/>
            <w:shd w:fill="auto" w:val="clear"/>
            <w:vAlign w:val="center"/>
          </w:tcPr>
          <w:p>
            <w:pPr>
              <w:pStyle w:val="TableContents"/>
              <w:spacing w:before="0" w:after="0"/>
              <w:ind w:left="0" w:right="0" w:hanging="0"/>
              <w:jc w:val="left"/>
              <w:rPr/>
            </w:pPr>
            <w:r>
              <w:rPr/>
              <w:t> </w:t>
            </w:r>
          </w:p>
        </w:tc>
        <w:tc>
          <w:tcPr>
            <w:tcW w:w="9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righ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2,338</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53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1,290</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notes to the condensed consolidated financial statements are an integral part of the above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val="false"/>
          <w:sz w:val="20"/>
          <w:u w:val="single"/>
        </w:rPr>
      </w:pPr>
      <w:r>
        <w:rPr>
          <w:rFonts w:ascii="Times New Roman;serif" w:hAnsi="Times New Roman;serif"/>
          <w:b w:val="false"/>
          <w:sz w:val="20"/>
          <w:u w:val="single"/>
        </w:rPr>
        <w:t>CECO ENVIRONMENTAL CORP. AND SUBSIDIARIES</w:t>
      </w:r>
    </w:p>
    <w:p>
      <w:pPr>
        <w:pStyle w:val="TextBody"/>
        <w:spacing w:before="0" w:after="0"/>
        <w:jc w:val="center"/>
        <w:rPr>
          <w:rFonts w:ascii="Times New Roman;serif" w:hAnsi="Times New Roman;serif"/>
          <w:b w:val="false"/>
          <w:sz w:val="20"/>
          <w:u w:val="single"/>
        </w:rPr>
      </w:pPr>
      <w:bookmarkStart w:id="9" w:name="notes_consolidated_financial_statements"/>
      <w:bookmarkEnd w:id="9"/>
      <w:r>
        <w:rPr>
          <w:rFonts w:ascii="Times New Roman;serif" w:hAnsi="Times New Roman;serif"/>
          <w:b w:val="false"/>
          <w:sz w:val="20"/>
          <w:u w:val="single"/>
        </w:rPr>
        <w:t>NOTES TO CONDENSED CONSOLIDATED FINANCIAL STATEMENTS</w:t>
      </w:r>
    </w:p>
    <w:p>
      <w:pPr>
        <w:pStyle w:val="TextBody"/>
        <w:spacing w:before="0" w:after="240"/>
        <w:jc w:val="center"/>
        <w:rPr>
          <w:rFonts w:ascii="Times New Roman;serif" w:hAnsi="Times New Roman;serif"/>
          <w:b w:val="false"/>
          <w:sz w:val="20"/>
          <w:u w:val="single"/>
        </w:rPr>
      </w:pPr>
      <w:r>
        <w:rPr>
          <w:rFonts w:ascii="Times New Roman;serif" w:hAnsi="Times New Roman;serif"/>
          <w:b w:val="false"/>
          <w:sz w:val="20"/>
          <w:u w:val="single"/>
        </w:rPr>
        <w:t>(unaudited)</w:t>
      </w:r>
    </w:p>
    <w:p>
      <w:pPr>
        <w:pStyle w:val="TextBody"/>
        <w:spacing w:before="240" w:after="240"/>
        <w:jc w:val="left"/>
        <w:rPr>
          <w:rFonts w:ascii="Times New Roman;serif" w:hAnsi="Times New Roman;serif"/>
          <w:b/>
          <w:sz w:val="20"/>
        </w:rPr>
      </w:pPr>
      <w:r>
        <w:rPr>
          <w:rFonts w:ascii="Times New Roman;serif" w:hAnsi="Times New Roman;serif"/>
          <w:b/>
          <w:sz w:val="20"/>
        </w:rPr>
        <w:t>1. Basis of Reporting for Consolidated Financial Statements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2023 and the results of operations, cash flows and shareholders’ equity for the three months ended March 31, 2023 and 2022. The results of operations for the three months ended March 31, 2023 are not necessarily indicative of the results to be expected for the full year. The balance sheet as of December 31, 2022 has been derived from the audited consolidated financial statements included in the Company’s Annual Report on Form 10-K for the year ended December 31, 2022 as filed with the SEC on March 6, 2023 (the “Form 10-K”).</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These financial statements and accompanying notes should be read in conjunction with the audited financial statements and the notes thereto included in the Form 10-K.</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Unless otherwise indicated, all balances within tables are in thousands, except per share amounts.</w:t>
      </w:r>
    </w:p>
    <w:p>
      <w:pPr>
        <w:pStyle w:val="TextBody"/>
        <w:spacing w:before="240" w:after="240"/>
        <w:jc w:val="left"/>
        <w:rPr>
          <w:rFonts w:ascii="Times New Roman" w:hAnsi="Times New Roman"/>
          <w:sz w:val="20"/>
        </w:rPr>
      </w:pPr>
      <w:r>
        <w:rPr>
          <w:rFonts w:ascii="Times New Roman;serif" w:hAnsi="Times New Roman;serif"/>
          <w:b/>
          <w:sz w:val="20"/>
        </w:rPr>
        <w:t>2. New Financial Accounting Pronouncements</w:t>
      </w:r>
      <w:r>
        <w:rPr>
          <w:rFonts w:ascii="Times New Roman" w:hAnsi="Times New Roman"/>
          <w:sz w:val="20"/>
        </w:rPr>
        <w:t xml:space="preserve"> </w:t>
      </w:r>
    </w:p>
    <w:p>
      <w:pPr>
        <w:pStyle w:val="TextBody"/>
        <w:spacing w:before="240" w:after="240"/>
        <w:jc w:val="left"/>
        <w:rPr>
          <w:rFonts w:ascii="Times New Roman;serif" w:hAnsi="Times New Roman;serif"/>
          <w:b/>
          <w:sz w:val="20"/>
        </w:rPr>
      </w:pPr>
      <w:r>
        <w:rPr>
          <w:rFonts w:ascii="Times New Roman;serif" w:hAnsi="Times New Roman;serif"/>
          <w:b/>
          <w:sz w:val="20"/>
        </w:rPr>
        <w:t>Accounting Standards Adopted in Fiscal 2023</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On January 1, 2023, the beginning of the Company's fiscal year, the Company adopted Accounting Standards Update ("ASU") 2021-08, Business Combinations (Topic 805): Accounting for Contract Assets and Contract Liabilities from Contracts with Customers, which addresses how an acquirer should recognize and measure revenue contracts acquired in a business combination. The adoption of ASU 2021-08 did not have a material impact on the Company's financial statements.</w:t>
      </w:r>
    </w:p>
    <w:p>
      <w:pPr>
        <w:pStyle w:val="TextBody"/>
        <w:spacing w:before="240" w:after="240"/>
        <w:jc w:val="left"/>
        <w:rPr>
          <w:rFonts w:ascii="Times New Roman;serif" w:hAnsi="Times New Roman;serif"/>
          <w:b/>
          <w:sz w:val="20"/>
        </w:rPr>
      </w:pPr>
      <w:r>
        <w:rPr>
          <w:rFonts w:ascii="Times New Roman;serif" w:hAnsi="Times New Roman;serif"/>
          <w:b/>
          <w:sz w:val="20"/>
        </w:rPr>
        <w:t>Accounting Standards to be Adopted</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240"/>
        <w:jc w:val="left"/>
        <w:rPr>
          <w:rFonts w:ascii="Times New Roman;serif" w:hAnsi="Times New Roman;serif"/>
          <w:b/>
          <w:sz w:val="20"/>
        </w:rPr>
      </w:pPr>
      <w:r>
        <w:rPr>
          <w:rFonts w:ascii="Times New Roman;serif" w:hAnsi="Times New Roman;serif"/>
          <w:b/>
          <w:sz w:val="20"/>
        </w:rPr>
        <w:t xml:space="preserve">3. Accounts Receivable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Accounts receivable consisted of the following:</w:t>
      </w:r>
    </w:p>
    <w:tbl>
      <w:tblPr>
        <w:tblW w:w="6405" w:type="dxa"/>
        <w:jc w:val="left"/>
        <w:tblInd w:w="0" w:type="dxa"/>
        <w:tblCellMar>
          <w:top w:w="28" w:type="dxa"/>
          <w:left w:w="28" w:type="dxa"/>
          <w:bottom w:w="28" w:type="dxa"/>
          <w:right w:w="28" w:type="dxa"/>
        </w:tblCellMar>
      </w:tblPr>
      <w:tblGrid>
        <w:gridCol w:w="2776"/>
        <w:gridCol w:w="146"/>
        <w:gridCol w:w="268"/>
        <w:gridCol w:w="992"/>
        <w:gridCol w:w="166"/>
        <w:gridCol w:w="146"/>
        <w:gridCol w:w="357"/>
        <w:gridCol w:w="1143"/>
        <w:gridCol w:w="411"/>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114,044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87,306</w:t>
            </w:r>
          </w:p>
        </w:tc>
        <w:tc>
          <w:tcPr>
            <w:tcW w:w="4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doubtful accounts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83,086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 w:hAnsi="Times New Roman"/>
          <w:sz w:val="20"/>
        </w:rPr>
      </w:pPr>
      <w:r>
        <w:rPr>
          <w:rFonts w:ascii="Times New Roman;serif" w:hAnsi="Times New Roman;serif"/>
          <w:b w:val="false"/>
          <w:sz w:val="20"/>
        </w:rPr>
        <w:t>Balances billed but not paid by customers under retainage provisions in contracts within the Condensed Consolidated Balance Sheets amounted to approximately $1.5</w:t>
      </w:r>
      <w:r>
        <w:rPr>
          <w:rFonts w:ascii="Times New Roman" w:hAnsi="Times New Roman"/>
          <w:sz w:val="20"/>
        </w:rPr>
        <w:t xml:space="preserve"> </w:t>
      </w:r>
      <w:r>
        <w:rPr>
          <w:rFonts w:ascii="Times New Roman;serif" w:hAnsi="Times New Roman;serif"/>
          <w:b w:val="false"/>
          <w:sz w:val="20"/>
        </w:rPr>
        <w:t>million and $1.6</w:t>
      </w:r>
      <w:r>
        <w:rPr>
          <w:rFonts w:ascii="Times New Roman" w:hAnsi="Times New Roman"/>
          <w:sz w:val="20"/>
        </w:rPr>
        <w:t xml:space="preserve"> </w:t>
      </w:r>
      <w:r>
        <w:rPr>
          <w:rFonts w:ascii="Times New Roman;serif" w:hAnsi="Times New Roman;serif"/>
          <w:b w:val="false"/>
          <w:sz w:val="20"/>
        </w:rPr>
        <w:t>million at March 31, 2023 and December 31, 2022,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pStyle w:val="TextBody"/>
        <w:spacing w:before="240" w:after="240"/>
        <w:jc w:val="left"/>
        <w:rPr>
          <w:rFonts w:ascii="Times New Roman" w:hAnsi="Times New Roman"/>
          <w:sz w:val="20"/>
        </w:rPr>
      </w:pPr>
      <w:r>
        <w:rPr>
          <w:rFonts w:ascii="Times New Roman;serif" w:hAnsi="Times New Roman;serif"/>
          <w:b w:val="false"/>
          <w:sz w:val="20"/>
        </w:rPr>
        <w:t>Provision for credit losses was $0.1</w:t>
      </w:r>
      <w:r>
        <w:rPr>
          <w:rFonts w:ascii="Times New Roman" w:hAnsi="Times New Roman"/>
          <w:sz w:val="20"/>
        </w:rPr>
        <w:t xml:space="preserve"> </w:t>
      </w:r>
      <w:r>
        <w:rPr>
          <w:rFonts w:ascii="Times New Roman;serif" w:hAnsi="Times New Roman;serif"/>
          <w:b w:val="false"/>
          <w:sz w:val="20"/>
        </w:rPr>
        <w:t>million and zero</w:t>
      </w:r>
      <w:r>
        <w:rPr>
          <w:rFonts w:ascii="Times New Roman" w:hAnsi="Times New Roman"/>
          <w:sz w:val="20"/>
        </w:rPr>
        <w:t xml:space="preserve"> </w:t>
      </w:r>
      <w:r>
        <w:rPr>
          <w:rFonts w:ascii="Times New Roman;serif" w:hAnsi="Times New Roman;serif"/>
          <w:b w:val="false"/>
          <w:sz w:val="20"/>
        </w:rPr>
        <w:t>for the three months ended March 31, 2023 and 2022,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sz w:val="20"/>
        </w:rPr>
      </w:pPr>
      <w:r>
        <w:rPr>
          <w:rFonts w:ascii="Times New Roman;serif" w:hAnsi="Times New Roman;serif"/>
          <w:b/>
          <w:sz w:val="20"/>
        </w:rPr>
        <w:t>4. Inventories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Inventories consisted of the following:</w:t>
      </w:r>
    </w:p>
    <w:tbl>
      <w:tblPr>
        <w:tblW w:w="5730" w:type="dxa"/>
        <w:jc w:val="left"/>
        <w:tblInd w:w="0" w:type="dxa"/>
        <w:tblCellMar>
          <w:top w:w="28" w:type="dxa"/>
          <w:left w:w="28" w:type="dxa"/>
          <w:bottom w:w="28" w:type="dxa"/>
          <w:right w:w="28" w:type="dxa"/>
        </w:tblCellMar>
      </w:tblPr>
      <w:tblGrid>
        <w:gridCol w:w="2101"/>
        <w:gridCol w:w="146"/>
        <w:gridCol w:w="299"/>
        <w:gridCol w:w="961"/>
        <w:gridCol w:w="166"/>
        <w:gridCol w:w="146"/>
        <w:gridCol w:w="357"/>
        <w:gridCol w:w="1143"/>
        <w:gridCol w:w="411"/>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19,774</w:t>
            </w:r>
          </w:p>
        </w:tc>
        <w:tc>
          <w:tcPr>
            <w:tcW w:w="41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7,183</w:t>
            </w:r>
          </w:p>
        </w:tc>
        <w:tc>
          <w:tcPr>
            <w:tcW w:w="41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2,436</w:t>
            </w:r>
          </w:p>
        </w:tc>
        <w:tc>
          <w:tcPr>
            <w:tcW w:w="41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Obsolescence allowance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0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inventories</w:t>
            </w:r>
          </w:p>
        </w:tc>
        <w:tc>
          <w:tcPr>
            <w:tcW w:w="146" w:type="dxa"/>
            <w:tcBorders/>
            <w:shd w:fill="auto" w:val="clear"/>
            <w:vAlign w:val="center"/>
          </w:tcPr>
          <w:p>
            <w:pPr>
              <w:pStyle w:val="TableContents"/>
              <w:spacing w:before="0" w:after="0"/>
              <w:ind w:left="20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26,526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 w:hAnsi="Times New Roman"/>
          <w:sz w:val="20"/>
        </w:rPr>
      </w:pPr>
      <w:r>
        <w:rPr>
          <w:rFonts w:ascii="Times New Roman;serif" w:hAnsi="Times New Roman;serif"/>
          <w:b w:val="false"/>
          <w:sz w:val="20"/>
        </w:rPr>
        <w:t>Amounts credited to the allowance for obsolete inventory and charged to cost of sales amounted to $0.2</w:t>
      </w:r>
      <w:r>
        <w:rPr>
          <w:rFonts w:ascii="Times New Roman" w:hAnsi="Times New Roman"/>
          <w:sz w:val="20"/>
        </w:rPr>
        <w:t xml:space="preserve"> </w:t>
      </w:r>
      <w:r>
        <w:rPr>
          <w:rFonts w:ascii="Times New Roman;serif" w:hAnsi="Times New Roman;serif"/>
          <w:b w:val="false"/>
          <w:sz w:val="20"/>
        </w:rPr>
        <w:t>million for each of the three months ended March 31, 2023 and 2022.</w:t>
      </w:r>
    </w:p>
    <w:p>
      <w:pPr>
        <w:pStyle w:val="TextBody"/>
        <w:spacing w:before="240" w:after="240"/>
        <w:jc w:val="left"/>
        <w:rPr>
          <w:rFonts w:ascii="Times New Roman" w:hAnsi="Times New Roman"/>
          <w:sz w:val="20"/>
        </w:rPr>
      </w:pPr>
      <w:r>
        <w:rPr>
          <w:rFonts w:ascii="Times New Roman;serif" w:hAnsi="Times New Roman;serif"/>
          <w:b/>
          <w:sz w:val="20"/>
        </w:rPr>
        <w:t>5. Goodwill and Intangible Assets</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Goodwill activity for the three months ended March 31, 2023 and the year ended December 31, 2022 was as follows:</w:t>
      </w:r>
    </w:p>
    <w:tbl>
      <w:tblPr>
        <w:tblW w:w="8638" w:type="dxa"/>
        <w:jc w:val="left"/>
        <w:tblInd w:w="0" w:type="dxa"/>
        <w:tblCellMar>
          <w:top w:w="28" w:type="dxa"/>
          <w:left w:w="28" w:type="dxa"/>
          <w:bottom w:w="28" w:type="dxa"/>
          <w:right w:w="28" w:type="dxa"/>
        </w:tblCellMar>
      </w:tblPr>
      <w:tblGrid>
        <w:gridCol w:w="2641"/>
        <w:gridCol w:w="146"/>
        <w:gridCol w:w="281"/>
        <w:gridCol w:w="1043"/>
        <w:gridCol w:w="195"/>
        <w:gridCol w:w="195"/>
        <w:gridCol w:w="281"/>
        <w:gridCol w:w="763"/>
        <w:gridCol w:w="146"/>
        <w:gridCol w:w="146"/>
        <w:gridCol w:w="239"/>
        <w:gridCol w:w="887"/>
        <w:gridCol w:w="188"/>
        <w:gridCol w:w="165"/>
        <w:gridCol w:w="251"/>
        <w:gridCol w:w="680"/>
        <w:gridCol w:w="39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27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Goodwill / Tradename</w:t>
            </w:r>
          </w:p>
        </w:tc>
        <w:tc>
          <w:tcPr>
            <w:tcW w:w="146" w:type="dxa"/>
            <w:tcBorders/>
            <w:shd w:fill="auto" w:val="clear"/>
            <w:vAlign w:val="center"/>
          </w:tcPr>
          <w:p>
            <w:pPr>
              <w:pStyle w:val="TableContents"/>
              <w:spacing w:before="0" w:after="0"/>
              <w:ind w:left="0" w:right="0" w:hanging="0"/>
              <w:jc w:val="left"/>
              <w:rPr/>
            </w:pPr>
            <w:r>
              <w:rPr/>
              <w:t> </w:t>
            </w:r>
          </w:p>
        </w:tc>
        <w:tc>
          <w:tcPr>
            <w:tcW w:w="13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Goodwill</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0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Tradename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Goodwill</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Tradename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183,197</w:t>
            </w:r>
          </w:p>
        </w:tc>
        <w:tc>
          <w:tcPr>
            <w:tcW w:w="195"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161,183</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9,629</w:t>
            </w:r>
          </w:p>
        </w:tc>
        <w:tc>
          <w:tcPr>
            <w:tcW w:w="39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0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24,380</w:t>
            </w:r>
          </w:p>
        </w:tc>
        <w:tc>
          <w:tcPr>
            <w:tcW w:w="195"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76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23,312</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(1,298</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207,788</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183,197</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serif" w:hAnsi="Times New Roman;serif"/>
          <w:b w:val="false"/>
          <w:sz w:val="20"/>
        </w:rPr>
      </w:pPr>
      <w:r>
        <w:rPr>
          <w:rFonts w:ascii="Times New Roman;serif" w:hAnsi="Times New Roman;serif"/>
          <w:b w:val="false"/>
          <w:sz w:val="20"/>
        </w:rPr>
        <w:t>Finite life intangible assets consisted of the following:</w:t>
      </w:r>
    </w:p>
    <w:tbl>
      <w:tblPr>
        <w:tblW w:w="8603" w:type="dxa"/>
        <w:jc w:val="left"/>
        <w:tblInd w:w="0" w:type="dxa"/>
        <w:tblCellMar>
          <w:top w:w="28" w:type="dxa"/>
          <w:left w:w="28" w:type="dxa"/>
          <w:bottom w:w="28" w:type="dxa"/>
          <w:right w:w="28" w:type="dxa"/>
        </w:tblCellMar>
      </w:tblPr>
      <w:tblGrid>
        <w:gridCol w:w="2896"/>
        <w:gridCol w:w="146"/>
        <w:gridCol w:w="211"/>
        <w:gridCol w:w="781"/>
        <w:gridCol w:w="166"/>
        <w:gridCol w:w="146"/>
        <w:gridCol w:w="289"/>
        <w:gridCol w:w="926"/>
        <w:gridCol w:w="166"/>
        <w:gridCol w:w="146"/>
        <w:gridCol w:w="211"/>
        <w:gridCol w:w="781"/>
        <w:gridCol w:w="166"/>
        <w:gridCol w:w="146"/>
        <w:gridCol w:w="289"/>
        <w:gridCol w:w="926"/>
        <w:gridCol w:w="21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 Amort.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 Amort.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13,729</w:t>
            </w:r>
          </w:p>
        </w:tc>
        <w:tc>
          <w:tcPr>
            <w:tcW w:w="21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lists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87,151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57,540</w:t>
            </w:r>
          </w:p>
        </w:tc>
        <w:tc>
          <w:tcPr>
            <w:tcW w:w="21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Tradename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3,768</w:t>
            </w:r>
          </w:p>
        </w:tc>
        <w:tc>
          <w:tcPr>
            <w:tcW w:w="21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adjustments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 assets – finite life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76,521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109,916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74,665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serif" w:hAnsi="Times New Roman;serif"/>
          <w:b w:val="false"/>
          <w:sz w:val="20"/>
        </w:rPr>
      </w:pPr>
      <w:r>
        <w:rPr>
          <w:rFonts w:ascii="Times New Roman;serif" w:hAnsi="Times New Roman;serif"/>
          <w:b w:val="false"/>
          <w:sz w:val="20"/>
        </w:rPr>
        <w:t>Finite life intangible asset activity for the three months ended March 31, 2023 and 2022 was as follows:</w:t>
      </w:r>
    </w:p>
    <w:tbl>
      <w:tblPr>
        <w:tblW w:w="7264" w:type="dxa"/>
        <w:jc w:val="left"/>
        <w:tblInd w:w="0" w:type="dxa"/>
        <w:tblCellMar>
          <w:top w:w="28" w:type="dxa"/>
          <w:left w:w="28" w:type="dxa"/>
          <w:bottom w:w="28" w:type="dxa"/>
          <w:right w:w="28" w:type="dxa"/>
        </w:tblCellMar>
      </w:tblPr>
      <w:tblGrid>
        <w:gridCol w:w="4621"/>
        <w:gridCol w:w="146"/>
        <w:gridCol w:w="211"/>
        <w:gridCol w:w="676"/>
        <w:gridCol w:w="166"/>
        <w:gridCol w:w="146"/>
        <w:gridCol w:w="211"/>
        <w:gridCol w:w="676"/>
        <w:gridCol w:w="411"/>
      </w:tblGrid>
      <w:tr>
        <w:trPr/>
        <w:tc>
          <w:tcPr>
            <w:tcW w:w="4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 finite life, net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25,841</w:t>
            </w:r>
          </w:p>
        </w:tc>
        <w:tc>
          <w:tcPr>
            <w:tcW w:w="411" w:type="dxa"/>
            <w:tcBorders/>
            <w:shd w:fill="auto" w:val="clear"/>
            <w:vAlign w:val="center"/>
          </w:tcPr>
          <w:p>
            <w:pPr>
              <w:pStyle w:val="TableContents"/>
              <w:spacing w:before="0" w:after="0"/>
              <w:ind w:left="0" w:right="0" w:firstLine="200"/>
              <w:jc w:val="left"/>
              <w:rPr/>
            </w:pPr>
            <w:r>
              <w:rPr/>
              <w:t> </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46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adjustments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 finite life, net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24,281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 w:hAnsi="Times New Roman"/>
          <w:sz w:val="20"/>
        </w:rPr>
      </w:pPr>
      <w:r>
        <w:rPr>
          <w:rFonts w:ascii="Times New Roman;serif" w:hAnsi="Times New Roman;serif"/>
          <w:b w:val="false"/>
          <w:sz w:val="20"/>
        </w:rPr>
        <w:t>Amortization expense of finite life intangible assets was $1.7</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Amortization over the next five years for finite life intangibles is expected to be $5.2</w:t>
      </w:r>
      <w:r>
        <w:rPr>
          <w:rFonts w:ascii="Times New Roman" w:hAnsi="Times New Roman"/>
          <w:sz w:val="20"/>
        </w:rPr>
        <w:t xml:space="preserve"> </w:t>
      </w:r>
      <w:r>
        <w:rPr>
          <w:rFonts w:ascii="Times New Roman;serif" w:hAnsi="Times New Roman;serif"/>
          <w:b w:val="false"/>
          <w:sz w:val="20"/>
        </w:rPr>
        <w:t>million for the remainder of 2023, $6.3</w:t>
      </w:r>
      <w:r>
        <w:rPr>
          <w:rFonts w:ascii="Times New Roman" w:hAnsi="Times New Roman"/>
          <w:sz w:val="20"/>
        </w:rPr>
        <w:t xml:space="preserve"> </w:t>
      </w:r>
      <w:r>
        <w:rPr>
          <w:rFonts w:ascii="Times New Roman;serif" w:hAnsi="Times New Roman;serif"/>
          <w:b w:val="false"/>
          <w:sz w:val="20"/>
        </w:rPr>
        <w:t>million in 2024, $5.2</w:t>
      </w:r>
      <w:r>
        <w:rPr>
          <w:rFonts w:ascii="Times New Roman" w:hAnsi="Times New Roman"/>
          <w:sz w:val="20"/>
        </w:rPr>
        <w:t xml:space="preserve"> </w:t>
      </w:r>
      <w:r>
        <w:rPr>
          <w:rFonts w:ascii="Times New Roman;serif" w:hAnsi="Times New Roman;serif"/>
          <w:b w:val="false"/>
          <w:sz w:val="20"/>
        </w:rPr>
        <w:t>million in 2025, $3.8</w:t>
      </w:r>
      <w:r>
        <w:rPr>
          <w:rFonts w:ascii="Times New Roman" w:hAnsi="Times New Roman"/>
          <w:sz w:val="20"/>
        </w:rPr>
        <w:t xml:space="preserve"> </w:t>
      </w:r>
      <w:r>
        <w:rPr>
          <w:rFonts w:ascii="Times New Roman;serif" w:hAnsi="Times New Roman;serif"/>
          <w:b w:val="false"/>
          <w:sz w:val="20"/>
        </w:rPr>
        <w:t>million in 2026, and $3.6</w:t>
      </w:r>
      <w:r>
        <w:rPr>
          <w:rFonts w:ascii="Times New Roman" w:hAnsi="Times New Roman"/>
          <w:sz w:val="20"/>
        </w:rPr>
        <w:t xml:space="preserve"> </w:t>
      </w:r>
      <w:r>
        <w:rPr>
          <w:rFonts w:ascii="Times New Roman;serif" w:hAnsi="Times New Roman;serif"/>
          <w:b w:val="false"/>
          <w:sz w:val="20"/>
        </w:rPr>
        <w:t>million in 2027.</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 completes its goodwill and indefinite life intangible asset impairment assessment annually in the fourth quarter, or more often if circumstances require.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As of March 31, 2023, the Company reviewed its previous forecasts and assumptions based on its current projections, which are subject to various risks and uncertainties, including projected revenue, projected operational profit, terminal growth rates, and the cost of capital. The Company did not identify any triggering events during the three month period ended March 31, 2023 that would require an interim impairment assessment of goodwill or intangible assets.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Company’s assumptions about future conditions important to its assessment of potential impairment of its goodwill and indefinite life intangible assets are subject to uncertainty, and the Company will continue to monitor these conditions in future periods as new information becomes available, and will update its analysis accordingly.</w:t>
      </w:r>
    </w:p>
    <w:p>
      <w:pPr>
        <w:pStyle w:val="TextBody"/>
        <w:spacing w:before="120" w:after="240"/>
        <w:jc w:val="left"/>
        <w:rPr>
          <w:rFonts w:ascii="Times New Roman;serif" w:hAnsi="Times New Roman;serif"/>
          <w:b/>
          <w:sz w:val="20"/>
        </w:rPr>
      </w:pPr>
      <w:r>
        <w:rPr>
          <w:rFonts w:ascii="Times New Roman;serif" w:hAnsi="Times New Roman;serif"/>
          <w:b/>
          <w:sz w:val="20"/>
        </w:rPr>
        <w:t>6. Accounts Payable and Accrued Expenses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Accounts payable and accrued expenses consisted of the following:</w:t>
      </w:r>
    </w:p>
    <w:tbl>
      <w:tblPr>
        <w:tblW w:w="9035" w:type="dxa"/>
        <w:jc w:val="left"/>
        <w:tblInd w:w="0" w:type="dxa"/>
        <w:tblCellMar>
          <w:top w:w="28" w:type="dxa"/>
          <w:left w:w="28" w:type="dxa"/>
          <w:bottom w:w="28" w:type="dxa"/>
          <w:right w:w="28" w:type="dxa"/>
        </w:tblCellMar>
      </w:tblPr>
      <w:tblGrid>
        <w:gridCol w:w="5446"/>
        <w:gridCol w:w="146"/>
        <w:gridCol w:w="268"/>
        <w:gridCol w:w="992"/>
        <w:gridCol w:w="146"/>
        <w:gridCol w:w="146"/>
        <w:gridCol w:w="319"/>
        <w:gridCol w:w="1181"/>
        <w:gridCol w:w="391"/>
      </w:tblGrid>
      <w:tr>
        <w:trPr/>
        <w:tc>
          <w:tcPr>
            <w:tcW w:w="5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accounts payable, including amounts due to subcontractors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73,407</w:t>
            </w:r>
          </w:p>
        </w:tc>
        <w:tc>
          <w:tcPr>
            <w:tcW w:w="391" w:type="dxa"/>
            <w:tcBorders/>
            <w:shd w:fill="auto" w:val="clear"/>
            <w:vAlign w:val="center"/>
          </w:tcPr>
          <w:p>
            <w:pPr>
              <w:pStyle w:val="TableContents"/>
              <w:spacing w:before="0" w:after="0"/>
              <w:ind w:left="0" w:right="0" w:hanging="0"/>
              <w:jc w:val="left"/>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related benefits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9,577</w:t>
            </w:r>
          </w:p>
        </w:tc>
        <w:tc>
          <w:tcPr>
            <w:tcW w:w="391" w:type="dxa"/>
            <w:tcBorders/>
            <w:shd w:fill="auto" w:val="clear"/>
            <w:vAlign w:val="center"/>
          </w:tcPr>
          <w:p>
            <w:pPr>
              <w:pStyle w:val="TableContents"/>
              <w:spacing w:before="0" w:after="0"/>
              <w:ind w:left="0" w:right="0" w:hanging="0"/>
              <w:jc w:val="left"/>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warranty</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3,691</w:t>
            </w:r>
          </w:p>
        </w:tc>
        <w:tc>
          <w:tcPr>
            <w:tcW w:w="391" w:type="dxa"/>
            <w:tcBorders/>
            <w:shd w:fill="auto" w:val="clear"/>
            <w:vAlign w:val="center"/>
          </w:tcPr>
          <w:p>
            <w:pPr>
              <w:pStyle w:val="TableContents"/>
              <w:spacing w:before="0" w:after="0"/>
              <w:ind w:left="0" w:right="0" w:hanging="0"/>
              <w:jc w:val="left"/>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liability</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4,516</w:t>
            </w:r>
          </w:p>
        </w:tc>
        <w:tc>
          <w:tcPr>
            <w:tcW w:w="391" w:type="dxa"/>
            <w:tcBorders/>
            <w:shd w:fill="auto" w:val="clear"/>
            <w:vAlign w:val="center"/>
          </w:tcPr>
          <w:p>
            <w:pPr>
              <w:pStyle w:val="TableContents"/>
              <w:spacing w:before="0" w:after="0"/>
              <w:ind w:left="0" w:right="0" w:hanging="0"/>
              <w:jc w:val="left"/>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operating lease liability</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3,228</w:t>
            </w:r>
          </w:p>
        </w:tc>
        <w:tc>
          <w:tcPr>
            <w:tcW w:w="391" w:type="dxa"/>
            <w:tcBorders/>
            <w:shd w:fill="auto" w:val="clear"/>
            <w:vAlign w:val="center"/>
          </w:tcPr>
          <w:p>
            <w:pPr>
              <w:pStyle w:val="TableContents"/>
              <w:spacing w:before="0" w:after="0"/>
              <w:ind w:left="0" w:right="0" w:hanging="0"/>
              <w:jc w:val="left"/>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44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accounts payable and accrued expenses</w:t>
            </w:r>
          </w:p>
        </w:tc>
        <w:tc>
          <w:tcPr>
            <w:tcW w:w="146" w:type="dxa"/>
            <w:tcBorders/>
            <w:shd w:fill="auto" w:val="clear"/>
            <w:vAlign w:val="center"/>
          </w:tcPr>
          <w:p>
            <w:pPr>
              <w:pStyle w:val="TableContents"/>
              <w:spacing w:before="0" w:after="0"/>
              <w:ind w:left="20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107,198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240"/>
        <w:jc w:val="left"/>
        <w:rPr>
          <w:rFonts w:ascii="Times New Roman;serif" w:hAnsi="Times New Roman;serif"/>
          <w:b/>
          <w:sz w:val="20"/>
        </w:rPr>
      </w:pPr>
      <w:r>
        <w:rPr>
          <w:rFonts w:ascii="Times New Roman;serif" w:hAnsi="Times New Roman;serif"/>
          <w:b/>
          <w:sz w:val="20"/>
        </w:rPr>
        <w:t>7. Senior Debt</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Debt consisted of the following:</w:t>
      </w:r>
    </w:p>
    <w:tbl>
      <w:tblPr>
        <w:tblW w:w="10205" w:type="dxa"/>
        <w:jc w:val="left"/>
        <w:tblInd w:w="0" w:type="dxa"/>
        <w:tblCellMar>
          <w:top w:w="28" w:type="dxa"/>
          <w:left w:w="28" w:type="dxa"/>
          <w:bottom w:w="28" w:type="dxa"/>
          <w:right w:w="28" w:type="dxa"/>
        </w:tblCellMar>
      </w:tblPr>
      <w:tblGrid>
        <w:gridCol w:w="6689"/>
        <w:gridCol w:w="146"/>
        <w:gridCol w:w="261"/>
        <w:gridCol w:w="966"/>
        <w:gridCol w:w="166"/>
        <w:gridCol w:w="146"/>
        <w:gridCol w:w="305"/>
        <w:gridCol w:w="1132"/>
        <w:gridCol w:w="394"/>
      </w:tblGrid>
      <w:tr>
        <w:trPr/>
        <w:tc>
          <w:tcPr>
            <w:tcW w:w="66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6689"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89"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Outstanding borrowings under the Credit Facility (as defined below)</w:t>
              <w:br/>
              <w:t>   Term loan payable in</w:t>
            </w:r>
            <w:r>
              <w:rPr>
                <w:rFonts w:ascii="Times New Roman" w:hAnsi="Times New Roman"/>
                <w:sz w:val="20"/>
              </w:rPr>
              <w:t xml:space="preserve"> </w:t>
            </w:r>
            <w:r>
              <w:rPr>
                <w:rFonts w:ascii="Times New Roman;serif" w:hAnsi="Times New Roman;serif"/>
                <w:b w:val="false"/>
                <w:sz w:val="20"/>
              </w:rPr>
              <w:t>quarterly</w:t>
            </w:r>
            <w:r>
              <w:rPr>
                <w:rFonts w:ascii="Times New Roman" w:hAnsi="Times New Roman"/>
                <w:sz w:val="20"/>
              </w:rPr>
              <w:t> </w:t>
            </w:r>
            <w:r>
              <w:rPr>
                <w:rFonts w:ascii="Times New Roman;serif" w:hAnsi="Times New Roman;serif"/>
                <w:b w:val="false"/>
                <w:sz w:val="20"/>
              </w:rPr>
              <w:t>principal installments of $550</w:t>
            </w:r>
            <w:r>
              <w:rPr>
                <w:rFonts w:ascii="Times New Roman" w:hAnsi="Times New Roman"/>
                <w:sz w:val="20"/>
              </w:rPr>
              <w:t> </w:t>
            </w:r>
            <w:r>
              <w:rPr>
                <w:rFonts w:ascii="Times New Roman;serif" w:hAnsi="Times New Roman;serif"/>
                <w:b w:val="false"/>
                <w:sz w:val="20"/>
              </w:rPr>
              <w:t>through September 2023,</w:t>
              <w:br/>
              <w:t>   $825</w:t>
            </w:r>
            <w:r>
              <w:rPr>
                <w:rFonts w:ascii="Times New Roman" w:hAnsi="Times New Roman"/>
                <w:sz w:val="20"/>
              </w:rPr>
              <w:t> </w:t>
            </w:r>
            <w:r>
              <w:rPr>
                <w:rFonts w:ascii="Times New Roman;serif" w:hAnsi="Times New Roman;serif"/>
                <w:b w:val="false"/>
                <w:sz w:val="20"/>
              </w:rPr>
              <w:t>through September 2025 and $1,100</w:t>
            </w:r>
            <w:r>
              <w:rPr>
                <w:rFonts w:ascii="Times New Roman" w:hAnsi="Times New Roman"/>
                <w:sz w:val="20"/>
              </w:rPr>
              <w:t> </w:t>
            </w:r>
            <w:r>
              <w:rPr>
                <w:rFonts w:ascii="Times New Roman;serif" w:hAnsi="Times New Roman;serif"/>
                <w:b w:val="false"/>
                <w:sz w:val="20"/>
              </w:rPr>
              <w:t xml:space="preserve">thereafter with balance due upon maturity in </w:t>
              <w:br/>
              <w:t>   December 2026.</w:t>
            </w:r>
          </w:p>
        </w:tc>
        <w:tc>
          <w:tcPr>
            <w:tcW w:w="146" w:type="dxa"/>
            <w:tcBorders/>
            <w:shd w:fill="auto" w:val="clear"/>
            <w:vAlign w:val="center"/>
          </w:tcPr>
          <w:p>
            <w:pPr>
              <w:pStyle w:val="TableContents"/>
              <w:spacing w:before="0" w:after="0"/>
              <w:ind w:left="0" w:right="0" w:hanging="0"/>
              <w:jc w:val="left"/>
              <w:rPr/>
            </w:pPr>
            <w:r>
              <w:rPr/>
              <w:t> </w:t>
            </w:r>
          </w:p>
        </w:tc>
        <w:tc>
          <w:tcPr>
            <w:tcW w:w="122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7"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firstLine="200"/>
              <w:jc w:val="right"/>
              <w:rPr/>
            </w:pPr>
            <w:r>
              <w:rPr/>
              <w:t> </w:t>
            </w:r>
          </w:p>
        </w:tc>
      </w:tr>
      <w:tr>
        <w:trPr/>
        <w:tc>
          <w:tcPr>
            <w:tcW w:w="668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41,309</w:t>
            </w:r>
          </w:p>
        </w:tc>
        <w:tc>
          <w:tcPr>
            <w:tcW w:w="394" w:type="dxa"/>
            <w:tcBorders/>
            <w:shd w:fill="auto" w:val="clear"/>
            <w:vAlign w:val="center"/>
          </w:tcPr>
          <w:p>
            <w:pPr>
              <w:pStyle w:val="TableContents"/>
              <w:spacing w:before="0" w:after="0"/>
              <w:ind w:left="0" w:right="0" w:firstLine="200"/>
              <w:jc w:val="left"/>
              <w:rPr/>
            </w:pPr>
            <w:r>
              <w:rPr/>
              <w:t> </w:t>
            </w:r>
          </w:p>
        </w:tc>
      </w:tr>
      <w:tr>
        <w:trPr/>
        <w:tc>
          <w:tcPr>
            <w:tcW w:w="668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61,300</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outstanding borrowings under the Credit Facility</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102,609</w:t>
            </w:r>
          </w:p>
        </w:tc>
        <w:tc>
          <w:tcPr>
            <w:tcW w:w="394" w:type="dxa"/>
            <w:tcBorders/>
            <w:shd w:fill="auto" w:val="clear"/>
            <w:vAlign w:val="center"/>
          </w:tcPr>
          <w:p>
            <w:pPr>
              <w:pStyle w:val="TableContents"/>
              <w:spacing w:before="0" w:after="0"/>
              <w:ind w:left="0" w:right="0" w:hanging="0"/>
              <w:jc w:val="left"/>
              <w:rPr/>
            </w:pPr>
            <w:r>
              <w:rPr/>
              <w:t> </w:t>
            </w:r>
          </w:p>
        </w:tc>
      </w:tr>
      <w:tr>
        <w:trPr/>
        <w:tc>
          <w:tcPr>
            <w:tcW w:w="66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borrowings under the joint venture term debt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10,083</w:t>
            </w:r>
          </w:p>
        </w:tc>
        <w:tc>
          <w:tcPr>
            <w:tcW w:w="394" w:type="dxa"/>
            <w:tcBorders/>
            <w:shd w:fill="auto" w:val="clear"/>
            <w:vAlign w:val="center"/>
          </w:tcPr>
          <w:p>
            <w:pPr>
              <w:pStyle w:val="TableContents"/>
              <w:spacing w:before="0" w:after="0"/>
              <w:ind w:left="0" w:right="0" w:hanging="0"/>
              <w:jc w:val="left"/>
              <w:rPr/>
            </w:pPr>
            <w:r>
              <w:rPr/>
              <w:t> </w:t>
            </w:r>
          </w:p>
        </w:tc>
      </w:tr>
      <w:tr>
        <w:trPr/>
        <w:tc>
          <w:tcPr>
            <w:tcW w:w="66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outstanding borrowings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111,204</w:t>
            </w:r>
          </w:p>
        </w:tc>
        <w:tc>
          <w:tcPr>
            <w:tcW w:w="394" w:type="dxa"/>
            <w:tcBorders/>
            <w:shd w:fill="auto" w:val="clear"/>
            <w:vAlign w:val="center"/>
          </w:tcPr>
          <w:p>
            <w:pPr>
              <w:pStyle w:val="TableContents"/>
              <w:spacing w:before="0" w:after="0"/>
              <w:ind w:left="0" w:right="0" w:hanging="0"/>
              <w:jc w:val="left"/>
              <w:rPr/>
            </w:pPr>
            <w:r>
              <w:rPr/>
              <w:t> </w:t>
            </w:r>
          </w:p>
        </w:tc>
      </w:tr>
      <w:tr>
        <w:trPr/>
        <w:tc>
          <w:tcPr>
            <w:tcW w:w="6689"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Less: current portion</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(3,579</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debt, less current portion</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107,625</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 w:hAnsi="Times New Roman"/>
          <w:sz w:val="20"/>
        </w:rPr>
      </w:pPr>
      <w:r>
        <w:rPr>
          <w:rFonts w:ascii="Times New Roman;serif" w:hAnsi="Times New Roman;serif"/>
          <w:b w:val="false"/>
          <w:sz w:val="20"/>
        </w:rPr>
        <w:t>Scheduled principal payments under the Credit Facility and joint venture term debt are $3.0</w:t>
      </w:r>
      <w:r>
        <w:rPr>
          <w:rFonts w:ascii="Times New Roman" w:hAnsi="Times New Roman"/>
          <w:sz w:val="20"/>
        </w:rPr>
        <w:t xml:space="preserve"> </w:t>
      </w:r>
      <w:r>
        <w:rPr>
          <w:rFonts w:ascii="Times New Roman;serif" w:hAnsi="Times New Roman;serif"/>
          <w:b w:val="false"/>
          <w:sz w:val="20"/>
        </w:rPr>
        <w:t>million remaining in 2023, $4.9</w:t>
      </w:r>
      <w:r>
        <w:rPr>
          <w:rFonts w:ascii="Times New Roman" w:hAnsi="Times New Roman"/>
          <w:sz w:val="20"/>
        </w:rPr>
        <w:t xml:space="preserve"> </w:t>
      </w:r>
      <w:r>
        <w:rPr>
          <w:rFonts w:ascii="Times New Roman;serif" w:hAnsi="Times New Roman;serif"/>
          <w:b w:val="false"/>
          <w:sz w:val="20"/>
        </w:rPr>
        <w:t>million in 2024, $5.2</w:t>
      </w:r>
      <w:r>
        <w:rPr>
          <w:rFonts w:ascii="Times New Roman" w:hAnsi="Times New Roman"/>
          <w:sz w:val="20"/>
        </w:rPr>
        <w:t xml:space="preserve"> </w:t>
      </w:r>
      <w:r>
        <w:rPr>
          <w:rFonts w:ascii="Times New Roman;serif" w:hAnsi="Times New Roman;serif"/>
          <w:b w:val="false"/>
          <w:sz w:val="20"/>
        </w:rPr>
        <w:t>million in 2025, $129.5</w:t>
      </w:r>
      <w:r>
        <w:rPr>
          <w:rFonts w:ascii="Times New Roman" w:hAnsi="Times New Roman"/>
          <w:sz w:val="20"/>
        </w:rPr>
        <w:t xml:space="preserve"> </w:t>
      </w:r>
      <w:r>
        <w:rPr>
          <w:rFonts w:ascii="Times New Roman;serif" w:hAnsi="Times New Roman;serif"/>
          <w:b w:val="false"/>
          <w:sz w:val="20"/>
        </w:rPr>
        <w:t>million in 2026, and $3.9</w:t>
      </w:r>
      <w:r>
        <w:rPr>
          <w:rFonts w:ascii="Times New Roman" w:hAnsi="Times New Roman"/>
          <w:sz w:val="20"/>
        </w:rPr>
        <w:t xml:space="preserve"> </w:t>
      </w:r>
      <w:r>
        <w:rPr>
          <w:rFonts w:ascii="Times New Roman;serif" w:hAnsi="Times New Roman;serif"/>
          <w:b w:val="false"/>
          <w:sz w:val="20"/>
        </w:rPr>
        <w:t>million in 2027.</w:t>
      </w:r>
    </w:p>
    <w:p>
      <w:pPr>
        <w:pStyle w:val="TextBody"/>
        <w:spacing w:before="240" w:after="240"/>
        <w:jc w:val="left"/>
        <w:rPr>
          <w:rFonts w:ascii="Times New Roman;serif" w:hAnsi="Times New Roman;serif"/>
          <w:b w:val="false"/>
          <w:i/>
          <w:sz w:val="20"/>
        </w:rPr>
      </w:pPr>
      <w:r>
        <w:rPr>
          <w:rFonts w:ascii="Times New Roman;serif" w:hAnsi="Times New Roman;serif"/>
          <w:b w:val="false"/>
          <w:i/>
          <w:sz w:val="20"/>
        </w:rPr>
        <w:t>Credit Facility</w:t>
      </w:r>
    </w:p>
    <w:p>
      <w:pPr>
        <w:pStyle w:val="TextBody"/>
        <w:spacing w:before="240" w:after="240"/>
        <w:jc w:val="left"/>
        <w:rPr>
          <w:rFonts w:ascii="Times New Roman" w:hAnsi="Times New Roman"/>
          <w:sz w:val="20"/>
        </w:rPr>
      </w:pPr>
      <w:r>
        <w:rPr>
          <w:rFonts w:ascii="Times New Roman;serif" w:hAnsi="Times New Roman;serif"/>
          <w:b w:val="false"/>
          <w:sz w:val="20"/>
        </w:rPr>
        <w:t>As of March 31, 2023 and December 31, 2022, $16.5</w:t>
      </w:r>
      <w:r>
        <w:rPr>
          <w:rFonts w:ascii="Times New Roman" w:hAnsi="Times New Roman"/>
          <w:sz w:val="20"/>
        </w:rPr>
        <w:t xml:space="preserve"> </w:t>
      </w:r>
      <w:r>
        <w:rPr>
          <w:rFonts w:ascii="Times New Roman;serif" w:hAnsi="Times New Roman;serif"/>
          <w:b w:val="false"/>
          <w:sz w:val="20"/>
        </w:rPr>
        <w:t>million and $18.9</w:t>
      </w:r>
      <w:r>
        <w:rPr>
          <w:rFonts w:ascii="Times New Roman" w:hAnsi="Times New Roman"/>
          <w:sz w:val="20"/>
        </w:rPr>
        <w:t xml:space="preserve"> </w:t>
      </w:r>
      <w:r>
        <w:rPr>
          <w:rFonts w:ascii="Times New Roman;serif" w:hAnsi="Times New Roman;serif"/>
          <w:b w:val="false"/>
          <w:sz w:val="20"/>
        </w:rPr>
        <w:t>million of letters of credit were outstanding, respectively. Total unused credit availability, in consideration of borrowing limitations, under the Company’s senior secured term loan and senior secured revolver loan with sub-facilities for letters of credit, swing-line loans and senior secured multi-currency loans (the "Credit Facility") was $22.5</w:t>
      </w:r>
      <w:r>
        <w:rPr>
          <w:rFonts w:ascii="Times New Roman" w:hAnsi="Times New Roman"/>
          <w:sz w:val="20"/>
        </w:rPr>
        <w:t xml:space="preserve"> </w:t>
      </w:r>
      <w:r>
        <w:rPr>
          <w:rFonts w:ascii="Times New Roman;serif" w:hAnsi="Times New Roman;serif"/>
          <w:b w:val="false"/>
          <w:sz w:val="20"/>
        </w:rPr>
        <w:t>million and $59.8</w:t>
      </w:r>
      <w:r>
        <w:rPr>
          <w:rFonts w:ascii="Times New Roman" w:hAnsi="Times New Roman"/>
          <w:sz w:val="20"/>
        </w:rPr>
        <w:t xml:space="preserve"> </w:t>
      </w:r>
      <w:r>
        <w:rPr>
          <w:rFonts w:ascii="Times New Roman;serif" w:hAnsi="Times New Roman;serif"/>
          <w:b w:val="false"/>
          <w:sz w:val="20"/>
        </w:rPr>
        <w:t>million at March 31, 2023 and December 31, 2022, respectively. Revolving loans may be borrowed, repaid and reborrowed until December 17, 2026, at which time all outstanding balances of the Credit Facility must be repaid.</w:t>
      </w:r>
    </w:p>
    <w:p>
      <w:pPr>
        <w:pStyle w:val="TextBody"/>
        <w:spacing w:before="240" w:after="240"/>
        <w:jc w:val="left"/>
        <w:rPr>
          <w:rFonts w:ascii="Times New Roman" w:hAnsi="Times New Roman"/>
          <w:sz w:val="20"/>
        </w:rPr>
      </w:pPr>
      <w:r>
        <w:rPr>
          <w:rFonts w:ascii="Times New Roman;serif" w:hAnsi="Times New Roman;serif"/>
          <w:b w:val="false"/>
          <w:sz w:val="20"/>
        </w:rPr>
        <w:t>At the Company’s option, revolving loans and the term loans accrue interest at a per annum rate based on either the highest of (a) the federal funds rate plus 0.5%, (b) the Agent’s prime lending rate, (c) Daily Simple SOFR plus the Daily Simple SOFR Adjustment of 0.11448%</w:t>
      </w:r>
      <w:r>
        <w:rPr>
          <w:rFonts w:ascii="Times New Roman" w:hAnsi="Times New Roman"/>
          <w:sz w:val="20"/>
        </w:rPr>
        <w:t xml:space="preserve"> </w:t>
      </w:r>
      <w:r>
        <w:rPr>
          <w:rFonts w:ascii="Times New Roman;serif" w:hAnsi="Times New Roman;serif"/>
          <w:b w:val="false"/>
          <w:sz w:val="20"/>
        </w:rPr>
        <w:t>plus 1.0%, or (d) 1.0%, plus a margin ranging from 1.75% to 2.75% depending on the Company’s Consolidated Leverage Ratio (“Base Rate”), or (d) a one/three/six-month Term SOFR Rate (as defined in the Credit Facility) plus the Term SOFR Adjustment ranging from 0.11% to 0.43% plus 1.75% to 2.75% depending on the Company’s Consolidated Leverage Ratio. Interest on swing line loans is the Base Rate.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40" w:after="240"/>
        <w:jc w:val="left"/>
        <w:rPr>
          <w:rFonts w:ascii="Times New Roman" w:hAnsi="Times New Roman"/>
          <w:sz w:val="20"/>
        </w:rPr>
      </w:pPr>
      <w:r>
        <w:rPr>
          <w:rFonts w:ascii="Times New Roman;serif" w:hAnsi="Times New Roman;serif"/>
          <w:b w:val="false"/>
          <w:sz w:val="20"/>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7.33%</w:t>
      </w:r>
      <w:r>
        <w:rPr>
          <w:rFonts w:ascii="Times New Roman" w:hAnsi="Times New Roman"/>
          <w:sz w:val="20"/>
        </w:rPr>
        <w:t xml:space="preserve"> </w:t>
      </w:r>
      <w:r>
        <w:rPr>
          <w:rFonts w:ascii="Times New Roman;serif" w:hAnsi="Times New Roman;serif"/>
          <w:b w:val="false"/>
          <w:sz w:val="20"/>
        </w:rPr>
        <w:t>and 6.75%</w:t>
      </w:r>
      <w:r>
        <w:rPr>
          <w:rFonts w:ascii="Times New Roman" w:hAnsi="Times New Roman"/>
          <w:sz w:val="20"/>
        </w:rPr>
        <w:t xml:space="preserve"> </w:t>
      </w:r>
      <w:r>
        <w:rPr>
          <w:rFonts w:ascii="Times New Roman;serif" w:hAnsi="Times New Roman;serif"/>
          <w:b w:val="false"/>
          <w:sz w:val="20"/>
        </w:rPr>
        <w:t>at March 31, 2023 and December 31, 2022, respectively.</w:t>
      </w:r>
    </w:p>
    <w:p>
      <w:pPr>
        <w:pStyle w:val="TextBody"/>
        <w:spacing w:before="240" w:after="240"/>
        <w:jc w:val="left"/>
        <w:rPr>
          <w:rFonts w:ascii="Times New Roman" w:hAnsi="Times New Roman"/>
          <w:sz w:val="20"/>
        </w:rPr>
      </w:pPr>
      <w:r>
        <w:rPr>
          <w:rFonts w:ascii="Times New Roman;serif" w:hAnsi="Times New Roman;serif"/>
          <w:b w:val="false"/>
          <w:sz w:val="20"/>
        </w:rPr>
        <w:t>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w:t>
      </w:r>
      <w:r>
        <w:rPr>
          <w:rFonts w:ascii="Times New Roman" w:hAnsi="Times New Roman"/>
          <w:sz w:val="20"/>
        </w:rPr>
        <w:t xml:space="preserve"> </w:t>
      </w:r>
      <w:r>
        <w:rPr>
          <w:rFonts w:ascii="Times New Roman;serif" w:hAnsi="Times New Roman;serif"/>
          <w:b w:val="false"/>
          <w:sz w:val="20"/>
        </w:rPr>
        <w:t>until the end of the term of the Credit Facility.</w:t>
        <w:br/>
        <w:b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As of March 31, 2023 and December 31, 2022, the Company was in compliance with all related financial and other restrictive covenants under the Credit Facility.</w:t>
      </w:r>
    </w:p>
    <w:p>
      <w:pPr>
        <w:pStyle w:val="TextBody"/>
        <w:spacing w:before="240" w:after="240"/>
        <w:jc w:val="left"/>
        <w:rPr>
          <w:rFonts w:ascii="Times New Roman;serif" w:hAnsi="Times New Roman;serif"/>
          <w:b w:val="false"/>
          <w:i/>
          <w:sz w:val="20"/>
        </w:rPr>
      </w:pPr>
      <w:r>
        <w:rPr>
          <w:rFonts w:ascii="Times New Roman;serif" w:hAnsi="Times New Roman;serif"/>
          <w:b w:val="false"/>
          <w:i/>
          <w:sz w:val="20"/>
        </w:rPr>
        <w:t>Joint Venture Debt</w:t>
      </w:r>
    </w:p>
    <w:p>
      <w:pPr>
        <w:pStyle w:val="TextBody"/>
        <w:spacing w:before="240" w:after="240"/>
        <w:jc w:val="left"/>
        <w:rPr>
          <w:rFonts w:ascii="Times New Roman" w:hAnsi="Times New Roman"/>
          <w:sz w:val="20"/>
        </w:rPr>
      </w:pPr>
      <w:r>
        <w:rPr>
          <w:rFonts w:ascii="Times New Roman;serif" w:hAnsi="Times New Roman;serif"/>
          <w:b w:val="false"/>
          <w:sz w:val="20"/>
        </w:rPr>
        <w:t>On March 7, 2022, the Company's Effox-Flextor-Mader, Inc. joint venture ("EFM JV") entered into a loan agreement secured by the assets of the EFM JV in the aggregate principal amount of $11.0</w:t>
      </w:r>
      <w:r>
        <w:rPr>
          <w:rFonts w:ascii="Times New Roman" w:hAnsi="Times New Roman"/>
          <w:sz w:val="20"/>
        </w:rPr>
        <w:t xml:space="preserve"> </w:t>
      </w:r>
      <w:r>
        <w:rPr>
          <w:rFonts w:ascii="Times New Roman;serif" w:hAnsi="Times New Roman;serif"/>
          <w:b w:val="false"/>
          <w:sz w:val="20"/>
        </w:rPr>
        <w:t>million for the acquisition of General Rubber, LLC ("GRC"). As of March 31, 2023 and December 31, 2022, $9.7</w:t>
      </w:r>
      <w:r>
        <w:rPr>
          <w:rFonts w:ascii="Times New Roman" w:hAnsi="Times New Roman"/>
          <w:sz w:val="20"/>
        </w:rPr>
        <w:t xml:space="preserve"> </w:t>
      </w:r>
      <w:r>
        <w:rPr>
          <w:rFonts w:ascii="Times New Roman;serif" w:hAnsi="Times New Roman;serif"/>
          <w:b w:val="false"/>
          <w:sz w:val="20"/>
        </w:rPr>
        <w:t>million and $10.1</w:t>
      </w:r>
      <w:r>
        <w:rPr>
          <w:rFonts w:ascii="Times New Roman" w:hAnsi="Times New Roman"/>
          <w:sz w:val="20"/>
        </w:rPr>
        <w:t xml:space="preserve"> </w:t>
      </w:r>
      <w:r>
        <w:rPr>
          <w:rFonts w:ascii="Times New Roman;serif" w:hAnsi="Times New Roman;serif"/>
          <w:b w:val="false"/>
          <w:sz w:val="20"/>
        </w:rPr>
        <w:t>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March 31, 2023 and December 31, 2022 was 8.40%</w:t>
      </w:r>
      <w:r>
        <w:rPr>
          <w:rFonts w:ascii="Times New Roman" w:hAnsi="Times New Roman"/>
          <w:sz w:val="20"/>
        </w:rPr>
        <w:t xml:space="preserve"> </w:t>
      </w:r>
      <w:r>
        <w:rPr>
          <w:rFonts w:ascii="Times New Roman;serif" w:hAnsi="Times New Roman;serif"/>
          <w:b w:val="false"/>
          <w:sz w:val="20"/>
        </w:rPr>
        <w:t>and 6.60%, respectively. As of March 31, 2023 and December 31, 2022, the EFM JV was in compliance with all related financial and other restrictive covenants under this loan agreement. This loan balance does not impact the Company’s borrowing capacity or the financial covenants under the Credit Facility.</w:t>
      </w:r>
    </w:p>
    <w:p>
      <w:pPr>
        <w:pStyle w:val="TextBody"/>
        <w:spacing w:before="240" w:after="240"/>
        <w:jc w:val="left"/>
        <w:rPr>
          <w:rFonts w:ascii="Times New Roman;serif" w:hAnsi="Times New Roman;serif"/>
          <w:b w:val="false"/>
          <w:i/>
          <w:sz w:val="20"/>
        </w:rPr>
      </w:pPr>
      <w:r>
        <w:rPr>
          <w:rFonts w:ascii="Times New Roman;serif" w:hAnsi="Times New Roman;serif"/>
          <w:b w:val="false"/>
          <w:i/>
          <w:sz w:val="20"/>
        </w:rPr>
        <w:t>Foreign Debt</w:t>
      </w:r>
    </w:p>
    <w:p>
      <w:pPr>
        <w:pStyle w:val="TextBody"/>
        <w:spacing w:before="240" w:after="240"/>
        <w:jc w:val="left"/>
        <w:rPr>
          <w:rFonts w:ascii="Times New Roman;serif" w:hAnsi="Times New Roman;serif"/>
          <w:sz w:val="20"/>
        </w:rPr>
      </w:pPr>
      <w:r>
        <w:rPr>
          <w:rFonts w:ascii="Times New Roman;serif" w:hAnsi="Times New Roman;serif"/>
          <w:b w:val="false"/>
          <w:sz w:val="20"/>
        </w:rPr>
        <w:t>The Company has a number of bank guarantee facilities and bilateral lines of credit in various foreign countries currently supported by cash, letters of credit or pledged assets and collateral under the Credit Facility. In March 2023, the Company amended the Credit Facility, allowing letters of credit and bank guarantee issuances of up to $80.0</w:t>
      </w:r>
      <w:r>
        <w:rPr>
          <w:rFonts w:ascii="Times New Roman;serif" w:hAnsi="Times New Roman;serif"/>
          <w:sz w:val="20"/>
        </w:rPr>
        <w:t xml:space="preserve"> </w:t>
      </w:r>
      <w:r>
        <w:rPr>
          <w:rFonts w:ascii="Times New Roman;serif" w:hAnsi="Times New Roman;serif"/>
          <w:b w:val="false"/>
          <w:sz w:val="20"/>
        </w:rPr>
        <w:t>million from the bilateral lines of credit secured through pledged assets and collateral under the Credit Facility. As of March 31, 2023 and December 31, 2022, $33.2</w:t>
      </w:r>
      <w:r>
        <w:rPr>
          <w:rFonts w:ascii="Times New Roman;serif" w:hAnsi="Times New Roman;serif"/>
          <w:sz w:val="20"/>
        </w:rPr>
        <w:t xml:space="preserve"> </w:t>
      </w:r>
      <w:r>
        <w:rPr>
          <w:rFonts w:ascii="Times New Roman;serif" w:hAnsi="Times New Roman;serif"/>
          <w:b w:val="false"/>
          <w:sz w:val="20"/>
        </w:rPr>
        <w:t>million and $30.4</w:t>
      </w:r>
      <w:r>
        <w:rPr>
          <w:rFonts w:ascii="Times New Roman;serif" w:hAnsi="Times New Roman;serif"/>
          <w:sz w:val="20"/>
        </w:rPr>
        <w:t xml:space="preserve"> </w:t>
      </w:r>
      <w:r>
        <w:rPr>
          <w:rFonts w:ascii="Times New Roman;serif" w:hAnsi="Times New Roman;serif"/>
          <w:b w:val="false"/>
          <w:sz w:val="20"/>
        </w:rPr>
        <w:t>million in bank guarantees were outstanding, respectively. In addition, a subsidiary of the Company located in the Netherlands has a Euro-denominated bank guarantee agreement secured by local assets under which $0.6</w:t>
      </w:r>
      <w:r>
        <w:rPr>
          <w:rFonts w:ascii="Times New Roman;serif" w:hAnsi="Times New Roman;serif"/>
          <w:sz w:val="20"/>
        </w:rPr>
        <w:t xml:space="preserve"> </w:t>
      </w:r>
      <w:r>
        <w:rPr>
          <w:rFonts w:ascii="Times New Roman;serif" w:hAnsi="Times New Roman;serif"/>
          <w:b w:val="false"/>
          <w:sz w:val="20"/>
        </w:rPr>
        <w:t xml:space="preserve">million in bank guarantees were outstanding as of March 31, 2023 and December 31, 2022. </w:t>
      </w:r>
    </w:p>
    <w:p>
      <w:pPr>
        <w:pStyle w:val="TextBody"/>
        <w:spacing w:before="240" w:after="240"/>
        <w:jc w:val="left"/>
        <w:rPr>
          <w:rFonts w:ascii="Times New Roman;serif" w:hAnsi="Times New Roman;serif"/>
          <w:b/>
          <w:sz w:val="20"/>
        </w:rPr>
      </w:pPr>
      <w:r>
        <w:rPr>
          <w:rFonts w:ascii="Times New Roman;serif" w:hAnsi="Times New Roman;serif"/>
          <w:b/>
          <w:sz w:val="20"/>
        </w:rPr>
        <w:t>8. Earnings per Share</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computational components of basic and diluted earnings per share for the three months ended March 31, 2023 and 2022 are as follows:</w:t>
      </w:r>
    </w:p>
    <w:tbl>
      <w:tblPr>
        <w:tblW w:w="9124" w:type="dxa"/>
        <w:jc w:val="left"/>
        <w:tblInd w:w="0" w:type="dxa"/>
        <w:tblCellMar>
          <w:top w:w="28" w:type="dxa"/>
          <w:left w:w="28" w:type="dxa"/>
          <w:bottom w:w="28" w:type="dxa"/>
          <w:right w:w="28" w:type="dxa"/>
        </w:tblCellMar>
      </w:tblPr>
      <w:tblGrid>
        <w:gridCol w:w="6721"/>
        <w:gridCol w:w="146"/>
        <w:gridCol w:w="211"/>
        <w:gridCol w:w="676"/>
        <w:gridCol w:w="146"/>
        <w:gridCol w:w="146"/>
        <w:gridCol w:w="211"/>
        <w:gridCol w:w="676"/>
        <w:gridCol w:w="191"/>
      </w:tblGrid>
      <w:tr>
        <w:trPr/>
        <w:tc>
          <w:tcPr>
            <w:tcW w:w="6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7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16"/>
              </w:rPr>
              <w:t>(in thousands)</w:t>
            </w:r>
            <w:r>
              <w:rPr>
                <w:rFonts w:ascii="Times New Roman;serif" w:hAnsi="Times New Roman;serif"/>
                <w:b/>
                <w:sz w:val="20"/>
              </w:rPr>
              <w:br/>
              <w:t xml:space="preserve">Numerator </w:t>
            </w:r>
            <w:r>
              <w:rPr>
                <w:rFonts w:ascii="Times New Roman;serif" w:hAnsi="Times New Roman;serif"/>
                <w:b w:val="false"/>
                <w:sz w:val="20"/>
              </w:rPr>
              <w:t>(for basic and 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67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Net income attributable to CECO Environmental Corp.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weighted-average shares outstanding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35,051</w:t>
            </w:r>
          </w:p>
        </w:tc>
        <w:tc>
          <w:tcPr>
            <w:tcW w:w="19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Common stock equivalents arising from stock options and restricted stock awards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weighted-average shares outstanding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35,199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 w:hAnsi="Times New Roman"/>
          <w:sz w:val="20"/>
        </w:rPr>
      </w:pPr>
      <w:r>
        <w:rPr>
          <w:rFonts w:ascii="Times New Roman;serif" w:hAnsi="Times New Roman;serif"/>
          <w:b w:val="false"/>
          <w:sz w:val="20"/>
        </w:rPr>
        <w:t>Options and restricted stock units included in the computation of diluted earnings per share are calculated using the treasury stock method. For the three months ended March 31, 2023 and 2022, zero</w:t>
      </w:r>
      <w:r>
        <w:rPr>
          <w:rFonts w:ascii="Times New Roman" w:hAnsi="Times New Roman"/>
          <w:sz w:val="20"/>
        </w:rPr>
        <w:t xml:space="preserve"> </w:t>
      </w:r>
      <w:r>
        <w:rPr>
          <w:rFonts w:ascii="Times New Roman;serif" w:hAnsi="Times New Roman;serif"/>
          <w:b w:val="false"/>
          <w:sz w:val="20"/>
        </w:rPr>
        <w:t>and 2.1</w:t>
      </w:r>
      <w:r>
        <w:rPr>
          <w:rFonts w:ascii="Times New Roman" w:hAnsi="Times New Roman"/>
          <w:sz w:val="20"/>
        </w:rPr>
        <w:t xml:space="preserve"> </w:t>
      </w:r>
      <w:r>
        <w:rPr>
          <w:rFonts w:ascii="Times New Roman;serif" w:hAnsi="Times New Roman;serif"/>
          <w:b w:val="false"/>
          <w:sz w:val="20"/>
        </w:rPr>
        <w:t>million, respectively, of outstanding options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and restricted stock units were excluded from the computation of diluted earnings per share due to their having an anti-dilutive effect.</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Once a restricted stock unit vests, it is included in the computation of weighted average shares outstanding for purposes of basic and diluted earnings per share.</w:t>
      </w:r>
    </w:p>
    <w:p>
      <w:pPr>
        <w:pStyle w:val="TextBody"/>
        <w:spacing w:before="240" w:after="240"/>
        <w:jc w:val="left"/>
        <w:rPr>
          <w:rFonts w:ascii="Times New Roman;serif" w:hAnsi="Times New Roman;serif"/>
          <w:b w:val="false"/>
          <w:i/>
          <w:sz w:val="20"/>
        </w:rPr>
      </w:pPr>
      <w:r>
        <w:rPr>
          <w:rFonts w:ascii="Times New Roman;serif" w:hAnsi="Times New Roman;serif"/>
          <w:b w:val="false"/>
          <w:i/>
          <w:sz w:val="20"/>
        </w:rPr>
        <w:t>Common Stock Repurchase</w:t>
      </w:r>
    </w:p>
    <w:p>
      <w:pPr>
        <w:pStyle w:val="TextBody"/>
        <w:spacing w:before="240" w:after="240"/>
        <w:jc w:val="left"/>
        <w:rPr>
          <w:rFonts w:ascii="Times New Roman" w:hAnsi="Times New Roman"/>
          <w:sz w:val="20"/>
        </w:rPr>
      </w:pPr>
      <w:r>
        <w:rPr>
          <w:rFonts w:ascii="Times New Roman;serif" w:hAnsi="Times New Roman;serif"/>
          <w:b w:val="false"/>
          <w:sz w:val="20"/>
        </w:rPr>
        <w:t>On May 10, 2022, the Company's Board of Directors authorized a share repurchase program under which the Company may purchase up to $20.0</w:t>
      </w:r>
      <w:r>
        <w:rPr>
          <w:rFonts w:ascii="Times New Roman" w:hAnsi="Times New Roman"/>
          <w:sz w:val="20"/>
        </w:rPr>
        <w:t xml:space="preserve"> </w:t>
      </w:r>
      <w:r>
        <w:rPr>
          <w:rFonts w:ascii="Times New Roman;serif" w:hAnsi="Times New Roman;serif"/>
          <w:b w:val="false"/>
          <w:sz w:val="20"/>
        </w:rPr>
        <w:t>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three months ended March 31, 2023, the Company repurchased zero</w:t>
      </w:r>
      <w:r>
        <w:rPr>
          <w:rFonts w:ascii="Times New Roman" w:hAnsi="Times New Roman"/>
          <w:sz w:val="20"/>
        </w:rPr>
        <w:t xml:space="preserve"> </w:t>
      </w:r>
      <w:r>
        <w:rPr>
          <w:rFonts w:ascii="Times New Roman;serif" w:hAnsi="Times New Roman;serif"/>
          <w:b w:val="false"/>
          <w:sz w:val="20"/>
        </w:rPr>
        <w:t>shares under the program.</w:t>
      </w:r>
    </w:p>
    <w:p>
      <w:pPr>
        <w:pStyle w:val="TextBody"/>
        <w:spacing w:before="240" w:after="240"/>
        <w:jc w:val="left"/>
        <w:rPr>
          <w:rFonts w:ascii="Times New Roman;serif" w:hAnsi="Times New Roman;serif"/>
          <w:b/>
          <w:sz w:val="20"/>
        </w:rPr>
      </w:pPr>
      <w:r>
        <w:rPr>
          <w:rFonts w:ascii="Times New Roman;serif" w:hAnsi="Times New Roman;serif"/>
          <w:b/>
          <w:sz w:val="20"/>
        </w:rPr>
        <w:t>9. Share-Based Compensation</w:t>
      </w:r>
    </w:p>
    <w:p>
      <w:pPr>
        <w:pStyle w:val="TextBody"/>
        <w:spacing w:before="240" w:after="240"/>
        <w:jc w:val="left"/>
        <w:rPr>
          <w:rFonts w:ascii="Times New Roman" w:hAnsi="Times New Roman"/>
          <w:sz w:val="20"/>
        </w:rPr>
      </w:pPr>
      <w:r>
        <w:rPr>
          <w:rFonts w:ascii="Times New Roman;serif" w:hAnsi="Times New Roman;serif"/>
          <w:b w:val="false"/>
          <w:sz w:val="20"/>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$0.8</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of share-based compensation related expense during the three months ended March 31, 2023 and 2022, respectively.</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The Company granted approximately 340,000</w:t>
      </w:r>
      <w:r>
        <w:rPr>
          <w:rFonts w:ascii="Times New Roman" w:hAnsi="Times New Roman"/>
          <w:sz w:val="20"/>
        </w:rPr>
        <w:t xml:space="preserve"> </w:t>
      </w:r>
      <w:r>
        <w:rPr>
          <w:rFonts w:ascii="Times New Roman;serif" w:hAnsi="Times New Roman;serif"/>
          <w:b w:val="false"/>
          <w:sz w:val="20"/>
        </w:rPr>
        <w:t>and 600,000</w:t>
      </w:r>
      <w:r>
        <w:rPr>
          <w:rFonts w:ascii="Times New Roman" w:hAnsi="Times New Roman"/>
          <w:sz w:val="20"/>
        </w:rPr>
        <w:t xml:space="preserve"> </w:t>
      </w:r>
      <w:r>
        <w:rPr>
          <w:rFonts w:ascii="Times New Roman;serif" w:hAnsi="Times New Roman;serif"/>
          <w:b w:val="false"/>
          <w:sz w:val="20"/>
        </w:rPr>
        <w:t>restricted stock units during the three months ended March 31, 2023 and 2022, respectively.</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There were 0.1</w:t>
      </w:r>
      <w:r>
        <w:rPr>
          <w:rFonts w:ascii="Times New Roman" w:hAnsi="Times New Roman"/>
          <w:sz w:val="20"/>
        </w:rPr>
        <w:t xml:space="preserve"> </w:t>
      </w:r>
      <w:r>
        <w:rPr>
          <w:rFonts w:ascii="Times New Roman;serif" w:hAnsi="Times New Roman;serif"/>
          <w:b w:val="false"/>
          <w:sz w:val="20"/>
        </w:rPr>
        <w:t>million and zero</w:t>
      </w:r>
      <w:r>
        <w:rPr>
          <w:rFonts w:ascii="Times New Roman" w:hAnsi="Times New Roman"/>
          <w:sz w:val="20"/>
        </w:rPr>
        <w:t xml:space="preserve"> </w:t>
      </w:r>
      <w:r>
        <w:rPr>
          <w:rFonts w:ascii="Times New Roman;serif" w:hAnsi="Times New Roman;serif"/>
          <w:b w:val="false"/>
          <w:sz w:val="20"/>
        </w:rPr>
        <w:t>options exercised during the three months ended March 31, 2023 and 2022, respectively. The Company received $0.6</w:t>
      </w:r>
      <w:r>
        <w:rPr>
          <w:rFonts w:ascii="Times New Roman" w:hAnsi="Times New Roman"/>
          <w:sz w:val="20"/>
        </w:rPr>
        <w:t xml:space="preserve"> </w:t>
      </w:r>
      <w:r>
        <w:rPr>
          <w:rFonts w:ascii="Times New Roman;serif" w:hAnsi="Times New Roman;serif"/>
          <w:b w:val="false"/>
          <w:sz w:val="20"/>
        </w:rPr>
        <w:t>million and zero</w:t>
      </w:r>
      <w:r>
        <w:rPr>
          <w:rFonts w:ascii="Times New Roman" w:hAnsi="Times New Roman"/>
          <w:sz w:val="20"/>
        </w:rPr>
        <w:t xml:space="preserve"> </w:t>
      </w:r>
      <w:r>
        <w:rPr>
          <w:rFonts w:ascii="Times New Roman;serif" w:hAnsi="Times New Roman;serif"/>
          <w:b w:val="false"/>
          <w:sz w:val="20"/>
        </w:rPr>
        <w:t>in cash from employees and directors exercising options during the three months ended March 31, 2023 and 2022, respectively. The intrinsic value of options exercised during the three months ended March 31, 2023 and 2022 was $0.2</w:t>
      </w:r>
      <w:r>
        <w:rPr>
          <w:rFonts w:ascii="Times New Roman" w:hAnsi="Times New Roman"/>
          <w:sz w:val="20"/>
        </w:rPr>
        <w:t xml:space="preserve"> </w:t>
      </w:r>
      <w:r>
        <w:rPr>
          <w:rFonts w:ascii="Times New Roman;serif" w:hAnsi="Times New Roman;serif"/>
          <w:b w:val="false"/>
          <w:sz w:val="20"/>
        </w:rPr>
        <w:t>million and zero, respectively.</w:t>
      </w:r>
    </w:p>
    <w:p>
      <w:pPr>
        <w:pStyle w:val="TextBody"/>
        <w:spacing w:before="240" w:after="240"/>
        <w:jc w:val="left"/>
        <w:rPr>
          <w:rFonts w:ascii="Times New Roman;serif" w:hAnsi="Times New Roman;serif"/>
          <w:b/>
          <w:sz w:val="20"/>
        </w:rPr>
      </w:pPr>
      <w:r>
        <w:rPr>
          <w:rFonts w:ascii="Times New Roman;serif" w:hAnsi="Times New Roman;serif"/>
          <w:b/>
          <w:sz w:val="20"/>
        </w:rPr>
        <w:t>10. Pension and Employee Benefit Plans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 sponsors a non-contributory defined benefit pension plan for certain union employees. The plan is funded in accordance with the funding requirements of the Employee Retirement Income Security Act of 1974.</w:t>
      </w:r>
    </w:p>
    <w:p>
      <w:pPr>
        <w:pStyle w:val="TextBody"/>
        <w:spacing w:before="240" w:after="240"/>
        <w:jc w:val="left"/>
        <w:rPr>
          <w:rFonts w:ascii="Times New Roman" w:hAnsi="Times New Roman"/>
          <w:sz w:val="20"/>
        </w:rPr>
      </w:pPr>
      <w:r>
        <w:rPr>
          <w:rFonts w:ascii="Times New Roman;serif" w:hAnsi="Times New Roman;serif"/>
          <w:b w:val="false"/>
          <w:sz w:val="20"/>
        </w:rPr>
        <w:t>The Company presents the components of net periodic benefit cost (gain) within “Other income (expense), net” on the Condensed Consolidated Statements of Income.</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Retirement plan expense is based on valuations performed by plan actuaries as of the beginning of each fiscal year. The components of the pension plan expense consisted of the following:</w:t>
      </w:r>
    </w:p>
    <w:tbl>
      <w:tblPr>
        <w:tblW w:w="5532" w:type="dxa"/>
        <w:jc w:val="left"/>
        <w:tblInd w:w="0" w:type="dxa"/>
        <w:tblCellMar>
          <w:top w:w="28" w:type="dxa"/>
          <w:left w:w="28" w:type="dxa"/>
          <w:bottom w:w="28" w:type="dxa"/>
          <w:right w:w="28" w:type="dxa"/>
        </w:tblCellMar>
      </w:tblPr>
      <w:tblGrid>
        <w:gridCol w:w="2821"/>
        <w:gridCol w:w="146"/>
        <w:gridCol w:w="293"/>
        <w:gridCol w:w="668"/>
        <w:gridCol w:w="230"/>
        <w:gridCol w:w="202"/>
        <w:gridCol w:w="293"/>
        <w:gridCol w:w="668"/>
        <w:gridCol w:w="211"/>
      </w:tblGrid>
      <w:tr>
        <w:trPr/>
        <w:tc>
          <w:tcPr>
            <w:tcW w:w="2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230"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211" w:type="dxa"/>
            <w:tcBorders/>
            <w:shd w:fill="auto" w:val="cle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return on plan assets</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2"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net actuarial loss</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periodic benefit cost (gain)</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240"/>
        <w:jc w:val="left"/>
        <w:rPr>
          <w:rFonts w:ascii="Times New Roman" w:hAnsi="Times New Roman"/>
          <w:sz w:val="20"/>
        </w:rPr>
      </w:pPr>
      <w:r>
        <w:rPr>
          <w:rFonts w:ascii="Times New Roman;serif" w:hAnsi="Times New Roman;serif"/>
          <w:b w:val="false"/>
          <w:sz w:val="20"/>
        </w:rPr>
        <w:t>The Company made no</w:t>
      </w:r>
      <w:r>
        <w:rPr>
          <w:rFonts w:ascii="Times New Roman" w:hAnsi="Times New Roman"/>
          <w:sz w:val="20"/>
        </w:rPr>
        <w:t xml:space="preserve"> </w:t>
      </w:r>
      <w:r>
        <w:rPr>
          <w:rFonts w:ascii="Times New Roman;serif" w:hAnsi="Times New Roman;serif"/>
          <w:b w:val="false"/>
          <w:sz w:val="20"/>
        </w:rPr>
        <w:t>contributions to its defined benefit plan during the three months ended March 31, 2023 and 2022. For the remainder of 2023, the Company does not expect to make any contributions to fund the pension plan. The unfunded liability of the plan of $5.6</w:t>
      </w:r>
      <w:r>
        <w:rPr>
          <w:rFonts w:ascii="Times New Roman" w:hAnsi="Times New Roman"/>
          <w:sz w:val="20"/>
        </w:rPr>
        <w:t xml:space="preserve"> </w:t>
      </w:r>
      <w:r>
        <w:rPr>
          <w:rFonts w:ascii="Times New Roman;serif" w:hAnsi="Times New Roman;serif"/>
          <w:b w:val="false"/>
          <w:sz w:val="20"/>
        </w:rPr>
        <w:t>million and $5.5</w:t>
      </w:r>
      <w:r>
        <w:rPr>
          <w:rFonts w:ascii="Times New Roman" w:hAnsi="Times New Roman"/>
          <w:sz w:val="20"/>
        </w:rPr>
        <w:t xml:space="preserve"> </w:t>
      </w:r>
      <w:r>
        <w:rPr>
          <w:rFonts w:ascii="Times New Roman;serif" w:hAnsi="Times New Roman;serif"/>
          <w:b w:val="false"/>
          <w:sz w:val="20"/>
        </w:rPr>
        <w:t>million as of March 31, 2023 and December 31, 2022, respectively, is included in “Other liabilities” on the Condensed Consolidated Balance Sheets.</w:t>
      </w:r>
    </w:p>
    <w:p>
      <w:pPr>
        <w:pStyle w:val="TextBody"/>
        <w:spacing w:before="240" w:after="240"/>
        <w:jc w:val="left"/>
        <w:rPr>
          <w:rFonts w:ascii="Times New Roman;serif" w:hAnsi="Times New Roman;serif"/>
          <w:b/>
          <w:sz w:val="20"/>
        </w:rPr>
      </w:pPr>
      <w:r>
        <w:rPr>
          <w:rFonts w:ascii="Times New Roman;serif" w:hAnsi="Times New Roman;serif"/>
          <w:b/>
          <w:sz w:val="20"/>
        </w:rPr>
        <w:t>11. Income Taxes</w:t>
      </w:r>
    </w:p>
    <w:p>
      <w:pPr>
        <w:pStyle w:val="TextBody"/>
        <w:spacing w:before="240" w:after="240"/>
        <w:jc w:val="left"/>
        <w:rPr>
          <w:rFonts w:ascii="Times New Roman" w:hAnsi="Times New Roman"/>
          <w:sz w:val="20"/>
        </w:rPr>
      </w:pPr>
      <w:r>
        <w:rPr>
          <w:rFonts w:ascii="Times New Roman;serif" w:hAnsi="Times New Roman;serif"/>
          <w:b w:val="false"/>
          <w:sz w:val="20"/>
        </w:rPr>
        <w:t>The Company files income tax returns in various federal, state and local jurisdictions. Tax years from</w:t>
      </w:r>
      <w:r>
        <w:rPr>
          <w:rFonts w:ascii="Times New Roman" w:hAnsi="Times New Roman"/>
          <w:sz w:val="20"/>
        </w:rPr>
        <w:t xml:space="preserve"> </w:t>
      </w:r>
      <w:r>
        <w:rPr>
          <w:rFonts w:ascii="Times New Roman;serif" w:hAnsi="Times New Roman;serif"/>
          <w:b w:val="false"/>
          <w:sz w:val="20"/>
        </w:rPr>
        <w:t>2018</w:t>
      </w:r>
      <w:r>
        <w:rPr>
          <w:rFonts w:ascii="Times New Roman" w:hAnsi="Times New Roman"/>
          <w:sz w:val="20"/>
        </w:rPr>
        <w:t xml:space="preserve"> </w:t>
      </w:r>
      <w:r>
        <w:rPr>
          <w:rFonts w:ascii="Times New Roman;serif" w:hAnsi="Times New Roman;serif"/>
          <w:b w:val="false"/>
          <w:sz w:val="20"/>
        </w:rPr>
        <w:t>forward remain open for examination by Federal authorities. Tax years from 2017</w:t>
      </w:r>
      <w:r>
        <w:rPr>
          <w:rFonts w:ascii="Times New Roman" w:hAnsi="Times New Roman"/>
          <w:sz w:val="20"/>
        </w:rPr>
        <w:t xml:space="preserve"> </w:t>
      </w:r>
      <w:r>
        <w:rPr>
          <w:rFonts w:ascii="Times New Roman;serif" w:hAnsi="Times New Roman;serif"/>
          <w:b w:val="false"/>
          <w:sz w:val="20"/>
        </w:rPr>
        <w:t>forward remain open for all significant state and foreign authorities.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240"/>
        <w:jc w:val="left"/>
        <w:rPr>
          <w:rFonts w:ascii="Times New Roman" w:hAnsi="Times New Roman"/>
          <w:sz w:val="20"/>
        </w:rPr>
      </w:pPr>
      <w:r>
        <w:rPr>
          <w:rFonts w:ascii="Times New Roman;serif" w:hAnsi="Times New Roman;serif"/>
          <w:b w:val="false"/>
          <w:sz w:val="20"/>
        </w:rPr>
        <w:t>The Company accounts for uncertain tax positions pursuant to ASC Topic 740, “Income Taxes.” As of March 31, 2023 and December 31, 2022, the liability for uncertain tax positions totaled approximately $0.2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which is included in “Other liabilities” on the Condensed Consolidated Balance Sheets. The Company recognizes accrued interest related to uncertain tax positions and penalties, if any, in income tax expense within the Condensed Consolidated Statements of Income.</w:t>
      </w:r>
    </w:p>
    <w:p>
      <w:pPr>
        <w:pStyle w:val="TextBody"/>
        <w:spacing w:before="240" w:after="240"/>
        <w:jc w:val="left"/>
        <w:rPr>
          <w:rFonts w:ascii="Times New Roman" w:hAnsi="Times New Roman"/>
          <w:sz w:val="20"/>
        </w:rPr>
      </w:pPr>
      <w:r>
        <w:rPr>
          <w:rFonts w:ascii="Times New Roman;serif" w:hAnsi="Times New Roman;serif"/>
          <w:b w:val="false"/>
          <w:sz w:val="20"/>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March 31, 2023 and December 31, 2022, the Company recorded deferred income taxes of approximately $0.8</w:t>
      </w:r>
      <w:r>
        <w:rPr>
          <w:rFonts w:ascii="Times New Roman" w:hAnsi="Times New Roman"/>
          <w:sz w:val="20"/>
        </w:rPr>
        <w:t xml:space="preserve"> </w:t>
      </w:r>
      <w:r>
        <w:rPr>
          <w:rFonts w:ascii="Times New Roman;serif" w:hAnsi="Times New Roman;serif"/>
          <w:b w:val="false"/>
          <w:sz w:val="20"/>
        </w:rPr>
        <w:t>million and $1.3</w:t>
      </w:r>
      <w:r>
        <w:rPr>
          <w:rFonts w:ascii="Times New Roman" w:hAnsi="Times New Roman"/>
          <w:sz w:val="20"/>
        </w:rPr>
        <w:t xml:space="preserve"> </w:t>
      </w:r>
      <w:r>
        <w:rPr>
          <w:rFonts w:ascii="Times New Roman;serif" w:hAnsi="Times New Roman;serif"/>
          <w:b w:val="false"/>
          <w:sz w:val="20"/>
        </w:rPr>
        <w:t>million, respectively, on the undistributed earnings of its foreign subsidiaries.</w:t>
      </w:r>
    </w:p>
    <w:p>
      <w:pPr>
        <w:pStyle w:val="TextBody"/>
        <w:spacing w:before="240" w:after="240"/>
        <w:jc w:val="left"/>
        <w:rPr>
          <w:rFonts w:ascii="Times New Roman" w:hAnsi="Times New Roman"/>
          <w:sz w:val="20"/>
        </w:rPr>
      </w:pPr>
      <w:r>
        <w:rPr>
          <w:rFonts w:ascii="Times New Roman;serif" w:hAnsi="Times New Roman;serif"/>
          <w:b w:val="false"/>
          <w:sz w:val="20"/>
        </w:rPr>
        <w:t>Income tax expense was zero</w:t>
      </w:r>
      <w:r>
        <w:rPr>
          <w:rFonts w:ascii="Times New Roman" w:hAnsi="Times New Roman"/>
          <w:sz w:val="20"/>
        </w:rPr>
        <w:t xml:space="preserve"> </w:t>
      </w:r>
      <w:r>
        <w:rPr>
          <w:rFonts w:ascii="Times New Roman;serif" w:hAnsi="Times New Roman;serif"/>
          <w:b w:val="false"/>
          <w:sz w:val="20"/>
        </w:rPr>
        <w:t>and $1.1</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The effective income tax rate for the three months ended March 31, 2023 was 0.4%</w:t>
      </w:r>
      <w:r>
        <w:rPr>
          <w:rFonts w:ascii="Times New Roman" w:hAnsi="Times New Roman"/>
          <w:sz w:val="20"/>
        </w:rPr>
        <w:t xml:space="preserve"> </w:t>
      </w:r>
      <w:r>
        <w:rPr>
          <w:rFonts w:ascii="Times New Roman;serif" w:hAnsi="Times New Roman;serif"/>
          <w:b w:val="false"/>
          <w:sz w:val="20"/>
        </w:rPr>
        <w:t>compared with 28.3%</w:t>
      </w:r>
      <w:r>
        <w:rPr>
          <w:rFonts w:ascii="Times New Roman" w:hAnsi="Times New Roman"/>
          <w:sz w:val="20"/>
        </w:rPr>
        <w:t xml:space="preserve"> </w:t>
      </w:r>
      <w:r>
        <w:rPr>
          <w:rFonts w:ascii="Times New Roman;serif" w:hAnsi="Times New Roman;serif"/>
          <w:b w:val="false"/>
          <w:sz w:val="20"/>
        </w:rPr>
        <w:t>for the three months ended March 31, 2022. The effective income tax rates for the three months ended March 31, 2023 and 2022</w:t>
      </w:r>
      <w:r>
        <w:rPr>
          <w:rFonts w:ascii="Times New Roman" w:hAnsi="Times New Roman"/>
          <w:sz w:val="20"/>
        </w:rPr>
        <w:t xml:space="preserve"> </w:t>
      </w:r>
      <w:r>
        <w:rPr>
          <w:rFonts w:ascii="Times New Roman;serif" w:hAnsi="Times New Roman;serif"/>
          <w:b w:val="false"/>
          <w:sz w:val="20"/>
        </w:rPr>
        <w:t>differ from the United States federal statutory rate. The Company's effective rate is affected by certain other permanent differences, including state income taxes, non-deductible incentive stock-based compensation and differences in tax rates among jurisdictions in which it operates.</w:t>
      </w:r>
    </w:p>
    <w:p>
      <w:pPr>
        <w:pStyle w:val="TextBody"/>
        <w:spacing w:before="240" w:after="240"/>
        <w:jc w:val="left"/>
        <w:rPr>
          <w:rFonts w:ascii="Times New Roman;serif" w:hAnsi="Times New Roman;serif"/>
          <w:b/>
          <w:sz w:val="20"/>
        </w:rPr>
      </w:pPr>
      <w:r>
        <w:rPr>
          <w:rFonts w:ascii="Times New Roman;serif" w:hAnsi="Times New Roman;serif"/>
          <w:b/>
          <w:sz w:val="20"/>
        </w:rPr>
        <w:t>12. Financial Instruments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Company's financial instruments consist primarily of investments in cash and cash equivalents, receivables and certain other assets, foreign debt and accounts payable, which approximate fair value at March 31, 2023 and December 31, 2022, due to their short-term nature or variable, market-driven interest rates.</w:t>
      </w:r>
    </w:p>
    <w:p>
      <w:pPr>
        <w:pStyle w:val="TextBody"/>
        <w:spacing w:before="240" w:after="240"/>
        <w:jc w:val="left"/>
        <w:rPr>
          <w:rFonts w:ascii="Times New Roman" w:hAnsi="Times New Roman"/>
          <w:sz w:val="20"/>
        </w:rPr>
      </w:pPr>
      <w:r>
        <w:rPr>
          <w:rFonts w:ascii="Times New Roman;serif" w:hAnsi="Times New Roman;serif"/>
          <w:b w:val="false"/>
          <w:sz w:val="20"/>
        </w:rPr>
        <w:t>The fair value of the debt issued under the Credit Facility and joint venture term loan was $146.5</w:t>
      </w:r>
      <w:r>
        <w:rPr>
          <w:rFonts w:ascii="Times New Roman" w:hAnsi="Times New Roman"/>
          <w:sz w:val="20"/>
        </w:rPr>
        <w:t xml:space="preserve"> </w:t>
      </w:r>
      <w:r>
        <w:rPr>
          <w:rFonts w:ascii="Times New Roman;serif" w:hAnsi="Times New Roman;serif"/>
          <w:b w:val="false"/>
          <w:sz w:val="20"/>
        </w:rPr>
        <w:t>million and $112.7</w:t>
      </w:r>
      <w:r>
        <w:rPr>
          <w:rFonts w:ascii="Times New Roman" w:hAnsi="Times New Roman"/>
          <w:sz w:val="20"/>
        </w:rPr>
        <w:t xml:space="preserve"> </w:t>
      </w:r>
      <w:r>
        <w:rPr>
          <w:rFonts w:ascii="Times New Roman;serif" w:hAnsi="Times New Roman;serif"/>
          <w:b w:val="false"/>
          <w:sz w:val="20"/>
        </w:rPr>
        <w:t>million at March 31, 2023 and December 31, 2022, respectively. The fair value was determined considering market conditions, the Company's credit worthiness and the current terms of our debt, which is considered Level 2 on the fair value hierarchy.</w:t>
      </w:r>
    </w:p>
    <w:p>
      <w:pPr>
        <w:pStyle w:val="TextBody"/>
        <w:spacing w:before="240" w:after="240"/>
        <w:jc w:val="left"/>
        <w:rPr>
          <w:rFonts w:ascii="Times New Roman" w:hAnsi="Times New Roman"/>
          <w:sz w:val="20"/>
        </w:rPr>
      </w:pPr>
      <w:r>
        <w:rPr>
          <w:rFonts w:ascii="Times New Roman;serif" w:hAnsi="Times New Roman;serif"/>
          <w:b w:val="false"/>
          <w:sz w:val="20"/>
        </w:rPr>
        <w:t>At March 31, 2023 and December 31, 2022, the Company had cash and cash equivalents of $41.2</w:t>
      </w:r>
      <w:r>
        <w:rPr>
          <w:rFonts w:ascii="Times New Roman" w:hAnsi="Times New Roman"/>
          <w:sz w:val="20"/>
        </w:rPr>
        <w:t xml:space="preserve"> </w:t>
      </w:r>
      <w:r>
        <w:rPr>
          <w:rFonts w:ascii="Times New Roman;serif" w:hAnsi="Times New Roman;serif"/>
          <w:b w:val="false"/>
          <w:sz w:val="20"/>
        </w:rPr>
        <w:t>million and $45.5</w:t>
      </w:r>
      <w:r>
        <w:rPr>
          <w:rFonts w:ascii="Times New Roman" w:hAnsi="Times New Roman"/>
          <w:sz w:val="20"/>
        </w:rPr>
        <w:t xml:space="preserve"> </w:t>
      </w:r>
      <w:r>
        <w:rPr>
          <w:rFonts w:ascii="Times New Roman;serif" w:hAnsi="Times New Roman;serif"/>
          <w:b w:val="false"/>
          <w:sz w:val="20"/>
        </w:rPr>
        <w:t>million, respectively, of which $23.9</w:t>
      </w:r>
      <w:r>
        <w:rPr>
          <w:rFonts w:ascii="Times New Roman" w:hAnsi="Times New Roman"/>
          <w:sz w:val="20"/>
        </w:rPr>
        <w:t xml:space="preserve"> </w:t>
      </w:r>
      <w:r>
        <w:rPr>
          <w:rFonts w:ascii="Times New Roman;serif" w:hAnsi="Times New Roman;serif"/>
          <w:b w:val="false"/>
          <w:sz w:val="20"/>
        </w:rPr>
        <w:t>million and $31.7</w:t>
      </w:r>
      <w:r>
        <w:rPr>
          <w:rFonts w:ascii="Times New Roman" w:hAnsi="Times New Roman"/>
          <w:sz w:val="20"/>
        </w:rPr>
        <w:t xml:space="preserve"> </w:t>
      </w:r>
      <w:r>
        <w:rPr>
          <w:rFonts w:ascii="Times New Roman;serif" w:hAnsi="Times New Roman;serif"/>
          <w:b w:val="false"/>
          <w:sz w:val="20"/>
        </w:rPr>
        <w:t>million, respectively, was held outside of the United States, principally in the Netherlands, United Kingdom, China, and Canada.</w:t>
      </w:r>
    </w:p>
    <w:p>
      <w:pPr>
        <w:pStyle w:val="TextBody"/>
        <w:spacing w:before="240" w:after="240"/>
        <w:jc w:val="left"/>
        <w:rPr>
          <w:rFonts w:ascii="Times New Roman;serif" w:hAnsi="Times New Roman;serif"/>
          <w:b/>
          <w:sz w:val="20"/>
        </w:rPr>
      </w:pPr>
      <w:r>
        <w:rPr>
          <w:rFonts w:ascii="Times New Roman;serif" w:hAnsi="Times New Roman;serif"/>
          <w:b/>
          <w:sz w:val="20"/>
        </w:rPr>
        <w:t>13. Commitments and Contingencies</w:t>
      </w:r>
    </w:p>
    <w:p>
      <w:pPr>
        <w:pStyle w:val="TextBody"/>
        <w:spacing w:before="240" w:after="240"/>
        <w:jc w:val="left"/>
        <w:rPr>
          <w:rFonts w:ascii="Times New Roman;serif" w:hAnsi="Times New Roman;serif"/>
          <w:b w:val="false"/>
          <w:i/>
          <w:sz w:val="20"/>
        </w:rPr>
      </w:pPr>
      <w:r>
        <w:rPr>
          <w:rFonts w:ascii="Times New Roman;serif" w:hAnsi="Times New Roman;serif"/>
          <w:b w:val="false"/>
          <w:i/>
          <w:sz w:val="20"/>
        </w:rPr>
        <w:t>Asbestos cases</w:t>
      </w:r>
    </w:p>
    <w:p>
      <w:pPr>
        <w:pStyle w:val="TextBody"/>
        <w:spacing w:before="240" w:after="240"/>
        <w:jc w:val="left"/>
        <w:rPr>
          <w:rFonts w:ascii="Times New Roman" w:hAnsi="Times New Roman"/>
          <w:sz w:val="20"/>
        </w:rPr>
      </w:pPr>
      <w:r>
        <w:rPr>
          <w:rFonts w:ascii="Times New Roman;serif" w:hAnsi="Times New Roman;serif"/>
          <w:b w:val="false"/>
          <w:sz w:val="20"/>
        </w:rPr>
        <w:t>The Company's subsidiary, Met-Pro Technologies LLC (“Met-Pro”), beginning in 2002, has been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March 31, 2023 for cases involving asbestos-related claims were $6.2</w:t>
      </w:r>
      <w:r>
        <w:rPr>
          <w:rFonts w:ascii="Times New Roman" w:hAnsi="Times New Roman"/>
          <w:sz w:val="20"/>
        </w:rPr>
        <w:t xml:space="preserve"> </w:t>
      </w:r>
      <w:r>
        <w:rPr>
          <w:rFonts w:ascii="Times New Roman;serif" w:hAnsi="Times New Roman;serif"/>
          <w:b w:val="false"/>
          <w:sz w:val="20"/>
        </w:rPr>
        <w:t>million which together with all legal fees other than corporate counsel expenses have substantially been paid by the Company’s insurers. The average cost per settled claim, excluding legal fees, was approximately $40,000.</w:t>
      </w:r>
    </w:p>
    <w:p>
      <w:pPr>
        <w:pStyle w:val="TextBody"/>
        <w:spacing w:before="240" w:after="240"/>
        <w:jc w:val="left"/>
        <w:rPr>
          <w:rFonts w:ascii="Times New Roman" w:hAnsi="Times New Roman"/>
          <w:sz w:val="20"/>
        </w:rPr>
      </w:pPr>
      <w:r>
        <w:rPr>
          <w:rFonts w:ascii="Times New Roman;serif" w:hAnsi="Times New Roman;serif"/>
          <w:b w:val="false"/>
          <w:sz w:val="20"/>
        </w:rPr>
        <w:t>Based upon the most recent information available to the Company regarding such claims, there were a total of 268 cases pending against the Company as of March 31, 2023</w:t>
      </w:r>
      <w:r>
        <w:rPr>
          <w:rFonts w:ascii="Times New Roman" w:hAnsi="Times New Roman"/>
          <w:sz w:val="20"/>
        </w:rPr>
        <w:t xml:space="preserve"> </w:t>
      </w:r>
      <w:r>
        <w:rPr>
          <w:rFonts w:ascii="Times New Roman;serif" w:hAnsi="Times New Roman;serif"/>
          <w:b w:val="false"/>
          <w:sz w:val="20"/>
        </w:rPr>
        <w:t>with Illinois, New York, Pennsylvania and West Virginia having the largest number of cases, as compared with 247</w:t>
      </w:r>
      <w:r>
        <w:rPr>
          <w:rFonts w:ascii="Times New Roman" w:hAnsi="Times New Roman"/>
          <w:sz w:val="20"/>
        </w:rPr>
        <w:t xml:space="preserve"> </w:t>
      </w:r>
      <w:r>
        <w:rPr>
          <w:rFonts w:ascii="Times New Roman;serif" w:hAnsi="Times New Roman;serif"/>
          <w:b w:val="false"/>
          <w:sz w:val="20"/>
        </w:rPr>
        <w:t>cases that were pending as of December 31, 2022. During the three months ended March 31, 2023, 46 new cases were filed against the Company, and the Company was dismissed from 21 cases and settled four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pStyle w:val="TextBody"/>
        <w:spacing w:before="240" w:after="240"/>
        <w:jc w:val="left"/>
        <w:rPr>
          <w:rFonts w:ascii="Times New Roman;serif" w:hAnsi="Times New Roman;serif"/>
          <w:b w:val="false"/>
          <w:i/>
          <w:sz w:val="20"/>
        </w:rPr>
      </w:pPr>
      <w:r>
        <w:rPr>
          <w:rFonts w:ascii="Times New Roman;serif" w:hAnsi="Times New Roman;serif"/>
          <w:b w:val="false"/>
          <w:i/>
          <w:sz w:val="20"/>
        </w:rPr>
        <w:t>Other</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 is also a party to routine contract and employment-related litigation matters, warranty claims and routine audits of state and local tax returns arising in the ordinary course of its business.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final outcome and impact of open matters, and related claims and investigations that may be brought in the future, are subject to many variables, and cannot be predicted. In accordance with ASC 450, “Contingencies,” and related guidance,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pStyle w:val="TextBody"/>
        <w:spacing w:before="240" w:after="240"/>
        <w:jc w:val="left"/>
        <w:rPr>
          <w:rFonts w:ascii="Times New Roman" w:hAnsi="Times New Roman"/>
          <w:sz w:val="20"/>
        </w:rPr>
      </w:pPr>
      <w:r>
        <w:rPr>
          <w:rFonts w:ascii="Times New Roman;serif" w:hAnsi="Times New Roman;serif"/>
          <w:b w:val="false"/>
          <w:sz w:val="20"/>
        </w:rPr>
        <w:t>The Company is</w:t>
      </w:r>
      <w:r>
        <w:rPr>
          <w:rFonts w:ascii="Times New Roman" w:hAnsi="Times New Roman"/>
          <w:sz w:val="20"/>
        </w:rPr>
        <w:t xml:space="preserve"> </w:t>
      </w:r>
      <w:r>
        <w:rPr>
          <w:rFonts w:ascii="Times New Roman;serif" w:hAnsi="Times New Roman;serif"/>
          <w:b w:val="false"/>
          <w:sz w:val="20"/>
        </w:rPr>
        <w:t>not aware of any pending claims or assessments, other than as described above, which may have a material adverse impact on its liquidity, financial position, results of operations, or cash flows.</w:t>
      </w:r>
    </w:p>
    <w:p>
      <w:pPr>
        <w:pStyle w:val="TextBody"/>
        <w:spacing w:before="240" w:after="240"/>
        <w:jc w:val="left"/>
        <w:rPr>
          <w:rFonts w:ascii="Times New Roman;serif" w:hAnsi="Times New Roman;serif"/>
          <w:b/>
          <w:sz w:val="20"/>
        </w:rPr>
      </w:pPr>
      <w:r>
        <w:rPr>
          <w:rFonts w:ascii="Times New Roman;serif" w:hAnsi="Times New Roman;serif"/>
          <w:b/>
          <w:sz w:val="20"/>
        </w:rPr>
        <w:t>14. Acquisitions and Joint Ventures</w:t>
      </w:r>
    </w:p>
    <w:p>
      <w:pPr>
        <w:pStyle w:val="TextBody"/>
        <w:spacing w:before="240" w:after="240"/>
        <w:jc w:val="left"/>
        <w:rPr>
          <w:rFonts w:ascii="Times New Roman" w:hAnsi="Times New Roman"/>
          <w:sz w:val="20"/>
        </w:rPr>
      </w:pPr>
      <w:r>
        <w:rPr>
          <w:rFonts w:ascii="Times New Roman;serif" w:hAnsi="Times New Roman;serif"/>
          <w:b w:val="false"/>
          <w:i/>
          <w:sz w:val="20"/>
        </w:rPr>
        <w:t>Malvar Engineering Limited</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On January 10, 2023, the Company acquired 100% of the equity interests of Malvar Engineering Limited, including its subsidiaries Arkanum Management Limited and Wakefield Acoustics Limited (collectively, "Wakefield"), for</w:t>
      </w:r>
      <w:r>
        <w:rPr>
          <w:rFonts w:ascii="Times New Roman" w:hAnsi="Times New Roman"/>
          <w:sz w:val="20"/>
        </w:rPr>
        <w:t xml:space="preserve"> </w:t>
      </w:r>
      <w:r>
        <w:rPr>
          <w:rFonts w:ascii="Times New Roman;serif" w:hAnsi="Times New Roman;serif"/>
          <w:b w:val="false"/>
          <w:sz w:val="20"/>
        </w:rPr>
        <w:t>$4.1</w:t>
      </w:r>
      <w:r>
        <w:rPr>
          <w:rFonts w:ascii="Times New Roman" w:hAnsi="Times New Roman"/>
          <w:sz w:val="20"/>
        </w:rPr>
        <w:t xml:space="preserve"> </w:t>
      </w:r>
      <w:r>
        <w:rPr>
          <w:rFonts w:ascii="Times New Roman;serif" w:hAnsi="Times New Roman;serif"/>
          <w:b w:val="false"/>
          <w:sz w:val="20"/>
        </w:rPr>
        <w:t>million in cash, which was financed with a draw on the Company’s revolving credit facility, and $0.4</w:t>
      </w:r>
      <w:r>
        <w:rPr>
          <w:rFonts w:ascii="Times New Roman" w:hAnsi="Times New Roman"/>
          <w:sz w:val="20"/>
        </w:rPr>
        <w:t xml:space="preserve"> </w:t>
      </w:r>
      <w:r>
        <w:rPr>
          <w:rFonts w:ascii="Times New Roman;serif" w:hAnsi="Times New Roman;serif"/>
          <w:b w:val="false"/>
          <w:sz w:val="20"/>
        </w:rPr>
        <w:t>million of deferred cash consideration. As additional consideration, the former owners are entitled to earn-out payments based upon specified financial results through July 31, 2023. Based on projections at the acquisition date, the Company estimated the fair value of the earn-out to be $0.6</w:t>
      </w:r>
      <w:r>
        <w:rPr>
          <w:rFonts w:ascii="Times New Roman" w:hAnsi="Times New Roman"/>
          <w:sz w:val="20"/>
        </w:rPr>
        <w:t xml:space="preserve"> </w:t>
      </w:r>
      <w:r>
        <w:rPr>
          <w:rFonts w:ascii="Times New Roman;serif" w:hAnsi="Times New Roman;serif"/>
          <w:b w:val="false"/>
          <w:sz w:val="20"/>
        </w:rPr>
        <w:t>million. As of March 31, 2023, the earnout liability recorded in “Accounts payable and accrued expenses” on the Condensed Consolidated Balance Sheets is $0.6</w:t>
      </w:r>
      <w:r>
        <w:rPr>
          <w:rFonts w:ascii="Times New Roman" w:hAnsi="Times New Roman"/>
          <w:sz w:val="20"/>
        </w:rPr>
        <w:t xml:space="preserve"> </w:t>
      </w:r>
      <w:r>
        <w:rPr>
          <w:rFonts w:ascii="Times New Roman;serif" w:hAnsi="Times New Roman;serif"/>
          <w:b w:val="false"/>
          <w:sz w:val="20"/>
        </w:rPr>
        <w:t>million.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 the Engineered Systems segment. The following table summarizes the fair values of the assets acquired and liabilities assumed at the date of closing.</w:t>
      </w:r>
    </w:p>
    <w:tbl>
      <w:tblPr>
        <w:tblW w:w="3905" w:type="dxa"/>
        <w:jc w:val="left"/>
        <w:tblInd w:w="0" w:type="dxa"/>
        <w:tblCellMar>
          <w:top w:w="28" w:type="dxa"/>
          <w:left w:w="28" w:type="dxa"/>
          <w:bottom w:w="28" w:type="dxa"/>
          <w:right w:w="28" w:type="dxa"/>
        </w:tblCellMar>
      </w:tblPr>
      <w:tblGrid>
        <w:gridCol w:w="2461"/>
        <w:gridCol w:w="146"/>
        <w:gridCol w:w="211"/>
        <w:gridCol w:w="676"/>
        <w:gridCol w:w="411"/>
      </w:tblGrid>
      <w:tr>
        <w:trPr/>
        <w:tc>
          <w:tcPr>
            <w:tcW w:w="2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3,240</w:t>
            </w:r>
          </w:p>
        </w:tc>
        <w:tc>
          <w:tcPr>
            <w:tcW w:w="411"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411"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 finite life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1,778</w:t>
            </w:r>
          </w:p>
        </w:tc>
        <w:tc>
          <w:tcPr>
            <w:tcW w:w="411"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4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10,432</w:t>
            </w:r>
          </w:p>
        </w:tc>
        <w:tc>
          <w:tcPr>
            <w:tcW w:w="411"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 w:hAnsi="Times New Roman"/>
          <w:sz w:val="20"/>
        </w:rPr>
      </w:pPr>
      <w:r>
        <w:rPr>
          <w:rFonts w:ascii="Times New Roman;serif" w:hAnsi="Times New Roman;serif"/>
          <w:b w:val="false"/>
          <w:sz w:val="20"/>
        </w:rPr>
        <w:t>The Company acquired customer lists and tradename intangible assets valued at $1.5</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 These assets were determined to have useful lives of 10</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During the three months ended March 31, 2023, Wakefield accounted for $2.5</w:t>
      </w:r>
      <w:r>
        <w:rPr>
          <w:rFonts w:ascii="Times New Roman" w:hAnsi="Times New Roman"/>
          <w:sz w:val="20"/>
        </w:rPr>
        <w:t xml:space="preserve"> </w:t>
      </w:r>
      <w:r>
        <w:rPr>
          <w:rFonts w:ascii="Times New Roman;serif" w:hAnsi="Times New Roman;serif"/>
          <w:b w:val="false"/>
          <w:sz w:val="20"/>
        </w:rPr>
        <w:t>million in revenue and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net income included in the Company’s results.</w:t>
      </w:r>
    </w:p>
    <w:p>
      <w:pPr>
        <w:pStyle w:val="TextBody"/>
        <w:spacing w:before="240" w:after="240"/>
        <w:jc w:val="left"/>
        <w:rPr>
          <w:rFonts w:ascii="Times New Roman;serif" w:hAnsi="Times New Roman;serif"/>
          <w:b w:val="false"/>
          <w:i/>
          <w:sz w:val="20"/>
        </w:rPr>
      </w:pPr>
      <w:r>
        <w:rPr>
          <w:rFonts w:ascii="Times New Roman;serif" w:hAnsi="Times New Roman;serif"/>
          <w:b w:val="false"/>
          <w:i/>
          <w:sz w:val="20"/>
        </w:rPr>
        <w:t>Transcend Solutions</w:t>
      </w:r>
    </w:p>
    <w:p>
      <w:pPr>
        <w:pStyle w:val="TextBody"/>
        <w:spacing w:before="240" w:after="240"/>
        <w:jc w:val="left"/>
        <w:rPr>
          <w:rFonts w:ascii="Times New Roman" w:hAnsi="Times New Roman"/>
          <w:sz w:val="20"/>
        </w:rPr>
      </w:pPr>
      <w:r>
        <w:rPr>
          <w:rFonts w:ascii="Times New Roman;serif" w:hAnsi="Times New Roman;serif"/>
          <w:b w:val="false"/>
          <w:sz w:val="20"/>
        </w:rPr>
        <w:t>On March 31, 2023, the Company acquired 100% of the equity interests of Transcend Solutions, LLC ("Transcend") for</w:t>
      </w:r>
      <w:r>
        <w:rPr>
          <w:rFonts w:ascii="Times New Roman" w:hAnsi="Times New Roman"/>
          <w:sz w:val="20"/>
        </w:rPr>
        <w:t xml:space="preserve"> </w:t>
      </w:r>
      <w:r>
        <w:rPr>
          <w:rFonts w:ascii="Times New Roman;serif" w:hAnsi="Times New Roman;serif"/>
          <w:b w:val="false"/>
          <w:sz w:val="20"/>
        </w:rPr>
        <w:t>$22.4</w:t>
      </w:r>
      <w:r>
        <w:rPr>
          <w:rFonts w:ascii="Times New Roman" w:hAnsi="Times New Roman"/>
          <w:sz w:val="20"/>
        </w:rPr>
        <w:t xml:space="preserve"> </w:t>
      </w:r>
      <w:r>
        <w:rPr>
          <w:rFonts w:ascii="Times New Roman;serif" w:hAnsi="Times New Roman;serif"/>
          <w:b w:val="false"/>
          <w:sz w:val="20"/>
        </w:rPr>
        <w:t>million, including $20.0</w:t>
      </w:r>
      <w:r>
        <w:rPr>
          <w:rFonts w:ascii="Times New Roman" w:hAnsi="Times New Roman"/>
          <w:sz w:val="20"/>
        </w:rPr>
        <w:t xml:space="preserve"> </w:t>
      </w:r>
      <w:r>
        <w:rPr>
          <w:rFonts w:ascii="Times New Roman;serif" w:hAnsi="Times New Roman;serif"/>
          <w:b w:val="false"/>
          <w:sz w:val="20"/>
        </w:rPr>
        <w:t>million in cash, which was financed with a draw on the Company’s revolving credit facility, $2.4</w:t>
      </w:r>
      <w:r>
        <w:rPr>
          <w:rFonts w:ascii="Times New Roman" w:hAnsi="Times New Roman"/>
          <w:sz w:val="20"/>
        </w:rPr>
        <w:t xml:space="preserve"> </w:t>
      </w:r>
      <w:r>
        <w:rPr>
          <w:rFonts w:ascii="Times New Roman;serif" w:hAnsi="Times New Roman;serif"/>
          <w:b w:val="false"/>
          <w:sz w:val="20"/>
        </w:rPr>
        <w:t>million of deferred cash consideration, consisting of $0.4</w:t>
      </w:r>
      <w:r>
        <w:rPr>
          <w:rFonts w:ascii="Times New Roman" w:hAnsi="Times New Roman"/>
          <w:sz w:val="20"/>
        </w:rPr>
        <w:t xml:space="preserve"> </w:t>
      </w:r>
      <w:r>
        <w:rPr>
          <w:rFonts w:ascii="Times New Roman;serif" w:hAnsi="Times New Roman;serif"/>
          <w:b w:val="false"/>
          <w:sz w:val="20"/>
        </w:rPr>
        <w:t>million of holdback payable within one year and $2.0</w:t>
      </w:r>
      <w:r>
        <w:rPr>
          <w:rFonts w:ascii="Times New Roman" w:hAnsi="Times New Roman"/>
          <w:sz w:val="20"/>
        </w:rPr>
        <w:t xml:space="preserve"> </w:t>
      </w:r>
      <w:r>
        <w:rPr>
          <w:rFonts w:ascii="Times New Roman;serif" w:hAnsi="Times New Roman;serif"/>
          <w:b w:val="false"/>
          <w:sz w:val="20"/>
        </w:rPr>
        <w:t>million of notes payable due in equal installments over two years. Transcend is a process filtration solution design and manufacturing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company with applications in hydrocarbon and chemical processing. This acquisition improves the Company's short-cycle and long-cycle mix and expands the Company's reach into midstream oil and gas, liquified natural gas, hydrocarbon processing, and chemical processing applications within the Engineered Systems segment. The following table summarizes the fair values of the assets acquired and liabilities assumed at the date of closing.</w:t>
      </w:r>
    </w:p>
    <w:tbl>
      <w:tblPr>
        <w:tblW w:w="4625" w:type="dxa"/>
        <w:jc w:val="left"/>
        <w:tblInd w:w="0" w:type="dxa"/>
        <w:tblCellMar>
          <w:top w:w="28" w:type="dxa"/>
          <w:left w:w="28" w:type="dxa"/>
          <w:bottom w:w="28" w:type="dxa"/>
          <w:right w:w="28" w:type="dxa"/>
        </w:tblCellMar>
      </w:tblPr>
      <w:tblGrid>
        <w:gridCol w:w="3181"/>
        <w:gridCol w:w="146"/>
        <w:gridCol w:w="211"/>
        <w:gridCol w:w="676"/>
        <w:gridCol w:w="411"/>
      </w:tblGrid>
      <w:tr>
        <w:trPr/>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 (including cash of $52)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2,614</w:t>
            </w:r>
          </w:p>
        </w:tc>
        <w:tc>
          <w:tcPr>
            <w:tcW w:w="4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1,153</w:t>
            </w:r>
          </w:p>
        </w:tc>
        <w:tc>
          <w:tcPr>
            <w:tcW w:w="4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19,601</w:t>
            </w:r>
          </w:p>
        </w:tc>
        <w:tc>
          <w:tcPr>
            <w:tcW w:w="4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23,599</w:t>
            </w:r>
          </w:p>
        </w:tc>
        <w:tc>
          <w:tcPr>
            <w:tcW w:w="41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22,396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 w:hAnsi="Times New Roman"/>
          <w:sz w:val="20"/>
        </w:rPr>
      </w:pPr>
      <w:r>
        <w:rPr>
          <w:rFonts w:ascii="Times New Roman;serif" w:hAnsi="Times New Roman;serif"/>
          <w:b w:val="false"/>
          <w:i/>
          <w:sz w:val="20"/>
        </w:rPr>
        <w:t>General Rubber LLC</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On March 7, 2022, the Company, through the EFM JV, acquired 100% of the equity interests of General Rubber LLC ("GRC") for $19.7</w:t>
      </w:r>
      <w:r>
        <w:rPr>
          <w:rFonts w:ascii="Times New Roman" w:hAnsi="Times New Roman"/>
          <w:sz w:val="20"/>
        </w:rPr>
        <w:t xml:space="preserve"> </w:t>
      </w:r>
      <w:r>
        <w:rPr>
          <w:rFonts w:ascii="Times New Roman;serif" w:hAnsi="Times New Roman;serif"/>
          <w:b w:val="false"/>
          <w:sz w:val="20"/>
        </w:rPr>
        <w:t>million in cash, which was financed with a combination of a draw on the Company's revolving credit facility and issuance of term debt by the EFM JV. As additional consideration, the former owners of GRC were issued 10% of the equity interest in the EFM JV, resulting in the Company holding 63% of the equity in the joint venture. The fair value ascribed to the equity interest of the former owners of GRC was approximately $4.1</w:t>
      </w:r>
      <w:r>
        <w:rPr>
          <w:rFonts w:ascii="Times New Roman" w:hAnsi="Times New Roman"/>
          <w:sz w:val="20"/>
        </w:rPr>
        <w:t xml:space="preserve"> </w:t>
      </w:r>
      <w:r>
        <w:rPr>
          <w:rFonts w:ascii="Times New Roman;serif" w:hAnsi="Times New Roman;serif"/>
          <w:b w:val="false"/>
          <w:sz w:val="20"/>
        </w:rPr>
        <w:t>million. As of March</w:t>
      </w:r>
      <w:r>
        <w:rPr>
          <w:rFonts w:ascii="Times New Roman" w:hAnsi="Times New Roman"/>
          <w:sz w:val="20"/>
        </w:rPr>
        <w:t xml:space="preserve"> </w:t>
      </w:r>
      <w:r>
        <w:rPr>
          <w:rFonts w:ascii="Times New Roman;serif" w:hAnsi="Times New Roman;serif"/>
          <w:b w:val="false"/>
          <w:sz w:val="20"/>
        </w:rPr>
        <w:t>31, 2023, there were $15.2</w:t>
      </w:r>
      <w:r>
        <w:rPr>
          <w:rFonts w:ascii="Times New Roman" w:hAnsi="Times New Roman"/>
          <w:sz w:val="20"/>
        </w:rPr>
        <w:t xml:space="preserve"> </w:t>
      </w:r>
      <w:r>
        <w:rPr>
          <w:rFonts w:ascii="Times New Roman;serif" w:hAnsi="Times New Roman;serif"/>
          <w:b w:val="false"/>
          <w:sz w:val="20"/>
        </w:rPr>
        <w:t>million in current assets, $27.4</w:t>
      </w:r>
      <w:r>
        <w:rPr>
          <w:rFonts w:ascii="Times New Roman" w:hAnsi="Times New Roman"/>
          <w:sz w:val="20"/>
        </w:rPr>
        <w:t xml:space="preserve"> </w:t>
      </w:r>
      <w:r>
        <w:rPr>
          <w:rFonts w:ascii="Times New Roman;serif" w:hAnsi="Times New Roman;serif"/>
          <w:b w:val="false"/>
          <w:sz w:val="20"/>
        </w:rPr>
        <w:t>million in long-lived assets, and $30.1</w:t>
      </w:r>
      <w:r>
        <w:rPr>
          <w:rFonts w:ascii="Times New Roman" w:hAnsi="Times New Roman"/>
          <w:sz w:val="20"/>
        </w:rPr>
        <w:t xml:space="preserve"> </w:t>
      </w:r>
      <w:r>
        <w:rPr>
          <w:rFonts w:ascii="Times New Roman;serif" w:hAnsi="Times New Roman;serif"/>
          <w:b w:val="false"/>
          <w:sz w:val="20"/>
        </w:rPr>
        <w:t>million in total liabilities related to the EFM JV included in the Condensed Consolidated Balance Sheets. For the three months ended March 31, 2023, the EFM JV accounted for $9.4</w:t>
      </w:r>
      <w:r>
        <w:rPr>
          <w:rFonts w:ascii="Times New Roman" w:hAnsi="Times New Roman"/>
          <w:sz w:val="20"/>
        </w:rPr>
        <w:t xml:space="preserve"> </w:t>
      </w:r>
      <w:r>
        <w:rPr>
          <w:rFonts w:ascii="Times New Roman;serif" w:hAnsi="Times New Roman;serif"/>
          <w:b w:val="false"/>
          <w:sz w:val="20"/>
        </w:rPr>
        <w:t>million in revenue included in the Company's results.</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the EFM JV product offerings within the Engineered Systems segment. The following table summarizes the fair values of the assets acquired and liabilities assumed at the date of closing.</w:t>
      </w:r>
    </w:p>
    <w:tbl>
      <w:tblPr>
        <w:tblW w:w="4730" w:type="dxa"/>
        <w:jc w:val="left"/>
        <w:tblInd w:w="0" w:type="dxa"/>
        <w:tblCellMar>
          <w:top w:w="28" w:type="dxa"/>
          <w:left w:w="28" w:type="dxa"/>
          <w:bottom w:w="28" w:type="dxa"/>
          <w:right w:w="28" w:type="dxa"/>
        </w:tblCellMar>
      </w:tblPr>
      <w:tblGrid>
        <w:gridCol w:w="3286"/>
        <w:gridCol w:w="146"/>
        <w:gridCol w:w="211"/>
        <w:gridCol w:w="676"/>
        <w:gridCol w:w="41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 (including cash of $137)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4,963</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 finite life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8,380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24,922</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23,820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sz w:val="20"/>
        </w:rPr>
      </w:pPr>
      <w:r>
        <w:rPr>
          <w:rFonts w:ascii="Times New Roman;serif" w:hAnsi="Times New Roman;serif"/>
          <w:b w:val="false"/>
          <w:sz w:val="20"/>
        </w:rPr>
        <w:t>The Company acquired customer lists and tradename intangible assets valued at $7.7</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respectively. These assets were determined to have useful lives of 10</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2022, GRC accounted for $0.7</w:t>
      </w:r>
      <w:r>
        <w:rPr>
          <w:rFonts w:ascii="Times New Roman" w:hAnsi="Times New Roman"/>
          <w:sz w:val="20"/>
        </w:rPr>
        <w:t xml:space="preserve"> </w:t>
      </w:r>
      <w:r>
        <w:rPr>
          <w:rFonts w:ascii="Times New Roman;serif" w:hAnsi="Times New Roman;serif"/>
          <w:b w:val="false"/>
          <w:sz w:val="20"/>
        </w:rPr>
        <w:t>million in revenue and $0.3</w:t>
      </w:r>
      <w:r>
        <w:rPr>
          <w:rFonts w:ascii="Times New Roman" w:hAnsi="Times New Roman"/>
          <w:sz w:val="20"/>
        </w:rPr>
        <w:t xml:space="preserve"> </w:t>
      </w:r>
      <w:r>
        <w:rPr>
          <w:rFonts w:ascii="Times New Roman;serif" w:hAnsi="Times New Roman;serif"/>
          <w:b w:val="false"/>
          <w:sz w:val="20"/>
        </w:rPr>
        <w:t>million of net income included in the Company’s results.</w:t>
      </w:r>
    </w:p>
    <w:p>
      <w:pPr>
        <w:pStyle w:val="TextBody"/>
        <w:spacing w:before="240" w:after="240"/>
        <w:jc w:val="left"/>
        <w:rPr>
          <w:rFonts w:ascii="Times New Roman" w:hAnsi="Times New Roman"/>
          <w:sz w:val="20"/>
        </w:rPr>
      </w:pPr>
      <w:r>
        <w:rPr>
          <w:rFonts w:ascii="Times New Roman;serif" w:hAnsi="Times New Roman;serif"/>
          <w:b w:val="false"/>
          <w:i/>
          <w:sz w:val="20"/>
        </w:rPr>
        <w:t>Compass Water Solutions, Inc.</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On May 3, 2022, the Company acquired 100% of the equity interests of Compass Water Solutions, Inc. ("Compass") for $9.0</w:t>
      </w:r>
      <w:r>
        <w:rPr>
          <w:rFonts w:ascii="Times New Roman" w:hAnsi="Times New Roman"/>
          <w:sz w:val="20"/>
        </w:rPr>
        <w:t xml:space="preserve"> </w:t>
      </w:r>
      <w:r>
        <w:rPr>
          <w:rFonts w:ascii="Times New Roman;serif" w:hAnsi="Times New Roman;serif"/>
          <w:b w:val="false"/>
          <w:sz w:val="20"/>
        </w:rPr>
        <w:t>million in cash, which was financed with a draw on the Company’s revolving credit facility, and $2.0</w:t>
      </w:r>
      <w:r>
        <w:rPr>
          <w:rFonts w:ascii="Times New Roman" w:hAnsi="Times New Roman"/>
          <w:sz w:val="20"/>
        </w:rPr>
        <w:t xml:space="preserve"> </w:t>
      </w:r>
      <w:r>
        <w:rPr>
          <w:rFonts w:ascii="Times New Roman;serif" w:hAnsi="Times New Roman;serif"/>
          <w:b w:val="false"/>
          <w:sz w:val="20"/>
        </w:rPr>
        <w:t>million in notes payable to the former owners over two years. As additional consideration, the former owners are entitled to earn-out payments based upon a multiple of specified financial results through April 30, 2023. Based on projections at the acquisition date, the Company estimated the fair value of the earn-out to be $1.4</w:t>
      </w:r>
      <w:r>
        <w:rPr>
          <w:rFonts w:ascii="Times New Roman" w:hAnsi="Times New Roman"/>
          <w:sz w:val="20"/>
        </w:rPr>
        <w:t xml:space="preserve"> </w:t>
      </w:r>
      <w:r>
        <w:rPr>
          <w:rFonts w:ascii="Times New Roman;serif" w:hAnsi="Times New Roman;serif"/>
          <w:b w:val="false"/>
          <w:sz w:val="20"/>
        </w:rPr>
        <w:t>million. As of March 31, 2023, the earnout liability recorded in “Accounts payable and accrued expenses” on the Condensed Consolidated Balance Sheets is $1.2</w:t>
      </w:r>
      <w:r>
        <w:rPr>
          <w:rFonts w:ascii="Times New Roman" w:hAnsi="Times New Roman"/>
          <w:sz w:val="20"/>
        </w:rPr>
        <w:t xml:space="preserve"> </w:t>
      </w:r>
      <w:r>
        <w:rPr>
          <w:rFonts w:ascii="Times New Roman;serif" w:hAnsi="Times New Roman;serif"/>
          <w:b w:val="false"/>
          <w:sz w:val="20"/>
        </w:rPr>
        <w:t>million.</w:t>
      </w:r>
    </w:p>
    <w:p>
      <w:pPr>
        <w:pStyle w:val="TextBody"/>
        <w:spacing w:before="0" w:after="0"/>
        <w:jc w:val="left"/>
        <w:rPr>
          <w:rFonts w:ascii="Times New Roman" w:hAnsi="Times New Roman"/>
          <w:sz w:val="20"/>
        </w:rPr>
      </w:pPr>
      <w:r>
        <w:rPr>
          <w:rFonts w:ascii="Times New Roman;serif" w:hAnsi="Times New Roman;serif"/>
          <w:b w:val="false"/>
          <w:sz w:val="20"/>
        </w:rPr>
        <w:t>Compass is a leading global supplier of membrane-based industrial water and wastewater treatment systems that help customers achieve regulatory compliance of water discharge at the lowest lifecycle cost. The acquisition diversifies and expands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Company's industrial water product offerings within the Engineered Systems segment. The following table summarizes the fair values of the assets acquired and liabilities assumed at the date of closing. </w:t>
      </w:r>
    </w:p>
    <w:p>
      <w:pPr>
        <w:pStyle w:val="TextBody"/>
        <w:spacing w:before="0" w:after="0"/>
        <w:jc w:val="left"/>
        <w:rPr/>
      </w:pPr>
      <w:r>
        <w:rPr/>
        <w:t> </w:t>
      </w:r>
    </w:p>
    <w:tbl>
      <w:tblPr>
        <w:tblW w:w="4730" w:type="dxa"/>
        <w:jc w:val="left"/>
        <w:tblInd w:w="0" w:type="dxa"/>
        <w:tblCellMar>
          <w:top w:w="28" w:type="dxa"/>
          <w:left w:w="28" w:type="dxa"/>
          <w:bottom w:w="28" w:type="dxa"/>
          <w:right w:w="28" w:type="dxa"/>
        </w:tblCellMar>
      </w:tblPr>
      <w:tblGrid>
        <w:gridCol w:w="3286"/>
        <w:gridCol w:w="146"/>
        <w:gridCol w:w="211"/>
        <w:gridCol w:w="676"/>
        <w:gridCol w:w="41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 (including cash of $334)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4,796</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4,848</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 finite life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14,645</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12,395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240"/>
        <w:jc w:val="left"/>
        <w:rPr>
          <w:rFonts w:ascii="Times New Roman" w:hAnsi="Times New Roman"/>
          <w:sz w:val="20"/>
        </w:rPr>
      </w:pPr>
      <w:r>
        <w:rPr>
          <w:rFonts w:ascii="Times New Roman;serif" w:hAnsi="Times New Roman;serif"/>
          <w:b w:val="false"/>
          <w:sz w:val="20"/>
        </w:rPr>
        <w:t>The Company acquired customer lists and tradename intangible assets valued at $4.4</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These assets were determined to have useful lives of 10</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Western Air Ducts Ltd.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June 22, 2022, the Company acquired 100% of the equity interests of Western Air Ducts Limited for $10.7</w:t>
      </w:r>
      <w:r>
        <w:rPr>
          <w:rFonts w:ascii="Times New Roman" w:hAnsi="Times New Roman"/>
          <w:sz w:val="20"/>
        </w:rPr>
        <w:t xml:space="preserve"> </w:t>
      </w:r>
      <w:r>
        <w:rPr>
          <w:rFonts w:ascii="Times New Roman;serif" w:hAnsi="Times New Roman;serif"/>
          <w:b w:val="false"/>
          <w:sz w:val="20"/>
        </w:rPr>
        <w:t>million in cash, which was financed with a draw on the Company’s revolving credit facility, and deferred cash consideration of $0.8</w:t>
      </w:r>
      <w:r>
        <w:rPr>
          <w:rFonts w:ascii="Times New Roman" w:hAnsi="Times New Roman"/>
          <w:sz w:val="20"/>
        </w:rPr>
        <w:t xml:space="preserve"> </w:t>
      </w:r>
      <w:r>
        <w:rPr>
          <w:rFonts w:ascii="Times New Roman;serif" w:hAnsi="Times New Roman;serif"/>
          <w:b w:val="false"/>
          <w:sz w:val="20"/>
        </w:rPr>
        <w:t>million payable in one year.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Western Air Ducts is a leading European supplier of dust and fume extraction solutions, providing consultation, design, manufacturing, installation, and service. The acquisition diversifies and expands the Company's industrial air product offerings within the Industrial Process Solutions segment. The following table summarizes the fair values of the assets acquired and liabilities assumed at the date of closing.</w:t>
      </w:r>
    </w:p>
    <w:p>
      <w:pPr>
        <w:pStyle w:val="TextBody"/>
        <w:spacing w:before="0" w:after="0"/>
        <w:jc w:val="left"/>
        <w:rPr/>
      </w:pPr>
      <w:r>
        <w:rPr/>
        <w:t> </w:t>
      </w:r>
    </w:p>
    <w:tbl>
      <w:tblPr>
        <w:tblW w:w="4880" w:type="dxa"/>
        <w:jc w:val="left"/>
        <w:tblInd w:w="0" w:type="dxa"/>
        <w:tblCellMar>
          <w:top w:w="28" w:type="dxa"/>
          <w:left w:w="28" w:type="dxa"/>
          <w:bottom w:w="28" w:type="dxa"/>
          <w:right w:w="28" w:type="dxa"/>
        </w:tblCellMar>
      </w:tblPr>
      <w:tblGrid>
        <w:gridCol w:w="3436"/>
        <w:gridCol w:w="146"/>
        <w:gridCol w:w="211"/>
        <w:gridCol w:w="676"/>
        <w:gridCol w:w="41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 (including cash of $1,557)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2,711</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7,344</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 finite life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13,401</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(1,127</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sz w:val="20"/>
        </w:rPr>
      </w:pPr>
      <w:r>
        <w:rPr>
          <w:rFonts w:ascii="Times New Roman;serif" w:hAnsi="Times New Roman;serif"/>
          <w:b w:val="false"/>
          <w:sz w:val="20"/>
        </w:rPr>
        <w:t>The Company acquired customer lists and tradename intangible assets valued at $2.8</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These assets were determined to have useful lives of 10</w:t>
      </w:r>
      <w:r>
        <w:rPr>
          <w:rFonts w:ascii="Times New Roman" w:hAnsi="Times New Roman"/>
          <w:sz w:val="20"/>
        </w:rPr>
        <w:t xml:space="preserve"> </w:t>
      </w:r>
      <w:r>
        <w:rPr>
          <w:rFonts w:ascii="Times New Roman;serif" w:hAnsi="Times New Roman;serif"/>
          <w:b w:val="false"/>
          <w:sz w:val="20"/>
        </w:rPr>
        <w:t>years.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DS21 Co., Ltd.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September 19, 2022, the Company acquired 100% of the equity interests of DS21 Co., Ltd. ("DS21") for $9.2</w:t>
      </w:r>
      <w:r>
        <w:rPr>
          <w:rFonts w:ascii="Times New Roman" w:hAnsi="Times New Roman"/>
          <w:sz w:val="20"/>
        </w:rPr>
        <w:t xml:space="preserve"> </w:t>
      </w:r>
      <w:r>
        <w:rPr>
          <w:rFonts w:ascii="Times New Roman;serif" w:hAnsi="Times New Roman;serif"/>
          <w:b w:val="false"/>
          <w:sz w:val="20"/>
        </w:rPr>
        <w:t>million, including $8.9</w:t>
      </w:r>
      <w:r>
        <w:rPr>
          <w:rFonts w:ascii="Times New Roman" w:hAnsi="Times New Roman"/>
          <w:sz w:val="20"/>
        </w:rPr>
        <w:t xml:space="preserve"> </w:t>
      </w:r>
      <w:r>
        <w:rPr>
          <w:rFonts w:ascii="Times New Roman;serif" w:hAnsi="Times New Roman;serif"/>
          <w:b w:val="false"/>
          <w:sz w:val="20"/>
        </w:rPr>
        <w:t>million in cash, which was financed with a draw on the Company’s revolving credit facility, and deferred cash consideration of $0.3</w:t>
      </w:r>
      <w:r>
        <w:rPr>
          <w:rFonts w:ascii="Times New Roman" w:hAnsi="Times New Roman"/>
          <w:sz w:val="20"/>
        </w:rPr>
        <w:t xml:space="preserve"> </w:t>
      </w:r>
      <w:r>
        <w:rPr>
          <w:rFonts w:ascii="Times New Roman;serif" w:hAnsi="Times New Roman;serif"/>
          <w:b w:val="false"/>
          <w:sz w:val="20"/>
        </w:rPr>
        <w:t>million payable in one year.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DS21 is a South Korean-based design and manufacturing firm specializing in innovative water and wastewater treatment solutions. The addition of DS21 advances the Company's leadership position in niche oily water and produced water treatment, demineralization water treatment and ultra-pure water supply applications within the Company's Engineered Systems segment. The following table summarizes the fair values of the assets acquired and liabilities assumed at the date of closing.</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tbl>
      <w:tblPr>
        <w:tblW w:w="4880" w:type="dxa"/>
        <w:jc w:val="left"/>
        <w:tblInd w:w="0" w:type="dxa"/>
        <w:tblCellMar>
          <w:top w:w="28" w:type="dxa"/>
          <w:left w:w="28" w:type="dxa"/>
          <w:bottom w:w="28" w:type="dxa"/>
          <w:right w:w="28" w:type="dxa"/>
        </w:tblCellMar>
      </w:tblPr>
      <w:tblGrid>
        <w:gridCol w:w="3436"/>
        <w:gridCol w:w="146"/>
        <w:gridCol w:w="211"/>
        <w:gridCol w:w="676"/>
        <w:gridCol w:w="41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 (including cash of $1,453)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5,099</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4,112</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 finite life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10,359</w:t>
            </w:r>
          </w:p>
        </w:tc>
        <w:tc>
          <w:tcPr>
            <w:tcW w:w="41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9,238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sz w:val="20"/>
        </w:rPr>
      </w:pPr>
      <w:r>
        <w:rPr>
          <w:rFonts w:ascii="Times New Roman;serif" w:hAnsi="Times New Roman;serif"/>
          <w:b w:val="false"/>
          <w:sz w:val="20"/>
        </w:rPr>
        <w:t>The Company acquired customer lists and tradename intangible assets valued at $0.1</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 These assets were determined to have useful lives of 10</w:t>
      </w:r>
      <w:r>
        <w:rPr>
          <w:rFonts w:ascii="Times New Roman" w:hAnsi="Times New Roman"/>
          <w:sz w:val="20"/>
        </w:rPr>
        <w:t xml:space="preserve"> </w:t>
      </w:r>
      <w:r>
        <w:rPr>
          <w:rFonts w:ascii="Times New Roman;serif" w:hAnsi="Times New Roman;serif"/>
          <w:b w:val="false"/>
          <w:sz w:val="20"/>
        </w:rPr>
        <w:t>years.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 has finalized the valuation of assets acquired and liabilities assumed related to the acquisition of GRC. The approximate fair values of the assets acquired and liabilities assumed related to the remaining acquisitions are based on preliminary estimates and assumptions. These preliminary estimates and assumptions could change significantly during the purchase price measurement period as the Company finalizes the valuation of assets acquired and liabilities assumed. These changes could result in material variances between the Company's future financial results, including variances in the estimated purchase price, fair values recorded and expenses associated with these items.</w:t>
      </w:r>
    </w:p>
    <w:p>
      <w:pPr>
        <w:pStyle w:val="TextBody"/>
        <w:spacing w:before="240" w:after="240"/>
        <w:jc w:val="left"/>
        <w:rPr>
          <w:rFonts w:ascii="Times New Roman" w:hAnsi="Times New Roman"/>
          <w:sz w:val="20"/>
        </w:rPr>
      </w:pPr>
      <w:r>
        <w:rPr>
          <w:rFonts w:ascii="Times New Roman;serif" w:hAnsi="Times New Roman;serif"/>
          <w:b w:val="false"/>
          <w:sz w:val="20"/>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br/>
        <w:br/>
        <w:t>Acquisition and integration expenses on the Condensed Consolidated Statements of Income are related to acquisition activities, which include retention, legal, accounting, banking, and other expenses.</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following unaudited pro forma financial information represents the Company’s results of operations as if these acquisitions had occurred at the beginning of the fiscal year prior to the acquisition:</w:t>
      </w:r>
    </w:p>
    <w:tbl>
      <w:tblPr>
        <w:tblW w:w="7667" w:type="dxa"/>
        <w:jc w:val="left"/>
        <w:tblInd w:w="0" w:type="dxa"/>
        <w:tblCellMar>
          <w:top w:w="28" w:type="dxa"/>
          <w:left w:w="28" w:type="dxa"/>
          <w:bottom w:w="28" w:type="dxa"/>
          <w:right w:w="28" w:type="dxa"/>
        </w:tblCellMar>
      </w:tblPr>
      <w:tblGrid>
        <w:gridCol w:w="4576"/>
        <w:gridCol w:w="146"/>
        <w:gridCol w:w="218"/>
        <w:gridCol w:w="808"/>
        <w:gridCol w:w="151"/>
        <w:gridCol w:w="151"/>
        <w:gridCol w:w="218"/>
        <w:gridCol w:w="808"/>
        <w:gridCol w:w="591"/>
      </w:tblGrid>
      <w:tr>
        <w:trPr/>
        <w:tc>
          <w:tcPr>
            <w:tcW w:w="4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 share data)</w:t>
            </w:r>
          </w:p>
        </w:tc>
        <w:tc>
          <w:tcPr>
            <w:tcW w:w="146" w:type="dxa"/>
            <w:tcBorders/>
            <w:shd w:fill="auto" w:val="clear"/>
            <w:vAlign w:val="center"/>
          </w:tcPr>
          <w:p>
            <w:pPr>
              <w:pStyle w:val="TableContents"/>
              <w:spacing w:before="0" w:after="0"/>
              <w:ind w:left="0" w:right="0" w:hanging="0"/>
              <w:jc w:val="left"/>
              <w:rPr/>
            </w:pPr>
            <w:r>
              <w:rPr/>
              <w:t> </w:t>
            </w:r>
          </w:p>
        </w:tc>
        <w:tc>
          <w:tcPr>
            <w:tcW w:w="10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0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116,116</w:t>
            </w:r>
          </w:p>
        </w:tc>
        <w:tc>
          <w:tcPr>
            <w:tcW w:w="15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103,015</w:t>
            </w:r>
          </w:p>
        </w:tc>
        <w:tc>
          <w:tcPr>
            <w:tcW w:w="5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CECO Environmental Corp.</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5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2,662</w:t>
            </w:r>
          </w:p>
        </w:tc>
        <w:tc>
          <w:tcPr>
            <w:tcW w:w="5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share:</w:t>
            </w:r>
          </w:p>
        </w:tc>
        <w:tc>
          <w:tcPr>
            <w:tcW w:w="146" w:type="dxa"/>
            <w:tcBorders/>
            <w:shd w:fill="auto" w:val="clear"/>
            <w:vAlign w:val="center"/>
          </w:tcPr>
          <w:p>
            <w:pPr>
              <w:pStyle w:val="TableContents"/>
              <w:spacing w:before="0" w:after="0"/>
              <w:ind w:left="0" w:right="0" w:hanging="0"/>
              <w:jc w:val="left"/>
              <w:rPr/>
            </w:pPr>
            <w:r>
              <w:rPr/>
              <w:t> </w:t>
            </w:r>
          </w:p>
        </w:tc>
        <w:tc>
          <w:tcPr>
            <w:tcW w:w="1026"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02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57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5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591" w:type="dxa"/>
            <w:tcBorders/>
            <w:shd w:fill="auto" w:val="clear"/>
            <w:vAlign w:val="center"/>
          </w:tcPr>
          <w:p>
            <w:pPr>
              <w:pStyle w:val="TableContents"/>
              <w:spacing w:before="0" w:after="0"/>
              <w:ind w:left="0" w:right="0" w:firstLine="400"/>
              <w:jc w:val="left"/>
              <w:rPr/>
            </w:pPr>
            <w:r>
              <w:rPr/>
              <w:t> </w:t>
            </w:r>
          </w:p>
        </w:tc>
      </w:tr>
      <w:tr>
        <w:trPr/>
        <w:tc>
          <w:tcPr>
            <w:tcW w:w="457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5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serif" w:hAnsi="Times New Roman;serif"/>
          <w:b w:val="false"/>
          <w:sz w:val="20"/>
        </w:rPr>
      </w:pPr>
      <w:r>
        <w:rPr>
          <w:rFonts w:ascii="Times New Roman;serif" w:hAnsi="Times New Roman;serif"/>
          <w:b w:val="false"/>
          <w:sz w:val="20"/>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pStyle w:val="TextBody"/>
        <w:spacing w:before="240" w:after="240"/>
        <w:jc w:val="left"/>
        <w:rPr>
          <w:rFonts w:ascii="Times New Roman" w:hAnsi="Times New Roman"/>
          <w:sz w:val="20"/>
        </w:rPr>
      </w:pPr>
      <w:r>
        <w:rPr>
          <w:rFonts w:ascii="Times New Roman;serif" w:hAnsi="Times New Roman;serif"/>
          <w:b/>
          <w:sz w:val="20"/>
        </w:rPr>
        <w:t>15. Business Segment Information</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The Company’s operations are organized and reviewed by management along with its solutions or end markets that the segment serves and presented in two reportable segments. The results of the segments are reviewed through the “Income from operations” line on the Condensed Consolidated Statements of Income</w:t>
      </w:r>
      <w:r>
        <w:rPr>
          <w:rFonts w:ascii="Times New Roman;serif" w:hAnsi="Times New Roman;serif"/>
          <w:b w:val="false"/>
          <w:sz w:val="24"/>
        </w:rPr>
        <w:t>.</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Company’s reportable segments are organized as groups of similar products and services, as described as follows:</w:t>
      </w:r>
    </w:p>
    <w:p>
      <w:pPr>
        <w:pStyle w:val="TextBody"/>
        <w:spacing w:before="240" w:after="240"/>
        <w:jc w:val="left"/>
        <w:rPr>
          <w:rFonts w:ascii="Times New Roman" w:hAnsi="Times New Roman"/>
          <w:sz w:val="20"/>
        </w:rPr>
      </w:pPr>
      <w:r>
        <w:rPr>
          <w:rFonts w:ascii="Times New Roman;serif" w:hAnsi="Times New Roman;serif"/>
          <w:b w:val="false"/>
          <w:sz w:val="20"/>
          <w:u w:val="single"/>
        </w:rPr>
        <w:t>Engineered Systems segment:</w:t>
      </w:r>
      <w:r>
        <w:rPr>
          <w:rFonts w:ascii="Times New Roman" w:hAnsi="Times New Roman"/>
          <w:sz w:val="20"/>
        </w:rPr>
        <w:t xml:space="preserve"> </w:t>
      </w:r>
      <w:r>
        <w:rPr>
          <w:rFonts w:ascii="Times New Roman;serif" w:hAnsi="Times New Roman;serif"/>
          <w:b w:val="false"/>
          <w:sz w:val="20"/>
        </w:rPr>
        <w:t>The Engineered Systems segment serves the power generation, hydrocarbon processing, water/wastewater treatment, oily water separation and treatment, marine and naval vessels, and midstream oil &amp; gas sectors. We are a key part of helping meet the global demand for environmental and equipment protection solutions with our highly engineered platforms including emissions control, fluid bed cyclones, thermal acoustics, separation &amp; filtration, and dampers &amp; expansion joints.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40" w:after="240"/>
        <w:jc w:val="left"/>
        <w:rPr>
          <w:rFonts w:ascii="Times New Roman" w:hAnsi="Times New Roman"/>
          <w:sz w:val="20"/>
        </w:rPr>
      </w:pPr>
      <w:r>
        <w:rPr>
          <w:rFonts w:ascii="Times New Roman;serif" w:hAnsi="Times New Roman;serif"/>
          <w:b w:val="false"/>
          <w:sz w:val="20"/>
          <w:u w:val="single"/>
        </w:rPr>
        <w:t>Industrial Process Solutions segment:</w:t>
      </w:r>
      <w:r>
        <w:rPr>
          <w:rFonts w:ascii="Times New Roman" w:hAnsi="Times New Roman"/>
          <w:sz w:val="20"/>
        </w:rPr>
        <w:t xml:space="preserve"> </w:t>
      </w:r>
      <w:r>
        <w:rPr>
          <w:rFonts w:ascii="Times New Roman;serif" w:hAnsi="Times New Roman;serif"/>
          <w:b w:val="false"/>
          <w:sz w:val="20"/>
        </w:rPr>
        <w:t>The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For Industrial Air applications, we assist companies maintain clean and safe operations for employees, reduce energy consumption, minimize waste for customers, and meet regulatory standards for toxic emissions, fumes, volatile organic compounds, and odor elimination through our platforms including duct fabrication &amp; installation, industrial air, and fluid handling.</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financial segment information is as follows:</w:t>
      </w:r>
    </w:p>
    <w:tbl>
      <w:tblPr>
        <w:tblW w:w="6430" w:type="dxa"/>
        <w:jc w:val="left"/>
        <w:tblInd w:w="0" w:type="dxa"/>
        <w:tblCellMar>
          <w:top w:w="28" w:type="dxa"/>
          <w:left w:w="28" w:type="dxa"/>
          <w:bottom w:w="28" w:type="dxa"/>
          <w:right w:w="28" w:type="dxa"/>
        </w:tblCellMar>
      </w:tblPr>
      <w:tblGrid>
        <w:gridCol w:w="3541"/>
        <w:gridCol w:w="146"/>
        <w:gridCol w:w="228"/>
        <w:gridCol w:w="847"/>
        <w:gridCol w:w="158"/>
        <w:gridCol w:w="158"/>
        <w:gridCol w:w="228"/>
        <w:gridCol w:w="733"/>
        <w:gridCol w:w="391"/>
      </w:tblGrid>
      <w:tr>
        <w:trPr/>
        <w:tc>
          <w:tcPr>
            <w:tcW w:w="3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sales (less intra-, inter-segment sales)</w:t>
            </w:r>
          </w:p>
        </w:tc>
        <w:tc>
          <w:tcPr>
            <w:tcW w:w="146" w:type="dxa"/>
            <w:tcBorders/>
            <w:shd w:fill="auto" w:val="clear"/>
            <w:vAlign w:val="center"/>
          </w:tcPr>
          <w:p>
            <w:pPr>
              <w:pStyle w:val="TableContents"/>
              <w:spacing w:before="0" w:after="0"/>
              <w:ind w:left="0" w:right="0" w:hanging="0"/>
              <w:jc w:val="left"/>
              <w:rPr/>
            </w:pPr>
            <w:r>
              <w:rPr/>
              <w:t> </w:t>
            </w:r>
          </w:p>
        </w:tc>
        <w:tc>
          <w:tcPr>
            <w:tcW w:w="1075" w:type="dxa"/>
            <w:gridSpan w:val="2"/>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74,454</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56,975</w:t>
            </w:r>
          </w:p>
        </w:tc>
        <w:tc>
          <w:tcPr>
            <w:tcW w:w="391"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38,109</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35,461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 sales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112,563</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pPr>
      <w:r>
        <w:rPr/>
        <w:t> </w:t>
      </w:r>
    </w:p>
    <w:tbl>
      <w:tblPr>
        <w:tblW w:w="6001" w:type="dxa"/>
        <w:jc w:val="left"/>
        <w:tblInd w:w="0" w:type="dxa"/>
        <w:tblCellMar>
          <w:top w:w="28" w:type="dxa"/>
          <w:left w:w="28" w:type="dxa"/>
          <w:bottom w:w="28" w:type="dxa"/>
          <w:right w:w="28" w:type="dxa"/>
        </w:tblCellMar>
      </w:tblPr>
      <w:tblGrid>
        <w:gridCol w:w="3091"/>
        <w:gridCol w:w="146"/>
        <w:gridCol w:w="249"/>
        <w:gridCol w:w="744"/>
        <w:gridCol w:w="195"/>
        <w:gridCol w:w="172"/>
        <w:gridCol w:w="249"/>
        <w:gridCol w:w="744"/>
        <w:gridCol w:w="41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993" w:type="dxa"/>
            <w:gridSpan w:val="2"/>
            <w:tcBorders/>
            <w:shd w:fill="auto" w:val="clear"/>
            <w:vAlign w:val="center"/>
          </w:tcPr>
          <w:p>
            <w:pPr>
              <w:pStyle w:val="TableContents"/>
              <w:spacing w:before="0" w:after="0"/>
              <w:ind w:left="0" w:right="0" w:hanging="0"/>
              <w:jc w:val="right"/>
              <w:rPr/>
            </w:pPr>
            <w:r>
              <w:rPr/>
              <w:t> </w:t>
            </w:r>
          </w:p>
        </w:tc>
        <w:tc>
          <w:tcPr>
            <w:tcW w:w="195" w:type="dxa"/>
            <w:tcBorders/>
            <w:shd w:fill="auto" w:val="clear"/>
            <w:vAlign w:val="center"/>
          </w:tcPr>
          <w:p>
            <w:pPr>
              <w:pStyle w:val="TableContents"/>
              <w:spacing w:before="0" w:after="0"/>
              <w:ind w:left="0" w:right="0" w:hanging="0"/>
              <w:jc w:val="righ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9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9,805</w:t>
            </w:r>
          </w:p>
        </w:tc>
        <w:tc>
          <w:tcPr>
            <w:tcW w:w="195"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6,470</w:t>
            </w:r>
          </w:p>
        </w:tc>
        <w:tc>
          <w:tcPr>
            <w:tcW w:w="41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5,546</w:t>
            </w:r>
          </w:p>
        </w:tc>
        <w:tc>
          <w:tcPr>
            <w:tcW w:w="195"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4,139</w:t>
            </w:r>
          </w:p>
        </w:tc>
        <w:tc>
          <w:tcPr>
            <w:tcW w:w="41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Corporate and Other</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(9,890</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5,461</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60" w:after="120"/>
        <w:jc w:val="left"/>
        <w:rPr>
          <w:rFonts w:ascii="Times New Roman" w:hAnsi="Times New Roman"/>
          <w:b w:val="false"/>
          <w:sz w:val="16"/>
        </w:rPr>
      </w:pPr>
      <w:r>
        <w:rPr>
          <w:rFonts w:ascii="Times New Roman" w:hAnsi="Times New Roman"/>
          <w:b w:val="false"/>
          <w:sz w:val="16"/>
        </w:rPr>
        <w:t>(1)</w:t>
      </w:r>
    </w:p>
    <w:p>
      <w:pPr>
        <w:pStyle w:val="TextBody"/>
        <w:spacing w:before="60" w:after="120"/>
        <w:jc w:val="left"/>
        <w:rPr>
          <w:rFonts w:ascii="Times New Roman;serif" w:hAnsi="Times New Roman;serif"/>
          <w:sz w:val="24"/>
        </w:rPr>
      </w:pPr>
      <w:r>
        <w:rPr>
          <w:rFonts w:ascii="Times New Roman;serif" w:hAnsi="Times New Roman;serif"/>
          <w:b w:val="false"/>
          <w:sz w:val="16"/>
        </w:rPr>
        <w:t>Includes corporate compensation, professional services, information technology, and other general and administrative corporate expenses.</w:t>
      </w:r>
      <w:r>
        <w:rPr>
          <w:rFonts w:ascii="Times New Roman;serif" w:hAnsi="Times New Roman;serif"/>
          <w:sz w:val="24"/>
        </w:rPr>
        <w:t xml:space="preserve"> </w:t>
      </w:r>
    </w:p>
    <w:p>
      <w:pPr>
        <w:pStyle w:val="TextBody"/>
        <w:spacing w:before="40" w:after="0"/>
        <w:jc w:val="left"/>
        <w:rPr/>
      </w:pPr>
      <w:r>
        <w:rPr/>
        <w:t> </w:t>
      </w:r>
    </w:p>
    <w:tbl>
      <w:tblPr>
        <w:tblW w:w="6251" w:type="dxa"/>
        <w:jc w:val="left"/>
        <w:tblInd w:w="0" w:type="dxa"/>
        <w:tblCellMar>
          <w:top w:w="28" w:type="dxa"/>
          <w:left w:w="28" w:type="dxa"/>
          <w:bottom w:w="28" w:type="dxa"/>
          <w:right w:w="28" w:type="dxa"/>
        </w:tblCellMar>
      </w:tblPr>
      <w:tblGrid>
        <w:gridCol w:w="3361"/>
        <w:gridCol w:w="146"/>
        <w:gridCol w:w="291"/>
        <w:gridCol w:w="788"/>
        <w:gridCol w:w="201"/>
        <w:gridCol w:w="201"/>
        <w:gridCol w:w="291"/>
        <w:gridCol w:w="581"/>
        <w:gridCol w:w="391"/>
      </w:tblGrid>
      <w:tr>
        <w:trPr/>
        <w:tc>
          <w:tcPr>
            <w:tcW w:w="3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Property and equipment additions</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shd w:fill="auto" w:val="cle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7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91" w:type="dxa"/>
            <w:tcBorders/>
            <w:shd w:fill="auto" w:val="clear"/>
            <w:vAlign w:val="center"/>
          </w:tcPr>
          <w:p>
            <w:pPr>
              <w:pStyle w:val="TableContents"/>
              <w:spacing w:before="0" w:after="0"/>
              <w:ind w:left="0" w:right="0" w:hanging="0"/>
              <w:jc w:val="left"/>
              <w:rPr/>
            </w:pPr>
            <w:r>
              <w:rPr/>
              <w:t> </w:t>
            </w:r>
          </w:p>
        </w:tc>
      </w:tr>
      <w:tr>
        <w:trPr/>
        <w:tc>
          <w:tcPr>
            <w:tcW w:w="3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and Other</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870</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 additions</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2,513</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pPr>
      <w:r>
        <w:rPr/>
        <w:t> </w:t>
      </w:r>
    </w:p>
    <w:tbl>
      <w:tblPr>
        <w:tblW w:w="5980" w:type="dxa"/>
        <w:jc w:val="left"/>
        <w:tblInd w:w="0" w:type="dxa"/>
        <w:tblCellMar>
          <w:top w:w="28" w:type="dxa"/>
          <w:left w:w="28" w:type="dxa"/>
          <w:bottom w:w="28" w:type="dxa"/>
          <w:right w:w="28" w:type="dxa"/>
        </w:tblCellMar>
      </w:tblPr>
      <w:tblGrid>
        <w:gridCol w:w="3091"/>
        <w:gridCol w:w="146"/>
        <w:gridCol w:w="267"/>
        <w:gridCol w:w="724"/>
        <w:gridCol w:w="185"/>
        <w:gridCol w:w="185"/>
        <w:gridCol w:w="267"/>
        <w:gridCol w:w="724"/>
        <w:gridCol w:w="3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1,212</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895</w:t>
            </w:r>
          </w:p>
        </w:tc>
        <w:tc>
          <w:tcPr>
            <w:tcW w:w="3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1,158</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3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and Other</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2,885</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pPr>
      <w:r>
        <w:rPr/>
        <w:t> </w:t>
      </w:r>
    </w:p>
    <w:tbl>
      <w:tblPr>
        <w:tblW w:w="6680" w:type="dxa"/>
        <w:jc w:val="left"/>
        <w:tblInd w:w="0" w:type="dxa"/>
        <w:tblCellMar>
          <w:top w:w="28" w:type="dxa"/>
          <w:left w:w="28" w:type="dxa"/>
          <w:bottom w:w="28" w:type="dxa"/>
          <w:right w:w="28" w:type="dxa"/>
        </w:tblCellMar>
      </w:tblPr>
      <w:tblGrid>
        <w:gridCol w:w="3091"/>
        <w:gridCol w:w="146"/>
        <w:gridCol w:w="268"/>
        <w:gridCol w:w="992"/>
        <w:gridCol w:w="146"/>
        <w:gridCol w:w="146"/>
        <w:gridCol w:w="319"/>
        <w:gridCol w:w="1181"/>
        <w:gridCol w:w="3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Identifiable assets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332,820</w:t>
            </w:r>
          </w:p>
        </w:tc>
        <w:tc>
          <w:tcPr>
            <w:tcW w:w="3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153,647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150,458</w:t>
            </w:r>
          </w:p>
        </w:tc>
        <w:tc>
          <w:tcPr>
            <w:tcW w:w="3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Corporate and Other</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21,443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identifiable assets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567,568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504,721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60" w:after="120"/>
        <w:jc w:val="left"/>
        <w:rPr>
          <w:rFonts w:ascii="Times New Roman" w:hAnsi="Times New Roman"/>
          <w:b w:val="false"/>
          <w:sz w:val="16"/>
        </w:rPr>
      </w:pPr>
      <w:r>
        <w:rPr>
          <w:rFonts w:ascii="Times New Roman" w:hAnsi="Times New Roman"/>
          <w:b w:val="false"/>
          <w:sz w:val="16"/>
        </w:rPr>
        <w:t>(2)</w:t>
      </w:r>
    </w:p>
    <w:p>
      <w:pPr>
        <w:pStyle w:val="TextBody"/>
        <w:spacing w:before="60" w:after="120"/>
        <w:jc w:val="left"/>
        <w:rPr>
          <w:rFonts w:ascii="Times New Roman;serif" w:hAnsi="Times New Roman;serif"/>
          <w:b w:val="false"/>
          <w:sz w:val="16"/>
        </w:rPr>
      </w:pPr>
      <w:r>
        <w:rPr>
          <w:rFonts w:ascii="Times New Roman;serif" w:hAnsi="Times New Roman;serif"/>
          <w:b w:val="false"/>
          <w:sz w:val="16"/>
        </w:rPr>
        <w:t>Corporate and Other assets consist primarily of cash and income tax related assets.</w:t>
      </w:r>
    </w:p>
    <w:p>
      <w:pPr>
        <w:pStyle w:val="TextBody"/>
        <w:spacing w:before="0" w:after="0"/>
        <w:jc w:val="left"/>
        <w:rPr/>
      </w:pPr>
      <w:r>
        <w:rPr/>
        <w:t> </w:t>
      </w:r>
    </w:p>
    <w:tbl>
      <w:tblPr>
        <w:tblW w:w="6680" w:type="dxa"/>
        <w:jc w:val="left"/>
        <w:tblInd w:w="0" w:type="dxa"/>
        <w:tblCellMar>
          <w:top w:w="28" w:type="dxa"/>
          <w:left w:w="28" w:type="dxa"/>
          <w:bottom w:w="28" w:type="dxa"/>
          <w:right w:w="28" w:type="dxa"/>
        </w:tblCellMar>
      </w:tblPr>
      <w:tblGrid>
        <w:gridCol w:w="3091"/>
        <w:gridCol w:w="146"/>
        <w:gridCol w:w="268"/>
        <w:gridCol w:w="992"/>
        <w:gridCol w:w="146"/>
        <w:gridCol w:w="146"/>
        <w:gridCol w:w="319"/>
        <w:gridCol w:w="1181"/>
        <w:gridCol w:w="3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114,746</w:t>
            </w:r>
          </w:p>
        </w:tc>
        <w:tc>
          <w:tcPr>
            <w:tcW w:w="3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68,451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goodwill</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183,197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120"/>
        <w:jc w:val="left"/>
        <w:rPr/>
      </w:pPr>
      <w:r>
        <w:rPr/>
        <w:t> </w:t>
      </w:r>
    </w:p>
    <w:p>
      <w:pPr>
        <w:pStyle w:val="TextBody"/>
        <w:spacing w:before="120" w:after="120"/>
        <w:jc w:val="left"/>
        <w:rPr>
          <w:rFonts w:ascii="Times New Roman;serif" w:hAnsi="Times New Roman;serif"/>
          <w:b w:val="false"/>
          <w:i/>
          <w:sz w:val="20"/>
        </w:rPr>
      </w:pPr>
      <w:r>
        <w:rPr>
          <w:rFonts w:ascii="Times New Roman;serif" w:hAnsi="Times New Roman;serif"/>
          <w:b w:val="false"/>
          <w:i/>
          <w:sz w:val="20"/>
        </w:rPr>
        <w:t>Intra-segment and Inter-segment Revenues</w:t>
      </w:r>
    </w:p>
    <w:p>
      <w:pPr>
        <w:pStyle w:val="TextBody"/>
        <w:spacing w:before="120" w:after="120"/>
        <w:jc w:val="left"/>
        <w:rPr>
          <w:rFonts w:ascii="Times New Roman" w:hAnsi="Times New Roman"/>
          <w:sz w:val="20"/>
        </w:rPr>
      </w:pPr>
      <w:r>
        <w:rPr>
          <w:rFonts w:ascii="Times New Roman;serif" w:hAnsi="Times New Roman;serif"/>
          <w:b w:val="false"/>
          <w:sz w:val="20"/>
        </w:rPr>
        <w:t>The Company has multiple divisions that sell to each other within segments (intra-segment sales) and between segments (inter-segment sales), as follows: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507"/>
        <w:gridCol w:w="146"/>
        <w:gridCol w:w="211"/>
        <w:gridCol w:w="781"/>
        <w:gridCol w:w="146"/>
        <w:gridCol w:w="146"/>
        <w:gridCol w:w="211"/>
        <w:gridCol w:w="631"/>
        <w:gridCol w:w="166"/>
        <w:gridCol w:w="146"/>
        <w:gridCol w:w="620"/>
        <w:gridCol w:w="1110"/>
        <w:gridCol w:w="171"/>
        <w:gridCol w:w="150"/>
        <w:gridCol w:w="486"/>
        <w:gridCol w:w="868"/>
        <w:gridCol w:w="171"/>
        <w:gridCol w:w="150"/>
        <w:gridCol w:w="211"/>
        <w:gridCol w:w="781"/>
        <w:gridCol w:w="396"/>
      </w:tblGrid>
      <w:tr>
        <w:trPr/>
        <w:tc>
          <w:tcPr>
            <w:tcW w:w="25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250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56"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0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26"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Inter-Segment Sales</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6" w:type="dxa"/>
            <w:tcBorders/>
            <w:shd w:fill="auto" w:val="clear"/>
            <w:vAlign w:val="center"/>
          </w:tcPr>
          <w:p>
            <w:pPr>
              <w:pStyle w:val="TableContents"/>
              <w:spacing w:before="0" w:after="0"/>
              <w:ind w:left="0" w:right="0" w:hanging="0"/>
              <w:jc w:val="center"/>
              <w:rPr/>
            </w:pPr>
            <w:r>
              <w:rPr/>
              <w:t> </w:t>
            </w:r>
          </w:p>
        </w:tc>
      </w:tr>
      <w:tr>
        <w:trPr/>
        <w:tc>
          <w:tcPr>
            <w:tcW w:w="250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Sales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Intra-</w:t>
              <w:br/>
              <w:t>Segment</w:t>
              <w:br/>
              <w:t>Sales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Industrial Process Solutions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13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Engineered Systems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Net</w:t>
            </w:r>
            <w:r>
              <w:rPr>
                <w:rFonts w:ascii="Times New Roman" w:hAnsi="Times New Roman"/>
                <w:sz w:val="16"/>
              </w:rPr>
              <w:t xml:space="preserve"> </w:t>
            </w:r>
            <w:r>
              <w:rPr>
                <w:rFonts w:ascii="Times New Roman;serif" w:hAnsi="Times New Roman;serif"/>
                <w:b/>
                <w:sz w:val="16"/>
              </w:rPr>
              <w:t>Sales</w:t>
            </w:r>
            <w:r>
              <w:rPr>
                <w:rFonts w:ascii="Times New Roman" w:hAnsi="Times New Roman"/>
                <w:sz w:val="16"/>
              </w:rPr>
              <w:t xml:space="preserve"> </w:t>
            </w:r>
            <w:r>
              <w:rPr>
                <w:rFonts w:ascii="Times New Roman;serif" w:hAnsi="Times New Roman;serif"/>
                <w:b/>
                <w:sz w:val="16"/>
              </w:rPr>
              <w:t>to</w:t>
              <w:br/>
              <w:t>Outside</w:t>
              <w:br/>
              <w:t>Customers</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0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0" w:type="dxa"/>
            <w:gridSpan w:val="2"/>
            <w:tcBorders/>
            <w:shd w:fill="auto" w:val="clear"/>
            <w:vAlign w:val="center"/>
          </w:tcPr>
          <w:p>
            <w:pPr>
              <w:pStyle w:val="TableContents"/>
              <w:spacing w:before="0" w:after="0"/>
              <w:ind w:left="0" w:right="0" w:hanging="0"/>
              <w:jc w:val="righ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1354" w:type="dxa"/>
            <w:gridSpan w:val="2"/>
            <w:tcBorders/>
            <w:shd w:fill="auto" w:val="clear"/>
            <w:vAlign w:val="center"/>
          </w:tcPr>
          <w:p>
            <w:pPr>
              <w:pStyle w:val="TableContents"/>
              <w:spacing w:before="0" w:after="0"/>
              <w:ind w:left="0" w:right="0" w:hanging="0"/>
              <w:jc w:val="righ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6" w:type="dxa"/>
            <w:tcBorders/>
            <w:shd w:fill="auto" w:val="clear"/>
            <w:vAlign w:val="center"/>
          </w:tcPr>
          <w:p>
            <w:pPr>
              <w:pStyle w:val="TableContents"/>
              <w:spacing w:before="0" w:after="0"/>
              <w:ind w:left="0" w:right="0" w:hanging="0"/>
              <w:jc w:val="right"/>
              <w:rPr/>
            </w:pPr>
            <w:r>
              <w:rPr/>
              <w:t> </w:t>
            </w:r>
          </w:p>
        </w:tc>
      </w:tr>
      <w:tr>
        <w:trPr/>
        <w:tc>
          <w:tcPr>
            <w:tcW w:w="25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shd w:fill="auto" w:val="clear"/>
            <w:vAlign w:val="center"/>
          </w:tcPr>
          <w:p>
            <w:pPr>
              <w:pStyle w:val="TableContents"/>
              <w:spacing w:before="0" w:after="0"/>
              <w:ind w:left="0" w:right="0" w:hanging="0"/>
              <w:jc w:val="right"/>
              <w:rPr/>
            </w:pPr>
            <w:r>
              <w:rPr/>
              <w:t>—</w:t>
            </w:r>
          </w:p>
        </w:tc>
        <w:tc>
          <w:tcPr>
            <w:tcW w:w="171"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74,454</w:t>
            </w:r>
          </w:p>
        </w:tc>
        <w:tc>
          <w:tcPr>
            <w:tcW w:w="396" w:type="dxa"/>
            <w:tcBorders/>
            <w:shd w:fill="auto" w:val="clear"/>
            <w:vAlign w:val="center"/>
          </w:tcPr>
          <w:p>
            <w:pPr>
              <w:pStyle w:val="TableContents"/>
              <w:spacing w:before="0" w:after="0"/>
              <w:ind w:left="0" w:right="0" w:hanging="0"/>
              <w:jc w:val="left"/>
              <w:rPr/>
            </w:pPr>
            <w:r>
              <w:rPr/>
              <w:t> </w:t>
            </w:r>
          </w:p>
        </w:tc>
      </w:tr>
      <w:tr>
        <w:trPr/>
        <w:tc>
          <w:tcPr>
            <w:tcW w:w="25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38,109</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0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115,131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112,563</w:t>
            </w:r>
          </w:p>
        </w:tc>
        <w:tc>
          <w:tcPr>
            <w:tcW w:w="3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pPr>
      <w:r>
        <w:rPr/>
        <w:t> </w:t>
      </w:r>
    </w:p>
    <w:tbl>
      <w:tblPr>
        <w:tblW w:w="10205" w:type="dxa"/>
        <w:jc w:val="left"/>
        <w:tblInd w:w="0" w:type="dxa"/>
        <w:tblCellMar>
          <w:top w:w="28" w:type="dxa"/>
          <w:left w:w="28" w:type="dxa"/>
          <w:bottom w:w="28" w:type="dxa"/>
          <w:right w:w="28" w:type="dxa"/>
        </w:tblCellMar>
      </w:tblPr>
      <w:tblGrid>
        <w:gridCol w:w="2586"/>
        <w:gridCol w:w="146"/>
        <w:gridCol w:w="211"/>
        <w:gridCol w:w="676"/>
        <w:gridCol w:w="146"/>
        <w:gridCol w:w="146"/>
        <w:gridCol w:w="211"/>
        <w:gridCol w:w="631"/>
        <w:gridCol w:w="166"/>
        <w:gridCol w:w="146"/>
        <w:gridCol w:w="638"/>
        <w:gridCol w:w="1142"/>
        <w:gridCol w:w="172"/>
        <w:gridCol w:w="151"/>
        <w:gridCol w:w="494"/>
        <w:gridCol w:w="883"/>
        <w:gridCol w:w="172"/>
        <w:gridCol w:w="151"/>
        <w:gridCol w:w="223"/>
        <w:gridCol w:w="718"/>
        <w:gridCol w:w="396"/>
      </w:tblGrid>
      <w:tr>
        <w:trPr/>
        <w:tc>
          <w:tcPr>
            <w:tcW w:w="2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2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7"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Inter-Segment Sales</w:t>
            </w:r>
          </w:p>
        </w:tc>
        <w:tc>
          <w:tcPr>
            <w:tcW w:w="9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6" w:type="dxa"/>
            <w:tcBorders/>
            <w:shd w:fill="auto" w:val="clear"/>
            <w:vAlign w:val="center"/>
          </w:tcPr>
          <w:p>
            <w:pPr>
              <w:pStyle w:val="TableContents"/>
              <w:spacing w:before="0" w:after="0"/>
              <w:ind w:left="0" w:right="0" w:hanging="0"/>
              <w:jc w:val="center"/>
              <w:rPr/>
            </w:pPr>
            <w:r>
              <w:rPr/>
              <w:t> </w:t>
            </w:r>
          </w:p>
        </w:tc>
      </w:tr>
      <w:tr>
        <w:trPr/>
        <w:tc>
          <w:tcPr>
            <w:tcW w:w="25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Sales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Intra-</w:t>
              <w:br/>
              <w:t>Segment</w:t>
              <w:br/>
              <w:t>Sales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Industrial Process Solutions</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3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Engineered Systems</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Net</w:t>
            </w:r>
            <w:r>
              <w:rPr>
                <w:rFonts w:ascii="Times New Roman" w:hAnsi="Times New Roman"/>
                <w:sz w:val="16"/>
              </w:rPr>
              <w:t xml:space="preserve"> </w:t>
            </w:r>
            <w:r>
              <w:rPr>
                <w:rFonts w:ascii="Times New Roman;serif" w:hAnsi="Times New Roman;serif"/>
                <w:b/>
                <w:sz w:val="16"/>
              </w:rPr>
              <w:t>Sales</w:t>
            </w:r>
            <w:r>
              <w:rPr>
                <w:rFonts w:ascii="Times New Roman" w:hAnsi="Times New Roman"/>
                <w:sz w:val="16"/>
              </w:rPr>
              <w:t xml:space="preserve"> </w:t>
            </w:r>
            <w:r>
              <w:rPr>
                <w:rFonts w:ascii="Times New Roman;serif" w:hAnsi="Times New Roman;serif"/>
                <w:b/>
                <w:sz w:val="16"/>
              </w:rPr>
              <w:t>to</w:t>
              <w:br/>
              <w:t>Outside</w:t>
              <w:br/>
              <w:t>Customers</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0" w:type="dxa"/>
            <w:gridSpan w:val="2"/>
            <w:tcBorders/>
            <w:shd w:fill="auto" w:val="clear"/>
            <w:vAlign w:val="center"/>
          </w:tcPr>
          <w:p>
            <w:pPr>
              <w:pStyle w:val="TableContents"/>
              <w:spacing w:before="0" w:after="0"/>
              <w:ind w:left="0" w:right="0" w:hanging="0"/>
              <w:jc w:val="right"/>
              <w:rPr/>
            </w:pPr>
            <w:r>
              <w:rPr/>
              <w:t> </w:t>
            </w:r>
          </w:p>
        </w:tc>
        <w:tc>
          <w:tcPr>
            <w:tcW w:w="172"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377" w:type="dxa"/>
            <w:gridSpan w:val="2"/>
            <w:tcBorders/>
            <w:shd w:fill="auto" w:val="clear"/>
            <w:vAlign w:val="center"/>
          </w:tcPr>
          <w:p>
            <w:pPr>
              <w:pStyle w:val="TableContents"/>
              <w:spacing w:before="0" w:after="0"/>
              <w:ind w:left="0" w:right="0" w:hanging="0"/>
              <w:jc w:val="right"/>
              <w:rPr/>
            </w:pPr>
            <w:r>
              <w:rPr/>
              <w:t> </w:t>
            </w:r>
          </w:p>
        </w:tc>
        <w:tc>
          <w:tcPr>
            <w:tcW w:w="172"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right"/>
              <w:rPr/>
            </w:pPr>
            <w:r>
              <w:rPr/>
              <w:t> </w:t>
            </w:r>
          </w:p>
        </w:tc>
        <w:tc>
          <w:tcPr>
            <w:tcW w:w="396" w:type="dxa"/>
            <w:tcBorders/>
            <w:shd w:fill="auto" w:val="clear"/>
            <w:vAlign w:val="center"/>
          </w:tcPr>
          <w:p>
            <w:pPr>
              <w:pStyle w:val="TableContents"/>
              <w:spacing w:before="0" w:after="0"/>
              <w:ind w:left="0" w:right="0" w:hanging="0"/>
              <w:jc w:val="right"/>
              <w:rPr/>
            </w:pPr>
            <w:r>
              <w:rPr/>
              <w:t> </w:t>
            </w:r>
          </w:p>
        </w:tc>
      </w:tr>
      <w:tr>
        <w:trPr/>
        <w:tc>
          <w:tcPr>
            <w:tcW w:w="2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3" w:type="dxa"/>
            <w:tcBorders/>
            <w:shd w:fill="auto" w:val="clear"/>
            <w:vAlign w:val="center"/>
          </w:tcPr>
          <w:p>
            <w:pPr>
              <w:pStyle w:val="TableContents"/>
              <w:spacing w:before="0" w:after="0"/>
              <w:ind w:left="0" w:right="0" w:hanging="0"/>
              <w:jc w:val="right"/>
              <w:rPr/>
            </w:pPr>
            <w:r>
              <w:rPr/>
              <w:t>—</w:t>
            </w:r>
          </w:p>
        </w:tc>
        <w:tc>
          <w:tcPr>
            <w:tcW w:w="172"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56,975</w:t>
            </w:r>
          </w:p>
        </w:tc>
        <w:tc>
          <w:tcPr>
            <w:tcW w:w="396" w:type="dxa"/>
            <w:tcBorders/>
            <w:shd w:fill="auto" w:val="clear"/>
            <w:vAlign w:val="center"/>
          </w:tcPr>
          <w:p>
            <w:pPr>
              <w:pStyle w:val="TableContents"/>
              <w:spacing w:before="0" w:after="0"/>
              <w:ind w:left="0" w:right="0" w:hanging="0"/>
              <w:jc w:val="left"/>
              <w:rPr/>
            </w:pPr>
            <w:r>
              <w:rPr/>
              <w:t> </w:t>
            </w:r>
          </w:p>
        </w:tc>
      </w:tr>
      <w:tr>
        <w:trPr/>
        <w:tc>
          <w:tcPr>
            <w:tcW w:w="2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4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35,461</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98,742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4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92,436</w:t>
            </w:r>
          </w:p>
        </w:tc>
        <w:tc>
          <w:tcPr>
            <w:tcW w:w="3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pPr>
      <w:r>
        <w:rPr/>
        <w:t> </w:t>
      </w:r>
    </w:p>
    <w:p>
      <w:pPr>
        <w:pStyle w:val="TextBody"/>
        <w:spacing w:before="120" w:after="120"/>
        <w:jc w:val="both"/>
        <w:rPr/>
      </w:pPr>
      <w:r>
        <w:rPr/>
        <w:t> </w:t>
      </w:r>
    </w:p>
    <w:p>
      <w:pPr>
        <w:pStyle w:val="TextBody"/>
        <w:spacing w:before="4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val="false"/>
          <w:sz w:val="20"/>
          <w:u w:val="single"/>
        </w:rPr>
      </w:pPr>
      <w:r>
        <w:rPr>
          <w:rFonts w:ascii="Times New Roman;serif" w:hAnsi="Times New Roman;serif"/>
          <w:b w:val="false"/>
          <w:sz w:val="20"/>
          <w:u w:val="single"/>
        </w:rPr>
        <w:t>CECO ENVIRONMENTAL CORP. AND SUBSIDIARIES</w:t>
      </w:r>
    </w:p>
    <w:p>
      <w:pPr>
        <w:pStyle w:val="TextBody"/>
        <w:spacing w:before="0" w:after="0"/>
        <w:jc w:val="center"/>
        <w:rPr>
          <w:rFonts w:ascii="Times New Roman;serif" w:hAnsi="Times New Roman;serif"/>
          <w:b w:val="false"/>
          <w:sz w:val="20"/>
          <w:u w:val="single"/>
        </w:rPr>
      </w:pPr>
      <w:r>
        <w:rPr>
          <w:rFonts w:ascii="Times New Roman;serif" w:hAnsi="Times New Roman;serif"/>
          <w:b w:val="false"/>
          <w:sz w:val="20"/>
          <w:u w:val="single"/>
        </w:rPr>
        <w:t>MANAGEMENT’S DISCUSSION AND ANALYSIS OF FINANCIAL CONDITION</w:t>
      </w:r>
    </w:p>
    <w:p>
      <w:pPr>
        <w:pStyle w:val="TextBody"/>
        <w:spacing w:before="0" w:after="0"/>
        <w:jc w:val="center"/>
        <w:rPr>
          <w:rFonts w:ascii="Times New Roman;serif" w:hAnsi="Times New Roman;serif"/>
          <w:b w:val="false"/>
          <w:sz w:val="20"/>
          <w:u w:val="single"/>
        </w:rPr>
      </w:pPr>
      <w:r>
        <w:rPr>
          <w:rFonts w:ascii="Times New Roman;serif" w:hAnsi="Times New Roman;serif"/>
          <w:b w:val="false"/>
          <w:sz w:val="20"/>
          <w:u w:val="single"/>
        </w:rPr>
        <w:t>AND RESULTS OF OPERATIONS</w:t>
      </w:r>
    </w:p>
    <w:p>
      <w:pPr>
        <w:pStyle w:val="TextBody"/>
        <w:spacing w:before="0" w:after="0"/>
        <w:jc w:val="left"/>
        <w:rPr/>
      </w:pPr>
      <w:r>
        <w:rPr/>
        <w:t> </w:t>
      </w:r>
    </w:p>
    <w:p>
      <w:pPr>
        <w:pStyle w:val="TextBody"/>
        <w:spacing w:before="0" w:after="0"/>
        <w:jc w:val="left"/>
        <w:rPr/>
      </w:pPr>
      <w:r>
        <w:rPr/>
        <w:t> </w:t>
      </w:r>
    </w:p>
    <w:p>
      <w:pPr>
        <w:pStyle w:val="TextBody"/>
        <w:spacing w:before="240" w:after="24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Company’s Condensed Consolidated Statements of Income for the three months ended March 31, 2023 and 2022 reflect the consolidated operations of the Company and its subsidiaries.</w:t>
      </w:r>
    </w:p>
    <w:p>
      <w:pPr>
        <w:pStyle w:val="TextBody"/>
        <w:spacing w:before="240" w:after="240"/>
        <w:jc w:val="left"/>
        <w:rPr>
          <w:rFonts w:ascii="Times New Roman" w:hAnsi="Times New Roman"/>
          <w:sz w:val="20"/>
        </w:rPr>
      </w:pPr>
      <w:r>
        <w:rPr>
          <w:rFonts w:ascii="Times New Roman;serif" w:hAnsi="Times New Roman;serif"/>
          <w:b w:val="false"/>
          <w:sz w:val="20"/>
        </w:rPr>
        <w:t>CECO Environmental Corp. (“CECO,” “we,” “us,” or the “Company”) is 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r>
        <w:rPr>
          <w:rFonts w:ascii="Times New Roman" w:hAnsi="Times New Roman"/>
          <w:sz w:val="20"/>
        </w:rPr>
        <w:t xml:space="preserve"> </w:t>
      </w:r>
    </w:p>
    <w:p>
      <w:pPr>
        <w:pStyle w:val="TextBody"/>
        <w:spacing w:before="240" w:after="240"/>
        <w:jc w:val="left"/>
        <w:rPr>
          <w:rFonts w:ascii="Times New Roman;serif" w:hAnsi="Times New Roman;serif"/>
          <w:b/>
          <w:i/>
          <w:sz w:val="20"/>
        </w:rPr>
      </w:pPr>
      <w:r>
        <w:rPr>
          <w:rFonts w:ascii="Times New Roman;serif" w:hAnsi="Times New Roman;serif"/>
          <w:b/>
          <w:i/>
          <w:sz w:val="20"/>
        </w:rPr>
        <w:t>Market Pressures</w:t>
      </w:r>
    </w:p>
    <w:p>
      <w:pPr>
        <w:pStyle w:val="TextBody"/>
        <w:spacing w:before="240" w:after="240"/>
        <w:jc w:val="left"/>
        <w:rPr>
          <w:rFonts w:ascii="Times New Roman" w:hAnsi="Times New Roman"/>
          <w:sz w:val="20"/>
        </w:rPr>
      </w:pPr>
      <w:r>
        <w:rPr>
          <w:rFonts w:ascii="Times New Roman;serif" w:hAnsi="Times New Roman;serif"/>
          <w:b w:val="false"/>
          <w:sz w:val="20"/>
        </w:rPr>
        <w:t>The senior management team monitors and manages the Company’s ability to operate effectively as the result of market pressures. In particular, we are currently experiencing challenges in obtaining certain raw materials and labor on a timely basis at a reasonable cost. We expect these supply chain challenges and cost impacts to continue for the foreseeable future.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r>
        <w:rPr>
          <w:rFonts w:ascii="Times New Roman" w:hAnsi="Times New Roman"/>
          <w:sz w:val="20"/>
        </w:rPr>
        <w:t xml:space="preserve"> </w:t>
      </w:r>
    </w:p>
    <w:p>
      <w:pPr>
        <w:pStyle w:val="TextBody"/>
        <w:spacing w:before="240" w:after="240"/>
        <w:jc w:val="left"/>
        <w:rPr>
          <w:rFonts w:ascii="Times New Roman;serif" w:hAnsi="Times New Roman;serif"/>
          <w:b/>
          <w:sz w:val="20"/>
        </w:rPr>
      </w:pPr>
      <w:r>
        <w:rPr>
          <w:rFonts w:ascii="Times New Roman;serif" w:hAnsi="Times New Roman;serif"/>
          <w:b/>
          <w:sz w:val="20"/>
        </w:rPr>
        <w:t>Note Regarding Use of Non-GAAP Financial Measures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pStyle w:val="TextBody"/>
        <w:spacing w:before="240" w:after="240"/>
        <w:jc w:val="left"/>
        <w:rPr>
          <w:rFonts w:ascii="Times New Roman;serif" w:hAnsi="Times New Roman;serif"/>
          <w:b/>
          <w:sz w:val="20"/>
        </w:rPr>
      </w:pPr>
      <w:r>
        <w:rPr>
          <w:rFonts w:ascii="Times New Roman;serif" w:hAnsi="Times New Roman;serif"/>
          <w:b/>
          <w:sz w:val="20"/>
        </w:rPr>
        <w:t>Results of Operations</w:t>
      </w:r>
    </w:p>
    <w:p>
      <w:pPr>
        <w:pStyle w:val="TextBody"/>
        <w:spacing w:before="240" w:after="240"/>
        <w:jc w:val="left"/>
        <w:rPr>
          <w:rFonts w:ascii="Times New Roman;serif" w:hAnsi="Times New Roman;serif"/>
          <w:b/>
          <w:i/>
          <w:sz w:val="20"/>
        </w:rPr>
      </w:pPr>
      <w:r>
        <w:rPr>
          <w:rFonts w:ascii="Times New Roman;serif" w:hAnsi="Times New Roman;serif"/>
          <w:b/>
          <w:i/>
          <w:sz w:val="20"/>
        </w:rPr>
        <w:t>Consolidated Results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Our Condensed Consolidated Statements of Income for the three months ended March 31, 2023 and 2022 are as follows: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tbl>
      <w:tblPr>
        <w:tblW w:w="6041" w:type="dxa"/>
        <w:jc w:val="left"/>
        <w:tblInd w:w="0" w:type="dxa"/>
        <w:tblCellMar>
          <w:top w:w="28" w:type="dxa"/>
          <w:left w:w="28" w:type="dxa"/>
          <w:bottom w:w="28" w:type="dxa"/>
          <w:right w:w="28" w:type="dxa"/>
        </w:tblCellMar>
      </w:tblPr>
      <w:tblGrid>
        <w:gridCol w:w="3151"/>
        <w:gridCol w:w="146"/>
        <w:gridCol w:w="264"/>
        <w:gridCol w:w="717"/>
        <w:gridCol w:w="340"/>
        <w:gridCol w:w="183"/>
        <w:gridCol w:w="264"/>
        <w:gridCol w:w="585"/>
        <w:gridCol w:w="391"/>
      </w:tblGrid>
      <w:tr>
        <w:trPr/>
        <w:tc>
          <w:tcPr>
            <w:tcW w:w="3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millions, except ratios)</w:t>
            </w:r>
          </w:p>
        </w:tc>
        <w:tc>
          <w:tcPr>
            <w:tcW w:w="146" w:type="dxa"/>
            <w:tcBorders/>
            <w:shd w:fill="auto" w:val="clear"/>
            <w:vAlign w:val="center"/>
          </w:tcPr>
          <w:p>
            <w:pPr>
              <w:pStyle w:val="TableContents"/>
              <w:spacing w:before="0" w:after="0"/>
              <w:ind w:left="0" w:right="0" w:hanging="0"/>
              <w:jc w:val="center"/>
              <w:rPr/>
            </w:pPr>
            <w:r>
              <w:rPr/>
              <w:t> </w:t>
            </w:r>
          </w:p>
        </w:tc>
        <w:tc>
          <w:tcPr>
            <w:tcW w:w="9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3" w:type="dxa"/>
            <w:tcBorders/>
            <w:shd w:fill="auto" w:val="clear"/>
            <w:vAlign w:val="center"/>
          </w:tcPr>
          <w:p>
            <w:pPr>
              <w:pStyle w:val="TableContents"/>
              <w:spacing w:before="0" w:after="0"/>
              <w:ind w:left="0" w:right="0" w:hanging="0"/>
              <w:jc w:val="center"/>
              <w:rPr/>
            </w:pPr>
            <w:r>
              <w:rPr/>
              <w:t> </w:t>
            </w:r>
          </w:p>
        </w:tc>
        <w:tc>
          <w:tcPr>
            <w:tcW w:w="84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112.6</w:t>
            </w:r>
          </w:p>
        </w:tc>
        <w:tc>
          <w:tcPr>
            <w:tcW w:w="340"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340"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391" w:type="dxa"/>
            <w:tcBorders/>
            <w:shd w:fill="auto" w:val="clear"/>
            <w:vAlign w:val="center"/>
          </w:tcPr>
          <w:p>
            <w:pPr>
              <w:pStyle w:val="TableContents"/>
              <w:spacing w:before="0" w:after="0"/>
              <w:ind w:left="0" w:right="0" w:firstLine="200"/>
              <w:jc w:val="left"/>
              <w:rPr/>
            </w:pPr>
            <w:r>
              <w:rPr/>
              <w:t> </w:t>
            </w:r>
          </w:p>
        </w:tc>
      </w:tr>
      <w:tr>
        <w:trPr/>
        <w:tc>
          <w:tcPr>
            <w:tcW w:w="315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Percent of sales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31.0</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28.6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and administrative expenses</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340"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391" w:type="dxa"/>
            <w:tcBorders/>
            <w:shd w:fill="auto" w:val="clear"/>
            <w:vAlign w:val="center"/>
          </w:tcPr>
          <w:p>
            <w:pPr>
              <w:pStyle w:val="TableContents"/>
              <w:spacing w:before="0" w:after="0"/>
              <w:ind w:left="0" w:right="0" w:firstLine="200"/>
              <w:jc w:val="left"/>
              <w:rPr/>
            </w:pPr>
            <w:r>
              <w:rPr/>
              <w:t> </w:t>
            </w:r>
          </w:p>
        </w:tc>
      </w:tr>
      <w:tr>
        <w:trPr/>
        <w:tc>
          <w:tcPr>
            <w:tcW w:w="315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Percent of sales</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24.2</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20.1</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and earnout expenses</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40"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and integration expenses</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40"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expenses</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righ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40"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391" w:type="dxa"/>
            <w:tcBorders/>
            <w:shd w:fill="auto" w:val="clear"/>
            <w:vAlign w:val="center"/>
          </w:tcPr>
          <w:p>
            <w:pPr>
              <w:pStyle w:val="TableContents"/>
              <w:spacing w:before="0" w:after="0"/>
              <w:ind w:left="0" w:right="0" w:firstLine="200"/>
              <w:jc w:val="left"/>
              <w:rPr/>
            </w:pPr>
            <w:r>
              <w:rPr/>
              <w:t> </w:t>
            </w:r>
          </w:p>
        </w:tc>
      </w:tr>
      <w:tr>
        <w:trPr/>
        <w:tc>
          <w:tcPr>
            <w:tcW w:w="315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Operating margin</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4.9</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5.6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r>
    </w:tbl>
    <w:p>
      <w:pPr>
        <w:pStyle w:val="TextBody"/>
        <w:spacing w:before="240" w:after="240"/>
        <w:jc w:val="left"/>
        <w:rPr>
          <w:rFonts w:ascii="Times New Roman;serif" w:hAnsi="Times New Roman;serif"/>
          <w:b w:val="false"/>
          <w:sz w:val="20"/>
        </w:rPr>
      </w:pPr>
      <w:r>
        <w:rPr>
          <w:rFonts w:ascii="Times New Roman;serif" w:hAnsi="Times New Roman;serif"/>
          <w:b w:val="false"/>
          <w:sz w:val="20"/>
        </w:rPr>
        <w:t>To compare operating performance between the three months ended March 31, 2023 and 2022, the Company has adjusted GAAP operating income to exclude (1) amortization of intangible assets, earnout and retention expenses, (2) acquisition and integration expenses, which include legal, accounting, and other expenses, and (3) restructuring expenses primarily relating to severance, facility exits, and associated legal expenses.</w:t>
      </w:r>
    </w:p>
    <w:p>
      <w:pPr>
        <w:pStyle w:val="TextBody"/>
        <w:spacing w:before="240" w:after="240"/>
        <w:jc w:val="left"/>
        <w:rPr>
          <w:rFonts w:ascii="Times New Roman" w:hAnsi="Times New Roman"/>
          <w:sz w:val="20"/>
        </w:rPr>
      </w:pPr>
      <w:r>
        <w:rPr>
          <w:rFonts w:ascii="Times New Roman;serif" w:hAnsi="Times New Roman;serif"/>
          <w:b w:val="false"/>
          <w:sz w:val="20"/>
        </w:rPr>
        <w:t>The following table presents the reconciliation of GAAP operating income and GAAP operating margin to non-GAAP operating income and non-GAAP operating margin:</w:t>
      </w:r>
      <w:r>
        <w:rPr>
          <w:rFonts w:ascii="Times New Roman" w:hAnsi="Times New Roman"/>
          <w:sz w:val="20"/>
        </w:rPr>
        <w:t xml:space="preserve"> </w:t>
      </w:r>
    </w:p>
    <w:tbl>
      <w:tblPr>
        <w:tblW w:w="7851" w:type="dxa"/>
        <w:jc w:val="left"/>
        <w:tblInd w:w="0" w:type="dxa"/>
        <w:tblCellMar>
          <w:top w:w="28" w:type="dxa"/>
          <w:left w:w="28" w:type="dxa"/>
          <w:bottom w:w="28" w:type="dxa"/>
          <w:right w:w="28" w:type="dxa"/>
        </w:tblCellMar>
      </w:tblPr>
      <w:tblGrid>
        <w:gridCol w:w="4636"/>
        <w:gridCol w:w="146"/>
        <w:gridCol w:w="318"/>
        <w:gridCol w:w="544"/>
        <w:gridCol w:w="409"/>
        <w:gridCol w:w="220"/>
        <w:gridCol w:w="318"/>
        <w:gridCol w:w="544"/>
        <w:gridCol w:w="716"/>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millions, except ratios)</w:t>
            </w:r>
          </w:p>
        </w:tc>
        <w:tc>
          <w:tcPr>
            <w:tcW w:w="146" w:type="dxa"/>
            <w:tcBorders/>
            <w:shd w:fill="auto" w:val="cle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shd w:fill="auto" w:val="cle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as reported in accordance with GAAP</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716" w:type="dxa"/>
            <w:tcBorders/>
            <w:shd w:fill="auto" w:val="clear"/>
            <w:vAlign w:val="center"/>
          </w:tcPr>
          <w:p>
            <w:pPr>
              <w:pStyle w:val="TableContents"/>
              <w:spacing w:before="0" w:after="0"/>
              <w:ind w:left="0" w:right="0" w:firstLine="200"/>
              <w:jc w:val="left"/>
              <w:rPr/>
            </w:pPr>
            <w:r>
              <w:rPr/>
              <w:t> </w:t>
            </w:r>
          </w:p>
        </w:tc>
      </w:tr>
      <w:tr>
        <w:trPr/>
        <w:tc>
          <w:tcPr>
            <w:tcW w:w="463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Operating margin in accordance with GAAP</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4.9</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5.6</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i/>
                <w:sz w:val="20"/>
              </w:rPr>
            </w:pPr>
            <w:r>
              <w:rPr>
                <w:rFonts w:ascii="Times New Roman;serif" w:hAnsi="Times New Roman;serif"/>
                <w:b w:val="false"/>
                <w:i/>
                <w:sz w:val="20"/>
              </w:rPr>
              <w:t>%</w:t>
            </w:r>
          </w:p>
        </w:tc>
      </w:tr>
      <w:tr>
        <w:trPr/>
        <w:tc>
          <w:tcPr>
            <w:tcW w:w="463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and earnout expenses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716" w:type="dxa"/>
            <w:tcBorders/>
            <w:shd w:fill="auto" w:val="clear"/>
            <w:vAlign w:val="center"/>
          </w:tcPr>
          <w:p>
            <w:pPr>
              <w:pStyle w:val="TableContents"/>
              <w:spacing w:before="0" w:after="0"/>
              <w:ind w:left="0" w:right="0" w:firstLine="400"/>
              <w:jc w:val="left"/>
              <w:rPr/>
            </w:pPr>
            <w:r>
              <w:rPr/>
              <w:t> </w:t>
            </w:r>
          </w:p>
        </w:tc>
      </w:tr>
      <w:tr>
        <w:trPr/>
        <w:tc>
          <w:tcPr>
            <w:tcW w:w="463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Acquisition and integration expenses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716" w:type="dxa"/>
            <w:tcBorders/>
            <w:shd w:fill="auto" w:val="clear"/>
            <w:vAlign w:val="center"/>
          </w:tcPr>
          <w:p>
            <w:pPr>
              <w:pStyle w:val="TableContents"/>
              <w:spacing w:before="0" w:after="0"/>
              <w:ind w:left="0" w:right="0" w:firstLine="400"/>
              <w:jc w:val="left"/>
              <w:rPr/>
            </w:pPr>
            <w:r>
              <w:rPr/>
              <w:t> </w:t>
            </w:r>
          </w:p>
        </w:tc>
      </w:tr>
      <w:tr>
        <w:trPr/>
        <w:tc>
          <w:tcPr>
            <w:tcW w:w="463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Restructuring expenses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operating income</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716" w:type="dxa"/>
            <w:tcBorders/>
            <w:shd w:fill="auto" w:val="clear"/>
            <w:vAlign w:val="center"/>
          </w:tcPr>
          <w:p>
            <w:pPr>
              <w:pStyle w:val="TableContents"/>
              <w:spacing w:before="0" w:after="0"/>
              <w:ind w:left="0" w:right="0" w:firstLine="200"/>
              <w:jc w:val="left"/>
              <w:rPr/>
            </w:pPr>
            <w:r>
              <w:rPr/>
              <w:t> </w:t>
            </w:r>
          </w:p>
        </w:tc>
      </w:tr>
      <w:tr>
        <w:trPr/>
        <w:tc>
          <w:tcPr>
            <w:tcW w:w="463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Non-GAAP operating margin</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6.8</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8.4</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r>
    </w:tbl>
    <w:p>
      <w:pPr>
        <w:pStyle w:val="TextBody"/>
        <w:spacing w:before="240" w:after="240"/>
        <w:jc w:val="left"/>
        <w:rPr>
          <w:rFonts w:ascii="Times New Roman" w:hAnsi="Times New Roman"/>
          <w:sz w:val="20"/>
        </w:rPr>
      </w:pPr>
      <w:r>
        <w:rPr>
          <w:rFonts w:ascii="Times New Roman;serif" w:hAnsi="Times New Roman;serif"/>
          <w:b w:val="false"/>
          <w:sz w:val="20"/>
        </w:rPr>
        <w:t>Orders booked</w:t>
      </w:r>
      <w:r>
        <w:rPr>
          <w:rFonts w:ascii="Times New Roman" w:hAnsi="Times New Roman"/>
          <w:sz w:val="20"/>
        </w:rPr>
        <w:t xml:space="preserve"> </w:t>
      </w:r>
      <w:r>
        <w:rPr>
          <w:rFonts w:ascii="Times New Roman;serif" w:hAnsi="Times New Roman;serif"/>
          <w:b w:val="false"/>
          <w:sz w:val="20"/>
        </w:rPr>
        <w:t>decreased $14.8 million, or 9.2%, to $146.1 million during the three months ended March 31, 2023 compared with a record $160.9 million in the three months ended March 31, 2022. The decrease is primarily attributable to a decrease of $31.7 million in our emissions management technologies, partially offset by increases of $18.2 million in our engineered cyclone systems. Of the $146.1 million orders during the three months ended March 31, 2023, $23.4 million is attributable to prior and current year acquisitions.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Net sales for the three months ended March 31, 2023 increased $20.2 million, or 21.9%, to $112.6 million compared with $92.4 million for the three months ended March 31, 2022. The increase is led by increases of $12.6 million in our separation, filtration, and industrial water technologies and $8.0 million in our thermal acoustics technologies. Approximately 40%, or $8.3 million, of the increase in net sales is attributable to organic revenue growth, while $11.9 million is attributable to prior and current year acquisitions.</w:t>
      </w:r>
    </w:p>
    <w:p>
      <w:pPr>
        <w:pStyle w:val="TextBody"/>
        <w:spacing w:before="240" w:after="240"/>
        <w:jc w:val="left"/>
        <w:rPr>
          <w:rFonts w:ascii="Times New Roman" w:hAnsi="Times New Roman"/>
          <w:sz w:val="20"/>
        </w:rPr>
      </w:pPr>
      <w:r>
        <w:rPr>
          <w:rFonts w:ascii="Times New Roman;serif" w:hAnsi="Times New Roman;serif"/>
          <w:b w:val="false"/>
          <w:sz w:val="20"/>
        </w:rPr>
        <w:t>Gross profit increased $8.5 million, or 32.2%, to $34.9 million in the three months ended March 31, 2023 compared with $26.4 million in the three months ended March 31, 2022. The increase in gross profit is primarily attributable to the increase in sales volume as described above, higher project margin mix and acquisitions of businesses with favorable margins. Gross profit as a percentage of sales increased to 31.0% in the three months ended March 31, 2023 compared with 28.6% in the three months ended March 31, 2022.</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Selling and administrative expenses were $27.2 million for the three months ended March 31, 2023 compared with $18.6 million for the three months ended March 31, 2022. The increase is primarily attributable to acquisitions during the prior and current year, a $2.5 million favorable insurance settlement in the prior year, and increased headcount in order to support our revenue growth and global footprint.</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Amortization and earnout expense was $1.7 million for the three months ended March 31, 2023 compared with $1.5 million for the three months ended March 31, 2022. The increase in expense is attributable to a $0.2 million increase in definite lived asset amortization due to increased intangible assets attributable to current and prior year acquisitions.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Operating income increased $0.3 million to $5.5 million for the three months ended March 31, 2023 compared with operating income of $5.2 million for the three months ended March 31, 2022. The increase in operating income is primarily attributable to increases in net sales.</w:t>
      </w:r>
    </w:p>
    <w:p>
      <w:pPr>
        <w:pStyle w:val="TextBody"/>
        <w:spacing w:before="240" w:after="240"/>
        <w:jc w:val="left"/>
        <w:rPr>
          <w:rFonts w:ascii="Times New Roman" w:hAnsi="Times New Roman"/>
          <w:sz w:val="20"/>
        </w:rPr>
      </w:pPr>
      <w:r>
        <w:rPr>
          <w:rFonts w:ascii="Times New Roman;serif" w:hAnsi="Times New Roman;serif"/>
          <w:b w:val="false"/>
          <w:sz w:val="20"/>
        </w:rPr>
        <w:t>Non-GAAP operating income was $7.7 million for the three months ended March 31, 2023 compared with $7.8 million for the three months ended March 31, 2022. Non-GAAP operating income as a percentage of sales decreased to 6.8% for the three months ended March 31, 2023 from 8.4% for the three months ended March 31, 2022.</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Interest expense increased to $2.4 million in the three months ended March 31, 2023 compared with interest expense of $0.8</w:t>
      </w:r>
      <w:r>
        <w:rPr>
          <w:rFonts w:ascii="Times New Roman" w:hAnsi="Times New Roman"/>
          <w:sz w:val="20"/>
        </w:rPr>
        <w:t xml:space="preserve"> </w:t>
      </w:r>
      <w:r>
        <w:rPr>
          <w:rFonts w:ascii="Times New Roman;serif" w:hAnsi="Times New Roman;serif"/>
          <w:b w:val="false"/>
          <w:sz w:val="20"/>
        </w:rPr>
        <w:t>million for the three months ended March 31, 2022. The increase in interest expense is primarily due to increased debt balances and rising interest rates.</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Income tax expense was zero for the three months ended March 31, 2023 compared with income tax expense of $1.1 million for the three months ended March 31, 2022. The effective income tax rate for the three months ended March 31, 2023 was 0.4% compared with 28.3% for the three months ended March 31, 2022. The effective income tax rates for the three months ended March 31, 2023 differ from the United States federal statutory rate. Our effective tax rate is affected by certain other permanent differences, including state income taxes, non-deductible incentive stock-based compensation, and differences in tax rates among the jurisdictions in which we operate.</w:t>
      </w:r>
    </w:p>
    <w:p>
      <w:pPr>
        <w:pStyle w:val="TextBody"/>
        <w:spacing w:before="240" w:after="240"/>
        <w:jc w:val="left"/>
        <w:rPr>
          <w:rFonts w:ascii="Times New Roman;serif" w:hAnsi="Times New Roman;serif"/>
          <w:b/>
          <w:i/>
          <w:sz w:val="20"/>
        </w:rPr>
      </w:pPr>
      <w:r>
        <w:rPr>
          <w:rFonts w:ascii="Times New Roman;serif" w:hAnsi="Times New Roman;serif"/>
          <w:b/>
          <w:i/>
          <w:sz w:val="20"/>
        </w:rPr>
        <w:t>Business Segments</w:t>
      </w:r>
    </w:p>
    <w:p>
      <w:pPr>
        <w:pStyle w:val="TextBody"/>
        <w:spacing w:before="240" w:after="240"/>
        <w:jc w:val="left"/>
        <w:rPr>
          <w:rFonts w:ascii="Times New Roman" w:hAnsi="Times New Roman"/>
          <w:sz w:val="20"/>
        </w:rPr>
      </w:pPr>
      <w:r>
        <w:rPr>
          <w:rFonts w:ascii="Times New Roman;serif" w:hAnsi="Times New Roman;serif"/>
          <w:b w:val="false"/>
          <w:sz w:val="20"/>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r>
        <w:rPr>
          <w:rFonts w:ascii="Times New Roman" w:hAnsi="Times New Roman"/>
          <w:sz w:val="20"/>
        </w:rPr>
        <w:t xml:space="preserve"> </w:t>
      </w:r>
    </w:p>
    <w:tbl>
      <w:tblPr>
        <w:tblW w:w="6775" w:type="dxa"/>
        <w:jc w:val="left"/>
        <w:tblInd w:w="0" w:type="dxa"/>
        <w:tblCellMar>
          <w:top w:w="28" w:type="dxa"/>
          <w:left w:w="28" w:type="dxa"/>
          <w:bottom w:w="28" w:type="dxa"/>
          <w:right w:w="28" w:type="dxa"/>
        </w:tblCellMar>
      </w:tblPr>
      <w:tblGrid>
        <w:gridCol w:w="3886"/>
        <w:gridCol w:w="146"/>
        <w:gridCol w:w="228"/>
        <w:gridCol w:w="847"/>
        <w:gridCol w:w="158"/>
        <w:gridCol w:w="158"/>
        <w:gridCol w:w="228"/>
        <w:gridCol w:w="733"/>
        <w:gridCol w:w="391"/>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0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Sales (less intra- and inter-segment sales)</w:t>
            </w:r>
          </w:p>
        </w:tc>
        <w:tc>
          <w:tcPr>
            <w:tcW w:w="146" w:type="dxa"/>
            <w:tcBorders/>
            <w:shd w:fill="auto" w:val="clear"/>
            <w:vAlign w:val="center"/>
          </w:tcPr>
          <w:p>
            <w:pPr>
              <w:pStyle w:val="TableContents"/>
              <w:spacing w:before="0" w:after="0"/>
              <w:ind w:left="0" w:right="0" w:hanging="0"/>
              <w:jc w:val="center"/>
              <w:rPr/>
            </w:pPr>
            <w:r>
              <w:rPr/>
              <w:t> </w:t>
            </w:r>
          </w:p>
        </w:tc>
        <w:tc>
          <w:tcPr>
            <w:tcW w:w="1075" w:type="dxa"/>
            <w:gridSpan w:val="2"/>
            <w:tcBorders/>
            <w:shd w:fill="auto" w:val="cle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961"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74,454</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56,975</w:t>
            </w:r>
          </w:p>
        </w:tc>
        <w:tc>
          <w:tcPr>
            <w:tcW w:w="39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38,109</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35,461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 sales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112,563</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pPr>
      <w:r>
        <w:rPr/>
        <w:t> </w:t>
      </w:r>
    </w:p>
    <w:tbl>
      <w:tblPr>
        <w:tblW w:w="6001" w:type="dxa"/>
        <w:jc w:val="left"/>
        <w:tblInd w:w="0" w:type="dxa"/>
        <w:tblCellMar>
          <w:top w:w="28" w:type="dxa"/>
          <w:left w:w="28" w:type="dxa"/>
          <w:bottom w:w="28" w:type="dxa"/>
          <w:right w:w="28" w:type="dxa"/>
        </w:tblCellMar>
      </w:tblPr>
      <w:tblGrid>
        <w:gridCol w:w="3091"/>
        <w:gridCol w:w="146"/>
        <w:gridCol w:w="249"/>
        <w:gridCol w:w="744"/>
        <w:gridCol w:w="195"/>
        <w:gridCol w:w="172"/>
        <w:gridCol w:w="249"/>
        <w:gridCol w:w="744"/>
        <w:gridCol w:w="41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9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146" w:type="dxa"/>
            <w:tcBorders/>
            <w:shd w:fill="auto" w:val="clear"/>
            <w:vAlign w:val="center"/>
          </w:tcPr>
          <w:p>
            <w:pPr>
              <w:pStyle w:val="TableContents"/>
              <w:spacing w:before="0" w:after="0"/>
              <w:ind w:left="0" w:right="0" w:hanging="0"/>
              <w:jc w:val="center"/>
              <w:rPr/>
            </w:pPr>
            <w:r>
              <w:rPr/>
              <w:t> </w:t>
            </w:r>
          </w:p>
        </w:tc>
        <w:tc>
          <w:tcPr>
            <w:tcW w:w="993" w:type="dxa"/>
            <w:gridSpan w:val="2"/>
            <w:tcBorders/>
            <w:shd w:fill="auto" w:val="clear"/>
            <w:vAlign w:val="center"/>
          </w:tcPr>
          <w:p>
            <w:pPr>
              <w:pStyle w:val="TableContents"/>
              <w:spacing w:before="0" w:after="0"/>
              <w:ind w:left="0" w:right="0" w:hanging="0"/>
              <w:jc w:val="center"/>
              <w:rPr/>
            </w:pPr>
            <w:r>
              <w:rPr/>
              <w:t> </w:t>
            </w:r>
          </w:p>
        </w:tc>
        <w:tc>
          <w:tcPr>
            <w:tcW w:w="195" w:type="dxa"/>
            <w:tcBorders/>
            <w:shd w:fill="auto" w:val="cle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center"/>
              <w:rPr/>
            </w:pPr>
            <w:r>
              <w:rPr/>
              <w:t> </w:t>
            </w:r>
          </w:p>
        </w:tc>
        <w:tc>
          <w:tcPr>
            <w:tcW w:w="993"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Engineered Systems segment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9,805</w:t>
            </w:r>
          </w:p>
        </w:tc>
        <w:tc>
          <w:tcPr>
            <w:tcW w:w="195"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6,470</w:t>
            </w:r>
          </w:p>
        </w:tc>
        <w:tc>
          <w:tcPr>
            <w:tcW w:w="41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Industrial Process Solutions segment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5,546</w:t>
            </w:r>
          </w:p>
        </w:tc>
        <w:tc>
          <w:tcPr>
            <w:tcW w:w="195"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4,139</w:t>
            </w:r>
          </w:p>
        </w:tc>
        <w:tc>
          <w:tcPr>
            <w:tcW w:w="41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Corporate and Other</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(9,890</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5,461</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rFonts w:ascii="Times New Roman" w:hAnsi="Times New Roman"/>
          <w:sz w:val="20"/>
        </w:rPr>
      </w:pPr>
      <w:r>
        <w:rPr>
          <w:rFonts w:ascii="Times New Roman;serif" w:hAnsi="Times New Roman;serif"/>
          <w:b w:val="false"/>
          <w:sz w:val="16"/>
        </w:rPr>
        <w:t>(1) Includes corporate compensation, professional services, information technology and other general and administrative corporate expenses.</w:t>
      </w:r>
      <w:r>
        <w:rPr>
          <w:rFonts w:ascii="Times New Roman" w:hAnsi="Times New Roman"/>
          <w:sz w:val="20"/>
        </w:rPr>
        <w:t xml:space="preserve"> </w:t>
      </w:r>
    </w:p>
    <w:p>
      <w:pPr>
        <w:pStyle w:val="TextBody"/>
        <w:spacing w:before="240" w:after="240"/>
        <w:jc w:val="left"/>
        <w:rPr>
          <w:rFonts w:ascii="Times New Roman;serif" w:hAnsi="Times New Roman;serif"/>
          <w:b w:val="false"/>
          <w:i/>
          <w:sz w:val="20"/>
          <w:u w:val="single"/>
        </w:rPr>
      </w:pPr>
      <w:r>
        <w:rPr>
          <w:rFonts w:ascii="Times New Roman;serif" w:hAnsi="Times New Roman;serif"/>
          <w:b w:val="false"/>
          <w:i/>
          <w:sz w:val="20"/>
          <w:u w:val="single"/>
        </w:rPr>
        <w:t>Engineered Systems Segment</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Our Engineered Systems segment net sales increased $17.5 million to $74.5 million for the three months ended March 31, 2023 compared with $57.0 million for the three months ended March 31, 2022. The increase is led by increases of $12.6 million in separation, filtration, and industrial water technologies and $8.0 million in our thermal acoustics technologies. Approximately 40%, or $6.6 million, of the increase in net sales is attributable to organic revenue growth, while $10.9 million is attributable to prior and current year acquisitions.</w:t>
      </w:r>
    </w:p>
    <w:p>
      <w:pPr>
        <w:pStyle w:val="TextBody"/>
        <w:spacing w:before="240" w:after="240"/>
        <w:jc w:val="left"/>
        <w:rPr>
          <w:rFonts w:ascii="Times New Roman" w:hAnsi="Times New Roman"/>
          <w:sz w:val="20"/>
        </w:rPr>
      </w:pPr>
      <w:r>
        <w:rPr>
          <w:rFonts w:ascii="Times New Roman;serif" w:hAnsi="Times New Roman;serif"/>
          <w:b w:val="false"/>
          <w:sz w:val="20"/>
        </w:rPr>
        <w:t>Operating income for the Engineered Systems segment increased $3.3 million to $9.8 million for the three months ended March 31, 2023 compared with $6.5 million for the three months ended March 31, 2022. The operating income increase is primarily attributable to higher gross profit related to increased sales of $17.5 million, partially offset by an increase of $4.2 million in selling and administrative expense.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i/>
          <w:sz w:val="20"/>
          <w:u w:val="single"/>
        </w:rPr>
      </w:pPr>
      <w:r>
        <w:rPr>
          <w:rFonts w:ascii="Times New Roman;serif" w:hAnsi="Times New Roman;serif"/>
          <w:b w:val="false"/>
          <w:i/>
          <w:sz w:val="20"/>
          <w:u w:val="single"/>
        </w:rPr>
        <w:t>Industrial Process Solutions Segment</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Our Industrial Process Solutions segment net sales increased $2.6 million to $38.1 million for the three months ended March 31, 2023 compared with $35.5 million for the three months ended March 31, 2022. The increase is primarily attributable to increases across all products serving industrial air end markets. Approximately 60%, or $1.6 million, of the increase in net sales is attributable to organic revenue growth, while $1.0 million is attributable to prior year acquisitions.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Operating income for the Industrial Process Solutions segment increased $1.4 million to $5.5 million for the three months ended March 31, 2023 compared with $4.1 million for the three months ended March 31, 2022. The increase is primarily attributable to higher gross profit related to increased sales of $2.6 million, offset by an increase of $0.7 million in selling and administrative expense.</w:t>
      </w:r>
    </w:p>
    <w:p>
      <w:pPr>
        <w:pStyle w:val="TextBody"/>
        <w:spacing w:before="240" w:after="240"/>
        <w:jc w:val="left"/>
        <w:rPr>
          <w:rFonts w:ascii="Times New Roman;serif" w:hAnsi="Times New Roman;serif"/>
          <w:b w:val="false"/>
          <w:i/>
          <w:sz w:val="20"/>
          <w:u w:val="single"/>
        </w:rPr>
      </w:pPr>
      <w:r>
        <w:rPr>
          <w:rFonts w:ascii="Times New Roman;serif" w:hAnsi="Times New Roman;serif"/>
          <w:b w:val="false"/>
          <w:i/>
          <w:sz w:val="20"/>
          <w:u w:val="single"/>
        </w:rPr>
        <w:t>Corporate and Other Segment</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Operating expense for the Corporate and Other segment increased $4.5 million to $9.9 million for the three months ended March 31, 2023 compared with $5.4 million for the three months ended March 31, 2022. The increase is primarily attributable to investments made to support growth, inflationary increases for wages and services, and a favorable insurance settlement of $2.5 million in the prior year period.</w:t>
      </w:r>
    </w:p>
    <w:p>
      <w:pPr>
        <w:pStyle w:val="TextBody"/>
        <w:spacing w:before="240" w:after="240"/>
        <w:jc w:val="left"/>
        <w:rPr>
          <w:rFonts w:ascii="Times New Roman;serif" w:hAnsi="Times New Roman;serif"/>
          <w:b/>
          <w:sz w:val="20"/>
        </w:rPr>
      </w:pPr>
      <w:r>
        <w:rPr>
          <w:rFonts w:ascii="Times New Roman;serif" w:hAnsi="Times New Roman;serif"/>
          <w:b/>
          <w:sz w:val="20"/>
        </w:rPr>
        <w:t>Backlog</w:t>
      </w:r>
    </w:p>
    <w:p>
      <w:pPr>
        <w:pStyle w:val="TextBody"/>
        <w:spacing w:before="240" w:after="240"/>
        <w:jc w:val="left"/>
        <w:rPr>
          <w:rFonts w:ascii="Times New Roman" w:hAnsi="Times New Roman"/>
          <w:sz w:val="20"/>
        </w:rPr>
      </w:pPr>
      <w:r>
        <w:rPr>
          <w:rFonts w:ascii="Times New Roman;serif" w:hAnsi="Times New Roman;serif"/>
          <w:b w:val="false"/>
          <w:sz w:val="20"/>
        </w:rPr>
        <w:t>Backlog (i.e., unfulfilled or remaining performance obligations) represents the sales we expect to recognize for our products and services for which control has not yet transferred to the customer. Backlog increased to $356.1 million as of March 31, 2023, inclusive of $10.8 million from current year acquisitions, from $311.7 million as of December 31, 2022.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r>
        <w:rPr>
          <w:rFonts w:ascii="Times New Roman" w:hAnsi="Times New Roman"/>
          <w:sz w:val="20"/>
        </w:rPr>
        <w:t xml:space="preserve"> </w:t>
      </w:r>
    </w:p>
    <w:p>
      <w:pPr>
        <w:pStyle w:val="TextBody"/>
        <w:spacing w:before="240" w:after="240"/>
        <w:jc w:val="left"/>
        <w:rPr>
          <w:rFonts w:ascii="Times New Roman;serif" w:hAnsi="Times New Roman;serif"/>
          <w:b/>
          <w:sz w:val="20"/>
        </w:rPr>
      </w:pPr>
      <w:r>
        <w:rPr>
          <w:rFonts w:ascii="Times New Roman;serif" w:hAnsi="Times New Roman;serif"/>
          <w:b/>
          <w:sz w:val="20"/>
        </w:rPr>
        <w:t>New Accounting Pronouncements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For information regarding recent accounting pronouncements, see Note 2 to the unaudited condensed consolidated financial statements within Item 1 of this Quarterly Report on Form 10-Q.</w:t>
      </w:r>
    </w:p>
    <w:p>
      <w:pPr>
        <w:pStyle w:val="TextBody"/>
        <w:spacing w:before="240" w:after="24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pStyle w:val="TextBody"/>
        <w:spacing w:before="240" w:after="240"/>
        <w:jc w:val="left"/>
        <w:rPr>
          <w:rFonts w:ascii="Times New Roman" w:hAnsi="Times New Roman"/>
          <w:sz w:val="20"/>
        </w:rPr>
      </w:pPr>
      <w:r>
        <w:rPr>
          <w:rFonts w:ascii="Times New Roman;serif" w:hAnsi="Times New Roman;serif"/>
          <w:b w:val="false"/>
          <w:sz w:val="20"/>
        </w:rPr>
        <w:t>At March 31, 2023, the Company had working capital of $103.9 million, compared with $94.0 million at December 31, 2022. The ratio of current assets to current liabilities was 1.61 to 1.00 on March 31, 2023, as compared with a ratio of 1.64 to 1.00 on December 31, 2022.</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At March 31, 2023 and December 31, 2022, cash and cash equivalents totaled $41.2 million and $45.5 million, respectively. As of March 31, 2023 and December 31, 2022, $23.9 million and $31.7 million, respectively, of our cash and cash equivalents were held by certain non-United States subsidiaries, as well as being denominated in foreign currencies.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Debt consisted of the following:</w:t>
      </w:r>
    </w:p>
    <w:tbl>
      <w:tblPr>
        <w:tblW w:w="10205" w:type="dxa"/>
        <w:jc w:val="left"/>
        <w:tblInd w:w="0" w:type="dxa"/>
        <w:tblCellMar>
          <w:top w:w="28" w:type="dxa"/>
          <w:left w:w="28" w:type="dxa"/>
          <w:bottom w:w="28" w:type="dxa"/>
          <w:right w:w="28" w:type="dxa"/>
        </w:tblCellMar>
      </w:tblPr>
      <w:tblGrid>
        <w:gridCol w:w="6683"/>
        <w:gridCol w:w="146"/>
        <w:gridCol w:w="261"/>
        <w:gridCol w:w="968"/>
        <w:gridCol w:w="166"/>
        <w:gridCol w:w="146"/>
        <w:gridCol w:w="306"/>
        <w:gridCol w:w="1136"/>
        <w:gridCol w:w="393"/>
      </w:tblGrid>
      <w:tr>
        <w:trPr/>
        <w:tc>
          <w:tcPr>
            <w:tcW w:w="66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668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borrowings under the Credit Facility (as defined below)</w:t>
              <w:br/>
              <w:t>   Term loan payable in quarterly principal installments of $550 through September 2023,</w:t>
              <w:br/>
              <w:t xml:space="preserve">   $825 through September 2025 and $1,100 thereafter with balance due upon maturity in </w:t>
              <w:br/>
              <w:t>   December 2026.</w:t>
            </w:r>
          </w:p>
        </w:tc>
        <w:tc>
          <w:tcPr>
            <w:tcW w:w="146" w:type="dxa"/>
            <w:tcBorders/>
            <w:shd w:fill="auto" w:val="clear"/>
            <w:vAlign w:val="center"/>
          </w:tcPr>
          <w:p>
            <w:pPr>
              <w:pStyle w:val="TableContents"/>
              <w:spacing w:before="0" w:after="0"/>
              <w:ind w:left="0" w:right="0" w:hanging="0"/>
              <w:jc w:val="left"/>
              <w:rPr/>
            </w:pPr>
            <w:r>
              <w:rPr/>
              <w:t> </w:t>
            </w:r>
          </w:p>
        </w:tc>
        <w:tc>
          <w:tcPr>
            <w:tcW w:w="1229"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2"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200"/>
              <w:jc w:val="right"/>
              <w:rPr/>
            </w:pPr>
            <w:r>
              <w:rPr/>
              <w:t> </w:t>
            </w:r>
          </w:p>
        </w:tc>
      </w:tr>
      <w:tr>
        <w:trPr/>
        <w:tc>
          <w:tcPr>
            <w:tcW w:w="668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41,309</w:t>
            </w:r>
          </w:p>
        </w:tc>
        <w:tc>
          <w:tcPr>
            <w:tcW w:w="393" w:type="dxa"/>
            <w:tcBorders/>
            <w:shd w:fill="auto" w:val="clear"/>
            <w:vAlign w:val="center"/>
          </w:tcPr>
          <w:p>
            <w:pPr>
              <w:pStyle w:val="TableContents"/>
              <w:spacing w:before="0" w:after="0"/>
              <w:ind w:left="0" w:right="0" w:firstLine="200"/>
              <w:jc w:val="left"/>
              <w:rPr/>
            </w:pPr>
            <w:r>
              <w:rPr/>
              <w:t> </w:t>
            </w:r>
          </w:p>
        </w:tc>
      </w:tr>
      <w:tr>
        <w:trPr/>
        <w:tc>
          <w:tcPr>
            <w:tcW w:w="668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61,300</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outstanding borrowings under the Credit Facility</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102,609</w:t>
            </w:r>
          </w:p>
        </w:tc>
        <w:tc>
          <w:tcPr>
            <w:tcW w:w="393" w:type="dxa"/>
            <w:tcBorders/>
            <w:shd w:fill="auto" w:val="clear"/>
            <w:vAlign w:val="center"/>
          </w:tcPr>
          <w:p>
            <w:pPr>
              <w:pStyle w:val="TableContents"/>
              <w:spacing w:before="0" w:after="0"/>
              <w:ind w:left="0" w:right="0" w:hanging="0"/>
              <w:jc w:val="left"/>
              <w:rPr/>
            </w:pPr>
            <w:r>
              <w:rPr/>
              <w:t> </w:t>
            </w:r>
          </w:p>
        </w:tc>
      </w:tr>
      <w:tr>
        <w:trPr/>
        <w:tc>
          <w:tcPr>
            <w:tcW w:w="6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borrowings under the joint venture term debt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10,083</w:t>
            </w:r>
          </w:p>
        </w:tc>
        <w:tc>
          <w:tcPr>
            <w:tcW w:w="393" w:type="dxa"/>
            <w:tcBorders/>
            <w:shd w:fill="auto" w:val="clear"/>
            <w:vAlign w:val="center"/>
          </w:tcPr>
          <w:p>
            <w:pPr>
              <w:pStyle w:val="TableContents"/>
              <w:spacing w:before="0" w:after="0"/>
              <w:ind w:left="0" w:right="0" w:hanging="0"/>
              <w:jc w:val="left"/>
              <w:rPr/>
            </w:pPr>
            <w:r>
              <w:rPr/>
              <w:t> </w:t>
            </w:r>
          </w:p>
        </w:tc>
      </w:tr>
      <w:tr>
        <w:trPr/>
        <w:tc>
          <w:tcPr>
            <w:tcW w:w="6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outstanding borrowings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111,204</w:t>
            </w:r>
          </w:p>
        </w:tc>
        <w:tc>
          <w:tcPr>
            <w:tcW w:w="393" w:type="dxa"/>
            <w:tcBorders/>
            <w:shd w:fill="auto" w:val="clear"/>
            <w:vAlign w:val="center"/>
          </w:tcPr>
          <w:p>
            <w:pPr>
              <w:pStyle w:val="TableContents"/>
              <w:spacing w:before="0" w:after="0"/>
              <w:ind w:left="0" w:right="0" w:hanging="0"/>
              <w:jc w:val="left"/>
              <w:rPr/>
            </w:pPr>
            <w:r>
              <w:rPr/>
              <w:t> </w:t>
            </w:r>
          </w:p>
        </w:tc>
      </w:tr>
      <w:tr>
        <w:trPr/>
        <w:tc>
          <w:tcPr>
            <w:tcW w:w="668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Less: current portion</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(3,579</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debt, less current portion</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107,625</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serif" w:hAnsi="Times New Roman;serif"/>
          <w:b w:val="false"/>
          <w:sz w:val="20"/>
          <w:u w:val="single"/>
        </w:rPr>
      </w:pPr>
      <w:r>
        <w:rPr>
          <w:rFonts w:ascii="Times New Roman;serif" w:hAnsi="Times New Roman;serif"/>
          <w:b w:val="false"/>
          <w:sz w:val="20"/>
          <w:u w:val="single"/>
        </w:rPr>
        <w:t>Credit Facility</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Company’s outstanding borrowings in the United States consist of a senior secured term loan and a senior secured revolver loan with sub-facilities for letters of credit, swing-line loans and multi-currency loans (collectively, the “Credit Facility”). As of March 31, 2023 and December 31, 2022, the Company was in compliance with all related financial and other restrictive covenants under the Credit Facility.</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See Note 7 to the unaudited condensed consolidated financial statements within Item 1 of this Quarterly Report on Form 10-Q for further information on the Company’s debt facilities.</w:t>
      </w:r>
    </w:p>
    <w:p>
      <w:pPr>
        <w:pStyle w:val="TextBody"/>
        <w:spacing w:before="240" w:after="240"/>
        <w:jc w:val="left"/>
        <w:rPr>
          <w:rFonts w:ascii="Times New Roman" w:hAnsi="Times New Roman"/>
          <w:sz w:val="20"/>
        </w:rPr>
      </w:pPr>
      <w:r>
        <w:rPr>
          <w:rFonts w:ascii="Times New Roman;serif" w:hAnsi="Times New Roman;serif"/>
          <w:b w:val="false"/>
          <w:sz w:val="20"/>
        </w:rPr>
        <w:t>Total unused credit availability under our existing Credit Facility is as follows:</w:t>
      </w:r>
      <w:r>
        <w:rPr>
          <w:rFonts w:ascii="Times New Roman" w:hAnsi="Times New Roman"/>
          <w:sz w:val="20"/>
        </w:rPr>
        <w:t xml:space="preserve"> </w:t>
      </w:r>
    </w:p>
    <w:tbl>
      <w:tblPr>
        <w:tblW w:w="7785" w:type="dxa"/>
        <w:jc w:val="left"/>
        <w:tblInd w:w="0" w:type="dxa"/>
        <w:tblCellMar>
          <w:top w:w="28" w:type="dxa"/>
          <w:left w:w="28" w:type="dxa"/>
          <w:bottom w:w="28" w:type="dxa"/>
          <w:right w:w="28" w:type="dxa"/>
        </w:tblCellMar>
      </w:tblPr>
      <w:tblGrid>
        <w:gridCol w:w="4156"/>
        <w:gridCol w:w="146"/>
        <w:gridCol w:w="340"/>
        <w:gridCol w:w="920"/>
        <w:gridCol w:w="166"/>
        <w:gridCol w:w="146"/>
        <w:gridCol w:w="403"/>
        <w:gridCol w:w="1097"/>
        <w:gridCol w:w="411"/>
      </w:tblGrid>
      <w:tr>
        <w:trPr/>
        <w:tc>
          <w:tcPr>
            <w:tcW w:w="4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Facility, revolving loans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41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Draw down</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Letters of credit open</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unused credit availability</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Amount available based on borrowing limitations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rFonts w:ascii="Times New Roman;serif" w:hAnsi="Times New Roman;serif"/>
          <w:b/>
          <w:sz w:val="20"/>
        </w:rPr>
      </w:pPr>
      <w:r>
        <w:rPr>
          <w:rFonts w:ascii="Times New Roman;serif" w:hAnsi="Times New Roman;serif"/>
          <w:b/>
          <w:sz w:val="20"/>
        </w:rPr>
        <w:t>Overview of Cash Flows and Liquidity</w:t>
      </w:r>
    </w:p>
    <w:tbl>
      <w:tblPr>
        <w:tblW w:w="7797" w:type="dxa"/>
        <w:jc w:val="left"/>
        <w:tblInd w:w="0" w:type="dxa"/>
        <w:tblCellMar>
          <w:top w:w="28" w:type="dxa"/>
          <w:left w:w="28" w:type="dxa"/>
          <w:bottom w:w="28" w:type="dxa"/>
          <w:right w:w="28" w:type="dxa"/>
        </w:tblCellMar>
      </w:tblPr>
      <w:tblGrid>
        <w:gridCol w:w="5086"/>
        <w:gridCol w:w="146"/>
        <w:gridCol w:w="225"/>
        <w:gridCol w:w="786"/>
        <w:gridCol w:w="177"/>
        <w:gridCol w:w="155"/>
        <w:gridCol w:w="225"/>
        <w:gridCol w:w="786"/>
        <w:gridCol w:w="211"/>
      </w:tblGrid>
      <w:tr>
        <w:trPr/>
        <w:tc>
          <w:tcPr>
            <w:tcW w:w="5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(12,021</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(26,655</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(20,241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34,359</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19,859</w:t>
            </w:r>
          </w:p>
        </w:tc>
        <w:tc>
          <w:tcPr>
            <w:tcW w:w="211" w:type="dxa"/>
            <w:tcBorders/>
            <w:shd w:fill="auto" w:val="clear"/>
            <w:vAlign w:val="center"/>
          </w:tcPr>
          <w:p>
            <w:pPr>
              <w:pStyle w:val="TableContents"/>
              <w:spacing w:before="0" w:after="0"/>
              <w:ind w:left="0" w:right="0" w:hanging="0"/>
              <w:jc w:val="left"/>
              <w:rPr/>
            </w:pPr>
            <w:r>
              <w:rPr/>
              <w:t> </w:t>
            </w:r>
          </w:p>
        </w:tc>
      </w:tr>
      <w:tr>
        <w:trPr/>
        <w:tc>
          <w:tcPr>
            <w:tcW w:w="5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(4,381</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240"/>
        <w:jc w:val="left"/>
        <w:rPr>
          <w:rFonts w:ascii="Times New Roman;serif" w:hAnsi="Times New Roman;serif"/>
          <w:b/>
          <w:sz w:val="20"/>
        </w:rPr>
      </w:pPr>
      <w:r>
        <w:rPr>
          <w:rFonts w:ascii="Times New Roman;serif" w:hAnsi="Times New Roman;serif"/>
          <w:b/>
          <w:sz w:val="20"/>
        </w:rPr>
        <w:t>Operating Activities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For the three months ended March 31, 2023, $12.0 million of cash was used in operating activities compared with $0.2 million used in operations in the prior year period, representing a $11.8 million additional use of cash. Cash flow from operating activities in the first three months of 2023 had an unfavorable impact year-over-year primarily due to timing of receipt of outstanding receivables and payments to suppliers, as well as the decrease in net income compared to the prior year period.</w:t>
      </w:r>
    </w:p>
    <w:p>
      <w:pPr>
        <w:pStyle w:val="TextBody"/>
        <w:spacing w:before="240" w:after="240"/>
        <w:jc w:val="left"/>
        <w:rPr>
          <w:rFonts w:ascii="Times New Roman" w:hAnsi="Times New Roman"/>
          <w:sz w:val="20"/>
        </w:rPr>
      </w:pPr>
      <w:r>
        <w:rPr>
          <w:rFonts w:ascii="Times New Roman;serif" w:hAnsi="Times New Roman;serif"/>
          <w:b/>
          <w:sz w:val="20"/>
        </w:rPr>
        <w:t>Investing Activities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For the three months ended March 31, 2023, net cash used in investing activities was $26.7 million compared with $20.2 million used in investing activities in the prior year period. For the three months ended March 31, 2023, the $26.7 million cash used in investing activities was the result of $24.1 million cash used for acquisitions as described in Note 14 to the unaudited condensed consolidated financial statements, and $2.5 million for the acquisition of property and equipment. In the prior year period, the $20.2 million cash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40" w:after="240"/>
        <w:jc w:val="left"/>
        <w:rPr>
          <w:rFonts w:ascii="Times New Roman" w:hAnsi="Times New Roman"/>
          <w:sz w:val="20"/>
        </w:rPr>
      </w:pPr>
      <w:r>
        <w:rPr>
          <w:rFonts w:ascii="Times New Roman;serif" w:hAnsi="Times New Roman;serif"/>
          <w:b w:val="false"/>
          <w:sz w:val="20"/>
        </w:rPr>
        <w:t>used in investing activities was the result of $19.6 million used for acquisitions as described in Note 14 and $0.7 million for the acquisition of property and equipment.</w:t>
      </w:r>
      <w:r>
        <w:rPr>
          <w:rFonts w:ascii="Times New Roman" w:hAnsi="Times New Roman"/>
          <w:sz w:val="20"/>
        </w:rPr>
        <w:t xml:space="preserve"> </w:t>
      </w:r>
    </w:p>
    <w:p>
      <w:pPr>
        <w:pStyle w:val="TextBody"/>
        <w:spacing w:before="240" w:after="240"/>
        <w:jc w:val="left"/>
        <w:rPr>
          <w:rFonts w:ascii="Times New Roman;serif" w:hAnsi="Times New Roman;serif"/>
          <w:b/>
          <w:sz w:val="20"/>
        </w:rPr>
      </w:pPr>
      <w:r>
        <w:rPr>
          <w:rFonts w:ascii="Times New Roman;serif" w:hAnsi="Times New Roman;serif"/>
          <w:b/>
          <w:sz w:val="20"/>
        </w:rPr>
        <w:t>Financing Activities</w:t>
      </w:r>
    </w:p>
    <w:p>
      <w:pPr>
        <w:pStyle w:val="TextBody"/>
        <w:spacing w:before="240" w:after="240"/>
        <w:jc w:val="left"/>
        <w:rPr>
          <w:rFonts w:ascii="Times New Roman" w:hAnsi="Times New Roman"/>
          <w:sz w:val="20"/>
        </w:rPr>
      </w:pPr>
      <w:r>
        <w:rPr>
          <w:rFonts w:ascii="Times New Roman;serif" w:hAnsi="Times New Roman;serif"/>
          <w:b w:val="false"/>
          <w:sz w:val="20"/>
        </w:rPr>
        <w:t>For the three months ended March 31, 2023, $34.4 million was provided by financing activities compared with $19.9 million provided by financing activities in the prior year period, for an increase of $14.5 million. For the three months ended March 31, 2023, the Company used $34.8 million for net borrowings on the Company’s revolving credit lines, primarily used to finance current year acquisitions, and $0.8 million in repayment on long-term debt. The Company also received $0.6 million of proceeds from the exercise of stock options. In the prior year period, the Company used $10.6 million for net borrowings on the Company’s revolving credit lines and $10.4 million for net borrowings on long-term debt, primarily used to finance acquisitions, as well as $0.9 million on distributions to the noncontrolling interest.</w:t>
      </w:r>
      <w:r>
        <w:rPr>
          <w:rFonts w:ascii="Times New Roman" w:hAnsi="Times New Roman"/>
          <w:sz w:val="20"/>
        </w:rPr>
        <w:t xml:space="preserve"> </w:t>
      </w:r>
    </w:p>
    <w:p>
      <w:pPr>
        <w:pStyle w:val="TextBody"/>
        <w:spacing w:before="240" w:after="24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Management believes there have been no changes during the three months ended March 31, 2023 to the items that the Company disclosed as its critical accounting policies and estimates in Management’s Discussion and Analysis of Financial Condition and Results of Operations in the Company’s Annual Report on Form 10-K for the year ended December 31, 2022.</w:t>
      </w:r>
    </w:p>
    <w:p>
      <w:pPr>
        <w:pStyle w:val="TextBody"/>
        <w:spacing w:before="240" w:after="240"/>
        <w:jc w:val="left"/>
        <w:rPr>
          <w:rFonts w:ascii="Times New Roman;serif" w:hAnsi="Times New Roman;serif"/>
          <w:b/>
          <w:sz w:val="20"/>
        </w:rPr>
      </w:pPr>
      <w:r>
        <w:rPr>
          <w:rFonts w:ascii="Times New Roman;serif" w:hAnsi="Times New Roman;serif"/>
          <w:b/>
          <w:sz w:val="20"/>
        </w:rPr>
        <w:t>Forward-Looking Statements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2022, and include, but are not limited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sensitivity of our business to economic and financial market conditions generally and economic conditions in CECO’s service areas;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dependence on fixed price contracts and the risks associated therewith, including actual costs exceeding estimates and method of accounting for revenue;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effect of growth on CECO’s infrastructure, resources and existing sales;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ability to expand operations in both new and existing markets;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potential for contract delay or cancellation as a result of on-going or worsening supply chain challenges;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liabilities arising from faulty services or products that could result in significant professional or product liability, warranty or other claims;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changes in or developments with respect to any litigation or investigation;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failure to meet timely completion or performance standards that could result in higher cost and reduced profits or, in some cases, losses on projects;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potential for fluctuations in prices for manufactured components and raw materials, including as a result of tariffs and surcharges;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substantial amount of debt incurred in connection with our strategic transactions and our ability to repay or refinance it or incur additional debt in the future;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impact of federal, state or local government regulations;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adverse developments affecting the banking and financial services industries on our ability to access our funds and deposits and our ability to raise or access capital in the future;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repurchase shares of our common stock and the amounts and timing of repurchases,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economic and political conditions generally;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integrate acquired businesses and realize the synergies from strategic transactions;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unpredictability and severity of catastrophic events, including cybersecurity threats, acts of terrorism or outbreak of war or hostilities or public health crises, as well as management’s response to any of the aforementioned factors.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pStyle w:val="TextBody"/>
        <w:spacing w:before="240" w:after="240"/>
        <w:jc w:val="left"/>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spacing w:before="240" w:after="240"/>
        <w:jc w:val="left"/>
        <w:rPr>
          <w:rFonts w:ascii="Times New Roman" w:hAnsi="Times New Roman"/>
          <w:sz w:val="20"/>
        </w:rPr>
      </w:pPr>
      <w:r>
        <w:rPr>
          <w:rFonts w:ascii="Times New Roman;serif" w:hAnsi="Times New Roman;serif"/>
          <w:b w:val="false"/>
          <w:sz w:val="20"/>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carrying value of the Company’s total long-term debt and current maturities of long-term debt at March 31, 2023 was $146.5 million. Market risk was estimated as the potential decrease (increase) in future earnings and cash flows resulting from a hypothetical 10% increase (decrease) in the Company’s estimated weighted average borrowing rate at March 31, 2023. Most of the interest on the Company’s debt is indexed to SOFR market rates. The estimated annual impact of a hypothetical 10% change in the estimated weighted average borrowing rate at March 31, 2023 is $1.1 million.</w:t>
      </w:r>
    </w:p>
    <w:p>
      <w:pPr>
        <w:pStyle w:val="TextBody"/>
        <w:spacing w:before="240" w:after="240"/>
        <w:jc w:val="left"/>
        <w:rPr>
          <w:rFonts w:ascii="Times New Roman" w:hAnsi="Times New Roman"/>
          <w:sz w:val="20"/>
        </w:rPr>
      </w:pPr>
      <w:r>
        <w:rPr>
          <w:rFonts w:ascii="Times New Roman;serif" w:hAnsi="Times New Roman;serif"/>
          <w:b w:val="false"/>
          <w:sz w:val="20"/>
        </w:rPr>
        <w:t>The Company has wholly-owned subsidiaries in several countries, including in the Netherlands, Canada, the People’s Republic of China, Mexico, United Kingdom, Singapore, India, United Arab Emirates and South Korea.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included in “Other income (expense), net” line of the Condensed Consolidated Statements of Income were $0.4 million and $0.6 million for the three months ended March 31, 2023 and 2022, respectively.</w:t>
      </w:r>
      <w:r>
        <w:rPr>
          <w:rFonts w:ascii="Times New Roman" w:hAnsi="Times New Roman"/>
          <w:sz w:val="20"/>
        </w:rPr>
        <w:t xml:space="preserve"> </w:t>
      </w:r>
    </w:p>
    <w:p>
      <w:pPr>
        <w:pStyle w:val="TextBody"/>
        <w:spacing w:before="240" w:after="240"/>
        <w:jc w:val="left"/>
        <w:rPr>
          <w:rFonts w:ascii="Times New Roman;serif" w:hAnsi="Times New Roman;serif"/>
          <w:b/>
          <w:sz w:val="20"/>
        </w:rPr>
      </w:pPr>
      <w:bookmarkStart w:id="12" w:name="item_4_controls_procedures"/>
      <w:bookmarkEnd w:id="12"/>
      <w:r>
        <w:rPr>
          <w:rFonts w:ascii="Times New Roman;serif" w:hAnsi="Times New Roman;serif"/>
          <w:b/>
          <w:sz w:val="20"/>
        </w:rPr>
        <w:t>ITEM 4. CONTROLS AND PROCEDURES</w:t>
      </w:r>
    </w:p>
    <w:p>
      <w:pPr>
        <w:pStyle w:val="TextBody"/>
        <w:spacing w:before="240" w:after="24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March 31, 2023. Management believes that the condensed consolidated financial statements included in this report fairly present in all material respects the Company’s financial condition, results of operations and cash flows for each of the periods presented in this report.</w:t>
      </w:r>
    </w:p>
    <w:p>
      <w:pPr>
        <w:pStyle w:val="TextBody"/>
        <w:spacing w:before="240" w:after="24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There were no changes in the Company’s internal control over financial reporting (as defined in Rule 13a-15(f) of the Exchange Act) during the three months ended March 31, 2023 that materially affected, or are reasonably likely to materially affect, the Company’s internal control over financial reporting.</w:t>
      </w:r>
    </w:p>
    <w:p>
      <w:pPr>
        <w:pStyle w:val="TextBody"/>
        <w:spacing w:before="240" w:after="240"/>
        <w:jc w:val="left"/>
        <w:rPr>
          <w:rFonts w:ascii="Times New Roman;serif" w:hAnsi="Times New Roman;serif"/>
          <w:b/>
          <w:sz w:val="20"/>
        </w:rPr>
      </w:pPr>
      <w:r>
        <w:rPr>
          <w:rFonts w:ascii="Times New Roman;serif" w:hAnsi="Times New Roman;serif"/>
          <w:b/>
          <w:sz w:val="20"/>
        </w:rPr>
        <w:t>Limitations on the Effectiveness of Controls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sz w:val="20"/>
        </w:rPr>
      </w:pPr>
      <w:bookmarkStart w:id="13" w:name="part_ii_or_information"/>
      <w:bookmarkEnd w:id="13"/>
      <w:r>
        <w:rPr>
          <w:rFonts w:ascii="Times New Roman;serif" w:hAnsi="Times New Roman;serif"/>
          <w:b/>
          <w:sz w:val="20"/>
        </w:rPr>
        <w:t>PART II – OTHER INFORMATION</w:t>
      </w:r>
    </w:p>
    <w:p>
      <w:pPr>
        <w:pStyle w:val="TextBody"/>
        <w:spacing w:before="240" w:after="240"/>
        <w:jc w:val="left"/>
        <w:rPr>
          <w:rFonts w:ascii="Times New Roman" w:hAnsi="Times New Roman"/>
          <w:sz w:val="20"/>
        </w:rPr>
      </w:pPr>
      <w:bookmarkStart w:id="14" w:name="item_1_legal_proceedings"/>
      <w:bookmarkEnd w:id="14"/>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240" w:after="240"/>
        <w:jc w:val="left"/>
        <w:rPr>
          <w:rFonts w:ascii="Times New Roman" w:hAnsi="Times New Roman"/>
          <w:sz w:val="20"/>
        </w:rPr>
      </w:pPr>
      <w:r>
        <w:rPr>
          <w:rFonts w:ascii="Times New Roman;serif" w:hAnsi="Times New Roman;serif"/>
          <w:b w:val="false"/>
          <w:sz w:val="20"/>
        </w:rPr>
        <w:t>See Note 13 to the unaudited Condensed Consolidated Financial Statements contained in Part I, Item 1 of this Quarterly Report on Form 10-Q for information regarding legal proceedings in which the Company is involved.</w:t>
      </w:r>
      <w:r>
        <w:rPr>
          <w:rFonts w:ascii="Times New Roman" w:hAnsi="Times New Roman"/>
          <w:sz w:val="20"/>
        </w:rPr>
        <w:t xml:space="preserve"> </w:t>
      </w:r>
    </w:p>
    <w:p>
      <w:pPr>
        <w:pStyle w:val="TextBody"/>
        <w:spacing w:before="240" w:after="24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There have been no material changes in the Company’s risk factors that were disclosed in “Part I – Item 1A. Risk Factors” of the Company's Annual Report on Form 10-K for the year ended December 31, 2022.</w:t>
      </w:r>
    </w:p>
    <w:p>
      <w:pPr>
        <w:pStyle w:val="TextBody"/>
        <w:spacing w:before="240" w:after="240"/>
        <w:jc w:val="left"/>
        <w:rPr>
          <w:rFonts w:ascii="Times New Roman;serif" w:hAnsi="Times New Roman;serif"/>
          <w:b/>
          <w:sz w:val="20"/>
        </w:rPr>
      </w:pPr>
      <w:bookmarkStart w:id="16" w:name="item_2_unregistered_sales_equity_securit"/>
      <w:bookmarkEnd w:id="16"/>
      <w:r>
        <w:rPr>
          <w:rFonts w:ascii="Times New Roman;serif" w:hAnsi="Times New Roman;serif"/>
          <w:b/>
          <w:sz w:val="20"/>
        </w:rPr>
        <w:t>ITEM 2. UNREGISTERED SALES OF EQUITY SECURITIES AND USE OF PROCEEDS</w:t>
      </w:r>
    </w:p>
    <w:p>
      <w:pPr>
        <w:pStyle w:val="TextBody"/>
        <w:spacing w:before="240" w:after="240"/>
        <w:jc w:val="left"/>
        <w:rPr>
          <w:rFonts w:ascii="Times New Roman;serif" w:hAnsi="Times New Roman;serif"/>
          <w:b/>
          <w:sz w:val="20"/>
        </w:rPr>
      </w:pPr>
      <w:r>
        <w:rPr>
          <w:rFonts w:ascii="Times New Roman;serif" w:hAnsi="Times New Roman;serif"/>
          <w:b/>
          <w:sz w:val="20"/>
        </w:rPr>
        <w:t>Purchases of Equity Securities by the Issuer and Affiliated Purchasers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following table provides information about our purchases of the Company's equity securities for the three months ended March 31, 2023:</w:t>
      </w:r>
    </w:p>
    <w:tbl>
      <w:tblPr>
        <w:tblW w:w="10205" w:type="dxa"/>
        <w:jc w:val="left"/>
        <w:tblInd w:w="0" w:type="dxa"/>
        <w:tblCellMar>
          <w:top w:w="28" w:type="dxa"/>
          <w:left w:w="28" w:type="dxa"/>
          <w:bottom w:w="28" w:type="dxa"/>
          <w:right w:w="28" w:type="dxa"/>
        </w:tblCellMar>
      </w:tblPr>
      <w:tblGrid>
        <w:gridCol w:w="1422"/>
        <w:gridCol w:w="146"/>
        <w:gridCol w:w="375"/>
        <w:gridCol w:w="890"/>
        <w:gridCol w:w="346"/>
        <w:gridCol w:w="146"/>
        <w:gridCol w:w="312"/>
        <w:gridCol w:w="744"/>
        <w:gridCol w:w="346"/>
        <w:gridCol w:w="146"/>
        <w:gridCol w:w="617"/>
        <w:gridCol w:w="1469"/>
        <w:gridCol w:w="346"/>
        <w:gridCol w:w="146"/>
        <w:gridCol w:w="560"/>
        <w:gridCol w:w="1800"/>
        <w:gridCol w:w="394"/>
      </w:tblGrid>
      <w:tr>
        <w:trPr/>
        <w:tc>
          <w:tcPr>
            <w:tcW w:w="14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142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4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Issuer's Purchases of Equity Securities</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 share data)</w:t>
              <w:br/>
              <w:t>Period</w:t>
            </w:r>
          </w:p>
        </w:tc>
        <w:tc>
          <w:tcPr>
            <w:tcW w:w="146" w:type="dxa"/>
            <w:tcBorders/>
            <w:shd w:fill="auto" w:val="clear"/>
            <w:vAlign w:val="center"/>
          </w:tcPr>
          <w:p>
            <w:pPr>
              <w:pStyle w:val="TableContents"/>
              <w:spacing w:before="0" w:after="0"/>
              <w:ind w:left="0" w:right="0" w:hanging="0"/>
              <w:jc w:val="left"/>
              <w:rPr/>
            </w:pPr>
            <w:r>
              <w:rPr/>
              <w:t> </w:t>
            </w:r>
          </w:p>
        </w:tc>
        <w:tc>
          <w:tcPr>
            <w:tcW w:w="12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Total Number of Shares Purchased </w:t>
            </w:r>
            <w:r>
              <w:rPr>
                <w:rFonts w:ascii="Times New Roman;serif" w:hAnsi="Times New Roman;serif"/>
                <w:b/>
                <w:sz w:val="11"/>
              </w:rPr>
              <w:t>1</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Price Paid per Share</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 as Part of Publicly Announced Plans or Programs</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Approximate Dollar Value of Shares That May Yet Be Purchased Under the Plans or Programs</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2023 - January 31, 2023</w:t>
            </w:r>
          </w:p>
        </w:tc>
        <w:tc>
          <w:tcPr>
            <w:tcW w:w="146" w:type="dxa"/>
            <w:tcBorders/>
            <w:shd w:fill="auto" w:val="clear"/>
            <w:vAlign w:val="center"/>
          </w:tcPr>
          <w:p>
            <w:pPr>
              <w:pStyle w:val="TableContents"/>
              <w:spacing w:before="0" w:after="0"/>
              <w:ind w:left="0" w:right="0" w:hanging="0"/>
              <w:jc w:val="left"/>
              <w:rPr/>
            </w:pPr>
            <w:r>
              <w:rPr/>
              <w:t> </w:t>
            </w:r>
          </w:p>
        </w:tc>
        <w:tc>
          <w:tcPr>
            <w:tcW w:w="1265" w:type="dxa"/>
            <w:gridSpan w:val="2"/>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6" w:type="dxa"/>
            <w:gridSpan w:val="2"/>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13,000</w:t>
            </w:r>
          </w:p>
        </w:tc>
        <w:tc>
          <w:tcPr>
            <w:tcW w:w="394" w:type="dxa"/>
            <w:tcBorders/>
            <w:shd w:fill="auto" w:val="clear"/>
            <w:vAlign w:val="center"/>
          </w:tcPr>
          <w:p>
            <w:pPr>
              <w:pStyle w:val="TableContents"/>
              <w:spacing w:before="0" w:after="0"/>
              <w:ind w:left="0" w:right="0" w:hanging="0"/>
              <w:jc w:val="left"/>
              <w:rPr/>
            </w:pPr>
            <w:r>
              <w:rPr/>
              <w:t> </w:t>
            </w:r>
          </w:p>
        </w:tc>
      </w:tr>
      <w:tr>
        <w:trPr/>
        <w:tc>
          <w:tcPr>
            <w:tcW w:w="14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2023 - February 28, 2023</w:t>
            </w:r>
          </w:p>
        </w:tc>
        <w:tc>
          <w:tcPr>
            <w:tcW w:w="146" w:type="dxa"/>
            <w:tcBorders/>
            <w:shd w:fill="auto" w:val="clear"/>
            <w:vAlign w:val="center"/>
          </w:tcPr>
          <w:p>
            <w:pPr>
              <w:pStyle w:val="TableContents"/>
              <w:spacing w:before="0" w:after="0"/>
              <w:ind w:left="0" w:right="0" w:hanging="0"/>
              <w:jc w:val="left"/>
              <w:rPr/>
            </w:pPr>
            <w:r>
              <w:rPr/>
              <w:t> </w:t>
            </w:r>
          </w:p>
        </w:tc>
        <w:tc>
          <w:tcPr>
            <w:tcW w:w="1265" w:type="dxa"/>
            <w:gridSpan w:val="2"/>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6" w:type="dxa"/>
            <w:gridSpan w:val="2"/>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left"/>
              <w:rPr/>
            </w:pPr>
            <w:r>
              <w:rPr/>
              <w:t> </w:t>
            </w:r>
          </w:p>
        </w:tc>
        <w:tc>
          <w:tcPr>
            <w:tcW w:w="1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13,000</w:t>
            </w:r>
          </w:p>
        </w:tc>
        <w:tc>
          <w:tcPr>
            <w:tcW w:w="394" w:type="dxa"/>
            <w:tcBorders/>
            <w:shd w:fill="auto" w:val="clear"/>
            <w:vAlign w:val="center"/>
          </w:tcPr>
          <w:p>
            <w:pPr>
              <w:pStyle w:val="TableContents"/>
              <w:spacing w:before="0" w:after="0"/>
              <w:ind w:left="0" w:right="0" w:hanging="0"/>
              <w:jc w:val="left"/>
              <w:rPr/>
            </w:pPr>
            <w:r>
              <w:rPr/>
              <w:t> </w:t>
            </w:r>
          </w:p>
        </w:tc>
      </w:tr>
      <w:tr>
        <w:trPr/>
        <w:tc>
          <w:tcPr>
            <w:tcW w:w="14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1, 2023 - March 31, 2023</w:t>
            </w:r>
          </w:p>
        </w:tc>
        <w:tc>
          <w:tcPr>
            <w:tcW w:w="146" w:type="dxa"/>
            <w:tcBorders/>
            <w:shd w:fill="auto" w:val="clear"/>
            <w:vAlign w:val="center"/>
          </w:tcPr>
          <w:p>
            <w:pPr>
              <w:pStyle w:val="TableContents"/>
              <w:spacing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left"/>
              <w:rPr/>
            </w:pPr>
            <w:r>
              <w:rPr/>
              <w:t> </w:t>
            </w:r>
          </w:p>
        </w:tc>
        <w:tc>
          <w:tcPr>
            <w:tcW w:w="1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13,000</w:t>
            </w:r>
          </w:p>
        </w:tc>
        <w:tc>
          <w:tcPr>
            <w:tcW w:w="394" w:type="dxa"/>
            <w:tcBorders/>
            <w:shd w:fill="auto" w:val="clear"/>
            <w:vAlign w:val="center"/>
          </w:tcPr>
          <w:p>
            <w:pPr>
              <w:pStyle w:val="TableContents"/>
              <w:spacing w:before="0" w:after="0"/>
              <w:ind w:left="0" w:right="0" w:firstLine="200"/>
              <w:jc w:val="left"/>
              <w:rPr/>
            </w:pPr>
            <w:r>
              <w:rPr/>
              <w:t> </w:t>
            </w:r>
          </w:p>
        </w:tc>
      </w:tr>
      <w:tr>
        <w:trPr/>
        <w:tc>
          <w:tcPr>
            <w:tcW w:w="1422"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200" w:right="0" w:hanging="0"/>
              <w:jc w:val="left"/>
              <w:rPr/>
            </w:pPr>
            <w:r>
              <w:rPr/>
              <w:t> </w:t>
            </w:r>
          </w:p>
        </w:tc>
        <w:tc>
          <w:tcPr>
            <w:tcW w:w="3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2360"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hanging="0"/>
              <w:jc w:val="right"/>
              <w:rPr/>
            </w:pPr>
            <w:r>
              <w:rPr/>
              <w:t> </w:t>
            </w:r>
          </w:p>
        </w:tc>
      </w:tr>
    </w:tbl>
    <w:p>
      <w:pPr>
        <w:pStyle w:val="TextBody"/>
        <w:spacing w:before="120" w:after="120"/>
        <w:jc w:val="left"/>
        <w:rPr>
          <w:rFonts w:ascii="Times New Roman" w:hAnsi="Times New Roman"/>
          <w:sz w:val="20"/>
        </w:rPr>
      </w:pPr>
      <w:r>
        <w:rPr>
          <w:rFonts w:ascii="Times New Roman;serif" w:hAnsi="Times New Roman;serif"/>
          <w:b w:val="false"/>
          <w:sz w:val="20"/>
        </w:rPr>
        <w:t>(1) On May 10, 2022, the Board of Directors authorized a $20.0 million share repurchase program as described within Note 8. The program expires on April 30, 2025.</w:t>
      </w:r>
      <w:r>
        <w:rPr>
          <w:rFonts w:ascii="Times New Roman" w:hAnsi="Times New Roman"/>
          <w:sz w:val="20"/>
        </w:rPr>
        <w:t xml:space="preserve"> </w:t>
      </w:r>
    </w:p>
    <w:p>
      <w:pPr>
        <w:pStyle w:val="TextBody"/>
        <w:spacing w:before="240" w:after="240"/>
        <w:jc w:val="left"/>
        <w:rPr>
          <w:rFonts w:ascii="Times New Roman;serif" w:hAnsi="Times New Roman;serif"/>
          <w:b/>
          <w:sz w:val="20"/>
        </w:rPr>
      </w:pPr>
      <w:bookmarkStart w:id="17" w:name="item_3_defaults_upon_senior_securities"/>
      <w:bookmarkEnd w:id="17"/>
      <w:r>
        <w:rPr>
          <w:rFonts w:ascii="Times New Roman;serif" w:hAnsi="Times New Roman;serif"/>
          <w:b/>
          <w:sz w:val="20"/>
        </w:rPr>
        <w:t>ITEM 3. DEFAULTS UPON SENIOR SECURITIES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240"/>
        <w:jc w:val="left"/>
        <w:rPr>
          <w:rFonts w:ascii="Times New Roman;serif" w:hAnsi="Times New Roman;serif"/>
          <w:b/>
          <w:sz w:val="20"/>
        </w:rPr>
      </w:pPr>
      <w:bookmarkStart w:id="18" w:name="item_4_mine_safety_disclosures"/>
      <w:bookmarkEnd w:id="18"/>
      <w:r>
        <w:rPr>
          <w:rFonts w:ascii="Times New Roman;serif" w:hAnsi="Times New Roman;serif"/>
          <w:b/>
          <w:sz w:val="20"/>
        </w:rPr>
        <w:t>ITEM 4. MINE SAFETY DISCLOSURES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240"/>
        <w:jc w:val="left"/>
        <w:rPr>
          <w:rFonts w:ascii="Times New Roman" w:hAnsi="Times New Roman"/>
          <w:sz w:val="20"/>
        </w:rPr>
      </w:pPr>
      <w:bookmarkStart w:id="19" w:name="item_5_or_information"/>
      <w:bookmarkEnd w:id="19"/>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240" w:after="24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0" w:name="item_6_exhibits"/>
      <w:bookmarkEnd w:id="20"/>
      <w:r>
        <w:rPr>
          <w:rFonts w:ascii="Times New Roman;serif" w:hAnsi="Times New Roman;serif"/>
          <w:b/>
          <w:sz w:val="20"/>
        </w:rPr>
        <w:t>ITEM 6. EXHIBITS</w:t>
      </w:r>
    </w:p>
    <w:tbl>
      <w:tblPr>
        <w:tblW w:w="10205" w:type="dxa"/>
        <w:jc w:val="left"/>
        <w:tblInd w:w="0" w:type="dxa"/>
        <w:tblCellMar>
          <w:top w:w="28" w:type="dxa"/>
          <w:left w:w="28" w:type="dxa"/>
          <w:bottom w:w="28" w:type="dxa"/>
          <w:right w:w="28" w:type="dxa"/>
        </w:tblCellMar>
      </w:tblPr>
      <w:tblGrid>
        <w:gridCol w:w="732"/>
        <w:gridCol w:w="146"/>
        <w:gridCol w:w="9327"/>
      </w:tblGrid>
      <w:tr>
        <w:trPr/>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27" w:type="dxa"/>
            <w:tcBorders/>
            <w:shd w:fill="auto" w:val="clear"/>
            <w:vAlign w:val="center"/>
          </w:tcPr>
          <w:p>
            <w:pPr>
              <w:pStyle w:val="TableContents"/>
              <w:spacing w:before="0" w:after="283"/>
              <w:rPr>
                <w:sz w:val="4"/>
                <w:szCs w:val="4"/>
              </w:rPr>
            </w:pPr>
            <w:r>
              <w:rPr>
                <w:sz w:val="4"/>
                <w:szCs w:val="4"/>
              </w:rPr>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By-laws, as amended and restated March 3, 2023 (incorporated by reference to Exhibit 3.1 to the Company’s Current Report on Form 8-K filed with the SEC on March 9, 2023)</w:t>
              </w:r>
            </w:hyperlink>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CECO Environmental Corp. Executive Change in Control and Severance Plan, as amended and restated March 3, 2023 (incorporated by reference to Exhibit 10.1 to the Company’s Current Report on Form 8-K filed with the SEC on March 9, 2023)</w:t>
              </w:r>
            </w:hyperlink>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9327" w:type="dxa"/>
            <w:tcBorders/>
            <w:shd w:fill="auto" w:val="clear"/>
            <w:vAlign w:val="center"/>
          </w:tcPr>
          <w:p>
            <w:pPr>
              <w:pStyle w:val="TableContents"/>
              <w:spacing w:before="0" w:after="0"/>
              <w:ind w:left="0" w:right="0" w:hanging="0"/>
              <w:jc w:val="left"/>
              <w:rPr/>
            </w:pPr>
            <w:hyperlink w:anchor="ceco-ex10_2.htm">
              <w:r>
                <w:rPr>
                  <w:rStyle w:val="InternetLink"/>
                  <w:rFonts w:ascii="Times New Roman;serif" w:hAnsi="Times New Roman;serif"/>
                  <w:b w:val="false"/>
                  <w:sz w:val="20"/>
                  <w:u w:val="single"/>
                </w:rPr>
                <w:t>Amendment No. 3 to Second Amended and Restated Credit Agreement, dated as of June 11, 2019, among the Company and certain of its subsidiaries, the lenders party thereto and Bank of America, N.A.</w:t>
              </w:r>
            </w:hyperlink>
          </w:p>
        </w:tc>
      </w:tr>
      <w:tr>
        <w:trPr/>
        <w:tc>
          <w:tcPr>
            <w:tcW w:w="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7" w:type="dxa"/>
            <w:tcBorders/>
            <w:shd w:fill="auto" w:val="clear"/>
            <w:vAlign w:val="center"/>
          </w:tcPr>
          <w:p>
            <w:pPr>
              <w:pStyle w:val="TableContents"/>
              <w:spacing w:before="0" w:after="0"/>
              <w:ind w:left="0" w:right="0" w:hanging="0"/>
              <w:jc w:val="left"/>
              <w:rPr/>
            </w:pPr>
            <w:r>
              <w:rPr/>
              <w:t> </w:t>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Rule 13(a)/15d-14(a) Certification by Chief Executive Officer</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Rule 13(a)/15d-14(a) Certification by Chief Financial Officer</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Certification of Chief Executive Officer (18 U.S. Section 1350)</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Certification of Chief Financial Officer (18 U.S. Section 1350)</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3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283"/>
              <w:ind w:left="0" w:right="0" w:hanging="0"/>
              <w:rPr>
                <w:sz w:val="4"/>
                <w:szCs w:val="4"/>
              </w:rPr>
            </w:pPr>
            <w:r>
              <w:rPr>
                <w:sz w:val="4"/>
                <w:szCs w:val="4"/>
              </w:rPr>
            </w:r>
          </w:p>
        </w:tc>
      </w:tr>
      <w:tr>
        <w:trPr/>
        <w:tc>
          <w:tcPr>
            <w:tcW w:w="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Management contracts or compensation plans or arrangement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Schedules and exhibits have been omitted pursuant to Item 601(a)(5) of Regulation S-K. The Company hereby undertakes to furnish</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on a supplemental basis a copy of any omitted schedule or exhibit upon request by the Securities and Exchange Commission.</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tbl>
      <w:tblPr>
        <w:tblW w:w="5387" w:type="dxa"/>
        <w:jc w:val="left"/>
        <w:tblInd w:w="0" w:type="dxa"/>
        <w:tblCellMar>
          <w:top w:w="28" w:type="dxa"/>
          <w:left w:w="28" w:type="dxa"/>
          <w:bottom w:w="28" w:type="dxa"/>
          <w:right w:w="28" w:type="dxa"/>
        </w:tblCellMar>
      </w:tblPr>
      <w:tblGrid>
        <w:gridCol w:w="421"/>
        <w:gridCol w:w="4966"/>
      </w:tblGrid>
      <w:tr>
        <w:trPr/>
        <w:tc>
          <w:tcPr>
            <w:tcW w:w="421" w:type="dxa"/>
            <w:tcBorders/>
            <w:shd w:fill="auto" w:val="clear"/>
            <w:vAlign w:val="center"/>
          </w:tcPr>
          <w:p>
            <w:pPr>
              <w:pStyle w:val="TableContents"/>
              <w:spacing w:before="0" w:after="283"/>
              <w:rPr>
                <w:sz w:val="4"/>
                <w:szCs w:val="4"/>
              </w:rPr>
            </w:pPr>
            <w:r>
              <w:rPr>
                <w:sz w:val="4"/>
                <w:szCs w:val="4"/>
              </w:rPr>
            </w:r>
          </w:p>
        </w:tc>
        <w:tc>
          <w:tcPr>
            <w:tcW w:w="4966" w:type="dxa"/>
            <w:tcBorders/>
            <w:shd w:fill="auto" w:val="clear"/>
            <w:vAlign w:val="center"/>
          </w:tcPr>
          <w:p>
            <w:pPr>
              <w:pStyle w:val="TableContents"/>
              <w:spacing w:before="0" w:after="283"/>
              <w:rPr>
                <w:sz w:val="4"/>
                <w:szCs w:val="4"/>
              </w:rPr>
            </w:pPr>
            <w:r>
              <w:rPr>
                <w:sz w:val="4"/>
                <w:szCs w:val="4"/>
              </w:rPr>
            </w:r>
          </w:p>
        </w:tc>
      </w:tr>
      <w:tr>
        <w:trPr/>
        <w:tc>
          <w:tcPr>
            <w:tcW w:w="5387"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CECO Environmental Corp.</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Paul M. Gohr</w:t>
            </w:r>
          </w:p>
        </w:tc>
      </w:tr>
      <w:tr>
        <w:trPr/>
        <w:tc>
          <w:tcPr>
            <w:tcW w:w="421"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Paul M. Gohr</w:t>
            </w:r>
          </w:p>
        </w:tc>
      </w:tr>
      <w:tr>
        <w:trPr/>
        <w:tc>
          <w:tcPr>
            <w:tcW w:w="421"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Accounting Officer</w:t>
            </w:r>
          </w:p>
          <w:p>
            <w:pPr>
              <w:pStyle w:val="TableContents"/>
              <w:spacing w:before="0" w:after="0"/>
              <w:ind w:left="0" w:right="0" w:hanging="0"/>
              <w:jc w:val="center"/>
              <w:rPr>
                <w:rFonts w:ascii="Times New Roman;serif" w:hAnsi="Times New Roman;serif"/>
                <w:b/>
                <w:sz w:val="19"/>
              </w:rPr>
            </w:pPr>
            <w:r>
              <w:rPr>
                <w:rFonts w:ascii="Times New Roman;serif" w:hAnsi="Times New Roman;serif"/>
                <w:b/>
                <w:sz w:val="19"/>
              </w:rPr>
              <w:t>(principal accounting officer and duly authorized officer)</w:t>
            </w:r>
          </w:p>
        </w:tc>
      </w:tr>
    </w:tbl>
    <w:p>
      <w:pPr>
        <w:pStyle w:val="TextBody"/>
        <w:spacing w:before="0" w:after="0"/>
        <w:jc w:val="left"/>
        <w:rPr>
          <w:rFonts w:ascii="Times New Roman;serif" w:hAnsi="Times New Roman;serif"/>
          <w:b w:val="false"/>
          <w:sz w:val="20"/>
        </w:rPr>
      </w:pPr>
      <w:bookmarkStart w:id="21" w:name="signatures"/>
      <w:bookmarkEnd w:id="21"/>
      <w:r>
        <w:rPr>
          <w:rFonts w:ascii="Times New Roman;serif" w:hAnsi="Times New Roman;serif"/>
          <w:b w:val="false"/>
          <w:sz w:val="20"/>
        </w:rPr>
        <w:t>Date: May 9, 2023</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r>
        <w:br w:type="page"/>
      </w:r>
    </w:p>
    <w:p>
      <w:pPr>
        <w:pStyle w:val="TextBody"/>
        <w:spacing w:before="0" w:after="0"/>
        <w:jc w:val="center"/>
        <w:rPr>
          <w:rFonts w:ascii="Times New Roman" w:hAnsi="Times New Roman"/>
          <w:sz w:val="20"/>
        </w:rPr>
      </w:pPr>
      <w:bookmarkStart w:id="22" w:name="ceco-ex10_2.htm"/>
      <w:bookmarkStart w:id="23" w:name="kscecoex10_2"/>
      <w:bookmarkEnd w:id="22"/>
      <w:bookmarkEnd w:id="23"/>
      <w:r>
        <w:rPr>
          <w:rFonts w:ascii="Times New Roman;serif" w:hAnsi="Times New Roman;serif"/>
          <w:b/>
          <w:sz w:val="22"/>
        </w:rPr>
        <w:t>AMENDMENT NO. 3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2"/>
        </w:rPr>
        <w:t>SECOND AMENDED AND RESTATED CREDIT AGREEMENT</w:t>
      </w:r>
      <w:r>
        <w:rPr>
          <w:rFonts w:ascii="Times New Roman" w:hAnsi="Times New Roman"/>
          <w:sz w:val="20"/>
        </w:rPr>
        <w:t xml:space="preserve"> </w:t>
      </w:r>
    </w:p>
    <w:p>
      <w:pPr>
        <w:pStyle w:val="TextBody"/>
        <w:spacing w:before="0" w:after="0"/>
        <w:jc w:val="center"/>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2"/>
        </w:rPr>
        <w:t xml:space="preserve">THIS AMENDMENT NO. 3 TO SECOND AMENDED AND RESTATED CREDIT AGREEMENT </w:t>
      </w:r>
      <w:r>
        <w:rPr>
          <w:rFonts w:ascii="Times New Roman;serif" w:hAnsi="Times New Roman;serif"/>
          <w:b w:val="false"/>
          <w:sz w:val="22"/>
        </w:rPr>
        <w:t>dated and effective as of March 20, 2023 (this “</w:t>
      </w:r>
      <w:r>
        <w:rPr>
          <w:rFonts w:ascii="Times New Roman;serif" w:hAnsi="Times New Roman;serif"/>
          <w:b w:val="false"/>
          <w:sz w:val="22"/>
          <w:u w:val="single"/>
        </w:rPr>
        <w:t>Amendment</w:t>
      </w:r>
      <w:r>
        <w:rPr>
          <w:rFonts w:ascii="Times New Roman" w:hAnsi="Times New Roman"/>
          <w:sz w:val="20"/>
        </w:rPr>
        <w:t>”</w:t>
      </w:r>
      <w:r>
        <w:rPr>
          <w:rFonts w:ascii="Times New Roman;serif" w:hAnsi="Times New Roman;serif"/>
          <w:b w:val="false"/>
          <w:sz w:val="22"/>
        </w:rPr>
        <w:t>), is among CECO ENVIRONMENTAL CORP., a Delaware corporation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xml:space="preserve">), </w:t>
      </w:r>
      <w:r>
        <w:rPr>
          <w:rFonts w:ascii="Times New Roman;serif" w:hAnsi="Times New Roman;serif"/>
          <w:b w:val="false"/>
          <w:caps/>
          <w:sz w:val="22"/>
        </w:rPr>
        <w:t xml:space="preserve">BANK OF AMERICA, N.A., </w:t>
      </w:r>
      <w:r>
        <w:rPr>
          <w:rFonts w:ascii="Times New Roman;serif" w:hAnsi="Times New Roman;serif"/>
          <w:b w:val="false"/>
          <w:sz w:val="22"/>
        </w:rPr>
        <w:t>in its capacity as the administrative agent (in such capacity, the “</w:t>
      </w:r>
      <w:r>
        <w:rPr>
          <w:rFonts w:ascii="Times New Roman;serif" w:hAnsi="Times New Roman;serif"/>
          <w:b w:val="false"/>
          <w:sz w:val="22"/>
          <w:u w:val="single"/>
        </w:rPr>
        <w:t>Administrative Agent</w:t>
      </w:r>
      <w:r>
        <w:rPr>
          <w:rFonts w:ascii="Times New Roman" w:hAnsi="Times New Roman"/>
          <w:sz w:val="20"/>
        </w:rPr>
        <w:t>”</w:t>
      </w:r>
      <w:r>
        <w:rPr>
          <w:rFonts w:ascii="Times New Roman;serif" w:hAnsi="Times New Roman;serif"/>
          <w:b w:val="false"/>
          <w:sz w:val="22"/>
        </w:rPr>
        <w:t>), each of the Subsidiary Guarantors party hereto, each of the L/C Issuers and each of the Lenders (as defined below) party hereto.</w:t>
      </w:r>
    </w:p>
    <w:p>
      <w:pPr>
        <w:pStyle w:val="TextBody"/>
        <w:spacing w:before="0" w:after="0"/>
        <w:jc w:val="both"/>
        <w:rPr/>
      </w:pPr>
      <w:r>
        <w:rPr/>
        <w:t> </w:t>
      </w:r>
    </w:p>
    <w:p>
      <w:pPr>
        <w:pStyle w:val="TextBody"/>
        <w:spacing w:before="0" w:after="0"/>
        <w:jc w:val="center"/>
        <w:rPr>
          <w:rFonts w:ascii="Times New Roman;serif" w:hAnsi="Times New Roman;serif"/>
          <w:b/>
          <w:sz w:val="22"/>
          <w:u w:val="single"/>
        </w:rPr>
      </w:pPr>
      <w:r>
        <w:rPr>
          <w:rFonts w:ascii="Times New Roman;serif" w:hAnsi="Times New Roman;serif"/>
          <w:b/>
          <w:sz w:val="22"/>
          <w:u w:val="single"/>
        </w:rPr>
        <w:t>Recitals:</w:t>
      </w:r>
    </w:p>
    <w:p>
      <w:pPr>
        <w:pStyle w:val="TextBody"/>
        <w:spacing w:before="0" w:after="0"/>
        <w:jc w:val="both"/>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val="false"/>
          <w:sz w:val="22"/>
        </w:rPr>
        <w:t>The Company, the lenders party thereto (the “</w:t>
      </w:r>
      <w:r>
        <w:rPr>
          <w:rFonts w:ascii="Times New Roman;serif" w:hAnsi="Times New Roman;serif"/>
          <w:b w:val="false"/>
          <w:sz w:val="22"/>
          <w:u w:val="single"/>
        </w:rPr>
        <w:t>Lenders</w:t>
      </w:r>
      <w:r>
        <w:rPr/>
        <w:t>”</w:t>
      </w:r>
      <w:r>
        <w:rPr>
          <w:rFonts w:ascii="Times New Roman;serif" w:hAnsi="Times New Roman;serif"/>
          <w:b w:val="false"/>
          <w:sz w:val="22"/>
        </w:rPr>
        <w:t>) and the Administrative Agent have entered into a Second Amended and Restated Credit Agreement dated as of June 11, 2019 (as amended by Amendment No. 1 to Second Amended and Restated Credit Agreement dated as of October 30, 2020 and Amendment No. 2 to Second Amended and Restated Credit Agreement dated as of December 17, 2021 prior to the effectiveness of this Amendment, the “</w:t>
      </w:r>
      <w:r>
        <w:rPr>
          <w:rFonts w:ascii="Times New Roman;serif" w:hAnsi="Times New Roman;serif"/>
          <w:b w:val="false"/>
          <w:sz w:val="22"/>
          <w:u w:val="single"/>
        </w:rPr>
        <w:t>Existing Credit Agreement</w:t>
      </w:r>
      <w:r>
        <w:rPr/>
        <w:t>”</w:t>
      </w:r>
      <w:r>
        <w:rPr>
          <w:rFonts w:ascii="Times New Roman;serif" w:hAnsi="Times New Roman;serif"/>
          <w:b w:val="false"/>
          <w:sz w:val="22"/>
        </w:rPr>
        <w:t>). Capitalized terms used and not otherwise defined herein shall have the meanings ascribed to them in the Credit Agreement (as defined below).</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val="false"/>
          <w:sz w:val="22"/>
        </w:rPr>
        <w:t>The Subsidiary Guarantors and the Administrative Agent have entered into an Amended and Restated Subsidiary Guaranty Agreement dated as of June 11, 2019 (the “</w:t>
      </w:r>
      <w:r>
        <w:rPr>
          <w:rFonts w:ascii="Times New Roman;serif" w:hAnsi="Times New Roman;serif"/>
          <w:b w:val="false"/>
          <w:sz w:val="22"/>
          <w:u w:val="single"/>
        </w:rPr>
        <w:t>Subsidiary Guaranty</w:t>
      </w:r>
      <w:r>
        <w:rPr/>
        <w:t>”</w:t>
      </w:r>
      <w:r>
        <w:rPr>
          <w:rFonts w:ascii="Times New Roman;serif" w:hAnsi="Times New Roman;serif"/>
          <w:b w:val="false"/>
          <w:sz w:val="22"/>
        </w:rPr>
        <w:t>).</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 xml:space="preserve">The Company has advised the Administrative Agent, the L/C Issuers and the Lenders that it desires to amend the Existing Credit Agreement as set forth herein. </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Subject to the terms and conditions set forth below, the Administrative Agent, the L/C Issuers and the Lenders party hereto have agreed to so amend the Existing Credit Agreement.</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In furtherance of the foregoing, the parties agree as follows:</w:t>
      </w:r>
    </w:p>
    <w:p>
      <w:pPr>
        <w:pStyle w:val="TextBody"/>
        <w:spacing w:before="0" w:after="0"/>
        <w:jc w:val="both"/>
        <w:rPr>
          <w:rFonts w:ascii="Times New Roman" w:hAnsi="Times New Roman"/>
          <w:sz w:val="20"/>
        </w:rPr>
      </w:pPr>
      <w:r>
        <w:rPr>
          <w:rFonts w:ascii="Times New Roman;serif" w:hAnsi="Times New Roman;serif"/>
          <w:b/>
          <w:sz w:val="22"/>
        </w:rPr>
        <w:t xml:space="preserve">1. </w:t>
      </w:r>
      <w:r>
        <w:rPr>
          <w:rFonts w:ascii="Times New Roman;serif" w:hAnsi="Times New Roman;serif"/>
          <w:b/>
          <w:sz w:val="22"/>
          <w:u w:val="single"/>
        </w:rPr>
        <w:t>Amendments to Existing Credit Agreement</w:t>
      </w:r>
      <w:r>
        <w:rPr>
          <w:rFonts w:ascii="Times New Roman;serif" w:hAnsi="Times New Roman;serif"/>
          <w:b/>
          <w:sz w:val="22"/>
        </w:rPr>
        <w:t>.</w:t>
      </w:r>
      <w:r>
        <w:rPr>
          <w:rFonts w:ascii="Times New Roman" w:hAnsi="Times New Roman"/>
          <w:sz w:val="20"/>
        </w:rPr>
        <w:t xml:space="preserve"> </w:t>
      </w:r>
      <w:r>
        <w:rPr>
          <w:rFonts w:ascii="Times New Roman;serif" w:hAnsi="Times New Roman;serif"/>
          <w:b w:val="false"/>
          <w:sz w:val="22"/>
        </w:rPr>
        <w:t>Subject to the terms and conditions set forth herein and in reliance upon the representations and warranties set forth herein: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(a) The Existing Credit Agreement (other than the Exhibits and Schedules attached thereto) is hereby amended in its entirety to read in the form of </w:t>
      </w:r>
      <w:r>
        <w:rPr>
          <w:rFonts w:ascii="Times New Roman;serif" w:hAnsi="Times New Roman;serif"/>
          <w:b w:val="false"/>
          <w:sz w:val="22"/>
          <w:u w:val="single"/>
        </w:rPr>
        <w:t>Annex A</w:t>
      </w:r>
      <w:r>
        <w:rPr>
          <w:rFonts w:ascii="Times New Roman" w:hAnsi="Times New Roman"/>
          <w:sz w:val="20"/>
        </w:rPr>
        <w:t xml:space="preserve"> </w:t>
      </w:r>
      <w:r>
        <w:rPr>
          <w:rFonts w:ascii="Times New Roman;serif" w:hAnsi="Times New Roman;serif"/>
          <w:b w:val="false"/>
          <w:sz w:val="22"/>
        </w:rPr>
        <w:t>attached hereto (as so amended, the “</w:t>
      </w:r>
      <w:r>
        <w:rPr>
          <w:rFonts w:ascii="Times New Roman;serif" w:hAnsi="Times New Roman;serif"/>
          <w:b w:val="false"/>
          <w:sz w:val="22"/>
          <w:u w:val="single"/>
        </w:rPr>
        <w:t>Credit Agreement</w:t>
      </w:r>
      <w:r>
        <w:rPr>
          <w:rFonts w:ascii="Times New Roman" w:hAnsi="Times New Roman"/>
          <w:sz w:val="20"/>
        </w:rPr>
        <w:t>”</w:t>
      </w:r>
      <w:r>
        <w:rPr>
          <w:rFonts w:ascii="Times New Roman;serif" w:hAnsi="Times New Roman;serif"/>
          <w:b w:val="false"/>
          <w:sz w:val="22"/>
        </w:rPr>
        <w: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(b) </w:t>
      </w:r>
      <w:r>
        <w:rPr>
          <w:rFonts w:ascii="Times New Roman;serif" w:hAnsi="Times New Roman;serif"/>
          <w:b w:val="false"/>
          <w:sz w:val="22"/>
          <w:u w:val="single"/>
        </w:rPr>
        <w:t>Schedule 2.01LC</w:t>
      </w:r>
      <w:r>
        <w:rPr>
          <w:rFonts w:ascii="Times New Roman" w:hAnsi="Times New Roman"/>
          <w:sz w:val="20"/>
        </w:rPr>
        <w:t xml:space="preserve"> </w:t>
      </w:r>
      <w:r>
        <w:rPr>
          <w:rFonts w:ascii="Times New Roman;serif" w:hAnsi="Times New Roman;serif"/>
          <w:b w:val="false"/>
          <w:sz w:val="22"/>
        </w:rPr>
        <w:t xml:space="preserve">(L/C Commitments) to the Existing Credit Agreement is hereby amended in its entirety to read as set forth on </w:t>
      </w:r>
      <w:r>
        <w:rPr>
          <w:rFonts w:ascii="Times New Roman;serif" w:hAnsi="Times New Roman;serif"/>
          <w:b w:val="false"/>
          <w:sz w:val="22"/>
          <w:u w:val="single"/>
        </w:rPr>
        <w:t>Annex B</w:t>
      </w:r>
      <w:r>
        <w:rPr>
          <w:rFonts w:ascii="Times New Roman" w:hAnsi="Times New Roman"/>
          <w:sz w:val="20"/>
        </w:rPr>
        <w:t xml:space="preserve"> </w:t>
      </w:r>
      <w:r>
        <w:rPr>
          <w:rFonts w:ascii="Times New Roman;serif" w:hAnsi="Times New Roman;serif"/>
          <w:b w:val="false"/>
          <w:sz w:val="22"/>
        </w:rPr>
        <w:t>attached hereto.</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amendments to the Existing Credit Agreement and the above referenced Schedule to the Existing Credit Agreement are limited to the extent specifically set forth above and no other terms, covenants or provisions of the Loan Documents are intended to be effected hereby.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2"/>
        </w:rPr>
        <w:t xml:space="preserve">Section 2. </w:t>
      </w:r>
      <w:r>
        <w:rPr>
          <w:rFonts w:ascii="Times New Roman;serif" w:hAnsi="Times New Roman;serif"/>
          <w:b/>
          <w:sz w:val="22"/>
          <w:u w:val="single"/>
        </w:rPr>
        <w:t>Conditions Precedent</w:t>
      </w:r>
      <w:r>
        <w:rPr>
          <w:rFonts w:ascii="Times New Roman;serif" w:hAnsi="Times New Roman;serif"/>
          <w:b/>
          <w:sz w:val="22"/>
        </w:rPr>
        <w:t xml:space="preserve">. </w:t>
      </w:r>
      <w:r>
        <w:rPr>
          <w:rFonts w:ascii="Times New Roman;serif" w:hAnsi="Times New Roman;serif"/>
          <w:b w:val="false"/>
          <w:sz w:val="22"/>
        </w:rPr>
        <w:t>The effectiveness of this Amendment and the amendments contemplated hereby is subject to the satisfaction of the following conditions precedent:</w:t>
      </w:r>
    </w:p>
    <w:p>
      <w:pPr>
        <w:pStyle w:val="TextBody"/>
        <w:spacing w:before="0" w:after="0"/>
        <w:jc w:val="both"/>
        <w:rPr/>
      </w:pPr>
      <w:r>
        <w:rPr/>
        <w:t> </w:t>
      </w:r>
    </w:p>
    <w:p>
      <w:pPr>
        <w:pStyle w:val="TextBody"/>
        <w:spacing w:before="0" w:after="240"/>
        <w:jc w:val="both"/>
        <w:rPr>
          <w:rFonts w:ascii="Times New Roman" w:hAnsi="Times New Roman"/>
          <w:sz w:val="20"/>
        </w:rPr>
      </w:pPr>
      <w:r>
        <w:rPr>
          <w:rFonts w:ascii="Times New Roman;serif" w:hAnsi="Times New Roman;serif"/>
          <w:b w:val="false"/>
          <w:sz w:val="22"/>
        </w:rPr>
        <w:t xml:space="preserve">(a) </w:t>
      </w:r>
      <w:r>
        <w:rPr>
          <w:rFonts w:ascii="Times New Roman;serif" w:hAnsi="Times New Roman;serif"/>
          <w:b w:val="false"/>
          <w:sz w:val="22"/>
          <w:u w:val="single"/>
        </w:rPr>
        <w:t>Documentation</w:t>
      </w:r>
      <w:r>
        <w:rPr>
          <w:rFonts w:ascii="Times New Roman;serif" w:hAnsi="Times New Roman;serif"/>
          <w:b w:val="false"/>
          <w:sz w:val="22"/>
        </w:rPr>
        <w:t>. The Administrative Agent shall have received the following:</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1</w:t>
      </w:r>
    </w:p>
    <w:p>
      <w:pPr>
        <w:pStyle w:val="TextBody"/>
        <w:spacing w:before="0" w:after="0"/>
        <w:jc w:val="left"/>
        <w:rPr/>
      </w:pPr>
      <w:r>
        <w:rPr/>
        <w:t> </w:t>
      </w:r>
    </w:p>
    <w:p>
      <w:pPr>
        <w:pStyle w:val="HorizontalLine"/>
        <w:rPr/>
      </w:pPr>
      <w:r>
        <w:rPr/>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counterparts of this Amendment, duly executed and delivered by the Company, the Subsidiary Guarantors, the Administrative Agent, the L/C Issuers and the Lenders constituting Required Lenders;</w:t>
      </w:r>
    </w:p>
    <w:p>
      <w:pPr>
        <w:pStyle w:val="TextBody"/>
        <w:spacing w:before="0" w:after="240"/>
        <w:jc w:val="both"/>
        <w:rPr>
          <w:rFonts w:ascii="Times New Roman" w:hAnsi="Times New Roman"/>
          <w:b w:val="false"/>
          <w:sz w:val="22"/>
        </w:rPr>
      </w:pPr>
      <w:r>
        <w:rPr>
          <w:rFonts w:ascii="Times New Roman" w:hAnsi="Times New Roman"/>
          <w:b w:val="false"/>
          <w:sz w:val="22"/>
        </w:rPr>
        <w:t>(ii)</w:t>
      </w:r>
    </w:p>
    <w:p>
      <w:pPr>
        <w:pStyle w:val="TextBody"/>
        <w:spacing w:before="0" w:after="240"/>
        <w:jc w:val="both"/>
        <w:rPr/>
      </w:pPr>
      <w:r>
        <w:rPr>
          <w:rFonts w:ascii="Times New Roman;serif" w:hAnsi="Times New Roman;serif"/>
          <w:b w:val="false"/>
          <w:sz w:val="22"/>
        </w:rPr>
        <w:t xml:space="preserve">counterparts of the letter agreement referenced in </w:t>
      </w:r>
      <w:r>
        <w:rPr>
          <w:rFonts w:ascii="Times New Roman;serif" w:hAnsi="Times New Roman;serif"/>
          <w:b w:val="false"/>
          <w:sz w:val="22"/>
          <w:u w:val="single"/>
        </w:rPr>
        <w:t>clause (c)</w:t>
      </w:r>
      <w:r>
        <w:rPr/>
        <w:t xml:space="preserve"> </w:t>
      </w:r>
      <w:r>
        <w:rPr>
          <w:rFonts w:ascii="Times New Roman;serif" w:hAnsi="Times New Roman;serif"/>
          <w:b w:val="false"/>
          <w:sz w:val="22"/>
        </w:rPr>
        <w:t>of the definition of “Fee Letters”, duly executed by the Company and Bank of America; and</w:t>
      </w:r>
    </w:p>
    <w:p>
      <w:pPr>
        <w:pStyle w:val="TextBody"/>
        <w:spacing w:before="0" w:after="240"/>
        <w:jc w:val="both"/>
        <w:rPr>
          <w:rFonts w:ascii="Times New Roman" w:hAnsi="Times New Roman"/>
          <w:b w:val="false"/>
          <w:sz w:val="22"/>
        </w:rPr>
      </w:pPr>
      <w:r>
        <w:rPr>
          <w:rFonts w:ascii="Times New Roman" w:hAnsi="Times New Roman"/>
          <w:b w:val="false"/>
          <w:sz w:val="22"/>
        </w:rPr>
        <w:t>(iii)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supplemental incumbency certificates of Responsible Officers of each Loan Party as the Administrative Agent may require.</w:t>
      </w:r>
    </w:p>
    <w:p>
      <w:pPr>
        <w:pStyle w:val="TextBody"/>
        <w:spacing w:before="0" w:after="240"/>
        <w:jc w:val="both"/>
        <w:rPr>
          <w:rFonts w:ascii="Times New Roman" w:hAnsi="Times New Roman"/>
          <w:sz w:val="20"/>
        </w:rPr>
      </w:pPr>
      <w:r>
        <w:rPr>
          <w:rFonts w:ascii="Times New Roman;serif" w:hAnsi="Times New Roman;serif"/>
          <w:b w:val="false"/>
          <w:sz w:val="22"/>
        </w:rPr>
        <w:t xml:space="preserve">(b) </w:t>
      </w:r>
      <w:r>
        <w:rPr>
          <w:rFonts w:ascii="Times New Roman;serif" w:hAnsi="Times New Roman;serif"/>
          <w:b w:val="false"/>
          <w:sz w:val="22"/>
          <w:u w:val="single"/>
        </w:rPr>
        <w:t>Fees and Expenses</w:t>
      </w:r>
      <w:r>
        <w:rPr>
          <w:rFonts w:ascii="Times New Roman;serif" w:hAnsi="Times New Roman;serif"/>
          <w:b w:val="false"/>
          <w:sz w:val="22"/>
        </w:rPr>
        <w:t>. The Company shall have paid all reasonable and documented out-of-pocket fees, charges and disbursements of counsel to the Administrative Agent (directly to such counsel if requested by the Administrative Agent) to the extent invoiced at least two days prior to the date hereof.</w:t>
      </w:r>
    </w:p>
    <w:p>
      <w:pPr>
        <w:pStyle w:val="TextBody"/>
        <w:spacing w:before="0" w:after="0"/>
        <w:jc w:val="both"/>
        <w:rPr>
          <w:rFonts w:ascii="Times New Roman" w:hAnsi="Times New Roman"/>
          <w:sz w:val="20"/>
        </w:rPr>
      </w:pPr>
      <w:r>
        <w:rPr>
          <w:rFonts w:ascii="Times New Roman;serif" w:hAnsi="Times New Roman;serif"/>
          <w:b w:val="false"/>
          <w:sz w:val="22"/>
        </w:rPr>
        <w:t xml:space="preserve">Upon satisfaction of the conditions set forth in this </w:t>
      </w:r>
      <w:r>
        <w:rPr>
          <w:rFonts w:ascii="Times New Roman;serif" w:hAnsi="Times New Roman;serif"/>
          <w:b w:val="false"/>
          <w:sz w:val="22"/>
          <w:u w:val="single"/>
        </w:rPr>
        <w:t>Section 2</w:t>
      </w:r>
      <w:r>
        <w:rPr>
          <w:rFonts w:ascii="Times New Roman" w:hAnsi="Times New Roman"/>
          <w:sz w:val="20"/>
        </w:rPr>
        <w:t xml:space="preserve"> </w:t>
      </w:r>
      <w:r>
        <w:rPr>
          <w:rFonts w:ascii="Times New Roman;serif" w:hAnsi="Times New Roman;serif"/>
          <w:b w:val="false"/>
          <w:sz w:val="22"/>
        </w:rPr>
        <w:t>and the effectiveness of this Amendment, the Administrative Agent shall provide notice of such effectiveness to the Company and the Lenders.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2"/>
        </w:rPr>
        <w:t xml:space="preserve">Section 3. </w:t>
      </w:r>
      <w:r>
        <w:rPr>
          <w:rFonts w:ascii="Times New Roman;serif" w:hAnsi="Times New Roman;serif"/>
          <w:b/>
          <w:sz w:val="22"/>
          <w:u w:val="single"/>
        </w:rPr>
        <w:t>Representations and Warranties</w:t>
      </w:r>
      <w:r>
        <w:rPr>
          <w:rFonts w:ascii="Times New Roman;serif" w:hAnsi="Times New Roman;serif"/>
          <w:b/>
          <w:sz w:val="22"/>
        </w:rPr>
        <w: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(a) In order to induce the Administrative Agent, the L/C Issuers and the Lenders party hereto to enter into this Amendment, the Company represents and warrants to the Administrative Agent, the L/C Issuers and the Lenders as follows: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(i) After giving effect to this Amendment, the representations and warranties of the Company and each other Loan Party contained in </w:t>
      </w:r>
      <w:r>
        <w:rPr>
          <w:rFonts w:ascii="Times New Roman;serif" w:hAnsi="Times New Roman;serif"/>
          <w:b w:val="false"/>
          <w:sz w:val="22"/>
          <w:u w:val="single"/>
        </w:rPr>
        <w:t>Article V</w:t>
      </w:r>
      <w:r>
        <w:rPr>
          <w:rFonts w:ascii="Times New Roman" w:hAnsi="Times New Roman"/>
          <w:sz w:val="20"/>
        </w:rPr>
        <w:t xml:space="preserve"> </w:t>
      </w:r>
      <w:r>
        <w:rPr>
          <w:rFonts w:ascii="Times New Roman;serif" w:hAnsi="Times New Roman;serif"/>
          <w:b w:val="false"/>
          <w:sz w:val="22"/>
        </w:rPr>
        <w:t xml:space="preserve">of the Credit Agreement and in each other Loan Document are true and correct in all material respects on and as of the date hereof, except to the extent that such representations and warranties specifically refer to an earlier date, in which case they are true and correct in all material respects as of such earlier date, and except that for purposes of this Amendment, the representations and warranties contained in </w:t>
      </w:r>
      <w:r>
        <w:rPr>
          <w:rFonts w:ascii="Times New Roman;serif" w:hAnsi="Times New Roman;serif"/>
          <w:b w:val="false"/>
          <w:sz w:val="22"/>
          <w:u w:val="single"/>
        </w:rPr>
        <w:t>Sections 5.05(a)</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(b)</w:t>
      </w:r>
      <w:r>
        <w:rPr>
          <w:rFonts w:ascii="Times New Roman" w:hAnsi="Times New Roman"/>
          <w:sz w:val="20"/>
        </w:rPr>
        <w:t xml:space="preserve"> </w:t>
      </w:r>
      <w:r>
        <w:rPr>
          <w:rFonts w:ascii="Times New Roman;serif" w:hAnsi="Times New Roman;serif"/>
          <w:b w:val="false"/>
          <w:sz w:val="22"/>
        </w:rPr>
        <w:t xml:space="preserve">of the Credit Agreement shall be deemed to refer to the most recent statements furnished pursuant to </w:t>
      </w:r>
      <w:r>
        <w:rPr>
          <w:rFonts w:ascii="Times New Roman;serif" w:hAnsi="Times New Roman;serif"/>
          <w:b w:val="false"/>
          <w:sz w:val="22"/>
          <w:u w:val="single"/>
        </w:rPr>
        <w:t>Sections 6.01(a)</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(b)</w:t>
      </w:r>
      <w:r>
        <w:rPr>
          <w:rFonts w:ascii="Times New Roman;serif" w:hAnsi="Times New Roman;serif"/>
          <w:b w:val="false"/>
          <w:sz w:val="22"/>
        </w:rPr>
        <w:t>, respectively, of the Credit Agreement.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(ii) Since December 31, 2022, there has been no event or circumstance, either individually or in the aggregate, that has had or could reasonably be expected to have a Material Adverse Effect.</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(iii) No Default or Event of Default has occurred and is continuing or will exist immediately after giving effect to this Amendment.</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(b) In order to induce the Administrative Agent, the L/C Issuers and the Lenders party hereto to enter into this Amendment, each of the Company and each Subsidiary Guarantor represents and warrants to the Administrative Agent, the L/C Issuers and the Lenders that this Amendment has been duly authorized, executed and delivered by it and constitutes its legal, valid and binding obligation,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2"/>
        </w:rPr>
        <w:t xml:space="preserve">Section 4. </w:t>
      </w:r>
      <w:r>
        <w:rPr>
          <w:rFonts w:ascii="Times New Roman;serif" w:hAnsi="Times New Roman;serif"/>
          <w:b/>
          <w:sz w:val="22"/>
          <w:u w:val="single"/>
        </w:rPr>
        <w:t>Miscellaneous</w:t>
      </w:r>
      <w:r>
        <w:rPr>
          <w:rFonts w:ascii="Times New Roman;serif" w:hAnsi="Times New Roman;serif"/>
          <w:b/>
          <w:sz w:val="22"/>
        </w:rPr>
        <w:t>.</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2</w:t>
      </w:r>
    </w:p>
    <w:p>
      <w:pPr>
        <w:pStyle w:val="TextBody"/>
        <w:spacing w:before="0" w:after="0"/>
        <w:jc w:val="left"/>
        <w:rPr/>
      </w:pPr>
      <w:r>
        <w:rPr/>
        <w:t> </w:t>
      </w:r>
    </w:p>
    <w:p>
      <w:pPr>
        <w:pStyle w:val="HorizontalLine"/>
        <w:rPr/>
      </w:pPr>
      <w:r>
        <w:rPr/>
      </w:r>
    </w:p>
    <w:p>
      <w:pPr>
        <w:pStyle w:val="TextBody"/>
        <w:spacing w:before="0" w:after="0"/>
        <w:jc w:val="both"/>
        <w:rPr>
          <w:rFonts w:ascii="Times New Roman" w:hAnsi="Times New Roman"/>
          <w:sz w:val="20"/>
        </w:rPr>
      </w:pPr>
      <w:r>
        <w:rPr>
          <w:rFonts w:ascii="Times New Roman;serif" w:hAnsi="Times New Roman;serif"/>
          <w:b w:val="false"/>
          <w:sz w:val="22"/>
        </w:rPr>
        <w:t xml:space="preserve">(a) </w:t>
      </w:r>
      <w:r>
        <w:rPr>
          <w:rFonts w:ascii="Times New Roman;serif" w:hAnsi="Times New Roman;serif"/>
          <w:b w:val="false"/>
          <w:sz w:val="22"/>
          <w:u w:val="single"/>
        </w:rPr>
        <w:t>Ratification and Confirmation of Loan Documents</w:t>
      </w:r>
      <w:r>
        <w:rPr>
          <w:rFonts w:ascii="Times New Roman;serif" w:hAnsi="Times New Roman;serif"/>
          <w:b w:val="false"/>
          <w:sz w:val="22"/>
        </w:rPr>
        <w:t>. Each of the Company and each Subsidiary Guarantor hereby consents, acknowledges and agrees to the amendments set forth herein and hereby confirms and ratifies in all respects the Loan Documents to which such Person is a party (including without limitation, with respect to each Subsidiary Guarantor, the continuation of its payment and performance obligations under the Subsidiary Guaranty and, with respect to both the Company and each Subsidiary Guarantor, the continuation and extension of the liens granted under the Collateral Documents to secure the Secured Obligations), in each case after giving effect to the amendments contemplated hereby.</w:t>
      </w:r>
      <w:r>
        <w:rPr>
          <w:rFonts w:ascii="Times New Roman" w:hAnsi="Times New Roman"/>
          <w:caps/>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(b) </w:t>
      </w:r>
      <w:r>
        <w:rPr>
          <w:rFonts w:ascii="Times New Roman;serif" w:hAnsi="Times New Roman;serif"/>
          <w:b w:val="false"/>
          <w:sz w:val="22"/>
          <w:u w:val="single"/>
        </w:rPr>
        <w:t>Fees and Expenses</w:t>
      </w:r>
      <w:r>
        <w:rPr>
          <w:rFonts w:ascii="Times New Roman;serif" w:hAnsi="Times New Roman;serif"/>
          <w:b w:val="false"/>
          <w:sz w:val="22"/>
        </w:rPr>
        <w:t xml:space="preserve">. The Company shall pay on demand all reasonable costs and expenses of the Administrative Agent in connection with the preparation, negotiation, execution, and delivery of this Amendment and any other documents prepared in connection herewith, including, without limitation, the reasonable and documented fees and out-of-pocket expenses of counsel for the Administrative Agent, in each case, as set forth in </w:t>
      </w:r>
      <w:r>
        <w:rPr>
          <w:rFonts w:ascii="Times New Roman;serif" w:hAnsi="Times New Roman;serif"/>
          <w:b w:val="false"/>
          <w:sz w:val="22"/>
          <w:u w:val="single"/>
        </w:rPr>
        <w:t>Section 10.04(a)</w:t>
      </w:r>
      <w:r>
        <w:rPr>
          <w:rFonts w:ascii="Times New Roman" w:hAnsi="Times New Roman"/>
          <w:sz w:val="20"/>
        </w:rPr>
        <w:t xml:space="preserve"> </w:t>
      </w:r>
      <w:r>
        <w:rPr>
          <w:rFonts w:ascii="Times New Roman;serif" w:hAnsi="Times New Roman;serif"/>
          <w:b w:val="false"/>
          <w:sz w:val="22"/>
        </w:rPr>
        <w:t>of the Credit Agreement.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(c) </w:t>
      </w:r>
      <w:r>
        <w:rPr>
          <w:rFonts w:ascii="Times New Roman;serif" w:hAnsi="Times New Roman;serif"/>
          <w:b w:val="false"/>
          <w:sz w:val="22"/>
          <w:u w:val="single"/>
        </w:rPr>
        <w:t>Headings</w:t>
      </w:r>
      <w:r>
        <w:rPr>
          <w:rFonts w:ascii="Times New Roman;serif" w:hAnsi="Times New Roman;serif"/>
          <w:b w:val="false"/>
          <w:sz w:val="22"/>
        </w:rPr>
        <w:t>. Section and subsection headings in this Amendment are included herein for convenience of reference only and shall not constitute a part of this Amendment for any other purpose or be given any substantive effect.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(d) </w:t>
      </w:r>
      <w:r>
        <w:rPr>
          <w:rFonts w:ascii="Times New Roman;serif" w:hAnsi="Times New Roman;serif"/>
          <w:b w:val="false"/>
          <w:sz w:val="22"/>
          <w:u w:val="single"/>
        </w:rPr>
        <w:t>Governing Law; Jurisdiction; Waiver of Jury Trial; Etc</w:t>
      </w:r>
      <w:r>
        <w:rPr>
          <w:rFonts w:ascii="Times New Roman;serif" w:hAnsi="Times New Roman;serif"/>
          <w:b w:val="false"/>
          <w:sz w:val="22"/>
        </w:rPr>
        <w:t xml:space="preserve">. This Amendment shall be governed by and construed in accordance with the laws of the State of New York, and shall be further subject to the provisions of </w:t>
      </w:r>
      <w:r>
        <w:rPr>
          <w:rFonts w:ascii="Times New Roman;serif" w:hAnsi="Times New Roman;serif"/>
          <w:b w:val="false"/>
          <w:sz w:val="22"/>
          <w:u w:val="single"/>
        </w:rPr>
        <w:t>Sections 10.14</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10.15</w:t>
      </w:r>
      <w:r>
        <w:rPr>
          <w:rFonts w:ascii="Times New Roman" w:hAnsi="Times New Roman"/>
          <w:sz w:val="20"/>
        </w:rPr>
        <w:t xml:space="preserve"> </w:t>
      </w:r>
      <w:r>
        <w:rPr>
          <w:rFonts w:ascii="Times New Roman;serif" w:hAnsi="Times New Roman;serif"/>
          <w:b w:val="false"/>
          <w:sz w:val="22"/>
        </w:rPr>
        <w:t>of the Credit Agreement.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(e) </w:t>
      </w:r>
      <w:r>
        <w:rPr>
          <w:rFonts w:ascii="Times New Roman;serif" w:hAnsi="Times New Roman;serif"/>
          <w:b w:val="false"/>
          <w:sz w:val="22"/>
          <w:u w:val="single"/>
        </w:rPr>
        <w:t>Counterparts</w:t>
      </w:r>
      <w:r>
        <w:rPr>
          <w:rFonts w:ascii="Times New Roman;serif" w:hAnsi="Times New Roman;serif"/>
          <w:b w:val="false"/>
          <w:sz w:val="22"/>
        </w:rPr>
        <w:t>. 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Amendment. For the avoidance of doubt, the authorization under this paragraph may include, without limitation, use or acceptance by the Administrative Agent of a manually signed Amendment which has been converted into electronic form (such as scanned into “.pdf” format), or an electronically signed Amendment converted into another format, for transmission, delivery and/or retention.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(f) </w:t>
      </w:r>
      <w:r>
        <w:rPr>
          <w:rFonts w:ascii="Times New Roman;serif" w:hAnsi="Times New Roman;serif"/>
          <w:b w:val="false"/>
          <w:sz w:val="22"/>
          <w:u w:val="single"/>
        </w:rPr>
        <w:t>Entire Agreement</w:t>
      </w:r>
      <w:r>
        <w:rPr>
          <w:rFonts w:ascii="Times New Roman;serif" w:hAnsi="Times New Roman;serif"/>
          <w:b w:val="false"/>
          <w:sz w:val="22"/>
        </w:rPr>
        <w:t>. This Amendment, together with the Fee Letters and the other Loan Documents (collectively, the “</w:t>
      </w:r>
      <w:r>
        <w:rPr>
          <w:rFonts w:ascii="Times New Roman;serif" w:hAnsi="Times New Roman;serif"/>
          <w:b w:val="false"/>
          <w:sz w:val="22"/>
          <w:u w:val="single"/>
        </w:rPr>
        <w:t>Relevant Documents</w:t>
      </w:r>
      <w:r>
        <w:rPr>
          <w:rFonts w:ascii="Times New Roman" w:hAnsi="Times New Roman"/>
          <w:sz w:val="20"/>
        </w:rPr>
        <w:t>”</w:t>
      </w:r>
      <w:r>
        <w:rPr>
          <w:rFonts w:ascii="Times New Roman;serif" w:hAnsi="Times New Roman;serif"/>
          <w:b w:val="false"/>
          <w:sz w:val="22"/>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Times New Roman;serif" w:hAnsi="Times New Roman;serif"/>
          <w:b w:val="false"/>
          <w:sz w:val="22"/>
          <w:u w:val="single"/>
        </w:rPr>
        <w:t>Section 10.01</w:t>
      </w:r>
      <w:r>
        <w:rPr>
          <w:rFonts w:ascii="Times New Roman" w:hAnsi="Times New Roman"/>
          <w:sz w:val="20"/>
        </w:rPr>
        <w:t xml:space="preserve"> </w:t>
      </w:r>
      <w:r>
        <w:rPr>
          <w:rFonts w:ascii="Times New Roman;serif" w:hAnsi="Times New Roman;serif"/>
          <w:b w:val="false"/>
          <w:sz w:val="22"/>
        </w:rPr>
        <w:t>of the Credit Agreement.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(g) </w:t>
      </w:r>
      <w:r>
        <w:rPr>
          <w:rFonts w:ascii="Times New Roman;serif" w:hAnsi="Times New Roman;serif"/>
          <w:b w:val="false"/>
          <w:sz w:val="22"/>
          <w:u w:val="single"/>
        </w:rPr>
        <w:t>Enforceability</w:t>
      </w:r>
      <w:r>
        <w:rPr>
          <w:rFonts w:ascii="Times New Roman;serif" w:hAnsi="Times New Roman;serif"/>
          <w:b w:val="false"/>
          <w:sz w:val="22"/>
        </w:rPr>
        <w:t>. Should any one or more of the provisions of this Amendment be determined to be illegal or unenforceable as to one or more of the parties hereto, all other provisions nevertheless shall remain effective and binding on the parties hereto.</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3</w:t>
      </w:r>
    </w:p>
    <w:p>
      <w:pPr>
        <w:pStyle w:val="TextBody"/>
        <w:spacing w:before="0" w:after="0"/>
        <w:jc w:val="left"/>
        <w:rPr/>
      </w:pPr>
      <w:r>
        <w:rPr/>
        <w:t> </w:t>
      </w:r>
    </w:p>
    <w:p>
      <w:pPr>
        <w:pStyle w:val="HorizontalLine"/>
        <w:rPr/>
      </w:pPr>
      <w:r>
        <w:rPr/>
      </w:r>
    </w:p>
    <w:p>
      <w:pPr>
        <w:pStyle w:val="TextBody"/>
        <w:spacing w:before="0" w:after="0"/>
        <w:jc w:val="both"/>
        <w:rPr>
          <w:rFonts w:ascii="Times New Roman" w:hAnsi="Times New Roman"/>
          <w:sz w:val="20"/>
        </w:rPr>
      </w:pPr>
      <w:r>
        <w:rPr>
          <w:rFonts w:ascii="Times New Roman;serif" w:hAnsi="Times New Roman;serif"/>
          <w:b w:val="false"/>
          <w:sz w:val="22"/>
        </w:rPr>
        <w:t xml:space="preserve">(h) </w:t>
      </w:r>
      <w:r>
        <w:rPr>
          <w:rFonts w:ascii="Times New Roman;serif" w:hAnsi="Times New Roman;serif"/>
          <w:b w:val="false"/>
          <w:sz w:val="22"/>
          <w:u w:val="single"/>
        </w:rPr>
        <w:t>Successors and Assigns</w:t>
      </w:r>
      <w:r>
        <w:rPr>
          <w:rFonts w:ascii="Times New Roman;serif" w:hAnsi="Times New Roman;serif"/>
          <w:b w:val="false"/>
          <w:sz w:val="22"/>
        </w:rPr>
        <w:t xml:space="preserve">. This Amendment shall be binding upon and inure to the benefit of the parties hereto and their respective successors and assigns (subject to </w:t>
      </w:r>
      <w:r>
        <w:rPr>
          <w:rFonts w:ascii="Times New Roman;serif" w:hAnsi="Times New Roman;serif"/>
          <w:b w:val="false"/>
          <w:sz w:val="22"/>
          <w:u w:val="single"/>
        </w:rPr>
        <w:t>Section 10.06</w:t>
      </w:r>
      <w:r>
        <w:rPr>
          <w:rFonts w:ascii="Times New Roman" w:hAnsi="Times New Roman"/>
          <w:sz w:val="20"/>
        </w:rPr>
        <w:t xml:space="preserve"> </w:t>
      </w:r>
      <w:r>
        <w:rPr>
          <w:rFonts w:ascii="Times New Roman;serif" w:hAnsi="Times New Roman;serif"/>
          <w:b w:val="false"/>
          <w:sz w:val="22"/>
        </w:rPr>
        <w:t>of the Credit Agreement).</w:t>
      </w:r>
    </w:p>
    <w:p>
      <w:pPr>
        <w:pStyle w:val="TextBody"/>
        <w:spacing w:before="0" w:after="0"/>
        <w:jc w:val="both"/>
        <w:rPr/>
      </w:pPr>
      <w:r>
        <w:rPr/>
        <w:t> </w:t>
      </w:r>
    </w:p>
    <w:p>
      <w:pPr>
        <w:pStyle w:val="TextBody"/>
        <w:spacing w:before="0" w:after="0"/>
        <w:jc w:val="center"/>
        <w:rPr>
          <w:rFonts w:ascii="Times New Roman;serif" w:hAnsi="Times New Roman;serif"/>
          <w:b w:val="false"/>
          <w:i/>
          <w:sz w:val="22"/>
        </w:rPr>
      </w:pPr>
      <w:r>
        <w:rPr>
          <w:rFonts w:ascii="Times New Roman;serif" w:hAnsi="Times New Roman;serif"/>
          <w:b w:val="false"/>
          <w:i/>
          <w:sz w:val="22"/>
        </w:rPr>
        <w:t>[Remainder of Page Intentionally Left Blank; Signature Pages Follow]</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4</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following parties have caused this Amendment to be executed as of the date first written above.</w:t>
      </w:r>
    </w:p>
    <w:p>
      <w:pPr>
        <w:pStyle w:val="TextBody"/>
        <w:spacing w:before="0" w:after="0"/>
        <w:jc w:val="both"/>
        <w:rPr/>
      </w:pPr>
      <w:r>
        <w:rPr/>
        <w:t> </w:t>
      </w:r>
    </w:p>
    <w:p>
      <w:pPr>
        <w:pStyle w:val="TextBody"/>
        <w:spacing w:before="0" w:after="0"/>
        <w:jc w:val="both"/>
        <w:rPr>
          <w:rFonts w:ascii="Times New Roman;serif" w:hAnsi="Times New Roman;serif"/>
          <w:b/>
          <w:sz w:val="22"/>
          <w:u w:val="single"/>
        </w:rPr>
      </w:pPr>
      <w:r>
        <w:rPr>
          <w:rFonts w:ascii="Times New Roman;serif" w:hAnsi="Times New Roman;serif"/>
          <w:b/>
          <w:sz w:val="22"/>
          <w:u w:val="single"/>
        </w:rPr>
        <w:t>COMPANY:</w:t>
      </w:r>
    </w:p>
    <w:p>
      <w:pPr>
        <w:pStyle w:val="TextBody"/>
        <w:spacing w:before="0" w:after="0"/>
        <w:jc w:val="both"/>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CECO ENVIRONMENTAL CORP.</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Joycelynn Watkins-Asiyanbi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Name: Joycelynn Watkins-Asiyanbi</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Title: Senior Vice President, Chief Administrative and Legal Officer and Secretary</w:t>
      </w:r>
    </w:p>
    <w:p>
      <w:pPr>
        <w:pStyle w:val="TextBody"/>
        <w:spacing w:before="0" w:after="0"/>
        <w:jc w:val="both"/>
        <w:rPr/>
      </w:pPr>
      <w:r>
        <w:rPr/>
        <w:t> </w:t>
      </w:r>
    </w:p>
    <w:p>
      <w:pPr>
        <w:pStyle w:val="TextBody"/>
        <w:spacing w:before="0" w:after="0"/>
        <w:jc w:val="both"/>
        <w:rPr>
          <w:rFonts w:ascii="Times New Roman;serif" w:hAnsi="Times New Roman;serif"/>
          <w:b/>
          <w:sz w:val="22"/>
          <w:u w:val="single"/>
        </w:rPr>
      </w:pPr>
      <w:r>
        <w:rPr>
          <w:rFonts w:ascii="Times New Roman;serif" w:hAnsi="Times New Roman;serif"/>
          <w:b/>
          <w:sz w:val="22"/>
          <w:u w:val="single"/>
        </w:rPr>
        <w:t>SUBSIDIARY GUARANTORS:</w:t>
      </w:r>
    </w:p>
    <w:p>
      <w:pPr>
        <w:pStyle w:val="TextBody"/>
        <w:spacing w:before="0" w:after="0"/>
        <w:jc w:val="both"/>
        <w:rPr/>
      </w:pPr>
      <w:r>
        <w:rPr/>
        <w:t> </w:t>
      </w:r>
    </w:p>
    <w:p>
      <w:pPr>
        <w:pStyle w:val="TextBody"/>
        <w:spacing w:before="0" w:after="0"/>
        <w:jc w:val="both"/>
        <w:rPr>
          <w:rFonts w:ascii="Times New Roman;serif" w:hAnsi="Times New Roman;serif"/>
          <w:b/>
          <w:caps/>
          <w:sz w:val="22"/>
        </w:rPr>
      </w:pPr>
      <w:r>
        <w:rPr>
          <w:rFonts w:ascii="Times New Roman;serif" w:hAnsi="Times New Roman;serif"/>
          <w:b/>
          <w:caps/>
          <w:sz w:val="22"/>
        </w:rPr>
        <w:t>Aarding Thermal Acoustics USA Inc.</w:t>
      </w:r>
    </w:p>
    <w:p>
      <w:pPr>
        <w:pStyle w:val="TextBody"/>
        <w:spacing w:before="0" w:after="0"/>
        <w:jc w:val="left"/>
        <w:rPr>
          <w:rFonts w:ascii="Times New Roman;serif" w:hAnsi="Times New Roman;serif"/>
          <w:b/>
          <w:sz w:val="22"/>
        </w:rPr>
      </w:pPr>
      <w:r>
        <w:rPr>
          <w:rFonts w:ascii="Times New Roman;serif" w:hAnsi="Times New Roman;serif"/>
          <w:b/>
          <w:sz w:val="22"/>
        </w:rPr>
        <w:t>CECO ENVIRONMENTAL IP INC.</w:t>
      </w:r>
    </w:p>
    <w:p>
      <w:pPr>
        <w:pStyle w:val="TextBody"/>
        <w:spacing w:before="0" w:after="0"/>
        <w:jc w:val="both"/>
        <w:rPr>
          <w:rFonts w:ascii="Times New Roman;serif" w:hAnsi="Times New Roman;serif"/>
          <w:b/>
          <w:caps/>
          <w:sz w:val="22"/>
        </w:rPr>
      </w:pPr>
      <w:r>
        <w:rPr>
          <w:rFonts w:ascii="Times New Roman;serif" w:hAnsi="Times New Roman;serif"/>
          <w:b/>
          <w:caps/>
          <w:sz w:val="22"/>
        </w:rPr>
        <w:t>CECO Group, Inc.</w:t>
      </w:r>
    </w:p>
    <w:p>
      <w:pPr>
        <w:pStyle w:val="TextBody"/>
        <w:spacing w:before="0" w:after="0"/>
        <w:jc w:val="both"/>
        <w:rPr>
          <w:rFonts w:ascii="Times New Roman;serif" w:hAnsi="Times New Roman;serif"/>
          <w:b/>
          <w:caps/>
          <w:sz w:val="22"/>
        </w:rPr>
      </w:pPr>
      <w:r>
        <w:rPr>
          <w:rFonts w:ascii="Times New Roman;serif" w:hAnsi="Times New Roman;serif"/>
          <w:b/>
          <w:caps/>
          <w:sz w:val="22"/>
        </w:rPr>
        <w:t>CECO INDUSTRIAL SOLUTIONS, INC.</w:t>
      </w:r>
    </w:p>
    <w:p>
      <w:pPr>
        <w:pStyle w:val="TextBody"/>
        <w:spacing w:before="0" w:after="0"/>
        <w:jc w:val="both"/>
        <w:rPr>
          <w:rFonts w:ascii="Times New Roman;serif" w:hAnsi="Times New Roman;serif"/>
          <w:b/>
          <w:caps/>
          <w:sz w:val="22"/>
        </w:rPr>
      </w:pPr>
      <w:r>
        <w:rPr>
          <w:rFonts w:ascii="Times New Roman;serif" w:hAnsi="Times New Roman;serif"/>
          <w:b/>
          <w:caps/>
          <w:sz w:val="22"/>
        </w:rPr>
        <w:t>CECO Mexico Holdings LLC</w:t>
      </w:r>
    </w:p>
    <w:p>
      <w:pPr>
        <w:pStyle w:val="TextBody"/>
        <w:spacing w:before="0" w:after="0"/>
        <w:jc w:val="both"/>
        <w:rPr>
          <w:rFonts w:ascii="Times New Roman;serif" w:hAnsi="Times New Roman;serif"/>
          <w:b/>
          <w:caps/>
          <w:sz w:val="22"/>
        </w:rPr>
      </w:pPr>
      <w:r>
        <w:rPr>
          <w:rFonts w:ascii="Times New Roman;serif" w:hAnsi="Times New Roman;serif"/>
          <w:b/>
          <w:caps/>
          <w:sz w:val="22"/>
        </w:rPr>
        <w:t>Emtrol LLC</w:t>
      </w:r>
    </w:p>
    <w:p>
      <w:pPr>
        <w:pStyle w:val="TextBody"/>
        <w:spacing w:before="0" w:after="0"/>
        <w:jc w:val="both"/>
        <w:rPr>
          <w:rFonts w:ascii="Times New Roman;serif" w:hAnsi="Times New Roman;serif"/>
          <w:b/>
          <w:caps/>
          <w:sz w:val="22"/>
        </w:rPr>
      </w:pPr>
      <w:r>
        <w:rPr>
          <w:rFonts w:ascii="Times New Roman;serif" w:hAnsi="Times New Roman;serif"/>
          <w:b/>
          <w:caps/>
          <w:sz w:val="22"/>
        </w:rPr>
        <w:t>FKI, LLC</w:t>
      </w:r>
    </w:p>
    <w:p>
      <w:pPr>
        <w:pStyle w:val="TextBody"/>
        <w:spacing w:before="0" w:after="0"/>
        <w:jc w:val="both"/>
        <w:rPr>
          <w:rFonts w:ascii="Times New Roman;serif" w:hAnsi="Times New Roman;serif"/>
          <w:b/>
          <w:caps/>
          <w:sz w:val="22"/>
        </w:rPr>
      </w:pPr>
      <w:r>
        <w:rPr>
          <w:rFonts w:ascii="Times New Roman;serif" w:hAnsi="Times New Roman;serif"/>
          <w:b/>
          <w:caps/>
          <w:sz w:val="22"/>
        </w:rPr>
        <w:t>H.M. White, inc.</w:t>
      </w:r>
    </w:p>
    <w:p>
      <w:pPr>
        <w:pStyle w:val="TextBody"/>
        <w:spacing w:before="0" w:after="0"/>
        <w:jc w:val="both"/>
        <w:rPr>
          <w:rFonts w:ascii="Times New Roman;serif" w:hAnsi="Times New Roman;serif"/>
          <w:b/>
          <w:caps/>
          <w:sz w:val="22"/>
        </w:rPr>
      </w:pPr>
      <w:r>
        <w:rPr>
          <w:rFonts w:ascii="Times New Roman;serif" w:hAnsi="Times New Roman;serif"/>
          <w:b/>
          <w:caps/>
          <w:sz w:val="22"/>
        </w:rPr>
        <w:t>Met-Pro Technologies LLC</w:t>
      </w:r>
    </w:p>
    <w:p>
      <w:pPr>
        <w:pStyle w:val="TextBody"/>
        <w:spacing w:before="0" w:after="0"/>
        <w:jc w:val="both"/>
        <w:rPr>
          <w:rFonts w:ascii="Times New Roman;serif" w:hAnsi="Times New Roman;serif"/>
          <w:b/>
          <w:caps/>
          <w:sz w:val="22"/>
        </w:rPr>
      </w:pPr>
      <w:r>
        <w:rPr>
          <w:rFonts w:ascii="Times New Roman;serif" w:hAnsi="Times New Roman;serif"/>
          <w:b/>
          <w:caps/>
          <w:sz w:val="22"/>
        </w:rPr>
        <w:t>Peerless Mfg. Co.</w:t>
      </w:r>
    </w:p>
    <w:p>
      <w:pPr>
        <w:pStyle w:val="TextBody"/>
        <w:spacing w:before="0" w:after="0"/>
        <w:jc w:val="both"/>
        <w:rPr>
          <w:rFonts w:ascii="Times New Roman;serif" w:hAnsi="Times New Roman;serif"/>
          <w:b/>
          <w:caps/>
          <w:sz w:val="22"/>
        </w:rPr>
      </w:pPr>
      <w:r>
        <w:rPr>
          <w:rFonts w:ascii="Times New Roman;serif" w:hAnsi="Times New Roman;serif"/>
          <w:b/>
          <w:caps/>
          <w:sz w:val="22"/>
        </w:rPr>
        <w:t>The Kirk &amp; Blum Manufacturing Company</w:t>
      </w:r>
    </w:p>
    <w:p>
      <w:pPr>
        <w:pStyle w:val="TextBody"/>
        <w:spacing w:before="0" w:after="0"/>
        <w:jc w:val="both"/>
        <w:rPr/>
      </w:pPr>
      <w:r>
        <w:rPr/>
        <w:t> </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Joycelynn Watkins-Asiyanbi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Name: Joycelynn Watkins-Asiyanbi</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Title: Senior Vice President, Chief Administrative and Legal Officer and Secretary</w:t>
      </w:r>
    </w:p>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2"/>
          <w:u w:val="single"/>
        </w:rPr>
      </w:pPr>
      <w:r>
        <w:rPr>
          <w:rFonts w:ascii="Times New Roman;serif" w:hAnsi="Times New Roman;serif"/>
          <w:b/>
          <w:sz w:val="22"/>
          <w:u w:val="single"/>
        </w:rPr>
        <w:t>ADMINISTRATIVE AGENT: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2"/>
        </w:rPr>
        <w:t>BANK OF AMERICA, N.A.</w:t>
      </w:r>
      <w:r>
        <w:rPr>
          <w:rFonts w:ascii="Times New Roman;serif" w:hAnsi="Times New Roman;serif"/>
          <w:b w:val="false"/>
          <w:sz w:val="22"/>
        </w:rPr>
        <w:t>,</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2"/>
        </w:rPr>
        <w:t>as Administrative Agent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James A Joninas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James A Joninas</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Assistant Vice President</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sz w:val="22"/>
          <w:u w:val="single"/>
        </w:rPr>
      </w:pPr>
      <w:r>
        <w:rPr>
          <w:rFonts w:ascii="Times New Roman;serif" w:hAnsi="Times New Roman;serif"/>
          <w:b/>
          <w:sz w:val="22"/>
          <w:u w:val="single"/>
        </w:rPr>
        <w:t>LENDERS: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2"/>
        </w:rPr>
        <w:t>BANK OF AMERICA, N.A.</w:t>
      </w:r>
      <w:r>
        <w:rPr>
          <w:rFonts w:ascii="Times New Roman;serif" w:hAnsi="Times New Roman;serif"/>
          <w:b w:val="false"/>
          <w:sz w:val="22"/>
        </w:rPr>
        <w:t>, as a Lender and an L/C Issuer</w:t>
      </w:r>
    </w:p>
    <w:p>
      <w:pPr>
        <w:pStyle w:val="TextBody"/>
        <w:spacing w:before="0" w:after="0"/>
        <w:jc w:val="both"/>
        <w:rPr/>
      </w:pPr>
      <w:r>
        <w:rPr/>
        <w:t> </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Gregg Bush </w:t>
      </w:r>
    </w:p>
    <w:p>
      <w:pPr>
        <w:pStyle w:val="TextBody"/>
        <w:spacing w:before="0" w:after="0"/>
        <w:jc w:val="left"/>
        <w:rPr>
          <w:rFonts w:ascii="Times New Roman" w:hAnsi="Times New Roman"/>
          <w:sz w:val="20"/>
        </w:rPr>
      </w:pPr>
      <w:r>
        <w:rPr>
          <w:rFonts w:ascii="Times New Roman;serif" w:hAnsi="Times New Roman;serif"/>
          <w:b w:val="false"/>
          <w:sz w:val="22"/>
        </w:rPr>
        <w:t xml:space="preserve">Name: </w:t>
      </w:r>
      <w:r>
        <w:rPr>
          <w:rFonts w:ascii="Times New Roman;serif" w:hAnsi="Times New Roman;serif"/>
          <w:b w:val="false"/>
          <w:sz w:val="22"/>
          <w:u w:val="single"/>
        </w:rPr>
        <w:t xml:space="preserve">Gregg Bush </w:t>
      </w:r>
    </w:p>
    <w:p>
      <w:pPr>
        <w:pStyle w:val="TextBody"/>
        <w:spacing w:before="0" w:after="0"/>
        <w:jc w:val="left"/>
        <w:rPr>
          <w:rFonts w:ascii="Times New Roman" w:hAnsi="Times New Roman"/>
          <w:sz w:val="20"/>
        </w:rPr>
      </w:pPr>
      <w:r>
        <w:rPr>
          <w:rFonts w:ascii="Times New Roman;serif" w:hAnsi="Times New Roman;serif"/>
          <w:b w:val="false"/>
          <w:sz w:val="22"/>
        </w:rPr>
        <w:t xml:space="preserve">Title: </w:t>
      </w:r>
      <w:r>
        <w:rPr>
          <w:rFonts w:ascii="Times New Roman;serif" w:hAnsi="Times New Roman;serif"/>
          <w:b w:val="false"/>
          <w:sz w:val="22"/>
          <w:u w:val="single"/>
        </w:rPr>
        <w:t xml:space="preserve">Senior Vice President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12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caps/>
          <w:sz w:val="22"/>
        </w:rPr>
        <w:t>CITIZENS BANK, N.A.</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as a Lender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Michael Puleo </w:t>
      </w:r>
    </w:p>
    <w:p>
      <w:pPr>
        <w:pStyle w:val="TextBody"/>
        <w:spacing w:before="0" w:after="0"/>
        <w:jc w:val="left"/>
        <w:rPr>
          <w:rFonts w:ascii="Times New Roman" w:hAnsi="Times New Roman"/>
          <w:sz w:val="20"/>
        </w:rPr>
      </w:pPr>
      <w:r>
        <w:rPr>
          <w:rFonts w:ascii="Times New Roman;serif" w:hAnsi="Times New Roman;serif"/>
          <w:b w:val="false"/>
          <w:sz w:val="22"/>
        </w:rPr>
        <w:t xml:space="preserve">Name: </w:t>
      </w:r>
      <w:r>
        <w:rPr>
          <w:rFonts w:ascii="Times New Roman;serif" w:hAnsi="Times New Roman;serif"/>
          <w:b w:val="false"/>
          <w:sz w:val="22"/>
          <w:u w:val="single"/>
        </w:rPr>
        <w:t xml:space="preserve">Michael Puleo </w:t>
      </w:r>
    </w:p>
    <w:p>
      <w:pPr>
        <w:pStyle w:val="TextBody"/>
        <w:spacing w:before="0" w:after="0"/>
        <w:jc w:val="left"/>
        <w:rPr>
          <w:rFonts w:ascii="Times New Roman" w:hAnsi="Times New Roman"/>
          <w:sz w:val="20"/>
        </w:rPr>
      </w:pPr>
      <w:r>
        <w:rPr>
          <w:rFonts w:ascii="Times New Roman;serif" w:hAnsi="Times New Roman;serif"/>
          <w:b w:val="false"/>
          <w:sz w:val="22"/>
        </w:rPr>
        <w:t xml:space="preserve">Title: </w:t>
      </w:r>
      <w:r>
        <w:rPr>
          <w:rFonts w:ascii="Times New Roman;serif" w:hAnsi="Times New Roman;serif"/>
          <w:b w:val="false"/>
          <w:sz w:val="22"/>
          <w:u w:val="single"/>
        </w:rPr>
        <w:t xml:space="preserve">Senior Vice President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caps/>
          <w:sz w:val="22"/>
        </w:rPr>
        <w:t>CITIBANK, n.a.</w:t>
      </w:r>
      <w:r>
        <w:rPr>
          <w:rFonts w:ascii="Times New Roman;serif" w:hAnsi="Times New Roman;serif"/>
          <w:b w:val="false"/>
          <w:sz w:val="22"/>
        </w:rPr>
        <w:t>, as a Lender and an L/C Issuer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John Torres </w:t>
      </w:r>
    </w:p>
    <w:p>
      <w:pPr>
        <w:pStyle w:val="TextBody"/>
        <w:spacing w:before="0" w:after="0"/>
        <w:jc w:val="left"/>
        <w:rPr>
          <w:rFonts w:ascii="Times New Roman" w:hAnsi="Times New Roman"/>
          <w:sz w:val="20"/>
        </w:rPr>
      </w:pPr>
      <w:r>
        <w:rPr>
          <w:rFonts w:ascii="Times New Roman;serif" w:hAnsi="Times New Roman;serif"/>
          <w:b w:val="false"/>
          <w:sz w:val="22"/>
        </w:rPr>
        <w:t xml:space="preserve">Name: </w:t>
      </w:r>
      <w:r>
        <w:rPr>
          <w:rFonts w:ascii="Times New Roman;serif" w:hAnsi="Times New Roman;serif"/>
          <w:b w:val="false"/>
          <w:sz w:val="22"/>
          <w:u w:val="single"/>
        </w:rPr>
        <w:t xml:space="preserve">John Torres </w:t>
      </w:r>
    </w:p>
    <w:p>
      <w:pPr>
        <w:pStyle w:val="TextBody"/>
        <w:spacing w:before="0" w:after="0"/>
        <w:jc w:val="left"/>
        <w:rPr>
          <w:rFonts w:ascii="Times New Roman" w:hAnsi="Times New Roman"/>
          <w:sz w:val="20"/>
        </w:rPr>
      </w:pPr>
      <w:r>
        <w:rPr>
          <w:rFonts w:ascii="Times New Roman;serif" w:hAnsi="Times New Roman;serif"/>
          <w:b w:val="false"/>
          <w:sz w:val="22"/>
        </w:rPr>
        <w:t xml:space="preserve">Title: </w:t>
      </w:r>
      <w:r>
        <w:rPr>
          <w:rFonts w:ascii="Times New Roman;serif" w:hAnsi="Times New Roman;serif"/>
          <w:b w:val="false"/>
          <w:sz w:val="22"/>
          <w:u w:val="single"/>
        </w:rPr>
        <w:t xml:space="preserve">Authorized Signer </w:t>
      </w:r>
    </w:p>
    <w:p>
      <w:pPr>
        <w:pStyle w:val="TextBody"/>
        <w:spacing w:before="12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caps/>
          <w:sz w:val="22"/>
        </w:rPr>
        <w:t>FIFTH THIRD BANK, national association</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as a Lender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John R. Gray </w:t>
      </w:r>
    </w:p>
    <w:p>
      <w:pPr>
        <w:pStyle w:val="TextBody"/>
        <w:spacing w:before="0" w:after="0"/>
        <w:jc w:val="left"/>
        <w:rPr>
          <w:rFonts w:ascii="Times New Roman" w:hAnsi="Times New Roman"/>
          <w:sz w:val="20"/>
        </w:rPr>
      </w:pPr>
      <w:r>
        <w:rPr>
          <w:rFonts w:ascii="Times New Roman;serif" w:hAnsi="Times New Roman;serif"/>
          <w:b w:val="false"/>
          <w:sz w:val="22"/>
        </w:rPr>
        <w:t xml:space="preserve">Name: </w:t>
      </w:r>
      <w:r>
        <w:rPr>
          <w:rFonts w:ascii="Times New Roman;serif" w:hAnsi="Times New Roman;serif"/>
          <w:b w:val="false"/>
          <w:sz w:val="22"/>
          <w:u w:val="single"/>
        </w:rPr>
        <w:t xml:space="preserve">John R. Gray </w:t>
      </w:r>
    </w:p>
    <w:p>
      <w:pPr>
        <w:pStyle w:val="TextBody"/>
        <w:spacing w:before="0" w:after="0"/>
        <w:jc w:val="left"/>
        <w:rPr>
          <w:rFonts w:ascii="Times New Roman" w:hAnsi="Times New Roman"/>
          <w:sz w:val="20"/>
        </w:rPr>
      </w:pPr>
      <w:r>
        <w:rPr>
          <w:rFonts w:ascii="Times New Roman;serif" w:hAnsi="Times New Roman;serif"/>
          <w:b w:val="false"/>
          <w:sz w:val="22"/>
        </w:rPr>
        <w:t xml:space="preserve">Title: </w:t>
      </w:r>
      <w:r>
        <w:rPr>
          <w:rFonts w:ascii="Times New Roman;serif" w:hAnsi="Times New Roman;serif"/>
          <w:b w:val="false"/>
          <w:sz w:val="22"/>
          <w:u w:val="single"/>
        </w:rPr>
        <w:t xml:space="preserve">Vice President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sz w:val="22"/>
        </w:rPr>
        <w:t>BMO HARRIS BANK, N.A.</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as a Lender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John Armstrong </w:t>
      </w:r>
    </w:p>
    <w:p>
      <w:pPr>
        <w:pStyle w:val="TextBody"/>
        <w:spacing w:before="0" w:after="0"/>
        <w:jc w:val="left"/>
        <w:rPr>
          <w:rFonts w:ascii="Times New Roman" w:hAnsi="Times New Roman"/>
          <w:sz w:val="20"/>
        </w:rPr>
      </w:pPr>
      <w:r>
        <w:rPr>
          <w:rFonts w:ascii="Times New Roman;serif" w:hAnsi="Times New Roman;serif"/>
          <w:b w:val="false"/>
          <w:sz w:val="22"/>
        </w:rPr>
        <w:t xml:space="preserve">Name: </w:t>
      </w:r>
      <w:r>
        <w:rPr>
          <w:rFonts w:ascii="Times New Roman;serif" w:hAnsi="Times New Roman;serif"/>
          <w:b w:val="false"/>
          <w:sz w:val="22"/>
          <w:u w:val="single"/>
        </w:rPr>
        <w:t xml:space="preserve">John Armstrong </w:t>
      </w:r>
    </w:p>
    <w:p>
      <w:pPr>
        <w:pStyle w:val="TextBody"/>
        <w:spacing w:before="0" w:after="0"/>
        <w:jc w:val="left"/>
        <w:rPr>
          <w:rFonts w:ascii="Times New Roman" w:hAnsi="Times New Roman"/>
          <w:sz w:val="20"/>
        </w:rPr>
      </w:pPr>
      <w:r>
        <w:rPr>
          <w:rFonts w:ascii="Times New Roman;serif" w:hAnsi="Times New Roman;serif"/>
          <w:b w:val="false"/>
          <w:sz w:val="22"/>
        </w:rPr>
        <w:t xml:space="preserve">Title: </w:t>
      </w:r>
      <w:r>
        <w:rPr>
          <w:rFonts w:ascii="Times New Roman;serif" w:hAnsi="Times New Roman;serif"/>
          <w:b w:val="false"/>
          <w:sz w:val="22"/>
          <w:u w:val="single"/>
        </w:rPr>
        <w:t xml:space="preserve">Managing Director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sz w:val="22"/>
        </w:rPr>
        <w:t>PNC BANK, NATIONAL ASSOCIATION</w:t>
      </w:r>
      <w:r>
        <w:rPr>
          <w:rFonts w:ascii="Times New Roman;serif" w:hAnsi="Times New Roman;serif"/>
          <w:b w:val="false"/>
          <w:sz w:val="22"/>
        </w:rPr>
        <w:t>, as a Lender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Alexander Jodry </w:t>
      </w:r>
    </w:p>
    <w:p>
      <w:pPr>
        <w:pStyle w:val="TextBody"/>
        <w:spacing w:before="0" w:after="0"/>
        <w:jc w:val="left"/>
        <w:rPr>
          <w:rFonts w:ascii="Times New Roman" w:hAnsi="Times New Roman"/>
          <w:sz w:val="20"/>
        </w:rPr>
      </w:pPr>
      <w:r>
        <w:rPr>
          <w:rFonts w:ascii="Times New Roman;serif" w:hAnsi="Times New Roman;serif"/>
          <w:b w:val="false"/>
          <w:sz w:val="22"/>
        </w:rPr>
        <w:t xml:space="preserve">Name: </w:t>
      </w:r>
      <w:r>
        <w:rPr>
          <w:rFonts w:ascii="Times New Roman;serif" w:hAnsi="Times New Roman;serif"/>
          <w:b w:val="false"/>
          <w:sz w:val="22"/>
          <w:u w:val="single"/>
        </w:rPr>
        <w:t xml:space="preserve">Alexander Jodry </w:t>
      </w:r>
    </w:p>
    <w:p>
      <w:pPr>
        <w:pStyle w:val="TextBody"/>
        <w:spacing w:before="0" w:after="0"/>
        <w:jc w:val="left"/>
        <w:rPr>
          <w:rFonts w:ascii="Times New Roman" w:hAnsi="Times New Roman"/>
          <w:sz w:val="20"/>
        </w:rPr>
      </w:pPr>
      <w:r>
        <w:rPr>
          <w:rFonts w:ascii="Times New Roman;serif" w:hAnsi="Times New Roman;serif"/>
          <w:b w:val="false"/>
          <w:sz w:val="22"/>
        </w:rPr>
        <w:t xml:space="preserve">Title: </w:t>
      </w:r>
      <w:r>
        <w:rPr>
          <w:rFonts w:ascii="Times New Roman;serif" w:hAnsi="Times New Roman;serif"/>
          <w:b w:val="false"/>
          <w:sz w:val="22"/>
          <w:u w:val="single"/>
        </w:rPr>
        <w:t xml:space="preserve">Vice President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sz w:val="22"/>
        </w:rPr>
        <w:t>HSBC BANK USA, NATIONAL ASSOCIATION</w:t>
      </w:r>
      <w:r>
        <w:rPr>
          <w:rFonts w:ascii="Times New Roman;serif" w:hAnsi="Times New Roman;serif"/>
          <w:b w:val="false"/>
          <w:sz w:val="22"/>
        </w:rPr>
        <w:t>, as a Lender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Cynthia Nwaubani </w:t>
      </w:r>
    </w:p>
    <w:p>
      <w:pPr>
        <w:pStyle w:val="TextBody"/>
        <w:spacing w:before="0" w:after="0"/>
        <w:jc w:val="left"/>
        <w:rPr>
          <w:rFonts w:ascii="Times New Roman" w:hAnsi="Times New Roman"/>
          <w:sz w:val="20"/>
        </w:rPr>
      </w:pPr>
      <w:r>
        <w:rPr>
          <w:rFonts w:ascii="Times New Roman;serif" w:hAnsi="Times New Roman;serif"/>
          <w:b w:val="false"/>
          <w:sz w:val="22"/>
        </w:rPr>
        <w:t xml:space="preserve">Name: </w:t>
      </w:r>
      <w:r>
        <w:rPr>
          <w:rFonts w:ascii="Times New Roman;serif" w:hAnsi="Times New Roman;serif"/>
          <w:b w:val="false"/>
          <w:sz w:val="22"/>
          <w:u w:val="single"/>
        </w:rPr>
        <w:t xml:space="preserve">Cynthia Nwaubani </w:t>
      </w:r>
    </w:p>
    <w:p>
      <w:pPr>
        <w:pStyle w:val="TextBody"/>
        <w:spacing w:before="0" w:after="0"/>
        <w:jc w:val="left"/>
        <w:rPr>
          <w:rFonts w:ascii="Times New Roman" w:hAnsi="Times New Roman"/>
          <w:sz w:val="20"/>
        </w:rPr>
      </w:pPr>
      <w:r>
        <w:rPr>
          <w:rFonts w:ascii="Times New Roman;serif" w:hAnsi="Times New Roman;serif"/>
          <w:b w:val="false"/>
          <w:sz w:val="22"/>
        </w:rPr>
        <w:t xml:space="preserve">Title: </w:t>
      </w:r>
      <w:r>
        <w:rPr>
          <w:rFonts w:ascii="Times New Roman;serif" w:hAnsi="Times New Roman;serif"/>
          <w:b w:val="false"/>
          <w:sz w:val="22"/>
          <w:u w:val="single"/>
        </w:rPr>
        <w:t xml:space="preserve">Senior Vice President </w:t>
      </w:r>
    </w:p>
    <w:p>
      <w:pPr>
        <w:pStyle w:val="TextBody"/>
        <w:spacing w:before="12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2"/>
          <w:u w:val="single"/>
        </w:rPr>
      </w:pPr>
      <w:r>
        <w:rPr>
          <w:rFonts w:ascii="Times New Roman;serif" w:hAnsi="Times New Roman;serif"/>
          <w:b/>
          <w:sz w:val="22"/>
          <w:u w:val="single"/>
        </w:rPr>
        <w:t>ANNEX B</w:t>
      </w:r>
    </w:p>
    <w:p>
      <w:pPr>
        <w:pStyle w:val="TextBody"/>
        <w:spacing w:before="0" w:after="0"/>
        <w:jc w:val="right"/>
        <w:rPr>
          <w:rFonts w:ascii="Times New Roman;serif" w:hAnsi="Times New Roman;serif"/>
          <w:b/>
          <w:sz w:val="22"/>
        </w:rPr>
      </w:pPr>
      <w:r>
        <w:rPr>
          <w:rFonts w:ascii="Times New Roman;serif" w:hAnsi="Times New Roman;serif"/>
          <w:b/>
          <w:sz w:val="22"/>
        </w:rPr>
        <w:t>SCHEDULE 2.01LC</w:t>
      </w:r>
    </w:p>
    <w:p>
      <w:pPr>
        <w:pStyle w:val="TextBody"/>
        <w:spacing w:before="0" w:after="0"/>
        <w:jc w:val="center"/>
        <w:rPr>
          <w:rFonts w:ascii="Times New Roman;serif" w:hAnsi="Times New Roman;serif"/>
          <w:b/>
          <w:sz w:val="22"/>
        </w:rPr>
      </w:pPr>
      <w:r>
        <w:rPr>
          <w:rFonts w:ascii="Times New Roman;serif" w:hAnsi="Times New Roman;serif"/>
          <w:b/>
          <w:sz w:val="22"/>
        </w:rPr>
        <w:t>L/C COMMITMENTS</w:t>
      </w:r>
    </w:p>
    <w:tbl>
      <w:tblPr>
        <w:tblW w:w="10205" w:type="dxa"/>
        <w:jc w:val="left"/>
        <w:tblInd w:w="0" w:type="dxa"/>
        <w:tblCellMar>
          <w:top w:w="28" w:type="dxa"/>
          <w:left w:w="28" w:type="dxa"/>
          <w:bottom w:w="28" w:type="dxa"/>
          <w:right w:w="28" w:type="dxa"/>
        </w:tblCellMar>
      </w:tblPr>
      <w:tblGrid>
        <w:gridCol w:w="2050"/>
        <w:gridCol w:w="8155"/>
      </w:tblGrid>
      <w:tr>
        <w:trPr/>
        <w:tc>
          <w:tcPr>
            <w:tcW w:w="2050" w:type="dxa"/>
            <w:tcBorders/>
            <w:shd w:fill="auto" w:val="clear"/>
            <w:vAlign w:val="center"/>
          </w:tcPr>
          <w:p>
            <w:pPr>
              <w:pStyle w:val="TableContents"/>
              <w:spacing w:before="0" w:after="283"/>
              <w:rPr>
                <w:sz w:val="4"/>
                <w:szCs w:val="4"/>
              </w:rPr>
            </w:pPr>
            <w:r>
              <w:rPr>
                <w:sz w:val="4"/>
                <w:szCs w:val="4"/>
              </w:rPr>
            </w:r>
          </w:p>
        </w:tc>
        <w:tc>
          <w:tcPr>
            <w:tcW w:w="8155" w:type="dxa"/>
            <w:tcBorders/>
            <w:shd w:fill="auto" w:val="clear"/>
            <w:vAlign w:val="center"/>
          </w:tcPr>
          <w:p>
            <w:pPr>
              <w:pStyle w:val="TableContents"/>
              <w:spacing w:before="0" w:after="283"/>
              <w:rPr>
                <w:sz w:val="4"/>
                <w:szCs w:val="4"/>
              </w:rPr>
            </w:pPr>
            <w:r>
              <w:rPr>
                <w:sz w:val="4"/>
                <w:szCs w:val="4"/>
              </w:rPr>
            </w:r>
          </w:p>
        </w:tc>
      </w:tr>
      <w:tr>
        <w:trPr/>
        <w:tc>
          <w:tcPr>
            <w:tcW w:w="2050" w:type="dxa"/>
            <w:tcBorders>
              <w:top w:val="single" w:sz="4" w:space="0" w:color="000000"/>
              <w:left w:val="single" w:sz="4" w:space="0" w:color="000000"/>
              <w:bottom w:val="single" w:sz="4" w:space="0" w:color="000000"/>
              <w:right w:val="single" w:sz="4" w:space="0" w:color="000000"/>
            </w:tcBorders>
            <w:shd w:fill="auto" w:val="clear"/>
            <w:tcMar>
              <w:left w:w="115" w:type="dxa"/>
              <w:right w:w="115" w:type="dxa"/>
            </w:tcMar>
            <w:vAlign w:val="center"/>
          </w:tcPr>
          <w:p>
            <w:pPr>
              <w:pStyle w:val="TableContents"/>
              <w:spacing w:before="0" w:after="0"/>
              <w:ind w:left="0" w:right="0" w:hanging="0"/>
              <w:jc w:val="center"/>
              <w:rPr>
                <w:rFonts w:ascii="Times New Roman;serif" w:hAnsi="Times New Roman;serif"/>
                <w:b/>
                <w:sz w:val="22"/>
              </w:rPr>
            </w:pPr>
            <w:r>
              <w:rPr>
                <w:rFonts w:ascii="Times New Roman;serif" w:hAnsi="Times New Roman;serif"/>
                <w:b/>
                <w:sz w:val="22"/>
              </w:rPr>
              <w:t>Lender</w:t>
            </w:r>
          </w:p>
        </w:tc>
        <w:tc>
          <w:tcPr>
            <w:tcW w:w="8155" w:type="dxa"/>
            <w:tcBorders>
              <w:top w:val="single" w:sz="4" w:space="0" w:color="000000"/>
              <w:bottom w:val="single" w:sz="4" w:space="0" w:color="000000"/>
              <w:right w:val="single" w:sz="4" w:space="0" w:color="000000"/>
            </w:tcBorders>
            <w:shd w:fill="auto" w:val="clear"/>
            <w:tcMar>
              <w:left w:w="0" w:type="dxa"/>
              <w:right w:w="115" w:type="dxa"/>
            </w:tcMar>
            <w:vAlign w:val="center"/>
          </w:tcPr>
          <w:p>
            <w:pPr>
              <w:pStyle w:val="TableContents"/>
              <w:spacing w:before="0" w:after="0"/>
              <w:ind w:left="0" w:right="0" w:hanging="0"/>
              <w:jc w:val="center"/>
              <w:rPr>
                <w:rFonts w:ascii="Times New Roman" w:hAnsi="Times New Roman"/>
                <w:sz w:val="22"/>
              </w:rPr>
            </w:pPr>
            <w:r>
              <w:rPr>
                <w:rFonts w:ascii="Times New Roman;serif" w:hAnsi="Times New Roman;serif"/>
                <w:b/>
                <w:sz w:val="22"/>
              </w:rPr>
              <w:t>L/C Commitment</w:t>
            </w:r>
            <w:r>
              <w:rPr>
                <w:rFonts w:ascii="Times New Roman" w:hAnsi="Times New Roman"/>
                <w:sz w:val="22"/>
              </w:rPr>
              <w:t xml:space="preserve"> </w:t>
            </w:r>
          </w:p>
        </w:tc>
      </w:tr>
      <w:tr>
        <w:trPr/>
        <w:tc>
          <w:tcPr>
            <w:tcW w:w="2050" w:type="dxa"/>
            <w:tcBorders>
              <w:left w:val="single" w:sz="4" w:space="0" w:color="000000"/>
              <w:bottom w:val="single" w:sz="4" w:space="0" w:color="000000"/>
              <w:right w:val="single" w:sz="4" w:space="0" w:color="000000"/>
            </w:tcBorders>
            <w:shd w:fill="auto" w:val="clear"/>
            <w:tcMar>
              <w:top w:w="0" w:type="dxa"/>
              <w:left w:w="115" w:type="dxa"/>
              <w:right w:w="115"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Bank of America, N.A.</w:t>
            </w:r>
          </w:p>
        </w:tc>
        <w:tc>
          <w:tcPr>
            <w:tcW w:w="8155"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$75,000,000.00, with no more than $10,000,000.00 thereof allocable to commercial Letters of Credit</w:t>
            </w:r>
          </w:p>
        </w:tc>
      </w:tr>
      <w:tr>
        <w:trPr/>
        <w:tc>
          <w:tcPr>
            <w:tcW w:w="2050" w:type="dxa"/>
            <w:tcBorders>
              <w:left w:val="single" w:sz="4" w:space="0" w:color="000000"/>
              <w:bottom w:val="single" w:sz="4" w:space="0" w:color="000000"/>
              <w:right w:val="single" w:sz="4" w:space="0" w:color="000000"/>
            </w:tcBorders>
            <w:shd w:fill="auto" w:val="clear"/>
            <w:tcMar>
              <w:top w:w="0" w:type="dxa"/>
              <w:left w:w="115" w:type="dxa"/>
              <w:right w:w="115"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Citibank, N.A.</w:t>
            </w:r>
          </w:p>
        </w:tc>
        <w:tc>
          <w:tcPr>
            <w:tcW w:w="8155"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$30,000,000.00</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3 TO SECOND AMENDED AND RESTATED CREDIT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4" w:name="ceco-ex31_1.htm"/>
      <w:bookmarkStart w:id="25" w:name="kscecoex31_1"/>
      <w:bookmarkEnd w:id="24"/>
      <w:bookmarkEnd w:id="25"/>
      <w:r>
        <w:rPr/>
        <w:t> </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31.1</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Certification of Chief Executive Officer</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Todd Gleason, certify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CECO Environmental Corp.;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2086" w:type="dxa"/>
        <w:jc w:val="left"/>
        <w:tblInd w:w="0" w:type="dxa"/>
        <w:tblCellMar>
          <w:top w:w="28" w:type="dxa"/>
          <w:left w:w="28" w:type="dxa"/>
          <w:bottom w:w="28" w:type="dxa"/>
          <w:right w:w="28" w:type="dxa"/>
        </w:tblCellMar>
      </w:tblPr>
      <w:tblGrid>
        <w:gridCol w:w="2086"/>
      </w:tblGrid>
      <w:tr>
        <w:trPr/>
        <w:tc>
          <w:tcPr>
            <w:tcW w:w="2086" w:type="dxa"/>
            <w:tcBorders/>
            <w:shd w:fill="auto" w:val="clear"/>
            <w:vAlign w:val="center"/>
          </w:tcPr>
          <w:p>
            <w:pPr>
              <w:pStyle w:val="TableContents"/>
              <w:spacing w:before="0" w:after="283"/>
              <w:rPr>
                <w:sz w:val="4"/>
                <w:szCs w:val="4"/>
              </w:rPr>
            </w:pPr>
            <w:r>
              <w:rPr>
                <w:sz w:val="4"/>
                <w:szCs w:val="4"/>
              </w:rPr>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Todd Gleason</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Todd Gleason</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Date: May 9, 2023</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6" w:name="ceco-ex31_2.htm"/>
      <w:bookmarkStart w:id="27" w:name="kscecoex31_2"/>
      <w:bookmarkEnd w:id="26"/>
      <w:bookmarkEnd w:id="27"/>
      <w:r>
        <w:rPr/>
        <w:t> </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31.2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Certification of Chief Financial Officer</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Peter Johansson, certify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CECO Environmental Corp.;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3091" w:type="dxa"/>
        <w:jc w:val="left"/>
        <w:tblInd w:w="0" w:type="dxa"/>
        <w:tblCellMar>
          <w:top w:w="28" w:type="dxa"/>
          <w:left w:w="28" w:type="dxa"/>
          <w:bottom w:w="28" w:type="dxa"/>
          <w:right w:w="28" w:type="dxa"/>
        </w:tblCellMar>
      </w:tblPr>
      <w:tblGrid>
        <w:gridCol w:w="3091"/>
      </w:tblGrid>
      <w:tr>
        <w:trPr/>
        <w:tc>
          <w:tcPr>
            <w:tcW w:w="3091" w:type="dxa"/>
            <w:tcBorders/>
            <w:shd w:fill="auto" w:val="clear"/>
            <w:vAlign w:val="center"/>
          </w:tcPr>
          <w:p>
            <w:pPr>
              <w:pStyle w:val="TableContents"/>
              <w:spacing w:before="0" w:after="283"/>
              <w:rPr>
                <w:sz w:val="4"/>
                <w:szCs w:val="4"/>
              </w:rPr>
            </w:pPr>
            <w:r>
              <w:rPr>
                <w:sz w:val="4"/>
                <w:szCs w:val="4"/>
              </w:rPr>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Peter Johansson</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Peter Johansson</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and Strategy Officer</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Date: May 9, 2023</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8" w:name="ceco-ex32_1.htm"/>
      <w:bookmarkStart w:id="29" w:name="kscecoex32_1"/>
      <w:bookmarkEnd w:id="28"/>
      <w:bookmarkEnd w:id="29"/>
      <w:r>
        <w:rPr/>
        <w:t> </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32.1</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CERTIFICATION PURSUANT TO</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 U.S.C. SECTION 1350,</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AS ADOPTED PURSUANT TO</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CECO Environmental Corp. (the “Company”) on Form 10-Q for the three month period ended March 31, 2023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as amended;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 as of the dates and for the periods expressed in the Report.</w:t>
      </w:r>
    </w:p>
    <w:p>
      <w:pPr>
        <w:pStyle w:val="TextBody"/>
        <w:spacing w:before="0" w:after="0"/>
        <w:jc w:val="left"/>
        <w:rPr/>
      </w:pPr>
      <w:r>
        <w:rPr/>
        <w:t> </w:t>
      </w:r>
    </w:p>
    <w:tbl>
      <w:tblPr>
        <w:tblW w:w="2086" w:type="dxa"/>
        <w:jc w:val="left"/>
        <w:tblInd w:w="0" w:type="dxa"/>
        <w:tblCellMar>
          <w:top w:w="28" w:type="dxa"/>
          <w:left w:w="28" w:type="dxa"/>
          <w:bottom w:w="28" w:type="dxa"/>
          <w:right w:w="28" w:type="dxa"/>
        </w:tblCellMar>
      </w:tblPr>
      <w:tblGrid>
        <w:gridCol w:w="2086"/>
      </w:tblGrid>
      <w:tr>
        <w:trPr/>
        <w:tc>
          <w:tcPr>
            <w:tcW w:w="2086" w:type="dxa"/>
            <w:tcBorders/>
            <w:shd w:fill="auto" w:val="clear"/>
            <w:vAlign w:val="center"/>
          </w:tcPr>
          <w:p>
            <w:pPr>
              <w:pStyle w:val="TableContents"/>
              <w:spacing w:before="0" w:after="283"/>
              <w:rPr>
                <w:sz w:val="4"/>
                <w:szCs w:val="4"/>
              </w:rPr>
            </w:pPr>
            <w:r>
              <w:rPr>
                <w:sz w:val="4"/>
                <w:szCs w:val="4"/>
              </w:rPr>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 Todd Gleason</w:t>
            </w:r>
            <w:r>
              <w:rPr>
                <w:rFonts w:ascii="Times New Roman" w:hAnsi="Times New Roman"/>
                <w:sz w:val="20"/>
              </w:rPr>
              <w:t xml:space="preserve">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Todd Gleason</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Date: May 9, 2023</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0" w:name="ceco-ex32_2.htm"/>
      <w:bookmarkStart w:id="31" w:name="kscecoex32_2"/>
      <w:bookmarkEnd w:id="30"/>
      <w:bookmarkEnd w:id="31"/>
      <w:r>
        <w:rPr/>
        <w:t> </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32.2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CERTIFICATION PURSUANT TO</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 U.S.C. SECTION 1350,</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AS ADOPTED PURSUANT TO</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CECO Environmental Corp. (the “Company”) on Form 10-Q for the three month period ended March 31, 2023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as amended;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 as of the dates and for the periods expressed in the Report.</w:t>
      </w:r>
    </w:p>
    <w:p>
      <w:pPr>
        <w:pStyle w:val="TextBody"/>
        <w:spacing w:before="0" w:after="0"/>
        <w:jc w:val="left"/>
        <w:rPr/>
      </w:pPr>
      <w:r>
        <w:rPr/>
        <w:t> </w:t>
      </w:r>
    </w:p>
    <w:tbl>
      <w:tblPr>
        <w:tblW w:w="3091" w:type="dxa"/>
        <w:jc w:val="left"/>
        <w:tblInd w:w="0" w:type="dxa"/>
        <w:tblCellMar>
          <w:top w:w="28" w:type="dxa"/>
          <w:left w:w="28" w:type="dxa"/>
          <w:bottom w:w="28" w:type="dxa"/>
          <w:right w:w="28" w:type="dxa"/>
        </w:tblCellMar>
      </w:tblPr>
      <w:tblGrid>
        <w:gridCol w:w="3091"/>
      </w:tblGrid>
      <w:tr>
        <w:trPr/>
        <w:tc>
          <w:tcPr>
            <w:tcW w:w="3091" w:type="dxa"/>
            <w:tcBorders/>
            <w:shd w:fill="auto" w:val="clear"/>
            <w:vAlign w:val="center"/>
          </w:tcPr>
          <w:p>
            <w:pPr>
              <w:pStyle w:val="TableContents"/>
              <w:spacing w:before="0" w:after="283"/>
              <w:rPr>
                <w:sz w:val="4"/>
                <w:szCs w:val="4"/>
              </w:rPr>
            </w:pPr>
            <w:r>
              <w:rPr>
                <w:sz w:val="4"/>
                <w:szCs w:val="4"/>
              </w:rPr>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Peter Johansson</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Peter Johansson</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and Strategy Officer</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Date: May 9, 2023</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197/000095017023006934/ceco-ex3_1.htm" TargetMode="External"/><Relationship Id="rId4" Type="http://schemas.openxmlformats.org/officeDocument/2006/relationships/hyperlink" Target="https://www.sec.gov/Archives/edgar/data/3197/000095017023006934/ceco-ex10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16274</Words>
  <CharactersWithSpaces>106859</CharactersWithSpaces>
  <Paragraphs>4435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