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155575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142240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520" w:type="dxa"/>
            <w:vAlign w:val="bottom"/>
          </w:tcPr>
          <w:p>
            <w:pPr>
              <w:jc w:val="center"/>
              <w:ind w:right="345"/>
              <w:spacing w:after="0"/>
              <w:rPr>
                <w:sz w:val="20"/>
                <w:szCs w:val="20"/>
                <w:color w:val="auto"/>
              </w:rPr>
            </w:pPr>
            <w:r>
              <w:rPr>
                <w:rFonts w:ascii="Times New Roman" w:cs="Times New Roman" w:eastAsia="Times New Roman" w:hAnsi="Times New Roman"/>
                <w:sz w:val="16"/>
                <w:szCs w:val="16"/>
                <w:b w:val="1"/>
                <w:bCs w:val="1"/>
                <w:color w:val="auto"/>
              </w:rPr>
              <w:t>000-7099</w:t>
            </w:r>
          </w:p>
        </w:tc>
        <w:tc>
          <w:tcPr>
            <w:tcW w:w="2900" w:type="dxa"/>
            <w:vAlign w:val="bottom"/>
          </w:tcPr>
          <w:p>
            <w:pPr>
              <w:jc w:val="center"/>
              <w:ind w:left="1724"/>
              <w:spacing w:after="0"/>
              <w:rPr>
                <w:sz w:val="20"/>
                <w:szCs w:val="20"/>
                <w:color w:val="auto"/>
              </w:rPr>
            </w:pPr>
            <w:r>
              <w:rPr>
                <w:rFonts w:ascii="Times New Roman" w:cs="Times New Roman" w:eastAsia="Times New Roman" w:hAnsi="Times New Roman"/>
                <w:sz w:val="16"/>
                <w:szCs w:val="16"/>
                <w:b w:val="1"/>
                <w:bCs w:val="1"/>
                <w:color w:val="auto"/>
              </w:rPr>
              <w:t>13-2566064</w:t>
            </w:r>
          </w:p>
        </w:tc>
      </w:tr>
      <w:tr>
        <w:trPr>
          <w:trHeight w:val="157"/>
        </w:trPr>
        <w:tc>
          <w:tcPr>
            <w:tcW w:w="3600" w:type="dxa"/>
            <w:vAlign w:val="bottom"/>
          </w:tcPr>
          <w:p>
            <w:pPr>
              <w:jc w:val="center"/>
              <w:ind w:right="1863"/>
              <w:spacing w:after="0" w:line="157"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325"/>
              <w:spacing w:after="0" w:line="157"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00" w:type="dxa"/>
            <w:vAlign w:val="bottom"/>
          </w:tcPr>
          <w:p>
            <w:pPr>
              <w:jc w:val="center"/>
              <w:ind w:left="1724"/>
              <w:spacing w:after="0" w:line="15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jc w:val="center"/>
              <w:ind w:right="325"/>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00" w:type="dxa"/>
            <w:vAlign w:val="bottom"/>
          </w:tcPr>
          <w:p>
            <w:pPr>
              <w:jc w:val="center"/>
              <w:ind w:left="17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13"/>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14651 North Dallas Parkway</w:t>
            </w:r>
          </w:p>
        </w:tc>
        <w:tc>
          <w:tcPr>
            <w:tcW w:w="25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Suite 500</w:t>
            </w:r>
          </w:p>
        </w:tc>
        <w:tc>
          <w:tcPr>
            <w:tcW w:w="25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26"/>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Dallas, TX</w:t>
            </w:r>
          </w:p>
        </w:tc>
        <w:tc>
          <w:tcPr>
            <w:tcW w:w="2520" w:type="dxa"/>
            <w:vAlign w:val="bottom"/>
          </w:tcPr>
          <w:p>
            <w:pPr>
              <w:spacing w:after="0"/>
              <w:rPr>
                <w:sz w:val="19"/>
                <w:szCs w:val="19"/>
                <w:color w:val="auto"/>
              </w:rPr>
            </w:pPr>
          </w:p>
        </w:tc>
        <w:tc>
          <w:tcPr>
            <w:tcW w:w="2900" w:type="dxa"/>
            <w:vAlign w:val="bottom"/>
          </w:tcPr>
          <w:p>
            <w:pPr>
              <w:jc w:val="right"/>
              <w:ind w:right="1224"/>
              <w:spacing w:after="0"/>
              <w:rPr>
                <w:sz w:val="20"/>
                <w:szCs w:val="20"/>
                <w:color w:val="auto"/>
              </w:rPr>
            </w:pPr>
            <w:r>
              <w:rPr>
                <w:rFonts w:ascii="Times New Roman" w:cs="Times New Roman" w:eastAsia="Times New Roman" w:hAnsi="Times New Roman"/>
                <w:sz w:val="16"/>
                <w:szCs w:val="16"/>
                <w:b w:val="1"/>
                <w:bCs w:val="1"/>
                <w:color w:val="auto"/>
              </w:rPr>
              <w:t>75254</w:t>
            </w:r>
          </w:p>
        </w:tc>
      </w:tr>
      <w:tr>
        <w:trPr>
          <w:trHeight w:val="198"/>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7"/>
                <w:szCs w:val="17"/>
                <w:color w:val="auto"/>
              </w:rPr>
            </w:pPr>
          </w:p>
        </w:tc>
        <w:tc>
          <w:tcPr>
            <w:tcW w:w="29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760" w:right="3620" w:hanging="3752"/>
        <w:spacing w:after="0" w:line="411" w:lineRule="auto"/>
        <w:tabs>
          <w:tab w:leader="none" w:pos="33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90"/>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55"/>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r>
      <w:tr>
        <w:trPr>
          <w:trHeight w:val="168"/>
        </w:trPr>
        <w:tc>
          <w:tcPr>
            <w:tcW w:w="3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CECO</w:t>
            </w:r>
          </w:p>
        </w:tc>
        <w:tc>
          <w:tcPr>
            <w:tcW w:w="4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5"/>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53" w:lineRule="exact"/>
        <w:rPr>
          <w:sz w:val="24"/>
          <w:szCs w:val="24"/>
          <w:color w:val="auto"/>
        </w:rPr>
      </w:pPr>
    </w:p>
    <w:p>
      <w:pPr>
        <w:ind w:right="540"/>
        <w:spacing w:after="0" w:line="215"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March 6, 2023, CECO Environmental Corp. (the “Company”) issued a press release announcing its financial results for the fourth quarter and year ended December 31, 2022. A copy of the press release is furnished as Exhibit 99.1 to this report and is incorporated herein by reference.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3"/>
                <w:szCs w:val="13"/>
                <w:color w:val="auto"/>
              </w:rPr>
            </w:pPr>
          </w:p>
        </w:tc>
        <w:tc>
          <w:tcPr>
            <w:tcW w:w="10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10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CECO Environmental Reports Fourth Quarter and Full Year 2022 Results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380" w:type="dxa"/>
            <w:vAlign w:val="bottom"/>
            <w:shd w:val="clear" w:color="auto" w:fill="0000FF"/>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08"/>
        </w:trPr>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3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6, 2023</w:t>
            </w:r>
          </w:p>
        </w:tc>
        <w:tc>
          <w:tcPr>
            <w:tcW w:w="7160" w:type="dxa"/>
            <w:vAlign w:val="bottom"/>
            <w:gridSpan w:val="2"/>
          </w:tcPr>
          <w:p>
            <w:pPr>
              <w:ind w:left="2580"/>
              <w:spacing w:after="0"/>
              <w:rPr>
                <w:sz w:val="20"/>
                <w:szCs w:val="20"/>
                <w:color w:val="auto"/>
              </w:rPr>
            </w:pPr>
            <w:r>
              <w:rPr>
                <w:rFonts w:ascii="Times New Roman" w:cs="Times New Roman" w:eastAsia="Times New Roman" w:hAnsi="Times New Roman"/>
                <w:sz w:val="18"/>
                <w:szCs w:val="18"/>
                <w:color w:val="auto"/>
              </w:rPr>
              <w:t>CECO Environmental Corp.</w:t>
            </w:r>
          </w:p>
        </w:tc>
      </w:tr>
      <w:tr>
        <w:trPr>
          <w:trHeight w:val="702"/>
        </w:trPr>
        <w:tc>
          <w:tcPr>
            <w:tcW w:w="4080" w:type="dxa"/>
            <w:vAlign w:val="bottom"/>
          </w:tcPr>
          <w:p>
            <w:pPr>
              <w:spacing w:after="0"/>
              <w:rPr>
                <w:sz w:val="24"/>
                <w:szCs w:val="24"/>
                <w:color w:val="auto"/>
              </w:rPr>
            </w:pPr>
          </w:p>
        </w:tc>
        <w:tc>
          <w:tcPr>
            <w:tcW w:w="31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Paul M. Gohr</w:t>
            </w:r>
          </w:p>
        </w:tc>
      </w:tr>
      <w:tr>
        <w:trPr>
          <w:trHeight w:val="216"/>
        </w:trPr>
        <w:tc>
          <w:tcPr>
            <w:tcW w:w="40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r>
      <w:tr>
        <w:trPr>
          <w:trHeight w:val="439"/>
        </w:trPr>
        <w:tc>
          <w:tcPr>
            <w:tcW w:w="4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M. Gohr</w:t>
            </w:r>
          </w:p>
        </w:tc>
      </w:tr>
      <w:tr>
        <w:trPr>
          <w:trHeight w:val="459"/>
        </w:trPr>
        <w:tc>
          <w:tcPr>
            <w:tcW w:w="4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344"/>
        </w:trPr>
        <w:tc>
          <w:tcPr>
            <w:tcW w:w="408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CECO ENVIRONMENTAL REPORTS FOURTH QUARTER AND FULL YEAR 2022 RESULTS </w:t>
      </w:r>
      <w:r>
        <w:rPr>
          <w:rFonts w:ascii="Times New Roman" w:cs="Times New Roman" w:eastAsia="Times New Roman" w:hAnsi="Times New Roman"/>
          <w:sz w:val="18"/>
          <w:szCs w:val="18"/>
          <w:i w:val="1"/>
          <w:iCs w:val="1"/>
          <w:color w:val="auto"/>
        </w:rPr>
        <w:t>Strong Fourth Quarter Results Capstone High Growth, Transformational Full Year 2022 Company Raises Full Year 2023 Outlook Off Record Backlog Levels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DALLAS (March 6, 2023) -- CECO Environmental Corp. (Nasdaq: CECO) ("CECO")</w:t>
      </w:r>
      <w:r>
        <w:rPr>
          <w:rFonts w:ascii="Times New Roman" w:cs="Times New Roman" w:eastAsia="Times New Roman" w:hAnsi="Times New Roman"/>
          <w:sz w:val="18"/>
          <w:szCs w:val="18"/>
          <w:color w:val="auto"/>
        </w:rPr>
        <w:t>, a leading environmentally focused, diversified industrial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whose solutions protect people, the environment, and industrial equipment, today reported its financial results for the fourth quarter and full year results of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Highlights for the Quarter</w:t>
      </w:r>
      <w:r>
        <w:rPr>
          <w:rFonts w:ascii="Times New Roman" w:cs="Times New Roman" w:eastAsia="Times New Roman" w:hAnsi="Times New Roman"/>
          <w:sz w:val="24"/>
          <w:szCs w:val="24"/>
          <w:b w:val="1"/>
          <w:bCs w:val="1"/>
          <w:color w:val="auto"/>
          <w:vertAlign w:val="superscript"/>
        </w:rPr>
        <w:t>(1)</w:t>
      </w:r>
    </w:p>
    <w:p>
      <w:pPr>
        <w:spacing w:after="0" w:line="59"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of $150.5 million, up 66 percent; Backlog of $311.7 million, up 46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$116.4 million, up 24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$8.3 million, up $7.1 million; non-GAAP net income of $7.4 million, up $4.0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EPS (diluted) of $0.24, up $0.21; non-GAAP EPS (diluted) of $0.21, up $0.11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$13.0 million, up 38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$9.0 million, up $6.8 million with 69% conversion from EBITDA</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Highlights for the Year</w:t>
      </w:r>
      <w:r>
        <w:rPr>
          <w:rFonts w:ascii="Times New Roman" w:cs="Times New Roman" w:eastAsia="Times New Roman" w:hAnsi="Times New Roman"/>
          <w:sz w:val="24"/>
          <w:szCs w:val="24"/>
          <w:b w:val="1"/>
          <w:bCs w:val="1"/>
          <w:color w:val="auto"/>
          <w:vertAlign w:val="superscript"/>
        </w:rPr>
        <w:t>(1)</w:t>
      </w:r>
    </w:p>
    <w:p>
      <w:pPr>
        <w:spacing w:after="0" w:line="59" w:lineRule="exact"/>
        <w:rPr>
          <w:sz w:val="20"/>
          <w:szCs w:val="20"/>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of $526.6 million, up 46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$422.6 million, up 30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$17.4 million, up $16.0 million; non-GAAP net income of $25.9 million, up $16.1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EPS (diluted) of $0.50, up $0.46; non-GAAP EPS (diluted) of $0.74, up $0.46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$42.2 million, up 65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$27.2 million, up $15.9 million with 64% conversion from EBITDA</w:t>
      </w:r>
    </w:p>
    <w:p>
      <w:pPr>
        <w:spacing w:after="0" w:line="19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comparisons are versus the comparable prior year period, unless otherwise stated.</w:t>
      </w:r>
    </w:p>
    <w:p>
      <w:pPr>
        <w:spacing w:after="0"/>
        <w:rPr>
          <w:sz w:val="20"/>
          <w:szCs w:val="20"/>
          <w:color w:val="auto"/>
        </w:rPr>
      </w:pPr>
      <w:r>
        <w:rPr>
          <w:rFonts w:ascii="Times New Roman" w:cs="Times New Roman" w:eastAsia="Times New Roman" w:hAnsi="Times New Roman"/>
          <w:sz w:val="14"/>
          <w:szCs w:val="14"/>
          <w:color w:val="auto"/>
        </w:rPr>
        <w:t>Reconciliations of GAAP (reported) to non-GAAP measures are in the attached financial tables.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finished the year by delivering excellent results in the fourth quarter, highlighted by the second highest orders level in our company’s history and exiting the year with record backlog. I am especially pleased with the balance we continue to see across our portfolio as well as the fact that our orders and sales growth is accompanied by strong operating margin expansion and free cash flow generation,” said CECO Chief Executive Officer, Todd Gleason.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Fourth quarter operating income was $8.4 million, up $3.1 million or 58 percent when compared to $5.3 million in the fourth quarter 2021. On an adjusted basis, non-GAAP operating income was $11.0 million, up $3.3 million or 43 percent when compared to $7.7 million in the fourth quarter of 2021. Net income was $8.3 million in the quarter, up $7.1 million compared to $1.2 million in the fourth quarter 2021. Non-GAAP net income was $7.4 million, up $4.0 million compared to $3.4 million in the fourth quarter 2021. Adjusted EBITDA of $13.0 million, reflecting a margin of 11.2 percent, was up 38 percent compared to $9.4 million in the fourth quarter 2021. Free cash flow in the quarter was $9.0 million, up $6.8 million compared to $2.2 million in the fourth quarter of 2021. The Company repurchased $0.5 million of shares in the fourth quarter as part of the previously announced $20 million share repurchase program.</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Full year operating income was $22.2 million, up $12.3 million or 124 percent when compared to $9.9 million in 2021. On an adjusted basis, non-GAAP operating income was $34.8 million, up $15.7 million or 82 percent when compared to $19.1 million in 2021. Net income was $17.4 million in the year, up $16.0 million compared to $1.4 million in 2021. Non-GAAP net income was $25.9 million, up $16.1 million compared to $9.8 million in 2021. Adjusted EBITDA of $42.2 million, reflecting a margin of 10.0 pe</w:t>
      </w:r>
      <w:r>
        <w:rPr>
          <w:rFonts w:ascii="Times New Roman" w:cs="Times New Roman" w:eastAsia="Times New Roman" w:hAnsi="Times New Roman"/>
          <w:sz w:val="18"/>
          <w:szCs w:val="18"/>
          <w:color w:val="0D0D0D"/>
        </w:rPr>
        <w:t>rcent</w:t>
      </w:r>
      <w:r>
        <w:rPr>
          <w:rFonts w:ascii="Times New Roman" w:cs="Times New Roman" w:eastAsia="Times New Roman" w:hAnsi="Times New Roman"/>
          <w:sz w:val="18"/>
          <w:szCs w:val="18"/>
          <w:color w:val="auto"/>
        </w:rPr>
        <w:t>, was up 65 percent compared to $25.6 million in 2021. Free cash flow was $27.2 million, up $15.9 million compared to $11.3 million in 2021. The Company repurchased $7.0 million of shares in 2022 as part of the previously announced $20 million share repurchase program.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the year we delivered outstanding results. Each quarter our teams drove strong growth in orders, revenue and income. We had our two largest bookings quarters in company history which yielded record backlog as we exited 2022. These tremendous organic growth results were bolstered by our programmatic M&amp;A transactions which will add significant strategic capabilities to our 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 w:name="page5"/>
    <w:bookmarkEnd w:id="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air, industrial water and energy transition programs. Additionally, we repurchased $7 million of shares in the year which reflects our steady capital allocation focus,” added Gleason.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Financial Outlook: Raises Full Year 2023 Outlook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raises the top-end of the full year adjusted EBITDA range from $45 million to $48 million to a new range of between $45 and $50 million, up approximately 13 percent at the midpoint year over year. The Company also raises its full year 2023 revenue range from $450 to $475 million to a new range of $460 to $485 million, up approximately 13 percent at the midpoint year over 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 excellent position to deliver another year with strong top-line and bottom-line growth. We enter 2023 with a record backlog, robust commercial programs to maintain a large sales pipeline, stronger operating excellence initiatives to drive margin expansion and our programmatic M&amp;A process sourcing strategic and accretive transactions. We are excited to deliver another tremendous year for our customers, partners and shareholders,” concluded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3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conference call is scheduled for today at 8:30 a.m. ET to discuss the fourth quarter and full year 2022 financial results. Please visit the Investor Relations portion of the website (www.cecoenviro.com) to listen to the call via webcast. The conference call may also be accessed by dialing 888-346-4547 (Toll-Free) within the U.S., or +1-412-317-5251 (Toll-Required) outside the U.S.</w:t>
      </w:r>
    </w:p>
    <w:p>
      <w:pPr>
        <w:spacing w:after="0" w:line="2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replay of the conference call will be available on the Company’s website for a period of one year. The replay may also be accessed by dialing 877-344-7529 (Toll-Free) within the U.S., or +1-412-317-0088 (Toll-Required) outside the U.S. and entering access code 3422414.</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CECO ENVIRONMENTAL</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CECO Environmental is a leading environmentally focused, diversified industrial company, serving the broad landscape of industrial air, industrial water and energy transition markets globally providing innovative solutions and application expertise. CECO helps companies grow their business with safe, clean, and more efficient solutions that help protect people, the environment and industrial equipment. CECO solutions improve air and water quality, optimize emissions management, and increase energy efficiency for highly-engineered applications in power generation, midstream and downstream hydrocarbon processing and transport, electric vehicle production, polysilicon fabrication, semiconductor and electronics, battery production and recycling, specialty metals and steel production, beverage can, and water/wastewater treatment and a wide range of other industrial end markets. CECO is listed on Nasdaq under the ticker symbol "CECO." Incorporated in 1966, CECO’s global headquarters is in Dallas, Texas. For more information, please visit www.cecoenviro.com.</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Johansson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888-990-6670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 or Gary Guyton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995045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4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920" w:type="dxa"/>
            <w:vAlign w:val="bottom"/>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45,522</w:t>
            </w:r>
          </w:p>
        </w:tc>
        <w:tc>
          <w:tcPr>
            <w:tcW w:w="28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83,086</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71,016</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26,526</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4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4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240,658</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183,197</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35,251</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4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9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504,721</w:t>
            </w:r>
          </w:p>
        </w:tc>
        <w:tc>
          <w:tcPr>
            <w:tcW w:w="2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416,197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92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debt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28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107,198</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32,716</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4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146,700</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107,625</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286,573</w:t>
            </w:r>
          </w:p>
        </w:tc>
        <w:tc>
          <w:tcPr>
            <w:tcW w:w="2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210,240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480" w:type="dxa"/>
            <w:vAlign w:val="bottom"/>
          </w:tcPr>
          <w:p>
            <w:pPr>
              <w:spacing w:after="0"/>
              <w:rPr>
                <w:sz w:val="20"/>
                <w:szCs w:val="20"/>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$.01 par value; 100,000,000 shares authorized, 34,381,668 and</w:t>
            </w:r>
          </w:p>
        </w:tc>
        <w:tc>
          <w:tcPr>
            <w:tcW w:w="4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35,028,197 shares issued and outstanding at December 31, 2022</w:t>
            </w:r>
          </w:p>
        </w:tc>
        <w:tc>
          <w:tcPr>
            <w:tcW w:w="4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and 2021, respectively</w:t>
            </w:r>
          </w:p>
        </w:tc>
        <w:tc>
          <w:tcPr>
            <w:tcW w:w="4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250,174</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loss</w:t>
            </w:r>
          </w:p>
        </w:tc>
        <w:tc>
          <w:tcPr>
            <w:tcW w:w="48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(19,298 )</w:t>
            </w:r>
          </w:p>
        </w:tc>
        <w:tc>
          <w:tcPr>
            <w:tcW w:w="5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(36,715 )</w:t>
            </w:r>
          </w:p>
        </w:tc>
        <w:tc>
          <w:tcPr>
            <w:tcW w:w="0" w:type="dxa"/>
            <w:vAlign w:val="bottom"/>
          </w:tcPr>
          <w:p>
            <w:pPr>
              <w:spacing w:after="0"/>
              <w:rPr>
                <w:sz w:val="1"/>
                <w:szCs w:val="1"/>
                <w:color w:val="auto"/>
              </w:rPr>
            </w:pPr>
          </w:p>
        </w:tc>
      </w:tr>
      <w:tr>
        <w:trPr>
          <w:trHeight w:val="239"/>
        </w:trPr>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8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(17,996 )</w:t>
            </w:r>
          </w:p>
        </w:tc>
        <w:tc>
          <w:tcPr>
            <w:tcW w:w="54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(12,070 )</w:t>
            </w:r>
          </w:p>
        </w:tc>
        <w:tc>
          <w:tcPr>
            <w:tcW w:w="0" w:type="dxa"/>
            <w:vAlign w:val="bottom"/>
          </w:tcPr>
          <w:p>
            <w:pPr>
              <w:spacing w:after="0"/>
              <w:rPr>
                <w:sz w:val="1"/>
                <w:szCs w:val="1"/>
                <w:color w:val="auto"/>
              </w:rPr>
            </w:pPr>
          </w:p>
        </w:tc>
      </w:tr>
      <w:tr>
        <w:trPr>
          <w:trHeight w:val="237"/>
        </w:trPr>
        <w:tc>
          <w:tcPr>
            <w:tcW w:w="69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480" w:type="dxa"/>
            <w:vAlign w:val="bottom"/>
            <w:tcBorders>
              <w:top w:val="single" w:sz="8" w:color="auto"/>
              <w:bottom w:val="single" w:sz="8" w:color="auto"/>
            </w:tcBorders>
            <w:shd w:val="clear" w:color="auto" w:fill="CFF0FC"/>
          </w:tcPr>
          <w:p>
            <w:pPr>
              <w:spacing w:after="0"/>
              <w:rPr>
                <w:sz w:val="20"/>
                <w:szCs w:val="20"/>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213,224</w:t>
            </w:r>
          </w:p>
        </w:tc>
        <w:tc>
          <w:tcPr>
            <w:tcW w:w="2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204,554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Noncontrolling interest</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218,148</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205,957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504,721</w:t>
            </w:r>
          </w:p>
        </w:tc>
        <w:tc>
          <w:tcPr>
            <w:tcW w:w="28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5"/>
        </w:trPr>
        <w:tc>
          <w:tcPr>
            <w:tcW w:w="69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-4611370</wp:posOffset>
            </wp:positionV>
            <wp:extent cx="1482725"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82725" cy="17970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-3659505</wp:posOffset>
            </wp:positionV>
            <wp:extent cx="6858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-3659505</wp:posOffset>
            </wp:positionV>
            <wp:extent cx="6858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-2716530</wp:posOffset>
            </wp:positionV>
            <wp:extent cx="685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-1190625</wp:posOffset>
            </wp:positionV>
            <wp:extent cx="6858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-873760</wp:posOffset>
            </wp:positionV>
            <wp:extent cx="6858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00" w:type="dxa"/>
            <w:vAlign w:val="bottom"/>
          </w:tcPr>
          <w:p>
            <w:pPr>
              <w:spacing w:after="0"/>
              <w:rPr>
                <w:sz w:val="19"/>
                <w:szCs w:val="19"/>
                <w:color w:val="auto"/>
              </w:rPr>
            </w:pPr>
          </w:p>
        </w:tc>
        <w:tc>
          <w:tcPr>
            <w:tcW w:w="272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share and per share data)</w:t>
            </w: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43"/>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116,402</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93,589</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422,627</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324,140</w:t>
            </w:r>
          </w:p>
        </w:tc>
        <w:tc>
          <w:tcPr>
            <w:tcW w:w="100" w:type="dxa"/>
            <w:vAlign w:val="bottom"/>
            <w:shd w:val="clear" w:color="auto" w:fill="CFF0FC"/>
          </w:tcPr>
          <w:p>
            <w:pPr>
              <w:spacing w:after="0"/>
              <w:rPr>
                <w:sz w:val="21"/>
                <w:szCs w:val="2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78,706</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65,054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294,402</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223,218</w:t>
            </w:r>
          </w:p>
        </w:tc>
        <w:tc>
          <w:tcPr>
            <w:tcW w:w="100" w:type="dxa"/>
            <w:vAlign w:val="bottom"/>
          </w:tcPr>
          <w:p>
            <w:pPr>
              <w:spacing w:after="0"/>
              <w:rPr>
                <w:sz w:val="20"/>
                <w:szCs w:val="20"/>
                <w:color w:val="auto"/>
              </w:rPr>
            </w:pPr>
          </w:p>
        </w:tc>
      </w:tr>
      <w:tr>
        <w:trPr>
          <w:trHeight w:val="241"/>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37,696</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28,535</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128,225</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100,922</w:t>
            </w:r>
          </w:p>
        </w:tc>
        <w:tc>
          <w:tcPr>
            <w:tcW w:w="100" w:type="dxa"/>
            <w:vAlign w:val="bottom"/>
            <w:shd w:val="clear" w:color="auto" w:fill="CFF0FC"/>
          </w:tcPr>
          <w:p>
            <w:pPr>
              <w:spacing w:after="0"/>
              <w:rPr>
                <w:sz w:val="20"/>
                <w:szCs w:val="20"/>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26,667</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81,797</w:t>
            </w:r>
          </w:p>
        </w:tc>
        <w:tc>
          <w:tcPr>
            <w:tcW w:w="100" w:type="dxa"/>
            <w:vAlign w:val="bottom"/>
          </w:tcPr>
          <w:p>
            <w:pPr>
              <w:spacing w:after="0"/>
              <w:rPr>
                <w:sz w:val="20"/>
                <w:szCs w:val="20"/>
                <w:color w:val="auto"/>
              </w:rPr>
            </w:pPr>
          </w:p>
        </w:tc>
      </w:tr>
      <w:tr>
        <w:trPr>
          <w:trHeight w:val="247"/>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100" w:type="dxa"/>
            <w:vAlign w:val="bottom"/>
            <w:shd w:val="clear" w:color="auto" w:fill="CFF0FC"/>
          </w:tcPr>
          <w:p>
            <w:pPr>
              <w:spacing w:after="0"/>
              <w:rPr>
                <w:sz w:val="21"/>
                <w:szCs w:val="2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0"/>
                <w:szCs w:val="20"/>
                <w:color w:val="auto"/>
              </w:rPr>
            </w:pPr>
          </w:p>
        </w:tc>
      </w:tr>
      <w:tr>
        <w:trPr>
          <w:trHeight w:val="247"/>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1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1"/>
                <w:szCs w:val="2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 (income)</w:t>
            </w:r>
          </w:p>
        </w:tc>
        <w:tc>
          <w:tcPr>
            <w:tcW w:w="18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20"/>
                <w:szCs w:val="20"/>
                <w:color w:val="auto"/>
              </w:rPr>
            </w:pPr>
          </w:p>
        </w:tc>
      </w:tr>
      <w:tr>
        <w:trPr>
          <w:trHeight w:val="241"/>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3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22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22,161</w:t>
            </w:r>
          </w:p>
        </w:tc>
        <w:tc>
          <w:tcPr>
            <w:tcW w:w="2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shd w:val="clear" w:color="auto" w:fill="CFF0FC"/>
          </w:tcPr>
          <w:p>
            <w:pPr>
              <w:spacing w:after="0"/>
              <w:rPr>
                <w:sz w:val="20"/>
                <w:szCs w:val="20"/>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(1,076 )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(2,231 )</w:t>
            </w:r>
          </w:p>
        </w:tc>
      </w:tr>
      <w:tr>
        <w:trPr>
          <w:trHeight w:val="243"/>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(1,930 )</w:t>
            </w: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(800 )</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(5,419 )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(2,952 )</w:t>
            </w:r>
          </w:p>
        </w:tc>
      </w:tr>
      <w:tr>
        <w:trPr>
          <w:trHeight w:val="237"/>
        </w:trPr>
        <w:tc>
          <w:tcPr>
            <w:tcW w:w="51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32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22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23,689</w:t>
            </w:r>
          </w:p>
        </w:tc>
        <w:tc>
          <w:tcPr>
            <w:tcW w:w="20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tcBorders>
              <w:top w:val="single" w:sz="8" w:color="CFF0FC"/>
            </w:tcBorders>
          </w:tcPr>
          <w:p>
            <w:pPr>
              <w:spacing w:after="0"/>
              <w:rPr>
                <w:sz w:val="20"/>
                <w:szCs w:val="20"/>
                <w:color w:val="auto"/>
              </w:rPr>
            </w:pPr>
          </w:p>
        </w:tc>
      </w:tr>
      <w:tr>
        <w:trPr>
          <w:trHeight w:val="243"/>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Pr>
          <w:p>
            <w:pPr>
              <w:spacing w:after="0"/>
              <w:rPr>
                <w:sz w:val="20"/>
                <w:szCs w:val="20"/>
                <w:color w:val="auto"/>
              </w:rPr>
            </w:pPr>
          </w:p>
        </w:tc>
      </w:tr>
      <w:tr>
        <w:trPr>
          <w:trHeight w:val="243"/>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(267 )</w:t>
            </w: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(298 )</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(846 )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(557 )</w:t>
            </w:r>
          </w:p>
        </w:tc>
      </w:tr>
      <w:tr>
        <w:trPr>
          <w:trHeight w:val="237"/>
        </w:trPr>
        <w:tc>
          <w:tcPr>
            <w:tcW w:w="51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32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2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2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Borders>
              <w:top w:val="single" w:sz="8" w:color="CFF0FC"/>
            </w:tcBorders>
          </w:tcPr>
          <w:p>
            <w:pPr>
              <w:spacing w:after="0"/>
              <w:rPr>
                <w:sz w:val="20"/>
                <w:szCs w:val="20"/>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per share:</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r>
      <w:tr>
        <w:trPr>
          <w:trHeight w:val="247"/>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21"/>
                <w:szCs w:val="2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5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34,318,526</w:t>
            </w:r>
          </w:p>
        </w:tc>
        <w:tc>
          <w:tcPr>
            <w:tcW w:w="3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35,399,724</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34,672,007</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35,345,785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34,919,398</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35,537,136</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35,005,159</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35,594,779</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9"/>
        </w:trPr>
        <w:tc>
          <w:tcPr>
            <w:tcW w:w="5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-2176780</wp:posOffset>
            </wp:positionV>
            <wp:extent cx="7747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-2176780</wp:posOffset>
            </wp:positionV>
            <wp:extent cx="6858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-2176780</wp:posOffset>
            </wp:positionV>
            <wp:extent cx="6858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-2176780</wp:posOffset>
            </wp:positionV>
            <wp:extent cx="6858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-1859280</wp:posOffset>
            </wp:positionV>
            <wp:extent cx="7747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-1859280</wp:posOffset>
            </wp:positionV>
            <wp:extent cx="6858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-1859280</wp:posOffset>
            </wp:positionV>
            <wp:extent cx="6858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-1542415</wp:posOffset>
            </wp:positionV>
            <wp:extent cx="7747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-1542415</wp:posOffset>
            </wp:positionV>
            <wp:extent cx="6858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-1542415</wp:posOffset>
            </wp:positionV>
            <wp:extent cx="6858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-582295</wp:posOffset>
            </wp:positionV>
            <wp:extent cx="312039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20390" cy="2057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26"/>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18,263</w:t>
            </w:r>
          </w:p>
        </w:tc>
        <w:tc>
          <w:tcPr>
            <w:tcW w:w="260" w:type="dxa"/>
            <w:vAlign w:val="bottom"/>
          </w:tcPr>
          <w:p>
            <w:pPr>
              <w:spacing w:after="0"/>
              <w:rPr>
                <w:sz w:val="19"/>
                <w:szCs w:val="19"/>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100" w:type="dxa"/>
            <w:vAlign w:val="bottom"/>
          </w:tcPr>
          <w:p>
            <w:pPr>
              <w:spacing w:after="0"/>
              <w:rPr>
                <w:sz w:val="19"/>
                <w:szCs w:val="19"/>
                <w:color w:val="auto"/>
              </w:rPr>
            </w:pPr>
          </w:p>
        </w:tc>
      </w:tr>
      <w:tr>
        <w:trPr>
          <w:trHeight w:val="239"/>
        </w:trPr>
        <w:tc>
          <w:tcPr>
            <w:tcW w:w="6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6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10,614</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9,853</w:t>
            </w:r>
          </w:p>
        </w:tc>
        <w:tc>
          <w:tcPr>
            <w:tcW w:w="100" w:type="dxa"/>
            <w:vAlign w:val="bottom"/>
          </w:tcPr>
          <w:p>
            <w:pPr>
              <w:spacing w:after="0"/>
              <w:rPr>
                <w:sz w:val="19"/>
                <w:szCs w:val="19"/>
                <w:color w:val="auto"/>
              </w:rPr>
            </w:pPr>
          </w:p>
        </w:tc>
      </w:tr>
      <w:tr>
        <w:trPr>
          <w:trHeight w:val="239"/>
        </w:trPr>
        <w:tc>
          <w:tcPr>
            <w:tcW w:w="6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Unrealized foreign currency (gain) loss</w:t>
            </w:r>
          </w:p>
        </w:tc>
        <w:tc>
          <w:tcPr>
            <w:tcW w:w="46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(1,284 )</w:t>
            </w:r>
          </w:p>
        </w:tc>
        <w:tc>
          <w:tcPr>
            <w:tcW w:w="8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00" w:type="dxa"/>
            <w:vAlign w:val="bottom"/>
            <w:shd w:val="clear" w:color="auto" w:fill="CFF0FC"/>
          </w:tcPr>
          <w:p>
            <w:pPr>
              <w:spacing w:after="0"/>
              <w:rPr>
                <w:sz w:val="20"/>
                <w:szCs w:val="20"/>
                <w:color w:val="auto"/>
              </w:rPr>
            </w:pPr>
          </w:p>
        </w:tc>
      </w:tr>
      <w:tr>
        <w:trPr>
          <w:trHeight w:val="220"/>
        </w:trPr>
        <w:tc>
          <w:tcPr>
            <w:tcW w:w="6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Fair value adjustments to earnout liabilities</w:t>
            </w:r>
          </w:p>
        </w:tc>
        <w:tc>
          <w:tcPr>
            <w:tcW w:w="460" w:type="dxa"/>
            <w:vAlign w:val="bottom"/>
          </w:tcPr>
          <w:p>
            <w:pPr>
              <w:spacing w:after="0"/>
              <w:rPr>
                <w:sz w:val="19"/>
                <w:szCs w:val="19"/>
                <w:color w:val="auto"/>
              </w:rPr>
            </w:pPr>
          </w:p>
        </w:tc>
        <w:tc>
          <w:tcPr>
            <w:tcW w:w="1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(229 )</w:t>
            </w: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19"/>
                <w:szCs w:val="19"/>
                <w:color w:val="auto"/>
              </w:rPr>
            </w:pPr>
          </w:p>
        </w:tc>
      </w:tr>
      <w:tr>
        <w:trPr>
          <w:trHeight w:val="239"/>
        </w:trPr>
        <w:tc>
          <w:tcPr>
            <w:tcW w:w="6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Earnout payments</w:t>
            </w:r>
          </w:p>
        </w:tc>
        <w:tc>
          <w:tcPr>
            <w:tcW w:w="46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(1,007 )</w:t>
            </w:r>
          </w:p>
        </w:tc>
        <w:tc>
          <w:tcPr>
            <w:tcW w:w="8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(587 )</w:t>
            </w:r>
          </w:p>
        </w:tc>
      </w:tr>
      <w:tr>
        <w:trPr>
          <w:trHeight w:val="220"/>
        </w:trPr>
        <w:tc>
          <w:tcPr>
            <w:tcW w:w="6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(gain) on sale of property and equipment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239"/>
        </w:trPr>
        <w:tc>
          <w:tcPr>
            <w:tcW w:w="6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4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FF0FC"/>
          </w:tcPr>
          <w:p>
            <w:pPr>
              <w:spacing w:after="0"/>
              <w:rPr>
                <w:sz w:val="20"/>
                <w:szCs w:val="20"/>
                <w:color w:val="auto"/>
              </w:rPr>
            </w:pPr>
          </w:p>
        </w:tc>
      </w:tr>
      <w:tr>
        <w:trPr>
          <w:trHeight w:val="220"/>
        </w:trPr>
        <w:tc>
          <w:tcPr>
            <w:tcW w:w="6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 based compensation expense</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3,895</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100" w:type="dxa"/>
            <w:vAlign w:val="bottom"/>
          </w:tcPr>
          <w:p>
            <w:pPr>
              <w:spacing w:after="0"/>
              <w:rPr>
                <w:sz w:val="19"/>
                <w:szCs w:val="19"/>
                <w:color w:val="auto"/>
              </w:rPr>
            </w:pPr>
          </w:p>
        </w:tc>
      </w:tr>
      <w:tr>
        <w:trPr>
          <w:trHeight w:val="239"/>
        </w:trPr>
        <w:tc>
          <w:tcPr>
            <w:tcW w:w="6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Bad debt expense</w:t>
            </w:r>
          </w:p>
        </w:tc>
        <w:tc>
          <w:tcPr>
            <w:tcW w:w="4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shd w:val="clear" w:color="auto" w:fill="CFF0FC"/>
          </w:tcPr>
          <w:p>
            <w:pPr>
              <w:spacing w:after="0"/>
              <w:rPr>
                <w:sz w:val="20"/>
                <w:szCs w:val="20"/>
                <w:color w:val="auto"/>
              </w:rPr>
            </w:pPr>
          </w:p>
        </w:tc>
      </w:tr>
      <w:tr>
        <w:trPr>
          <w:trHeight w:val="220"/>
        </w:trPr>
        <w:tc>
          <w:tcPr>
            <w:tcW w:w="6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9"/>
                <w:szCs w:val="19"/>
                <w:color w:val="auto"/>
              </w:rPr>
            </w:pPr>
          </w:p>
        </w:tc>
      </w:tr>
      <w:tr>
        <w:trPr>
          <w:trHeight w:val="239"/>
        </w:trPr>
        <w:tc>
          <w:tcPr>
            <w:tcW w:w="6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46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(39 )</w:t>
            </w:r>
          </w:p>
        </w:tc>
        <w:tc>
          <w:tcPr>
            <w:tcW w:w="8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46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(6,751 )</w:t>
            </w:r>
          </w:p>
        </w:tc>
        <w:tc>
          <w:tcPr>
            <w:tcW w:w="8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(13,165 )</w:t>
            </w:r>
          </w:p>
        </w:tc>
      </w:tr>
      <w:tr>
        <w:trPr>
          <w:trHeight w:val="220"/>
        </w:trPr>
        <w:tc>
          <w:tcPr>
            <w:tcW w:w="6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and estimated earnings of billings on uncompleted contracts</w:t>
            </w:r>
          </w:p>
        </w:tc>
        <w:tc>
          <w:tcPr>
            <w:tcW w:w="460" w:type="dxa"/>
            <w:vAlign w:val="bottom"/>
          </w:tcPr>
          <w:p>
            <w:pPr>
              <w:spacing w:after="0"/>
              <w:rPr>
                <w:sz w:val="19"/>
                <w:szCs w:val="19"/>
                <w:color w:val="auto"/>
              </w:rPr>
            </w:pPr>
          </w:p>
        </w:tc>
        <w:tc>
          <w:tcPr>
            <w:tcW w:w="1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(16,851 )</w:t>
            </w:r>
          </w:p>
        </w:tc>
        <w:tc>
          <w:tcPr>
            <w:tcW w:w="8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(7,007 )</w:t>
            </w:r>
          </w:p>
        </w:tc>
      </w:tr>
      <w:tr>
        <w:trPr>
          <w:trHeight w:val="239"/>
        </w:trPr>
        <w:tc>
          <w:tcPr>
            <w:tcW w:w="6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46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(6,023 )</w:t>
            </w:r>
          </w:p>
        </w:tc>
        <w:tc>
          <w:tcPr>
            <w:tcW w:w="8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(203 )</w:t>
            </w:r>
          </w:p>
        </w:tc>
      </w:tr>
      <w:tr>
        <w:trPr>
          <w:trHeight w:val="220"/>
        </w:trPr>
        <w:tc>
          <w:tcPr>
            <w:tcW w:w="6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5,911</w:t>
            </w:r>
          </w:p>
        </w:tc>
        <w:tc>
          <w:tcPr>
            <w:tcW w:w="100" w:type="dxa"/>
            <w:vAlign w:val="bottom"/>
          </w:tcPr>
          <w:p>
            <w:pPr>
              <w:spacing w:after="0"/>
              <w:rPr>
                <w:sz w:val="19"/>
                <w:szCs w:val="19"/>
                <w:color w:val="auto"/>
              </w:rPr>
            </w:pPr>
          </w:p>
        </w:tc>
      </w:tr>
      <w:tr>
        <w:trPr>
          <w:trHeight w:val="239"/>
        </w:trPr>
        <w:tc>
          <w:tcPr>
            <w:tcW w:w="6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4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FF0FC"/>
          </w:tcPr>
          <w:p>
            <w:pPr>
              <w:spacing w:after="0"/>
              <w:rPr>
                <w:sz w:val="20"/>
                <w:szCs w:val="20"/>
                <w:color w:val="auto"/>
              </w:rPr>
            </w:pPr>
          </w:p>
        </w:tc>
      </w:tr>
      <w:tr>
        <w:trPr>
          <w:trHeight w:val="220"/>
        </w:trPr>
        <w:tc>
          <w:tcPr>
            <w:tcW w:w="6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22,536</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9"/>
                <w:szCs w:val="19"/>
                <w:color w:val="auto"/>
              </w:rPr>
            </w:pPr>
          </w:p>
        </w:tc>
      </w:tr>
      <w:tr>
        <w:trPr>
          <w:trHeight w:val="239"/>
        </w:trPr>
        <w:tc>
          <w:tcPr>
            <w:tcW w:w="6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4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8,431</w:t>
            </w:r>
          </w:p>
        </w:tc>
        <w:tc>
          <w:tcPr>
            <w:tcW w:w="100" w:type="dxa"/>
            <w:vAlign w:val="bottom"/>
            <w:shd w:val="clear" w:color="auto" w:fill="CFF0FC"/>
          </w:tcPr>
          <w:p>
            <w:pPr>
              <w:spacing w:after="0"/>
              <w:rPr>
                <w:sz w:val="20"/>
                <w:szCs w:val="20"/>
                <w:color w:val="auto"/>
              </w:rPr>
            </w:pPr>
          </w:p>
        </w:tc>
      </w:tr>
      <w:tr>
        <w:trPr>
          <w:trHeight w:val="220"/>
        </w:trPr>
        <w:tc>
          <w:tcPr>
            <w:tcW w:w="6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tcPr>
          <w:p>
            <w:pPr>
              <w:spacing w:after="0"/>
              <w:rPr>
                <w:sz w:val="19"/>
                <w:szCs w:val="19"/>
                <w:color w:val="auto"/>
              </w:rPr>
            </w:pPr>
          </w:p>
        </w:tc>
      </w:tr>
      <w:tr>
        <w:trPr>
          <w:trHeight w:val="233"/>
        </w:trPr>
        <w:tc>
          <w:tcPr>
            <w:tcW w:w="6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46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(3,680 )</w:t>
            </w:r>
          </w:p>
        </w:tc>
        <w:tc>
          <w:tcPr>
            <w:tcW w:w="8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(882 )</w:t>
            </w:r>
          </w:p>
        </w:tc>
      </w:tr>
      <w:tr>
        <w:trPr>
          <w:trHeight w:val="223"/>
        </w:trPr>
        <w:tc>
          <w:tcPr>
            <w:tcW w:w="68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29,649</w:t>
            </w:r>
          </w:p>
        </w:tc>
        <w:tc>
          <w:tcPr>
            <w:tcW w:w="260" w:type="dxa"/>
            <w:vAlign w:val="bottom"/>
            <w:tcBorders>
              <w:top w:val="single" w:sz="8" w:color="CFF0FC"/>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13,298</w:t>
            </w:r>
          </w:p>
        </w:tc>
        <w:tc>
          <w:tcPr>
            <w:tcW w:w="100" w:type="dxa"/>
            <w:vAlign w:val="bottom"/>
            <w:tcBorders>
              <w:top w:val="single" w:sz="8" w:color="CFF0FC"/>
            </w:tcBorders>
          </w:tcPr>
          <w:p>
            <w:pPr>
              <w:spacing w:after="0"/>
              <w:rPr>
                <w:sz w:val="19"/>
                <w:szCs w:val="19"/>
                <w:color w:val="auto"/>
              </w:rPr>
            </w:pPr>
          </w:p>
        </w:tc>
      </w:tr>
      <w:tr>
        <w:trPr>
          <w:trHeight w:val="230"/>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460" w:type="dxa"/>
            <w:vAlign w:val="bottom"/>
          </w:tcPr>
          <w:p>
            <w:pPr>
              <w:spacing w:after="0"/>
              <w:rPr>
                <w:sz w:val="19"/>
                <w:szCs w:val="19"/>
                <w:color w:val="auto"/>
              </w:rPr>
            </w:pPr>
          </w:p>
        </w:tc>
        <w:tc>
          <w:tcPr>
            <w:tcW w:w="1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(3,376 )</w:t>
            </w:r>
          </w:p>
        </w:tc>
        <w:tc>
          <w:tcPr>
            <w:tcW w:w="8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(2,616 )</w:t>
            </w:r>
          </w:p>
        </w:tc>
      </w:tr>
      <w:tr>
        <w:trPr>
          <w:trHeight w:val="239"/>
        </w:trPr>
        <w:tc>
          <w:tcPr>
            <w:tcW w:w="6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proceeds from sale of assets</w:t>
            </w:r>
          </w:p>
        </w:tc>
        <w:tc>
          <w:tcPr>
            <w:tcW w:w="4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shd w:val="clear" w:color="auto" w:fill="CFF0FC"/>
          </w:tcPr>
          <w:p>
            <w:pPr>
              <w:spacing w:after="0"/>
              <w:rPr>
                <w:sz w:val="20"/>
                <w:szCs w:val="20"/>
                <w:color w:val="auto"/>
              </w:rPr>
            </w:pPr>
          </w:p>
        </w:tc>
      </w:tr>
      <w:tr>
        <w:trPr>
          <w:trHeight w:val="223"/>
        </w:trPr>
        <w:tc>
          <w:tcPr>
            <w:tcW w:w="6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460" w:type="dxa"/>
            <w:vAlign w:val="bottom"/>
          </w:tcPr>
          <w:p>
            <w:pPr>
              <w:spacing w:after="0"/>
              <w:rPr>
                <w:sz w:val="19"/>
                <w:szCs w:val="19"/>
                <w:color w:val="auto"/>
              </w:rPr>
            </w:pPr>
          </w:p>
        </w:tc>
        <w:tc>
          <w:tcPr>
            <w:tcW w:w="1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(44,900 )</w:t>
            </w:r>
          </w:p>
        </w:tc>
        <w:tc>
          <w:tcPr>
            <w:tcW w:w="800" w:type="dxa"/>
            <w:vAlign w:val="bottom"/>
          </w:tcPr>
          <w:p>
            <w:pPr>
              <w:spacing w:after="0"/>
              <w:rPr>
                <w:sz w:val="19"/>
                <w:szCs w:val="19"/>
                <w:color w:val="auto"/>
              </w:rPr>
            </w:pP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8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(48,257</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4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75,200</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51,400</w:t>
            </w:r>
          </w:p>
        </w:tc>
        <w:tc>
          <w:tcPr>
            <w:tcW w:w="100" w:type="dxa"/>
            <w:vAlign w:val="bottom"/>
            <w:shd w:val="clear" w:color="auto" w:fill="CFF0FC"/>
          </w:tcPr>
          <w:p>
            <w:pPr>
              <w:spacing w:after="0"/>
              <w:rPr>
                <w:sz w:val="20"/>
                <w:szCs w:val="20"/>
                <w:color w:val="auto"/>
              </w:rPr>
            </w:pPr>
          </w:p>
        </w:tc>
      </w:tr>
      <w:tr>
        <w:trPr>
          <w:trHeight w:val="220"/>
        </w:trPr>
        <w:tc>
          <w:tcPr>
            <w:tcW w:w="6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460" w:type="dxa"/>
            <w:vAlign w:val="bottom"/>
          </w:tcPr>
          <w:p>
            <w:pPr>
              <w:spacing w:after="0"/>
              <w:rPr>
                <w:sz w:val="19"/>
                <w:szCs w:val="19"/>
                <w:color w:val="auto"/>
              </w:rPr>
            </w:pPr>
          </w:p>
        </w:tc>
        <w:tc>
          <w:tcPr>
            <w:tcW w:w="1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(35,900 )</w:t>
            </w:r>
          </w:p>
        </w:tc>
        <w:tc>
          <w:tcPr>
            <w:tcW w:w="8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(57,100 )</w:t>
            </w:r>
          </w:p>
        </w:tc>
      </w:tr>
      <w:tr>
        <w:trPr>
          <w:trHeight w:val="239"/>
        </w:trPr>
        <w:tc>
          <w:tcPr>
            <w:tcW w:w="6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4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460" w:type="dxa"/>
            <w:vAlign w:val="bottom"/>
          </w:tcPr>
          <w:p>
            <w:pPr>
              <w:spacing w:after="0"/>
              <w:rPr>
                <w:sz w:val="19"/>
                <w:szCs w:val="19"/>
                <w:color w:val="auto"/>
              </w:rPr>
            </w:pPr>
          </w:p>
        </w:tc>
        <w:tc>
          <w:tcPr>
            <w:tcW w:w="1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(3,120 )</w:t>
            </w:r>
          </w:p>
        </w:tc>
        <w:tc>
          <w:tcPr>
            <w:tcW w:w="8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(2,738 )</w:t>
            </w:r>
          </w:p>
        </w:tc>
      </w:tr>
      <w:tr>
        <w:trPr>
          <w:trHeight w:val="239"/>
        </w:trPr>
        <w:tc>
          <w:tcPr>
            <w:tcW w:w="6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Repayments of notes payable</w:t>
            </w:r>
          </w:p>
        </w:tc>
        <w:tc>
          <w:tcPr>
            <w:tcW w:w="46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(500 )</w:t>
            </w:r>
          </w:p>
        </w:tc>
        <w:tc>
          <w:tcPr>
            <w:tcW w:w="8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financing fees paid</w:t>
            </w:r>
          </w:p>
        </w:tc>
        <w:tc>
          <w:tcPr>
            <w:tcW w:w="460" w:type="dxa"/>
            <w:vAlign w:val="bottom"/>
          </w:tcPr>
          <w:p>
            <w:pPr>
              <w:spacing w:after="0"/>
              <w:rPr>
                <w:sz w:val="19"/>
                <w:szCs w:val="19"/>
                <w:color w:val="auto"/>
              </w:rPr>
            </w:pPr>
          </w:p>
        </w:tc>
        <w:tc>
          <w:tcPr>
            <w:tcW w:w="1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(130 )</w:t>
            </w:r>
          </w:p>
        </w:tc>
        <w:tc>
          <w:tcPr>
            <w:tcW w:w="8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(801 )</w:t>
            </w:r>
          </w:p>
        </w:tc>
      </w:tr>
      <w:tr>
        <w:trPr>
          <w:trHeight w:val="239"/>
        </w:trPr>
        <w:tc>
          <w:tcPr>
            <w:tcW w:w="6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on capital leases and sale-leaseback financing liability</w:t>
            </w:r>
          </w:p>
        </w:tc>
        <w:tc>
          <w:tcPr>
            <w:tcW w:w="46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(600 )</w:t>
            </w:r>
          </w:p>
        </w:tc>
        <w:tc>
          <w:tcPr>
            <w:tcW w:w="8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(603 )</w:t>
            </w:r>
          </w:p>
        </w:tc>
      </w:tr>
      <w:tr>
        <w:trPr>
          <w:trHeight w:val="220"/>
        </w:trPr>
        <w:tc>
          <w:tcPr>
            <w:tcW w:w="6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Earnout payments</w:t>
            </w:r>
          </w:p>
        </w:tc>
        <w:tc>
          <w:tcPr>
            <w:tcW w:w="460" w:type="dxa"/>
            <w:vAlign w:val="bottom"/>
          </w:tcPr>
          <w:p>
            <w:pPr>
              <w:spacing w:after="0"/>
              <w:rPr>
                <w:sz w:val="19"/>
                <w:szCs w:val="19"/>
                <w:color w:val="auto"/>
              </w:rPr>
            </w:pPr>
          </w:p>
        </w:tc>
        <w:tc>
          <w:tcPr>
            <w:tcW w:w="18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(823 )</w:t>
            </w:r>
          </w:p>
        </w:tc>
      </w:tr>
      <w:tr>
        <w:trPr>
          <w:trHeight w:val="239"/>
        </w:trPr>
        <w:tc>
          <w:tcPr>
            <w:tcW w:w="6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employee stock purchase plan and exercise of stock options</w:t>
            </w:r>
          </w:p>
        </w:tc>
        <w:tc>
          <w:tcPr>
            <w:tcW w:w="4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FF0FC"/>
          </w:tcPr>
          <w:p>
            <w:pPr>
              <w:spacing w:after="0"/>
              <w:rPr>
                <w:sz w:val="20"/>
                <w:szCs w:val="20"/>
                <w:color w:val="auto"/>
              </w:rPr>
            </w:pPr>
          </w:p>
        </w:tc>
      </w:tr>
      <w:tr>
        <w:trPr>
          <w:trHeight w:val="220"/>
        </w:trPr>
        <w:tc>
          <w:tcPr>
            <w:tcW w:w="6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460" w:type="dxa"/>
            <w:vAlign w:val="bottom"/>
          </w:tcPr>
          <w:p>
            <w:pPr>
              <w:spacing w:after="0"/>
              <w:rPr>
                <w:sz w:val="19"/>
                <w:szCs w:val="19"/>
                <w:color w:val="auto"/>
              </w:rPr>
            </w:pPr>
          </w:p>
        </w:tc>
        <w:tc>
          <w:tcPr>
            <w:tcW w:w="1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(1,425 )</w:t>
            </w:r>
          </w:p>
        </w:tc>
        <w:tc>
          <w:tcPr>
            <w:tcW w:w="8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(107 )</w:t>
            </w:r>
          </w:p>
        </w:tc>
      </w:tr>
      <w:tr>
        <w:trPr>
          <w:trHeight w:val="230"/>
        </w:trPr>
        <w:tc>
          <w:tcPr>
            <w:tcW w:w="6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repurchases</w:t>
            </w:r>
          </w:p>
        </w:tc>
        <w:tc>
          <w:tcPr>
            <w:tcW w:w="4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(7,020 )</w:t>
            </w:r>
          </w:p>
        </w:tc>
        <w:tc>
          <w:tcPr>
            <w:tcW w:w="8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(5,014 )</w:t>
            </w:r>
          </w:p>
        </w:tc>
      </w:tr>
      <w:tr>
        <w:trPr>
          <w:trHeight w:val="23"/>
        </w:trPr>
        <w:tc>
          <w:tcPr>
            <w:tcW w:w="6860" w:type="dxa"/>
            <w:vAlign w:val="bottom"/>
            <w:shd w:val="clear" w:color="auto" w:fill="CFF0F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6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38,176</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(15,556 )</w:t>
            </w:r>
          </w:p>
        </w:tc>
      </w:tr>
      <w:tr>
        <w:trPr>
          <w:trHeight w:val="223"/>
        </w:trPr>
        <w:tc>
          <w:tcPr>
            <w:tcW w:w="6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14,590</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(5,816 )</w:t>
            </w:r>
          </w:p>
        </w:tc>
      </w:tr>
      <w:tr>
        <w:trPr>
          <w:trHeight w:val="233"/>
        </w:trPr>
        <w:tc>
          <w:tcPr>
            <w:tcW w:w="6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46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31,995</w:t>
            </w:r>
          </w:p>
        </w:tc>
        <w:tc>
          <w:tcPr>
            <w:tcW w:w="26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37,811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46,585</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31,995</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(received) during the period for:</w:t>
            </w: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6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w:t>
            </w: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5,007</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50"/>
        </w:trPr>
        <w:tc>
          <w:tcPr>
            <w:tcW w:w="6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w:t>
            </w:r>
          </w:p>
        </w:tc>
        <w:tc>
          <w:tcPr>
            <w:tcW w:w="460" w:type="dxa"/>
            <w:vAlign w:val="bottom"/>
            <w:tcBorders>
              <w:top w:val="single" w:sz="8" w:color="auto"/>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5,378</w:t>
            </w:r>
          </w:p>
        </w:tc>
        <w:tc>
          <w:tcPr>
            <w:tcW w:w="2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534"/>
        </w:trPr>
        <w:tc>
          <w:tcPr>
            <w:tcW w:w="68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-4293870</wp:posOffset>
            </wp:positionV>
            <wp:extent cx="6858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-4293870</wp:posOffset>
            </wp:positionV>
            <wp:extent cx="6858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-3394075</wp:posOffset>
            </wp:positionV>
            <wp:extent cx="6858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-3394075</wp:posOffset>
            </wp:positionV>
            <wp:extent cx="6858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-1636395</wp:posOffset>
            </wp:positionV>
            <wp:extent cx="6858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-1327785</wp:posOffset>
            </wp:positionV>
            <wp:extent cx="6858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-1028065</wp:posOffset>
            </wp:positionV>
            <wp:extent cx="68580"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-385445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-367665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40" w:type="dxa"/>
            <w:vAlign w:val="bottom"/>
            <w:gridSpan w:val="6"/>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7"/>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ratios)</w:t>
            </w:r>
          </w:p>
        </w:tc>
        <w:tc>
          <w:tcPr>
            <w:tcW w:w="3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income as reported in accordance with GAAP</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7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394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Operating margin in accordance with GAAP</w:t>
            </w:r>
          </w:p>
        </w:tc>
        <w:tc>
          <w:tcPr>
            <w:tcW w:w="32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7.2 %</w:t>
            </w:r>
          </w:p>
        </w:tc>
        <w:tc>
          <w:tcPr>
            <w:tcW w:w="124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5.7 %</w:t>
            </w:r>
          </w:p>
        </w:tc>
        <w:tc>
          <w:tcPr>
            <w:tcW w:w="38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5.3 %</w:t>
            </w:r>
          </w:p>
        </w:tc>
        <w:tc>
          <w:tcPr>
            <w:tcW w:w="36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3.1 %</w:t>
            </w:r>
          </w:p>
        </w:tc>
      </w:tr>
      <w:tr>
        <w:trPr>
          <w:trHeight w:val="238"/>
        </w:trPr>
        <w:tc>
          <w:tcPr>
            <w:tcW w:w="3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and earnout expenses</w:t>
            </w: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9"/>
        </w:trPr>
        <w:tc>
          <w:tcPr>
            <w:tcW w:w="3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Executive transition expenses</w:t>
            </w:r>
          </w:p>
        </w:tc>
        <w:tc>
          <w:tcPr>
            <w:tcW w:w="3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23"/>
        </w:trPr>
        <w:tc>
          <w:tcPr>
            <w:tcW w:w="3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Restructuring expenses</w:t>
            </w:r>
          </w:p>
        </w:tc>
        <w:tc>
          <w:tcPr>
            <w:tcW w:w="32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Non-GAAP operating income</w:t>
            </w:r>
          </w:p>
        </w:tc>
        <w:tc>
          <w:tcPr>
            <w:tcW w:w="320" w:type="dxa"/>
            <w:vAlign w:val="bottom"/>
            <w:tcBorders>
              <w:top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4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1079"/>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4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2"/>
        </w:trPr>
        <w:tc>
          <w:tcPr>
            <w:tcW w:w="394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Non-GAAP operating margin</w:t>
            </w:r>
          </w:p>
        </w:tc>
        <w:tc>
          <w:tcPr>
            <w:tcW w:w="32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9.5 %</w:t>
            </w:r>
          </w:p>
        </w:tc>
        <w:tc>
          <w:tcPr>
            <w:tcW w:w="12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8.2 %</w:t>
            </w:r>
          </w:p>
        </w:tc>
        <w:tc>
          <w:tcPr>
            <w:tcW w:w="3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8.2 %</w:t>
            </w:r>
          </w:p>
        </w:tc>
        <w:tc>
          <w:tcPr>
            <w:tcW w:w="3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5.9 %</w:t>
            </w:r>
          </w:p>
        </w:tc>
      </w:tr>
    </w:tbl>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0" w:type="dxa"/>
            <w:vAlign w:val="bottom"/>
            <w:gridSpan w:val="6"/>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00" w:type="dxa"/>
            <w:vAlign w:val="bottom"/>
          </w:tcPr>
          <w:p>
            <w:pPr>
              <w:spacing w:after="0"/>
              <w:rPr>
                <w:sz w:val="19"/>
                <w:szCs w:val="19"/>
                <w:color w:val="auto"/>
              </w:rPr>
            </w:pPr>
          </w:p>
        </w:tc>
        <w:tc>
          <w:tcPr>
            <w:tcW w:w="2700" w:type="dxa"/>
            <w:vAlign w:val="bottom"/>
            <w:gridSpan w:val="6"/>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7"/>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share data)</w:t>
            </w: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2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as reported in accordance with GAAP</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19"/>
                <w:szCs w:val="19"/>
                <w:color w:val="auto"/>
              </w:rPr>
            </w:pPr>
          </w:p>
        </w:tc>
      </w:tr>
      <w:tr>
        <w:trPr>
          <w:trHeight w:val="220"/>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and earnout expenses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9"/>
                <w:szCs w:val="19"/>
                <w:color w:val="auto"/>
              </w:rPr>
            </w:pPr>
          </w:p>
        </w:tc>
      </w:tr>
      <w:tr>
        <w:trPr>
          <w:trHeight w:val="239"/>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FF0FC"/>
          </w:tcPr>
          <w:p>
            <w:pPr>
              <w:spacing w:after="0"/>
              <w:rPr>
                <w:sz w:val="20"/>
                <w:szCs w:val="20"/>
                <w:color w:val="auto"/>
              </w:rPr>
            </w:pPr>
          </w:p>
        </w:tc>
      </w:tr>
      <w:tr>
        <w:trPr>
          <w:trHeight w:val="220"/>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Executive transition expenses</w:t>
            </w:r>
          </w:p>
        </w:tc>
        <w:tc>
          <w:tcPr>
            <w:tcW w:w="200" w:type="dxa"/>
            <w:vAlign w:val="bottom"/>
          </w:tcPr>
          <w:p>
            <w:pPr>
              <w:spacing w:after="0"/>
              <w:rPr>
                <w:sz w:val="19"/>
                <w:szCs w:val="19"/>
                <w:color w:val="auto"/>
              </w:rPr>
            </w:pP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Restructuring expenses</w:t>
            </w:r>
          </w:p>
        </w:tc>
        <w:tc>
          <w:tcPr>
            <w:tcW w:w="200" w:type="dxa"/>
            <w:vAlign w:val="bottom"/>
            <w:shd w:val="clear" w:color="auto" w:fill="CFF0FC"/>
          </w:tcPr>
          <w:p>
            <w:pPr>
              <w:spacing w:after="0"/>
              <w:rPr>
                <w:sz w:val="20"/>
                <w:szCs w:val="20"/>
                <w:color w:val="auto"/>
              </w:rPr>
            </w:pPr>
          </w:p>
        </w:tc>
        <w:tc>
          <w:tcPr>
            <w:tcW w:w="14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FF0FC"/>
          </w:tcPr>
          <w:p>
            <w:pPr>
              <w:spacing w:after="0"/>
              <w:rPr>
                <w:sz w:val="20"/>
                <w:szCs w:val="20"/>
                <w:color w:val="auto"/>
              </w:rPr>
            </w:pPr>
          </w:p>
        </w:tc>
      </w:tr>
      <w:tr>
        <w:trPr>
          <w:trHeight w:val="220"/>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Foreign currency remeasurement</w:t>
            </w:r>
          </w:p>
        </w:tc>
        <w:tc>
          <w:tcPr>
            <w:tcW w:w="2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9"/>
                <w:szCs w:val="19"/>
                <w:color w:val="auto"/>
              </w:rPr>
            </w:pPr>
          </w:p>
        </w:tc>
      </w:tr>
      <w:tr>
        <w:trPr>
          <w:trHeight w:val="233"/>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 benefit expense of adjustments</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(0.7 )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(2.8 )</w:t>
            </w:r>
          </w:p>
        </w:tc>
      </w:tr>
      <w:tr>
        <w:trPr>
          <w:trHeight w:val="220"/>
        </w:trPr>
        <w:tc>
          <w:tcPr>
            <w:tcW w:w="5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top w:val="single" w:sz="8" w:color="CFF0FC"/>
            </w:tcBorders>
          </w:tcPr>
          <w:p>
            <w:pPr>
              <w:spacing w:after="0"/>
              <w:rPr>
                <w:sz w:val="19"/>
                <w:szCs w:val="19"/>
                <w:color w:val="auto"/>
              </w:rPr>
            </w:pPr>
          </w:p>
        </w:tc>
      </w:tr>
      <w:tr>
        <w:trPr>
          <w:trHeight w:val="239"/>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Depreciation</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FF0FC"/>
          </w:tcPr>
          <w:p>
            <w:pPr>
              <w:spacing w:after="0"/>
              <w:rPr>
                <w:sz w:val="20"/>
                <w:szCs w:val="20"/>
                <w:color w:val="auto"/>
              </w:rPr>
            </w:pPr>
          </w:p>
        </w:tc>
      </w:tr>
      <w:tr>
        <w:trPr>
          <w:trHeight w:val="220"/>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9"/>
                <w:szCs w:val="19"/>
                <w:color w:val="auto"/>
              </w:rPr>
            </w:pPr>
          </w:p>
        </w:tc>
      </w:tr>
      <w:tr>
        <w:trPr>
          <w:trHeight w:val="239"/>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(5.6 )</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FF0FC"/>
          </w:tcPr>
          <w:p>
            <w:pPr>
              <w:spacing w:after="0"/>
              <w:rPr>
                <w:sz w:val="20"/>
                <w:szCs w:val="20"/>
                <w:color w:val="auto"/>
              </w:rPr>
            </w:pPr>
          </w:p>
        </w:tc>
      </w:tr>
      <w:tr>
        <w:trPr>
          <w:trHeight w:val="220"/>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9"/>
                <w:szCs w:val="19"/>
                <w:color w:val="auto"/>
              </w:rPr>
            </w:pPr>
          </w:p>
        </w:tc>
      </w:tr>
      <w:tr>
        <w:trPr>
          <w:trHeight w:val="239"/>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FF0FC"/>
          </w:tcPr>
          <w:p>
            <w:pPr>
              <w:spacing w:after="0"/>
              <w:rPr>
                <w:sz w:val="20"/>
                <w:szCs w:val="20"/>
                <w:color w:val="auto"/>
              </w:rPr>
            </w:pPr>
          </w:p>
        </w:tc>
      </w:tr>
      <w:tr>
        <w:trPr>
          <w:trHeight w:val="223"/>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9"/>
                <w:szCs w:val="19"/>
                <w:color w:val="auto"/>
              </w:rPr>
            </w:pPr>
          </w:p>
        </w:tc>
      </w:tr>
      <w:tr>
        <w:trPr>
          <w:trHeight w:val="230"/>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2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9"/>
                <w:szCs w:val="19"/>
                <w:color w:val="auto"/>
              </w:rPr>
            </w:pPr>
          </w:p>
        </w:tc>
      </w:tr>
      <w:tr>
        <w:trPr>
          <w:trHeight w:val="239"/>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FF0FC"/>
          </w:tcPr>
          <w:p>
            <w:pPr>
              <w:spacing w:after="0"/>
              <w:rPr>
                <w:sz w:val="20"/>
                <w:szCs w:val="20"/>
                <w:color w:val="auto"/>
              </w:rPr>
            </w:pPr>
          </w:p>
        </w:tc>
      </w:tr>
      <w:tr>
        <w:trPr>
          <w:trHeight w:val="230"/>
        </w:trPr>
        <w:tc>
          <w:tcPr>
            <w:tcW w:w="5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Non-GAAP net income per share:</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2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Pr>
          <w:p>
            <w:pPr>
              <w:spacing w:after="0"/>
              <w:rPr>
                <w:sz w:val="19"/>
                <w:szCs w:val="19"/>
                <w:color w:val="auto"/>
              </w:rPr>
            </w:pPr>
          </w:p>
        </w:tc>
      </w:tr>
      <w:tr>
        <w:trPr>
          <w:trHeight w:val="239"/>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-2348230</wp:posOffset>
            </wp:positionV>
            <wp:extent cx="7683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-2348230</wp:posOffset>
            </wp:positionV>
            <wp:extent cx="6858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-2348230</wp:posOffset>
            </wp:positionV>
            <wp:extent cx="6858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40" w:type="dxa"/>
            <w:vAlign w:val="bottom"/>
          </w:tcPr>
          <w:p>
            <w:pPr>
              <w:spacing w:after="0"/>
              <w:rPr>
                <w:sz w:val="19"/>
                <w:szCs w:val="19"/>
                <w:color w:val="auto"/>
              </w:rPr>
            </w:pP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7"/>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ratios)</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2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FF0FC"/>
          </w:tcPr>
          <w:p>
            <w:pPr>
              <w:spacing w:after="0"/>
              <w:rPr>
                <w:sz w:val="19"/>
                <w:szCs w:val="19"/>
                <w:color w:val="auto"/>
              </w:rPr>
            </w:pPr>
          </w:p>
        </w:tc>
      </w:tr>
      <w:tr>
        <w:trPr>
          <w:trHeight w:val="220"/>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Earnout payments (within operating activities)</w:t>
            </w:r>
          </w:p>
        </w:tc>
        <w:tc>
          <w:tcPr>
            <w:tcW w:w="94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9"/>
                <w:szCs w:val="19"/>
                <w:color w:val="auto"/>
              </w:rPr>
            </w:pPr>
          </w:p>
        </w:tc>
      </w:tr>
      <w:tr>
        <w:trPr>
          <w:trHeight w:val="233"/>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94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(1.0 )</w:t>
            </w:r>
          </w:p>
        </w:tc>
        <w:tc>
          <w:tcPr>
            <w:tcW w:w="110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w w:val="97"/>
              </w:rPr>
              <w:t>(0.9 )</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(3.4 )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(2.6 )</w:t>
            </w:r>
          </w:p>
        </w:tc>
      </w:tr>
      <w:tr>
        <w:trPr>
          <w:trHeight w:val="210"/>
        </w:trPr>
        <w:tc>
          <w:tcPr>
            <w:tcW w:w="5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9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40" w:type="dxa"/>
            <w:vAlign w:val="bottom"/>
            <w:tcBorders>
              <w:top w:val="single" w:sz="8" w:color="CFF0FC"/>
            </w:tcBorders>
          </w:tcPr>
          <w:p>
            <w:pPr>
              <w:spacing w:after="0"/>
              <w:rPr>
                <w:sz w:val="18"/>
                <w:szCs w:val="18"/>
                <w:color w:val="auto"/>
              </w:rPr>
            </w:pP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top w:val="single" w:sz="8" w:color="CFF0FC"/>
            </w:tcBorders>
          </w:tcPr>
          <w:p>
            <w:pPr>
              <w:spacing w:after="0"/>
              <w:rPr>
                <w:sz w:val="18"/>
                <w:szCs w:val="18"/>
                <w:color w:val="auto"/>
              </w:rPr>
            </w:pPr>
          </w:p>
        </w:tc>
      </w:tr>
      <w:tr>
        <w:trPr>
          <w:trHeight w:val="350"/>
        </w:trPr>
        <w:tc>
          <w:tcPr>
            <w:tcW w:w="50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-376555</wp:posOffset>
            </wp:positionV>
            <wp:extent cx="7747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-376555</wp:posOffset>
            </wp:positionV>
            <wp:extent cx="6858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-376555</wp:posOffset>
            </wp:positionV>
            <wp:extent cx="6858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117" w:right="29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REGARDING NON-GAAP FINANCIAL MEASURES</w:t>
      </w:r>
    </w:p>
    <w:p>
      <w:pPr>
        <w:spacing w:after="0" w:line="22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CECO is providing certain non-GAAP historical financial measures as presented above as we believe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accordance with GAAP.</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adjusted EBITDA and free cash flow, as we present them in the financial data included in this press release, have been adjusted to exclude the effects of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Management believes that these items are not necessarily indicative of the Company’s ongoing operations and their exclusion provides individuals with additional information to better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adjusted EBITDA and free cash flow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Regulation G issued by the Securities and Exchange Commission, non-GAAP operating income, non-GAAP net income, non-GAAP operating margin, non-GAAP earnings per basic and diluted share, adjusted EBITDA and free cash flow stated in the tables above are reconciled to the most directly comparable GAAP financial measures.</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Non-GAAP measures presented on a forward-looking basis were not reconciled to the comparable GAAP financial measures because the reconciliation could not be performed without unreasonable efforts. The GAAP measures are not accessible on a forward-looking basis because we are currently unable to predict with a reasonable degree of certainty the type and extent of certain items that would be expected to impact GAAP measures for these periods but would not impact the non-GAAP measures. Such items may include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The unavailable information could have a significant impact on our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2022 and may be included in subsequently filed Quarterly Reports on Form 10-Q, and include, but are not limited to: the sensitivity of our business to economic and financial market conditions generally and economic conditions in our service areas;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as a result of on-going or worsening supply chain challenges;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and rising energy costs; inflationary pressures relating to rising raw material costs and the cost of labor;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if any; our ability to successfully realize the expected benefits of our restructuring program; our ability to successfully integrate acquired businesses and realize the synergies from strategic transactions; and the unpredictability and severity of catastrophic events, including cyber security threats, acts of terrorism or outbreak of war or hostilities or public health crises,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2023-03-06T06:02:59Z</dcterms:created>
  <dcterms:modified xsi:type="dcterms:W3CDTF">2023-03-06T06:02:59Z</dcterms:modified>
</cp:coreProperties>
</file>