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146685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90"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8"/>
        </w:trPr>
        <w:tc>
          <w:tcPr>
            <w:tcW w:w="360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4"/>
        </w:trPr>
        <w:tc>
          <w:tcPr>
            <w:tcW w:w="36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1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8"/>
                <w:szCs w:val="18"/>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350" w:type="dxa"/>
        <w:tblCellMar>
          <w:top w:w="0" w:type="dxa"/>
          <w:left w:w="0" w:type="dxa"/>
          <w:bottom w:w="0" w:type="dxa"/>
          <w:right w:w="0" w:type="dxa"/>
        </w:tblCellMar>
      </w:tblPr>
      <w:tr>
        <w:trPr>
          <w:trHeight w:val="208"/>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CECE</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540"/>
        <w:spacing w:after="0" w:line="20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7" w:right="379" w:bottom="1440" w:gutter="0" w:footer="0" w:header="0"/>
        </w:sectPr>
      </w:pPr>
    </w:p>
    <w:bookmarkStart w:id="1" w:name="page2"/>
    <w:bookmarkEnd w:id="1"/>
    <w:p>
      <w:pPr>
        <w:ind w:right="24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Financial Officer</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CECO Environmental Corp. (“CECO” or the “Company”) announced today that Matthew Eckl, its Chief Financial Officer, will cease serving as the Company’s Chief Financial Officer, effective August 14, 2022, and will be leaving CECO effective August 20, 2022 (the “Effective Date”). Mr. Eckl has agreed to stay through the Effective Date in order to facilitate a smooth and orderly transition of his responsibilities and will continue to be compensated in accordance with existing arrangements until the Effective Date. In conjunction with his departure from the Company, it is anticipated that the Company and Mr. Eckl will enter into a written separation agreement and release providing for certain severance payments and benefits to Mr. Eckl and a general release of claims in favor of the Company, as provided under the terms of Mr. Eckl’s employment agreement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216" w:lineRule="exact"/>
        <w:rPr>
          <w:sz w:val="20"/>
          <w:szCs w:val="20"/>
          <w:color w:val="auto"/>
        </w:rPr>
      </w:pPr>
    </w:p>
    <w:p>
      <w:pPr>
        <w:ind w:right="20" w:firstLine="45"/>
        <w:spacing w:after="0" w:line="244" w:lineRule="auto"/>
        <w:rPr>
          <w:sz w:val="20"/>
          <w:szCs w:val="20"/>
          <w:color w:val="auto"/>
        </w:rPr>
      </w:pPr>
      <w:r>
        <w:rPr>
          <w:rFonts w:ascii="Times New Roman" w:cs="Times New Roman" w:eastAsia="Times New Roman" w:hAnsi="Times New Roman"/>
          <w:sz w:val="18"/>
          <w:szCs w:val="18"/>
          <w:color w:val="auto"/>
        </w:rPr>
        <w:t>Today CECO also announced the appointment of Peter K. Johansson, 58, as the Company’s Senior Vice President, Chief Financial and Strategy Officer, effective August 15, 2022. From April 2020 to the present, Mr. Johansson has been an 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new, product-line based operating model for an industry-leading portfolio of industrial air and gas compressors, broad pump solutions, rotary mixers, and valves. Prior to joining Accudyne, Mr. Johansson led the corporate, product-line, and M&amp;A growth strategy and implementation of a new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Johansson is a member of the board of directors of Canadian-based Loop Energy Inc, a Toronto Stock Exchange listed company.</w:t>
      </w:r>
    </w:p>
    <w:p>
      <w:pPr>
        <w:spacing w:after="0" w:line="2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Mr. Johansson’s appointment as the Company’s Senior Vice President, Chief Financial and Strategy Officer, in addition to customary employee benefits, Mr. Johansson will be eligible to receive the following compensation:</w:t>
      </w:r>
    </w:p>
    <w:p>
      <w:pPr>
        <w:spacing w:after="0" w:line="148" w:lineRule="exact"/>
        <w:rPr>
          <w:sz w:val="20"/>
          <w:szCs w:val="20"/>
          <w:color w:val="auto"/>
        </w:rPr>
      </w:pPr>
    </w:p>
    <w:p>
      <w:pPr>
        <w:ind w:left="880" w:hanging="15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base salary of $375,000 per year;</w:t>
      </w:r>
    </w:p>
    <w:p>
      <w:pPr>
        <w:spacing w:after="0" w:line="103" w:lineRule="exact"/>
        <w:rPr>
          <w:rFonts w:ascii="Times New Roman" w:cs="Times New Roman" w:eastAsia="Times New Roman" w:hAnsi="Times New Roman"/>
          <w:sz w:val="18"/>
          <w:szCs w:val="18"/>
          <w:color w:val="auto"/>
        </w:rPr>
      </w:pPr>
    </w:p>
    <w:p>
      <w:pPr>
        <w:ind w:right="340" w:firstLine="728"/>
        <w:spacing w:after="0" w:line="266" w:lineRule="auto"/>
        <w:tabs>
          <w:tab w:leader="none" w:pos="8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Company’s annual incentive program with a target opportunity equal to 60% of earned base wages (with actual payout ranging from 0-200% of target based on performance);</w:t>
      </w:r>
    </w:p>
    <w:p>
      <w:pPr>
        <w:spacing w:after="0" w:line="67" w:lineRule="exact"/>
        <w:rPr>
          <w:rFonts w:ascii="Times New Roman" w:cs="Times New Roman" w:eastAsia="Times New Roman" w:hAnsi="Times New Roman"/>
          <w:sz w:val="18"/>
          <w:szCs w:val="18"/>
          <w:color w:val="auto"/>
        </w:rPr>
      </w:pPr>
    </w:p>
    <w:p>
      <w:pPr>
        <w:ind w:right="340" w:firstLine="728"/>
        <w:spacing w:after="0" w:line="250" w:lineRule="auto"/>
        <w:tabs>
          <w:tab w:leader="none" w:pos="8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participation in the Company’s long-term equity program at a target value of $300,000, generally comprised of 50% target performance-based restricted stock units (generally vesting after a three-year performance period in the case of the 2022 grant) and 50% service-based restricted stock units (“RSUs”) (generally vesting in four equal annual installments in the case of the 2022 grant);</w:t>
      </w:r>
    </w:p>
    <w:p>
      <w:pPr>
        <w:spacing w:after="0" w:line="82" w:lineRule="exact"/>
        <w:rPr>
          <w:rFonts w:ascii="Times New Roman" w:cs="Times New Roman" w:eastAsia="Times New Roman" w:hAnsi="Times New Roman"/>
          <w:sz w:val="18"/>
          <w:szCs w:val="18"/>
          <w:color w:val="auto"/>
        </w:rPr>
      </w:pPr>
    </w:p>
    <w:p>
      <w:pPr>
        <w:ind w:left="880" w:hanging="15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cash bonus payment of $150,000 (subject to repayment for a voluntary termination within 12 months);</w:t>
      </w:r>
    </w:p>
    <w:p>
      <w:pPr>
        <w:spacing w:after="0" w:line="103" w:lineRule="exact"/>
        <w:rPr>
          <w:rFonts w:ascii="Times New Roman" w:cs="Times New Roman" w:eastAsia="Times New Roman" w:hAnsi="Times New Roman"/>
          <w:sz w:val="18"/>
          <w:szCs w:val="18"/>
          <w:color w:val="auto"/>
        </w:rPr>
      </w:pPr>
    </w:p>
    <w:p>
      <w:pPr>
        <w:ind w:right="280" w:firstLine="728"/>
        <w:spacing w:after="0" w:line="266" w:lineRule="auto"/>
        <w:tabs>
          <w:tab w:leader="none" w:pos="8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equity award of $150,000 in RSUs that will generally vest in substantially equal installments on the first four anniversaries of the grant date; and</w:t>
      </w:r>
    </w:p>
    <w:p>
      <w:pPr>
        <w:spacing w:after="0" w:line="67" w:lineRule="exact"/>
        <w:rPr>
          <w:rFonts w:ascii="Times New Roman" w:cs="Times New Roman" w:eastAsia="Times New Roman" w:hAnsi="Times New Roman"/>
          <w:sz w:val="18"/>
          <w:szCs w:val="18"/>
          <w:color w:val="auto"/>
        </w:rPr>
      </w:pPr>
    </w:p>
    <w:p>
      <w:pPr>
        <w:ind w:left="880" w:hanging="15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automobile allowance of $1,000.</w:t>
      </w:r>
    </w:p>
    <w:p>
      <w:pPr>
        <w:spacing w:after="0" w:line="21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In terms of severance benefits, in general, Mr. Johansson will participate in the Company’s Executive Change in Control Severance Plan as a Tier I participant. Under this program, as enhanced for his particular benefit, he will be eligible to receive certain accrued benefits, a lump sum payment of 12 months of his base salary, a pro-rated annual incentive payment for the year of termination based on actual performance, and (if continuation coverage is elected) up to one year of subsidized medical coverage if Mr. Johansson’s employment is terminated by the Company without cause or he terminates his employment for good reason. If such termination occurs in connection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ind w:right="180"/>
        <w:spacing w:after="0" w:line="250" w:lineRule="auto"/>
        <w:rPr>
          <w:sz w:val="20"/>
          <w:szCs w:val="20"/>
          <w:color w:val="auto"/>
        </w:rPr>
      </w:pPr>
      <w:r>
        <w:rPr>
          <w:rFonts w:ascii="Times New Roman" w:cs="Times New Roman" w:eastAsia="Times New Roman" w:hAnsi="Times New Roman"/>
          <w:sz w:val="18"/>
          <w:szCs w:val="18"/>
          <w:color w:val="auto"/>
        </w:rPr>
        <w:t>change in control of the Company, as described in the severance plan, Mr. Johansson will be eligible to receive the same benefits, except that his annual incentive payment will be made in full at the “target” level for the year of termination, he will receive up to $20,000 in executive outplacement services, and he may request that the Company transfer to him certain life insurance policies. A release of claims in favor of the Company will be required for Mr. Johansson to receive certain benefits under the severance plan, and participation requires compliance with customary restrictive covenants.</w:t>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There are no family relationships between Mr. Johansson and any director or other executive officer. Mr. Johansson has provided consulting services regarding the Company’s business strategy and since January 2022 has received a total of $210,000 in consulting fees. Upon his appointment as Chief Financial and Strategy Officer, the consulting arrangement was terminated. There are no arrangements or understandings between Mr. Johansson and any other persons pursuant to which he was selected as an 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8, 2022, the Company issued a press release announcing the departure of Mr. Eckl and the appointment of Mr. Johansson as described herein. A copy of the press release is attached as Exhibit 99.1 to this Current Report on Form 8-K and is incorporated herein by reference.</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including Exhibit 99.1 hereto, shall not be deemed to be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may be expressly set forth by specific reference in such filing.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200" w:type="dxa"/>
            <w:vAlign w:val="bottom"/>
            <w:gridSpan w:val="5"/>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Press Release, CECO Environmental Reports Second Quarter 2022 Results (incorporated by reference to exhibit 99.1 to the Company's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8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current report on Form 8-K filed with the SEC on August 8,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496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0"/>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128905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6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1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Chief Administrative &amp; Legal</w:t>
      </w:r>
    </w:p>
    <w:p>
      <w:pPr>
        <w:ind w:left="7220"/>
        <w:spacing w:after="0"/>
        <w:rPr>
          <w:sz w:val="20"/>
          <w:szCs w:val="20"/>
          <w:color w:val="auto"/>
        </w:rPr>
      </w:pPr>
      <w:r>
        <w:rPr>
          <w:rFonts w:ascii="Times New Roman" w:cs="Times New Roman" w:eastAsia="Times New Roman" w:hAnsi="Times New Roman"/>
          <w:sz w:val="18"/>
          <w:szCs w:val="18"/>
          <w:color w:val="auto"/>
        </w:rPr>
        <w:t>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8" Type="http://schemas.openxmlformats.org/officeDocument/2006/relationships/hyperlink" Target="https://www.sec.gov/Archives/edgar/data/3197/000095017022015239/cece-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2022-08-11T12:04:59Z</dcterms:created>
  <dcterms:modified xsi:type="dcterms:W3CDTF">2022-08-11T12:04:59Z</dcterms:modified>
</cp:coreProperties>
</file>