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57"/>
        </w:trPr>
        <w:tc>
          <w:tcPr>
            <w:tcW w:w="3600" w:type="dxa"/>
            <w:vAlign w:val="bottom"/>
          </w:tcPr>
          <w:p>
            <w:pPr>
              <w:jc w:val="center"/>
              <w:ind w:right="186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2"/>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9"/>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0"/>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4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July 30, 2024, CECO Environmental Corp. (the “Company”) issued a press release announcing its financial results for the second quarter ended June 30, 2024.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Second Quarter 2024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0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57"/>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July 30,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p>
    <w:p>
      <w:pPr>
        <w:spacing w:after="0" w:line="206" w:lineRule="exact"/>
        <w:rPr>
          <w:sz w:val="20"/>
          <w:szCs w:val="20"/>
          <w:color w:val="auto"/>
        </w:rPr>
      </w:pPr>
    </w:p>
    <w:p>
      <w:pPr>
        <w:jc w:val="cente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SECOND QUARTER 2024 RESULTS </w:t>
      </w:r>
      <w:r>
        <w:rPr>
          <w:rFonts w:ascii="Times New Roman" w:cs="Times New Roman" w:eastAsia="Times New Roman" w:hAnsi="Times New Roman"/>
          <w:sz w:val="18"/>
          <w:szCs w:val="18"/>
          <w:i w:val="1"/>
          <w:iCs w:val="1"/>
          <w:color w:val="auto"/>
        </w:rPr>
        <w:t>Record Revenue, Gross Profits, Gross Margins and EBITDA Closes Strategic Industrial Air Acquisition Raises Full Year Outlook</w:t>
      </w:r>
    </w:p>
    <w:p>
      <w:pPr>
        <w:spacing w:after="0" w:line="3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DALLAS (July 30, 2024) -- CECO Environmental Corp. (Nasdaq: CECO)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second quarter of 2024. In addition, CECO, announces the acquisition of EnviroCare International (ECI), a private designer and supplier of industrial exhaust air contamination treatment and control systems company, based in Northern California.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Summary</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$140.8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$390.9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$137.5 million, up 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$49.0 million, up 23 percent; Gross margins of 35.6 percent, up 480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$4.5 million, up 22 percent; non-GAAP net income of $7.4 million, up 42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$0.12; non-GAAP EPS (diluted) of $0.20, up 33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$16.1 million, up 18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$2.6 million, down $7.4 million</w:t>
      </w:r>
    </w:p>
    <w:p>
      <w:pPr>
        <w:spacing w:after="0" w:line="3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deliver strong results while maintaining our strategic investments and programmatic M&amp;A to advance our operating model as we pursue exciting growth opportunities across industrial air, industrial water and energy transition. During the quarter, we delivered several impressive financial records including our highest second quarter sales, gross profit, adjusted EBITDA dollars, and excellent year-over-year margin expansion,” said CECO’s Chief Executive Officer, Todd Gleason. “Our backlog remains near record levels and our year-to-date book-to-bill remains positive despite continued delays in larger projects and bookings in various energy and industrial markets. We believe the timing of these larger order pursuits to start booking in the second half of this year and continue throughout 2025. Our continued margin expansion coupled with our backlog and record pipeline of almost $4 billion reflect the capabilities and diversity we continue to strategically add to drive sustainable long-term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Second quarter operating income was $9.3 million, up $0.7 million or 8 percent when compared to $8.6 million in the second quarter 2023. On an adjusted basis, non-GAAP operating income was $12.6 million, up $1.2 million or 11 percent when compared to $11.4 million in the second quarter of 2023. Net income was $4.5 million in the quarter, up $0.8 million or 22 percent when compared to $3.7 million in the second quarter of 2023. Non-GAAP net income was $7.4 million, up $2.2 million or 42 percent when compared to $5.2 million in the second quarter of 2023. Adjusted EBITDA of $16.1 million, reflecting a margin of 11.7 percent, was up 18 percent compared to $13.7 million in the second quarter of 2023. Free cash flow in the quarter was $2.6 million, down $7.4 million compared to $10.0 million in the second quarter of 2023.</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pleased with our first half results as well as the addition of new leaders and capabilities across our operations and key functions which will drive additional improvements in 2024 and beyond. While bookings and sales have been somewhat hampered by delays in certain projects and customer programs, we have generated significantly more operating cash flow and stronger income conversion on our sales growth so far this year versus previous half years. For example, on approximately $22 million of sales growth year-to-date, we generated approximately $20 million of gross profits and around $6 million of adjusted EBITDA. These tremendous results are being driven by our operational excellence initiatives and our systematic portfolio transformation strategies. Additionally, our disciplined capital allocation approach has maintained a healthy balance sheet while repurchasing $5 million of stock in the first half – including $2 million during the second quarter. We believe our strong backlog and record sales pipeline, along with our ongoing process improvements, puts us in a great position as we enter the second half of the year,” added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Completes Acquisition of EnviroCare International and Raises 2024 Full Year Guidance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today announced it has completed the acquisition of EnviroCare International (ECI), based in Northern California. ECI is a leading designer and provider of industrial exhaust air contamination treatment and control systems, solutions and services across a wide range of industrial and municipal applications. Contaminants removed include volatile organic compounds (VOCs), airborne particulates, heavy metals, and acid gases. ECI has been providing its solutions to a wide range of heavy industry for over 40 years. The transaction closed in late July 2024 and ECI is expected to deliver full year 2024 sales of approximately $13 million with mid-teen EBITDA margins. The acquisition is expected to be accretive to the Company’s 2024 full year results, with approximately five months of ECI financials benefiting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raises its 2024 full year revenue guidance to reflect revenue between $600 and $620 million, up approximately 12 percent at the midpoint of the range, and adjusted EBITDA between $68 to $72 million, up approximately 21 percent year over year, at the midpoint of the range. The updated expected full year guidance compares to the previous outlook for revenues of between $590 to $610 million and adjusted EBITDA of between $67 to $70 million. The Company maintains its full year outlook for free cash flow of 50% to 70% of adjusted EBITDA.</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Gleason concluded, “This marks the second time we have raised guidance since introducing our full year 2024 outlook in November of 2023. I am pleased we continue to deliver on our financial commitments while maintaining investments in organic growth, operational excellence, portfolio transformation, M&amp;A, and talent. We are excited to welcome the ECI team, and well-positioned portfolio of solutions and services to CECO. Like our other successful acquisitions, we expect ECI will benefit from access to our global sales teams and focused investments to drive meaningful growth and operational excellence. In addition to EnviroCare, we continue to have a great pipeline of attractive M&amp;A opportunities under development that align with our programmatic M&amp;A strategy to acquire niche leadership companies that fit our operating model and high-performance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second quarter 2024 financial results. Please visit the Investor Relations portion of the website (https://investors.cecoenviro.com) to listen to the call via webcast. The conference call may also be accessed by visiting https://edge.media-server.com/mmc/p/i25y2kss.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https://edge.media-server.com/mmc/p/i25y2kss.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6"/>
                <w:szCs w:val="16"/>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allowances of $6,582 and $6,460</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126,974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211,144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598,133</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120,246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34,923,701 and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34,835,293 shares issued and outstanding at June 30, 2024 and December 31, 2023, respectively</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28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(394 )</w:t>
            </w:r>
          </w:p>
        </w:tc>
        <w:tc>
          <w:tcPr>
            <w:tcW w:w="1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r>
      <w:tr>
        <w:trPr>
          <w:trHeight w:val="24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(16,476 )</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37"/>
        </w:trPr>
        <w:tc>
          <w:tcPr>
            <w:tcW w:w="74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235,039</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20"/>
                <w:szCs w:val="20"/>
                <w:color w:val="auto"/>
              </w:rPr>
            </w:pPr>
          </w:p>
        </w:tc>
      </w:tr>
      <w:tr>
        <w:trPr>
          <w:trHeight w:val="277"/>
        </w:trPr>
        <w:tc>
          <w:tcPr>
            <w:tcW w:w="7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598,133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450"/>
        </w:trPr>
        <w:tc>
          <w:tcPr>
            <w:tcW w:w="7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-6445885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-6445885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-5202555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-5202555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-2999740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-1610995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-1293495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-967740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-950595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5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241,744</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167,034</w:t>
            </w:r>
          </w:p>
        </w:tc>
        <w:tc>
          <w:tcPr>
            <w:tcW w:w="100" w:type="dxa"/>
            <w:vAlign w:val="bottom"/>
          </w:tcPr>
          <w:p>
            <w:pPr>
              <w:spacing w:after="0"/>
              <w:rPr>
                <w:sz w:val="21"/>
                <w:szCs w:val="21"/>
                <w:color w:val="auto"/>
              </w:rPr>
            </w:pPr>
          </w:p>
        </w:tc>
      </w:tr>
      <w:tr>
        <w:trPr>
          <w:trHeight w:val="23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100" w:type="dxa"/>
            <w:vAlign w:val="bottom"/>
            <w:shd w:val="clear" w:color="auto" w:fill="CFF0FC"/>
          </w:tcPr>
          <w:p>
            <w:pPr>
              <w:spacing w:after="0"/>
              <w:rPr>
                <w:sz w:val="20"/>
                <w:szCs w:val="20"/>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55,644</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Borders>
              <w:top w:val="single" w:sz="8" w:color="CFF0FC"/>
            </w:tcBorders>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(679 )</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(2,192 )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(3,254 )</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(3,750 )</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(6,667 )</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(6,158 )</w:t>
            </w:r>
          </w:p>
        </w:tc>
      </w:tr>
      <w:tr>
        <w:trPr>
          <w:trHeight w:val="23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(445 )</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(266 )</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(1,029 )</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(759 )</w:t>
            </w:r>
          </w:p>
        </w:tc>
      </w:tr>
      <w:tr>
        <w:trPr>
          <w:trHeight w:val="237"/>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34,918,412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34,619,216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34,881,625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34,531,050</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36,302,664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35,143,782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36,239,331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35,171,727</w:t>
            </w:r>
          </w:p>
        </w:tc>
        <w:tc>
          <w:tcPr>
            <w:tcW w:w="100" w:type="dxa"/>
            <w:vAlign w:val="bottom"/>
            <w:shd w:val="clear" w:color="auto" w:fill="CFF0FC"/>
          </w:tcPr>
          <w:p>
            <w:pPr>
              <w:spacing w:after="0"/>
              <w:rPr>
                <w:sz w:val="21"/>
                <w:szCs w:val="21"/>
                <w:color w:val="auto"/>
              </w:rPr>
            </w:pPr>
          </w:p>
        </w:tc>
      </w:tr>
      <w:tr>
        <w:trPr>
          <w:trHeight w:val="979"/>
        </w:trPr>
        <w:tc>
          <w:tcPr>
            <w:tcW w:w="5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-2887980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-2887980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-2887980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-1619250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-1619250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-1302385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-1285240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-1302385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-1285240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-1302385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-1285240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26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(863 )</w:t>
            </w: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Bad debt expense (recoveries)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(23 )</w:t>
            </w: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(17,295 )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(39,181 )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10,610</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(5,151 )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(4,081 )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(11,164 )</w:t>
            </w:r>
          </w:p>
        </w:tc>
        <w:tc>
          <w:tcPr>
            <w:tcW w:w="7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(8,319 )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(412 )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13,719</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(2,692 )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26,005</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(6,967 )</w:t>
            </w:r>
          </w:p>
        </w:tc>
        <w:tc>
          <w:tcPr>
            <w:tcW w:w="7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(3,126 )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(611 )</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(7,233 )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(3,919 )</w:t>
            </w:r>
          </w:p>
        </w:tc>
      </w:tr>
      <w:tr>
        <w:trPr>
          <w:trHeight w:val="23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received (paid) for acquisitions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(24,142 )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(6,811 )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(28,061 )</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21,700</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65,300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(23,200 )</w:t>
            </w:r>
          </w:p>
        </w:tc>
        <w:tc>
          <w:tcPr>
            <w:tcW w:w="7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(33,400 )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(5,198 )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(1,652 )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(458 )</w:t>
            </w:r>
          </w:p>
        </w:tc>
        <w:tc>
          <w:tcPr>
            <w:tcW w:w="7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(450 )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(2,050 )</w:t>
            </w:r>
          </w:p>
        </w:tc>
        <w:tc>
          <w:tcPr>
            <w:tcW w:w="7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(857 )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(1,672 )</w:t>
            </w:r>
          </w:p>
        </w:tc>
        <w:tc>
          <w:tcPr>
            <w:tcW w:w="7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(1,105 )</w:t>
            </w:r>
          </w:p>
        </w:tc>
        <w:tc>
          <w:tcPr>
            <w:tcW w:w="7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(599 )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(5,000 )</w:t>
            </w:r>
          </w:p>
        </w:tc>
        <w:tc>
          <w:tcPr>
            <w:tcW w:w="7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(16,565 )</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29,498</w:t>
            </w:r>
          </w:p>
        </w:tc>
        <w:tc>
          <w:tcPr>
            <w:tcW w:w="100" w:type="dxa"/>
            <w:vAlign w:val="bottom"/>
            <w:shd w:val="clear" w:color="auto" w:fill="CFF0FC"/>
          </w:tcPr>
          <w:p>
            <w:pPr>
              <w:spacing w:after="0"/>
              <w:rPr>
                <w:sz w:val="19"/>
                <w:szCs w:val="19"/>
                <w:color w:val="auto"/>
              </w:rPr>
            </w:pP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(3,049 )</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9"/>
                <w:szCs w:val="19"/>
                <w:color w:val="auto"/>
              </w:rPr>
            </w:pP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(18,534 )</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Pr>
          <w:p>
            <w:pPr>
              <w:spacing w:after="0"/>
              <w:rPr>
                <w:sz w:val="19"/>
                <w:szCs w:val="19"/>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36,914</w:t>
            </w:r>
          </w:p>
        </w:tc>
        <w:tc>
          <w:tcPr>
            <w:tcW w:w="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6"/>
        </w:trPr>
        <w:tc>
          <w:tcPr>
            <w:tcW w:w="7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-4139565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-3539490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-1765300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-1156970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-1139190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-830580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9"/>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00" w:type="dxa"/>
            <w:vAlign w:val="bottom"/>
            <w:gridSpan w:val="11"/>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06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6.8 %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6.7 %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6.4 %</w:t>
            </w:r>
          </w:p>
        </w:tc>
        <w:tc>
          <w:tcPr>
            <w:tcW w:w="1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5.8 %</w:t>
            </w:r>
          </w:p>
        </w:tc>
      </w:tr>
      <w:tr>
        <w:trPr>
          <w:trHeight w:val="246"/>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20"/>
                <w:szCs w:val="20"/>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11.4</w:t>
            </w:r>
          </w:p>
        </w:tc>
        <w:tc>
          <w:tcPr>
            <w:tcW w:w="180" w:type="dxa"/>
            <w:vAlign w:val="bottom"/>
          </w:tcPr>
          <w:p>
            <w:pPr>
              <w:spacing w:after="0"/>
              <w:rPr>
                <w:sz w:val="20"/>
                <w:szCs w:val="20"/>
                <w:color w:val="auto"/>
              </w:rPr>
            </w:pPr>
          </w:p>
        </w:tc>
        <w:tc>
          <w:tcPr>
            <w:tcW w:w="80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9.2 %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8.8 %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8.6 %</w:t>
            </w:r>
          </w:p>
        </w:tc>
        <w:tc>
          <w:tcPr>
            <w:tcW w:w="1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r>
      <w:tr>
        <w:trPr>
          <w:trHeight w:val="661"/>
        </w:trPr>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11"/>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19"/>
                <w:szCs w:val="19"/>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Asbestos litigation expense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(0.9 )</w:t>
            </w:r>
          </w:p>
        </w:tc>
        <w:tc>
          <w:tcPr>
            <w:tcW w:w="60" w:type="dxa"/>
            <w:vAlign w:val="bottom"/>
          </w:tcPr>
          <w:p>
            <w:pPr>
              <w:spacing w:after="0"/>
              <w:rPr>
                <w:sz w:val="20"/>
                <w:szCs w:val="20"/>
                <w:color w:val="auto"/>
              </w:rPr>
            </w:pPr>
          </w:p>
        </w:tc>
      </w:tr>
      <w:tr>
        <w:trPr>
          <w:trHeight w:val="223"/>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3"/>
          </w:tcPr>
          <w:p>
            <w:pPr>
              <w:jc w:val="right"/>
              <w:ind w:right="155"/>
              <w:spacing w:after="0"/>
              <w:rPr>
                <w:sz w:val="20"/>
                <w:szCs w:val="20"/>
                <w:color w:val="auto"/>
              </w:rPr>
            </w:pPr>
            <w:r>
              <w:rPr>
                <w:rFonts w:ascii="Times New Roman" w:cs="Times New Roman" w:eastAsia="Times New Roman" w:hAnsi="Times New Roman"/>
                <w:sz w:val="16"/>
                <w:szCs w:val="16"/>
                <w:color w:val="auto"/>
              </w:rPr>
              <w:t>(1.0 )</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3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3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Adjusted EBITDA</w:t>
            </w: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9"/>
        </w:trPr>
        <w:tc>
          <w:tcPr>
            <w:tcW w:w="3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0.33</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67"/>
        </w:trPr>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11"/>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580" w:type="dxa"/>
            <w:vAlign w:val="bottom"/>
            <w:gridSpan w:val="3"/>
            <w:shd w:val="clear" w:color="auto" w:fill="CFF0FC"/>
          </w:tcPr>
          <w:p>
            <w:pPr>
              <w:jc w:val="right"/>
              <w:ind w:right="175"/>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
        </w:trPr>
        <w:tc>
          <w:tcPr>
            <w:tcW w:w="3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right w:val="single" w:sz="8" w:color="CFF0FC"/>
            </w:tcBorders>
            <w:gridSpan w:val="2"/>
            <w:shd w:val="clear" w:color="auto" w:fill="CFF0FC"/>
          </w:tcPr>
          <w:p>
            <w:pPr>
              <w:spacing w:after="0"/>
              <w:rPr>
                <w:sz w:val="19"/>
                <w:szCs w:val="19"/>
                <w:color w:val="auto"/>
              </w:rPr>
            </w:pPr>
          </w:p>
        </w:tc>
        <w:tc>
          <w:tcPr>
            <w:tcW w:w="2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1195"/>
        </w:trPr>
        <w:tc>
          <w:tcPr>
            <w:tcW w:w="3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-6068695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-6231255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-6231255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-6231255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-6231255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-3102610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-3102610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2023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identify acquisition targets, integrate acquired businesses and realize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2024-07-30T06:06:22Z</dcterms:created>
  <dcterms:modified xsi:type="dcterms:W3CDTF">2024-07-30T06:06:22Z</dcterms:modified>
</cp:coreProperties>
</file>