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CECO Environmental Corp.</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120" w:type="dxa"/>
        <w:tblCellMar>
          <w:top w:w="0" w:type="dxa"/>
          <w:left w:w="0" w:type="dxa"/>
          <w:bottom w:w="0" w:type="dxa"/>
          <w:right w:w="0" w:type="dxa"/>
        </w:tblCellMar>
      </w:tblPr>
      <w:tr>
        <w:trPr>
          <w:trHeight w:val="214"/>
        </w:trPr>
        <w:tc>
          <w:tcPr>
            <w:tcW w:w="364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20" w:type="dxa"/>
            <w:vAlign w:val="bottom"/>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w w:val="98"/>
              </w:rPr>
              <w:t>000-7099</w:t>
            </w:r>
          </w:p>
        </w:tc>
        <w:tc>
          <w:tcPr>
            <w:tcW w:w="2880" w:type="dxa"/>
            <w:vAlign w:val="bottom"/>
          </w:tcPr>
          <w:p>
            <w:pPr>
              <w:jc w:val="center"/>
              <w:ind w:left="1681"/>
              <w:spacing w:after="0"/>
              <w:rPr>
                <w:sz w:val="20"/>
                <w:szCs w:val="20"/>
                <w:color w:val="auto"/>
              </w:rPr>
            </w:pPr>
            <w:r>
              <w:rPr>
                <w:rFonts w:ascii="Times New Roman" w:cs="Times New Roman" w:eastAsia="Times New Roman" w:hAnsi="Times New Roman"/>
                <w:sz w:val="18"/>
                <w:szCs w:val="18"/>
                <w:b w:val="1"/>
                <w:bCs w:val="1"/>
                <w:color w:val="auto"/>
              </w:rPr>
              <w:t>13-2566064</w:t>
            </w:r>
          </w:p>
        </w:tc>
      </w:tr>
      <w:tr>
        <w:trPr>
          <w:trHeight w:val="149"/>
        </w:trPr>
        <w:tc>
          <w:tcPr>
            <w:tcW w:w="364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28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80" w:type="dxa"/>
            <w:vAlign w:val="bottom"/>
          </w:tcPr>
          <w:p>
            <w:pPr>
              <w:jc w:val="center"/>
              <w:ind w:left="16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80" w:type="dxa"/>
            <w:vAlign w:val="bottom"/>
          </w:tcPr>
          <w:p>
            <w:pPr>
              <w:jc w:val="center"/>
              <w:ind w:left="16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4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4625 Red Bank Road,</w:t>
            </w:r>
          </w:p>
        </w:tc>
        <w:tc>
          <w:tcPr>
            <w:tcW w:w="25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7"/>
        </w:trPr>
        <w:tc>
          <w:tcPr>
            <w:tcW w:w="364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Cincinnati, OH</w:t>
            </w:r>
          </w:p>
        </w:tc>
        <w:tc>
          <w:tcPr>
            <w:tcW w:w="2520" w:type="dxa"/>
            <w:vAlign w:val="bottom"/>
          </w:tcPr>
          <w:p>
            <w:pPr>
              <w:spacing w:after="0"/>
              <w:rPr>
                <w:sz w:val="19"/>
                <w:szCs w:val="19"/>
                <w:color w:val="auto"/>
              </w:rPr>
            </w:pPr>
          </w:p>
        </w:tc>
        <w:tc>
          <w:tcPr>
            <w:tcW w:w="2880" w:type="dxa"/>
            <w:vAlign w:val="bottom"/>
          </w:tcPr>
          <w:p>
            <w:pPr>
              <w:jc w:val="right"/>
              <w:ind w:right="1201"/>
              <w:spacing w:after="0"/>
              <w:rPr>
                <w:sz w:val="20"/>
                <w:szCs w:val="20"/>
                <w:color w:val="auto"/>
              </w:rPr>
            </w:pPr>
            <w:r>
              <w:rPr>
                <w:rFonts w:ascii="Times New Roman" w:cs="Times New Roman" w:eastAsia="Times New Roman" w:hAnsi="Times New Roman"/>
                <w:sz w:val="18"/>
                <w:szCs w:val="18"/>
                <w:b w:val="1"/>
                <w:bCs w:val="1"/>
                <w:color w:val="auto"/>
              </w:rPr>
              <w:t>45227</w:t>
            </w:r>
          </w:p>
        </w:tc>
      </w:tr>
      <w:tr>
        <w:trPr>
          <w:trHeight w:val="190"/>
        </w:trPr>
        <w:tc>
          <w:tcPr>
            <w:tcW w:w="36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28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(513) 458-2600</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bookmarkStart w:id="1" w:name="page2"/>
    <w:bookmarkEnd w:id="1"/>
    <w:p>
      <w:pPr>
        <w:ind w:left="1140" w:right="10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7" w:lineRule="exact"/>
        <w:rPr>
          <w:sz w:val="20"/>
          <w:szCs w:val="20"/>
          <w:color w:val="auto"/>
        </w:rPr>
      </w:pPr>
    </w:p>
    <w:p>
      <w:pPr>
        <w:ind w:right="80" w:firstLine="456"/>
        <w:spacing w:after="0" w:line="268" w:lineRule="auto"/>
        <w:rPr>
          <w:sz w:val="20"/>
          <w:szCs w:val="20"/>
          <w:color w:val="auto"/>
        </w:rPr>
      </w:pPr>
      <w:r>
        <w:rPr>
          <w:rFonts w:ascii="Times New Roman" w:cs="Times New Roman" w:eastAsia="Times New Roman" w:hAnsi="Times New Roman"/>
          <w:sz w:val="18"/>
          <w:szCs w:val="18"/>
          <w:color w:val="auto"/>
        </w:rPr>
        <w:t>On September 4, 2015, the Compensation Committee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CECO Environmental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consultation with Meridian Compensation Partners, LLC, the Committee’s independent compensation consultant, approved the following material executive compensation decisions and actions impacting the Company’s named executive officers:</w:t>
      </w:r>
    </w:p>
    <w:p>
      <w:pPr>
        <w:spacing w:after="0" w:line="76" w:lineRule="exact"/>
        <w:rPr>
          <w:sz w:val="20"/>
          <w:szCs w:val="20"/>
          <w:color w:val="auto"/>
        </w:rPr>
      </w:pPr>
    </w:p>
    <w:p>
      <w:pPr>
        <w:jc w:val="both"/>
        <w:ind w:left="900" w:right="120" w:hanging="325"/>
        <w:spacing w:after="0" w:line="268"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salary rate increases for Jeffrey Lang, the Company’s Chief Executive Officer and President (the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and Edward Prajzner, the Company’s Chief Financial Officer and Secretary (the “</w:t>
      </w:r>
      <w:r>
        <w:rPr>
          <w:rFonts w:ascii="Times New Roman" w:cs="Times New Roman" w:eastAsia="Times New Roman" w:hAnsi="Times New Roman"/>
          <w:sz w:val="18"/>
          <w:szCs w:val="18"/>
          <w:b w:val="1"/>
          <w:bCs w:val="1"/>
          <w:i w:val="1"/>
          <w:iCs w:val="1"/>
          <w:color w:val="auto"/>
        </w:rPr>
        <w:t>CFO</w:t>
      </w:r>
      <w:r>
        <w:rPr>
          <w:rFonts w:ascii="Times New Roman" w:cs="Times New Roman" w:eastAsia="Times New Roman" w:hAnsi="Times New Roman"/>
          <w:sz w:val="18"/>
          <w:szCs w:val="18"/>
          <w:color w:val="auto"/>
        </w:rPr>
        <w:t>”), from $460,000 to $575,000 and $250,000 to $300,000, respectively, effective as of September 3, 2015;</w:t>
      </w:r>
    </w:p>
    <w:p>
      <w:pPr>
        <w:spacing w:after="0" w:line="80"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annual cash incentive award opportunity increase for the CFO for 2015 from 40% of his pre-September 3, 2015 base salary rate to 50% of his new base salary rate, effective as of September 3, 2015;</w:t>
      </w:r>
    </w:p>
    <w:p>
      <w:pPr>
        <w:spacing w:after="0" w:line="63" w:lineRule="exact"/>
        <w:rPr>
          <w:rFonts w:ascii="Times New Roman" w:cs="Times New Roman" w:eastAsia="Times New Roman" w:hAnsi="Times New Roman"/>
          <w:sz w:val="18"/>
          <w:szCs w:val="18"/>
          <w:color w:val="auto"/>
        </w:rPr>
      </w:pPr>
    </w:p>
    <w:p>
      <w:pPr>
        <w:ind w:left="900" w:right="400" w:hanging="325"/>
        <w:spacing w:after="0" w:line="286"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as of September 4, 2015 of 52,687 service-based, share-settled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to the CEO, with such RSUs vesting on March 1, 2020 and entitled to dividend equivalents if earned;</w:t>
      </w:r>
    </w:p>
    <w:p>
      <w:pPr>
        <w:spacing w:after="0" w:line="60" w:lineRule="exact"/>
        <w:rPr>
          <w:rFonts w:ascii="Times New Roman" w:cs="Times New Roman" w:eastAsia="Times New Roman" w:hAnsi="Times New Roman"/>
          <w:sz w:val="18"/>
          <w:szCs w:val="18"/>
          <w:color w:val="auto"/>
        </w:rPr>
      </w:pPr>
    </w:p>
    <w:p>
      <w:pPr>
        <w:ind w:left="900" w:right="20" w:hanging="325"/>
        <w:spacing w:after="0" w:line="26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as of September 4, 2015 of 52,687 performance-based, share-settled restricted stock units (“</w:t>
      </w:r>
      <w:r>
        <w:rPr>
          <w:rFonts w:ascii="Times New Roman" w:cs="Times New Roman" w:eastAsia="Times New Roman" w:hAnsi="Times New Roman"/>
          <w:sz w:val="18"/>
          <w:szCs w:val="18"/>
          <w:b w:val="1"/>
          <w:bCs w:val="1"/>
          <w:i w:val="1"/>
          <w:iCs w:val="1"/>
          <w:color w:val="auto"/>
        </w:rPr>
        <w:t>PRSUs</w:t>
      </w:r>
      <w:r>
        <w:rPr>
          <w:rFonts w:ascii="Times New Roman" w:cs="Times New Roman" w:eastAsia="Times New Roman" w:hAnsi="Times New Roman"/>
          <w:sz w:val="18"/>
          <w:szCs w:val="18"/>
          <w:color w:val="auto"/>
        </w:rPr>
        <w:t>”) to the CEO, with such PRSUs vesting based on the degree to which the Company achieves a 2017 earnings before interest, taxes, depreciation and amortization performance goal, subject to additional service-based vesting in two substantially equal installments on March 15, 2018 and 2019, and entitled to dividend equivalents if earned;</w:t>
      </w:r>
    </w:p>
    <w:p>
      <w:pPr>
        <w:spacing w:after="0" w:line="86" w:lineRule="exact"/>
        <w:rPr>
          <w:rFonts w:ascii="Times New Roman" w:cs="Times New Roman" w:eastAsia="Times New Roman" w:hAnsi="Times New Roman"/>
          <w:sz w:val="18"/>
          <w:szCs w:val="18"/>
          <w:color w:val="auto"/>
        </w:rPr>
      </w:pPr>
    </w:p>
    <w:p>
      <w:pPr>
        <w:ind w:left="900" w:right="440" w:hanging="325"/>
        <w:spacing w:after="0" w:line="266"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as of September 4, 2015 of 12,500 RSUs to the CFO and 2,000 RSUs to Benton Cook, the Company’s Vice President of Finance and Controller (the “</w:t>
      </w:r>
      <w:r>
        <w:rPr>
          <w:rFonts w:ascii="Times New Roman" w:cs="Times New Roman" w:eastAsia="Times New Roman" w:hAnsi="Times New Roman"/>
          <w:sz w:val="18"/>
          <w:szCs w:val="18"/>
          <w:b w:val="1"/>
          <w:bCs w:val="1"/>
          <w:i w:val="1"/>
          <w:iCs w:val="1"/>
          <w:color w:val="auto"/>
        </w:rPr>
        <w:t>VP Finance</w:t>
      </w:r>
      <w:r>
        <w:rPr>
          <w:rFonts w:ascii="Times New Roman" w:cs="Times New Roman" w:eastAsia="Times New Roman" w:hAnsi="Times New Roman"/>
          <w:sz w:val="18"/>
          <w:szCs w:val="18"/>
          <w:color w:val="auto"/>
        </w:rPr>
        <w:t>”), with such RSUs vesting in 25% increments after two and three years, respectively, and the remaining RSUs vesting after four years, and entitled to dividend equivalents if earned;</w:t>
      </w:r>
    </w:p>
    <w:p>
      <w:pPr>
        <w:spacing w:after="0" w:line="77" w:lineRule="exact"/>
        <w:rPr>
          <w:rFonts w:ascii="Times New Roman" w:cs="Times New Roman" w:eastAsia="Times New Roman" w:hAnsi="Times New Roman"/>
          <w:sz w:val="18"/>
          <w:szCs w:val="18"/>
          <w:color w:val="auto"/>
        </w:rPr>
      </w:pPr>
    </w:p>
    <w:p>
      <w:pPr>
        <w:ind w:left="900" w:right="180" w:hanging="325"/>
        <w:spacing w:after="0" w:line="268"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as of September 4, 2015 of 4,000 stock options (“</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to the VP Finance at an exercise price of $9.44 per share, with such Options vesting and becoming exercisable in four substantially equal installments after the first four years, respectively, and generally having a ten-year term; and</w:t>
      </w:r>
    </w:p>
    <w:p>
      <w:pPr>
        <w:spacing w:after="0" w:line="80"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as of September 4, 2015 of 7,376 RSUs to Jason DeZwirek, the Company’s Chairman of the Board (and each of the other members of the Board), with such RSUs vesting in four substantially equal installments after the first four years, respectively, and entitled to dividend equivalents if earned.</w:t>
      </w:r>
    </w:p>
    <w:p>
      <w:pPr>
        <w:sectPr>
          <w:pgSz w:w="11900" w:h="16838" w:orient="portrait"/>
          <w:cols w:equalWidth="0" w:num="1">
            <w:col w:w="11400"/>
          </w:cols>
          <w:pgMar w:left="240" w:top="266" w:right="2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Edward J. Prajzner</w:t>
            </w:r>
          </w:p>
        </w:tc>
        <w:tc>
          <w:tcPr>
            <w:tcW w:w="0" w:type="dxa"/>
            <w:vAlign w:val="bottom"/>
          </w:tcPr>
          <w:p>
            <w:pPr>
              <w:spacing w:after="0"/>
              <w:rPr>
                <w:sz w:val="1"/>
                <w:szCs w:val="1"/>
                <w:color w:val="auto"/>
              </w:rPr>
            </w:pPr>
          </w:p>
        </w:tc>
      </w:tr>
      <w:tr>
        <w:trPr>
          <w:trHeight w:val="27"/>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40" w:type="dxa"/>
            <w:vAlign w:val="bottom"/>
            <w:vMerge w:val="continue"/>
          </w:tcPr>
          <w:p>
            <w:pPr>
              <w:spacing w:after="0"/>
              <w:rPr>
                <w:sz w:val="16"/>
                <w:szCs w:val="16"/>
                <w:color w:val="auto"/>
              </w:rPr>
            </w:pPr>
          </w:p>
        </w:tc>
        <w:tc>
          <w:tcPr>
            <w:tcW w:w="40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Edward J. Prajzner</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 and Secretary</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10, 2015</w:t>
      </w:r>
    </w:p>
    <w:sectPr>
      <w:pgSz w:w="11900" w:h="16838" w:orient="portrait"/>
      <w:cols w:equalWidth="0" w:num="1">
        <w:col w:w="11420"/>
      </w:cols>
      <w:pgMar w:left="240" w:top="2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2020-01-24T16:09:37Z</dcterms:created>
  <dcterms:modified xsi:type="dcterms:W3CDTF">2020-01-24T16:09:37Z</dcterms:modified>
</cp:coreProperties>
</file>