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54286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428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Mannarino Claudio A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5080 SPECTRUM DRIVE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800E</w:t>
      </w:r>
    </w:p>
    <w:p>
      <w:pPr>
        <w:spacing w:after="0" w:line="28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ADDISON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75001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22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CECO ENVIRONMENTAL CORP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CECO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shd w:val="clear" w:color="auto" w:fill="0000E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1"/>
                <w:szCs w:val="21"/>
                <w:color w:val="auto"/>
              </w:rPr>
              <w:t>]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38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30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1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4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7,759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41.9785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89,830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11,801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41.2469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(2)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78,029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440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40.4109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4"/>
              </w:rPr>
              <w:t>77,589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40" w:type="dxa"/>
            <w:vAlign w:val="bottom"/>
            <w:gridSpan w:val="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6,006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6,006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-2113915</wp:posOffset>
            </wp:positionV>
            <wp:extent cx="29210" cy="21189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89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$41.54 to $42.54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$40.56 to $41.53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6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reflects the weighted average sale price for multiple transactions that ranged from $40.41 to $41.42 per share. The Reporting Person undertakes to provide, upon request by the Commission Staff, the Issuer or a security holder of the Issuer, full information regarding the number of shares sold at each separate price.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40" w:firstLine="3"/>
        <w:spacing w:after="0" w:line="260" w:lineRule="auto"/>
        <w:tabs>
          <w:tab w:leader="none" w:pos="17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restricted stock units granted under the CECO Environmental Corp. Deferred Compensation Plan for Non-Employee Directors. Each restricted stock unit represents a contingent right to receive one share of the Company's common stock.</w:t>
      </w:r>
    </w:p>
    <w:p>
      <w:pPr>
        <w:spacing w:after="0" w:line="1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Conversion of restricted stock units to the Company's common stock and distribution of such stock under the Deferred Compensation Plan is deferred until termination of service as a Company director.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Kiril Kovachev as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08/01/2025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-26670</wp:posOffset>
            </wp:positionV>
            <wp:extent cx="13563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Claudio Mannarino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4189730</wp:posOffset>
            </wp:positionH>
            <wp:positionV relativeFrom="paragraph">
              <wp:posOffset>-19685</wp:posOffset>
            </wp:positionV>
            <wp:extent cx="132334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3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5588000</wp:posOffset>
            </wp:positionH>
            <wp:positionV relativeFrom="paragraph">
              <wp:posOffset>-85725</wp:posOffset>
            </wp:positionV>
            <wp:extent cx="49022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2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378778" TargetMode="External"/><Relationship Id="rId14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2025-08-01T10:33:33Z</dcterms:created>
  <dcterms:modified xsi:type="dcterms:W3CDTF">2025-08-01T10:33:33Z</dcterms:modified>
</cp:coreProperties>
</file>