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DEZWIREK JASON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2300 YONGE STREET, SUITE 1710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TORONTO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A6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M4P 1E4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8"/>
                </w:rPr>
                <w:t>CECO ENVIRONMENTAL CORP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CECE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]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08/06/2020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159385</wp:posOffset>
            </wp:positionV>
            <wp:extent cx="6964045" cy="21913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2191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Icarus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08/06/2020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P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7.6561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2,759,546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Icarus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08/07/2020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P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8.0025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2,770,546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1,490,988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reflects a weighted average price for multiple transactions that ranged from $7.515 to $7.8756 per share. The Reporting Person undertakes to provide, upon request by the Commission Staff, the Issuer or a security holder of the Issuer, full information regarding the number of shares sold at each separate price.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Filer is an officer of Icarus Investment Corp. and disclaims beneficial ownership except to the extent of his pecuniary interest therein.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reflects a weighted average price for multiple transactions that ranged from $7.9900 to $8.0396 per share. The Reporting Person undertakes to provide, upon request by the Commission Staff, the Issuer or a security holder of the Issuer, full information regarding the number of shares sold at each separate price.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Paul M. Gohr,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08/10/2020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35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Jason DeZwirek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902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0946589" TargetMode="External"/><Relationship Id="rId14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2020-08-10T08:09:56Z</dcterms:created>
  <dcterms:modified xsi:type="dcterms:W3CDTF">2020-08-10T08:09:56Z</dcterms:modified>
</cp:coreProperties>
</file>