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480" w:hanging="459"/>
        <w:spacing w:after="0"/>
        <w:tabs>
          <w:tab w:leader="none" w:pos="4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jc w:val="center"/>
        <w:ind w:right="-39"/>
        <w:spacing w:after="0" w:line="235" w:lineRule="auto"/>
        <w:rPr>
          <w:sz w:val="20"/>
          <w:szCs w:val="20"/>
          <w:color w:val="auto"/>
        </w:rPr>
      </w:pPr>
      <w:r>
        <w:rPr>
          <w:rFonts w:ascii="Times New Roman" w:cs="Times New Roman" w:eastAsia="Times New Roman" w:hAnsi="Times New Roman"/>
          <w:sz w:val="18"/>
          <w:szCs w:val="18"/>
          <w:b w:val="1"/>
          <w:bCs w:val="1"/>
          <w:color w:val="auto"/>
        </w:rPr>
        <w:t>or</w:t>
      </w:r>
    </w:p>
    <w:p>
      <w:pPr>
        <w:ind w:left="480" w:hanging="459"/>
        <w:spacing w:after="0"/>
        <w:tabs>
          <w:tab w:leader="none" w:pos="48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2" w:lineRule="exact"/>
        <w:rPr>
          <w:sz w:val="24"/>
          <w:szCs w:val="24"/>
          <w:color w:val="auto"/>
        </w:rPr>
      </w:pPr>
    </w:p>
    <w:p>
      <w:pPr>
        <w:ind w:left="3360"/>
        <w:spacing w:after="0"/>
        <w:tabs>
          <w:tab w:leader="none" w:pos="66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3604895</wp:posOffset>
            </wp:positionH>
            <wp:positionV relativeFrom="paragraph">
              <wp:posOffset>-17780</wp:posOffset>
            </wp:positionV>
            <wp:extent cx="6000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No. 0-07099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4"/>
          <w:szCs w:val="34"/>
          <w:b w:val="1"/>
          <w:bCs w:val="1"/>
          <w:color w:val="auto"/>
        </w:rPr>
        <w:t>CECO ENVIRONMENTAL CORP.</w:t>
      </w:r>
    </w:p>
    <w:p>
      <w:pPr>
        <w:spacing w:after="0" w:line="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7" w:lineRule="exact"/>
        <w:rPr>
          <w:sz w:val="24"/>
          <w:szCs w:val="24"/>
          <w:color w:val="auto"/>
        </w:rPr>
      </w:pPr>
    </w:p>
    <w:tbl>
      <w:tblPr>
        <w:tblLayout w:type="fixed"/>
        <w:tblInd w:w="1580" w:type="dxa"/>
        <w:tblCellMar>
          <w:top w:w="0" w:type="dxa"/>
          <w:left w:w="0" w:type="dxa"/>
          <w:bottom w:w="0" w:type="dxa"/>
          <w:right w:w="0" w:type="dxa"/>
        </w:tblCellMar>
      </w:tblPr>
      <w:tr>
        <w:trPr>
          <w:trHeight w:val="227"/>
        </w:trPr>
        <w:tc>
          <w:tcPr>
            <w:tcW w:w="4360" w:type="dxa"/>
            <w:vAlign w:val="bottom"/>
          </w:tcPr>
          <w:p>
            <w:pPr>
              <w:jc w:val="center"/>
              <w:ind w:right="191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13-2566064</w:t>
            </w:r>
          </w:p>
        </w:tc>
        <w:tc>
          <w:tcPr>
            <w:tcW w:w="0" w:type="dxa"/>
            <w:vAlign w:val="bottom"/>
          </w:tcPr>
          <w:p>
            <w:pPr>
              <w:spacing w:after="0"/>
              <w:rPr>
                <w:sz w:val="1"/>
                <w:szCs w:val="1"/>
                <w:color w:val="auto"/>
              </w:rPr>
            </w:pPr>
          </w:p>
        </w:tc>
      </w:tr>
      <w:tr>
        <w:trPr>
          <w:trHeight w:val="148"/>
        </w:trPr>
        <w:tc>
          <w:tcPr>
            <w:tcW w:w="4360" w:type="dxa"/>
            <w:vAlign w:val="bottom"/>
          </w:tcPr>
          <w:p>
            <w:pPr>
              <w:jc w:val="center"/>
              <w:ind w:right="191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20" w:type="dxa"/>
            <w:vAlign w:val="bottom"/>
          </w:tcPr>
          <w:p>
            <w:pPr>
              <w:jc w:val="center"/>
              <w:ind w:left="19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360" w:type="dxa"/>
            <w:vAlign w:val="bottom"/>
          </w:tcPr>
          <w:p>
            <w:pPr>
              <w:jc w:val="center"/>
              <w:ind w:right="191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20" w:type="dxa"/>
            <w:vAlign w:val="bottom"/>
          </w:tcPr>
          <w:p>
            <w:pPr>
              <w:jc w:val="center"/>
              <w:ind w:left="190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66"/>
        </w:trPr>
        <w:tc>
          <w:tcPr>
            <w:tcW w:w="4360" w:type="dxa"/>
            <w:vAlign w:val="bottom"/>
          </w:tcPr>
          <w:p>
            <w:pPr>
              <w:jc w:val="center"/>
              <w:ind w:right="1918"/>
              <w:spacing w:after="0"/>
              <w:rPr>
                <w:sz w:val="20"/>
                <w:szCs w:val="20"/>
                <w:color w:val="auto"/>
              </w:rPr>
            </w:pPr>
            <w:r>
              <w:rPr>
                <w:rFonts w:ascii="Times New Roman" w:cs="Times New Roman" w:eastAsia="Times New Roman" w:hAnsi="Times New Roman"/>
                <w:sz w:val="18"/>
                <w:szCs w:val="18"/>
                <w:b w:val="1"/>
                <w:bCs w:val="1"/>
                <w:color w:val="auto"/>
                <w:w w:val="99"/>
              </w:rPr>
              <w:t>14651 North Dallas Parkway</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360" w:type="dxa"/>
            <w:vAlign w:val="bottom"/>
          </w:tcPr>
          <w:p>
            <w:pPr>
              <w:jc w:val="center"/>
              <w:ind w:right="1918"/>
              <w:spacing w:after="0" w:line="189" w:lineRule="exact"/>
              <w:rPr>
                <w:sz w:val="20"/>
                <w:szCs w:val="20"/>
                <w:color w:val="auto"/>
              </w:rPr>
            </w:pPr>
            <w:r>
              <w:rPr>
                <w:rFonts w:ascii="Times New Roman" w:cs="Times New Roman" w:eastAsia="Times New Roman" w:hAnsi="Times New Roman"/>
                <w:sz w:val="18"/>
                <w:szCs w:val="18"/>
                <w:b w:val="1"/>
                <w:bCs w:val="1"/>
                <w:color w:val="auto"/>
              </w:rPr>
              <w:t>Suite 500</w:t>
            </w:r>
          </w:p>
        </w:tc>
        <w:tc>
          <w:tcPr>
            <w:tcW w:w="3120" w:type="dxa"/>
            <w:vAlign w:val="bottom"/>
            <w:vMerge w:val="restart"/>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75254</w:t>
            </w:r>
          </w:p>
        </w:tc>
        <w:tc>
          <w:tcPr>
            <w:tcW w:w="0" w:type="dxa"/>
            <w:vAlign w:val="bottom"/>
          </w:tcPr>
          <w:p>
            <w:pPr>
              <w:spacing w:after="0"/>
              <w:rPr>
                <w:sz w:val="1"/>
                <w:szCs w:val="1"/>
                <w:color w:val="auto"/>
              </w:rPr>
            </w:pPr>
          </w:p>
        </w:tc>
      </w:tr>
      <w:tr>
        <w:trPr>
          <w:trHeight w:val="227"/>
        </w:trPr>
        <w:tc>
          <w:tcPr>
            <w:tcW w:w="4360" w:type="dxa"/>
            <w:vAlign w:val="bottom"/>
          </w:tcPr>
          <w:p>
            <w:pPr>
              <w:jc w:val="center"/>
              <w:ind w:right="1878"/>
              <w:spacing w:after="0"/>
              <w:rPr>
                <w:sz w:val="20"/>
                <w:szCs w:val="20"/>
                <w:color w:val="auto"/>
              </w:rPr>
            </w:pPr>
            <w:r>
              <w:rPr>
                <w:rFonts w:ascii="Times New Roman" w:cs="Times New Roman" w:eastAsia="Times New Roman" w:hAnsi="Times New Roman"/>
                <w:sz w:val="18"/>
                <w:szCs w:val="18"/>
                <w:b w:val="1"/>
                <w:bCs w:val="1"/>
                <w:color w:val="auto"/>
                <w:w w:val="97"/>
              </w:rPr>
              <w:t>Dallas, Texas</w:t>
            </w:r>
          </w:p>
        </w:tc>
        <w:tc>
          <w:tcPr>
            <w:tcW w:w="3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360" w:type="dxa"/>
            <w:vAlign w:val="bottom"/>
          </w:tcPr>
          <w:p>
            <w:pPr>
              <w:jc w:val="center"/>
              <w:ind w:right="189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20" w:type="dxa"/>
            <w:vAlign w:val="bottom"/>
          </w:tcPr>
          <w:p>
            <w:pPr>
              <w:jc w:val="center"/>
              <w:ind w:left="190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17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357-6181</w:t>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bl>
      <w:tblPr>
        <w:tblLayout w:type="fixed"/>
        <w:tblInd w:w="670" w:type="dxa"/>
        <w:tblCellMar>
          <w:top w:w="0" w:type="dxa"/>
          <w:left w:w="0" w:type="dxa"/>
          <w:bottom w:w="0" w:type="dxa"/>
          <w:right w:w="0" w:type="dxa"/>
        </w:tblCellMar>
      </w:tblPr>
      <w:tr>
        <w:trPr>
          <w:trHeight w:val="216"/>
        </w:trPr>
        <w:tc>
          <w:tcPr>
            <w:tcW w:w="3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w:t>
            </w:r>
          </w:p>
        </w:tc>
        <w:tc>
          <w:tcPr>
            <w:tcW w:w="3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0"/>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CECE</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90" w:lineRule="exact"/>
        <w:rPr>
          <w:sz w:val="24"/>
          <w:szCs w:val="24"/>
          <w:color w:val="auto"/>
        </w:rPr>
      </w:pPr>
    </w:p>
    <w:p>
      <w:pPr>
        <w:ind w:right="200"/>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6" w:lineRule="exact"/>
        <w:rPr>
          <w:sz w:val="24"/>
          <w:szCs w:val="24"/>
          <w:color w:val="auto"/>
        </w:rPr>
      </w:pPr>
    </w:p>
    <w:p>
      <w:pPr>
        <w:ind w:right="80"/>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6" w:lineRule="exact"/>
        <w:rPr>
          <w:sz w:val="24"/>
          <w:szCs w:val="24"/>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1"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2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164" w:lineRule="exact"/>
        <w:rPr>
          <w:sz w:val="24"/>
          <w:szCs w:val="24"/>
          <w:color w:val="auto"/>
        </w:rPr>
      </w:pPr>
    </w:p>
    <w:p>
      <w:pPr>
        <w:ind w:right="120"/>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7" w:lineRule="exact"/>
        <w:rPr>
          <w:sz w:val="24"/>
          <w:szCs w:val="24"/>
          <w:color w:val="auto"/>
        </w:rPr>
      </w:pPr>
    </w:p>
    <w:p>
      <w:pPr>
        <w:spacing w:after="0" w:line="207" w:lineRule="exact"/>
        <w:tabs>
          <w:tab w:leader="none" w:pos="894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44" w:lineRule="exact"/>
        <w:rPr>
          <w:sz w:val="24"/>
          <w:szCs w:val="24"/>
          <w:color w:val="auto"/>
        </w:rPr>
      </w:pPr>
    </w:p>
    <w:p>
      <w:pPr>
        <w:ind w:right="80"/>
        <w:spacing w:after="0" w:line="243" w:lineRule="auto"/>
        <w:rPr>
          <w:sz w:val="20"/>
          <w:szCs w:val="20"/>
          <w:color w:val="auto"/>
        </w:rPr>
      </w:pPr>
      <w:r>
        <w:rPr>
          <w:rFonts w:ascii="Times New Roman" w:cs="Times New Roman" w:eastAsia="Times New Roman" w:hAnsi="Times New Roman"/>
          <w:sz w:val="18"/>
          <w:szCs w:val="18"/>
          <w:color w:val="auto"/>
        </w:rPr>
        <w:t>The number of shares outstanding of each of the issuer’s classes of common equity, as of the latest practical date: 35,148,654 shares of common stock, par value $0.01 per share, as of April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474345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8" w:right="379" w:bottom="1440" w:gutter="0" w:footer="0" w:header="0"/>
        </w:sectPr>
      </w:pPr>
    </w:p>
    <w:bookmarkStart w:id="1" w:name="page2"/>
    <w:bookmarkEnd w:id="1"/>
    <w:p>
      <w:pPr>
        <w:ind w:left="3100"/>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2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QUARTERLY REPORT ON FORM 10-Q</w:t>
      </w:r>
    </w:p>
    <w:p>
      <w:pPr>
        <w:jc w:val="center"/>
        <w:ind w:left="600"/>
        <w:spacing w:after="0"/>
        <w:rPr>
          <w:sz w:val="20"/>
          <w:szCs w:val="20"/>
          <w:color w:val="auto"/>
        </w:rPr>
      </w:pPr>
      <w:r>
        <w:rPr>
          <w:rFonts w:ascii="Times New Roman" w:cs="Times New Roman" w:eastAsia="Times New Roman" w:hAnsi="Times New Roman"/>
          <w:sz w:val="18"/>
          <w:szCs w:val="18"/>
          <w:color w:val="auto"/>
        </w:rPr>
        <w:t>For the quarter ended March 31, 2022</w:t>
      </w:r>
    </w:p>
    <w:p>
      <w:pPr>
        <w:spacing w:after="0" w:line="8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Part I –</w:t>
      </w:r>
      <w:r>
        <w:rPr>
          <w:sz w:val="20"/>
          <w:szCs w:val="20"/>
          <w:color w:val="auto"/>
        </w:rPr>
        <w:tab/>
      </w:r>
      <w:r>
        <w:rPr>
          <w:rFonts w:ascii="Times New Roman" w:cs="Times New Roman" w:eastAsia="Times New Roman" w:hAnsi="Times New Roman"/>
          <w:sz w:val="18"/>
          <w:szCs w:val="18"/>
          <w:u w:val="single" w:color="auto"/>
          <w:color w:val="0000FF"/>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-7620</wp:posOffset>
            </wp:positionV>
            <wp:extent cx="9994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99490" cy="8255"/>
                    </a:xfrm>
                    <a:prstGeom prst="rect">
                      <a:avLst/>
                    </a:prstGeom>
                    <a:noFill/>
                  </pic:spPr>
                </pic:pic>
              </a:graphicData>
            </a:graphic>
          </wp:anchor>
        </w:drawing>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-7620</wp:posOffset>
            </wp:positionV>
            <wp:extent cx="1307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2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u w:val="single" w:color="auto"/>
          <w:color w:val="0000FF"/>
        </w:rPr>
        <w:t>Condensed Consolidated Balance Sheets as of March 31,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-7620</wp:posOffset>
            </wp:positionV>
            <wp:extent cx="39852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85260" cy="8255"/>
                    </a:xfrm>
                    <a:prstGeom prst="rect">
                      <a:avLst/>
                    </a:prstGeom>
                    <a:noFill/>
                  </pic:spPr>
                </pic:pic>
              </a:graphicData>
            </a:graphic>
          </wp:anchor>
        </w:drawing>
      </w:r>
    </w:p>
    <w:p>
      <w:pPr>
        <w:spacing w:after="0" w:line="12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u w:val="single" w:color="auto"/>
          <w:color w:val="0000FF"/>
        </w:rPr>
        <w:t>Condensed Consolidated Statements of Income for the three-month periods ended March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-7620</wp:posOffset>
            </wp:positionV>
            <wp:extent cx="49530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53000" cy="8255"/>
                    </a:xfrm>
                    <a:prstGeom prst="rect">
                      <a:avLst/>
                    </a:prstGeom>
                    <a:noFill/>
                  </pic:spPr>
                </pic:pic>
              </a:graphicData>
            </a:graphic>
          </wp:anchor>
        </w:drawing>
      </w:r>
    </w:p>
    <w:p>
      <w:pPr>
        <w:spacing w:after="0" w:line="124" w:lineRule="exact"/>
        <w:rPr>
          <w:sz w:val="20"/>
          <w:szCs w:val="20"/>
          <w:color w:val="auto"/>
        </w:rPr>
      </w:pPr>
    </w:p>
    <w:p>
      <w:pPr>
        <w:ind w:left="1340" w:right="220"/>
        <w:spacing w:after="0" w:line="250" w:lineRule="auto"/>
        <w:rPr>
          <w:sz w:val="20"/>
          <w:szCs w:val="20"/>
          <w:color w:val="auto"/>
        </w:rPr>
      </w:pPr>
      <w:r>
        <w:rPr>
          <w:rFonts w:ascii="Times New Roman" w:cs="Times New Roman" w:eastAsia="Times New Roman" w:hAnsi="Times New Roman"/>
          <w:sz w:val="18"/>
          <w:szCs w:val="18"/>
          <w:u w:val="single" w:color="auto"/>
          <w:color w:val="0000FF"/>
        </w:rPr>
        <w:t>Condensed Consolidated Statements of Comprehensive Income for the three-month periods ended March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-149860</wp:posOffset>
            </wp:positionV>
            <wp:extent cx="54698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69890" cy="8890"/>
                    </a:xfrm>
                    <a:prstGeom prst="rect">
                      <a:avLst/>
                    </a:prstGeom>
                    <a:noFill/>
                  </pic:spPr>
                </pic:pic>
              </a:graphicData>
            </a:graphic>
          </wp:anchor>
        </w:drawing>
        <w:drawing>
          <wp:anchor simplePos="0" relativeHeight="251657728" behindDoc="1" locked="0" layoutInCell="0" allowOverlap="1">
            <wp:simplePos x="0" y="0"/>
            <wp:positionH relativeFrom="column">
              <wp:posOffset>857250</wp:posOffset>
            </wp:positionH>
            <wp:positionV relativeFrom="paragraph">
              <wp:posOffset>-29845</wp:posOffset>
            </wp:positionV>
            <wp:extent cx="2286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Condensed Consolidated Statements of Shareholders’ Equity for the three-month periods ended March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-7620</wp:posOffset>
            </wp:positionV>
            <wp:extent cx="55778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77840" cy="8255"/>
                    </a:xfrm>
                    <a:prstGeom prst="rect">
                      <a:avLst/>
                    </a:prstGeom>
                    <a:noFill/>
                  </pic:spPr>
                </pic:pic>
              </a:graphicData>
            </a:graphic>
          </wp:anchor>
        </w:drawing>
      </w:r>
    </w:p>
    <w:p>
      <w:pPr>
        <w:spacing w:after="0" w:line="12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u w:val="single" w:color="auto"/>
          <w:color w:val="0000FF"/>
        </w:rPr>
        <w:t>Condensed Consolidated Statements of Cash Flows for the three-month periods ended March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-7620</wp:posOffset>
            </wp:positionV>
            <wp:extent cx="51466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6675" cy="8255"/>
                    </a:xfrm>
                    <a:prstGeom prst="rect">
                      <a:avLst/>
                    </a:prstGeom>
                    <a:noFill/>
                  </pic:spPr>
                </pic:pic>
              </a:graphicData>
            </a:graphic>
          </wp:anchor>
        </w:drawing>
      </w:r>
    </w:p>
    <w:p>
      <w:pPr>
        <w:spacing w:after="0" w:line="12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u w:val="single" w:color="auto"/>
          <w:color w:val="0000FF"/>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-7620</wp:posOffset>
            </wp:positionV>
            <wp:extent cx="25355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35555" cy="8890"/>
                    </a:xfrm>
                    <a:prstGeom prst="rect">
                      <a:avLst/>
                    </a:prstGeom>
                    <a:noFill/>
                  </pic:spPr>
                </pic:pic>
              </a:graphicData>
            </a:graphic>
          </wp:anchor>
        </w:drawing>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-7620</wp:posOffset>
            </wp:positionV>
            <wp:extent cx="44519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451985" cy="8255"/>
                    </a:xfrm>
                    <a:prstGeom prst="rect">
                      <a:avLst/>
                    </a:prstGeom>
                    <a:noFill/>
                  </pic:spPr>
                </pic:pic>
              </a:graphicData>
            </a:graphic>
          </wp:anchor>
        </w:drawing>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3.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-7620</wp:posOffset>
            </wp:positionV>
            <wp:extent cx="30873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87370" cy="8255"/>
                    </a:xfrm>
                    <a:prstGeom prst="rect">
                      <a:avLst/>
                    </a:prstGeom>
                    <a:noFill/>
                  </pic:spPr>
                </pic:pic>
              </a:graphicData>
            </a:graphic>
          </wp:anchor>
        </w:drawing>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-7620</wp:posOffset>
            </wp:positionV>
            <wp:extent cx="14751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75105" cy="8255"/>
                    </a:xfrm>
                    <a:prstGeom prst="rect">
                      <a:avLst/>
                    </a:prstGeom>
                    <a:noFill/>
                  </pic:spPr>
                </pic:pic>
              </a:graphicData>
            </a:graphic>
          </wp:anchor>
        </w:drawing>
      </w:r>
    </w:p>
    <w:p>
      <w:pPr>
        <w:spacing w:after="0" w:line="12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Part II –</w:t>
      </w:r>
      <w:r>
        <w:rPr>
          <w:sz w:val="20"/>
          <w:szCs w:val="20"/>
          <w:color w:val="auto"/>
        </w:rPr>
        <w:tab/>
      </w:r>
      <w:r>
        <w:rPr>
          <w:rFonts w:ascii="Times New Roman" w:cs="Times New Roman" w:eastAsia="Times New Roman" w:hAnsi="Times New Roman"/>
          <w:sz w:val="18"/>
          <w:szCs w:val="18"/>
          <w:u w:val="single" w:color="auto"/>
          <w:color w:val="0000FF"/>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-7620</wp:posOffset>
            </wp:positionV>
            <wp:extent cx="8343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34390" cy="8255"/>
                    </a:xfrm>
                    <a:prstGeom prst="rect">
                      <a:avLst/>
                    </a:prstGeom>
                    <a:noFill/>
                  </pic:spPr>
                </pic:pic>
              </a:graphicData>
            </a:graphic>
          </wp:anchor>
        </w:drawing>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1.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-7620</wp:posOffset>
            </wp:positionV>
            <wp:extent cx="11995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99515" cy="8255"/>
                    </a:xfrm>
                    <a:prstGeom prst="rect">
                      <a:avLst/>
                    </a:prstGeom>
                    <a:noFill/>
                  </pic:spPr>
                </pic:pic>
              </a:graphicData>
            </a:graphic>
          </wp:anchor>
        </w:drawing>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-7620</wp:posOffset>
            </wp:positionV>
            <wp:extent cx="10090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09015" cy="8890"/>
                    </a:xfrm>
                    <a:prstGeom prst="rect">
                      <a:avLst/>
                    </a:prstGeom>
                    <a:noFill/>
                  </pic:spPr>
                </pic:pic>
              </a:graphicData>
            </a:graphic>
          </wp:anchor>
        </w:drawing>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2. 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-7620</wp:posOffset>
            </wp:positionV>
            <wp:extent cx="31127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3. 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-7620</wp:posOffset>
            </wp:positionV>
            <wp:extent cx="18275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27530" cy="8890"/>
                    </a:xfrm>
                    <a:prstGeom prst="rect">
                      <a:avLst/>
                    </a:prstGeom>
                    <a:noFill/>
                  </pic:spPr>
                </pic:pic>
              </a:graphicData>
            </a:graphic>
          </wp:anchor>
        </w:drawing>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4. 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-7620</wp:posOffset>
            </wp:positionV>
            <wp:extent cx="14751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75105" cy="8255"/>
                    </a:xfrm>
                    <a:prstGeom prst="rect">
                      <a:avLst/>
                    </a:prstGeom>
                    <a:noFill/>
                  </pic:spPr>
                </pic:pic>
              </a:graphicData>
            </a:graphic>
          </wp:anchor>
        </w:drawing>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5.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-7620</wp:posOffset>
            </wp:positionV>
            <wp:extent cx="11868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86815" cy="8890"/>
                    </a:xfrm>
                    <a:prstGeom prst="rect">
                      <a:avLst/>
                    </a:prstGeom>
                    <a:noFill/>
                  </pic:spPr>
                </pic:pic>
              </a:graphicData>
            </a:graphic>
          </wp:anchor>
        </w:drawing>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-7620</wp:posOffset>
            </wp:positionV>
            <wp:extent cx="7327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79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4826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82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23</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23</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2">
            <w:col w:w="10140" w:space="420"/>
            <w:col w:w="180"/>
          </w:cols>
          <w:pgMar w:left="580" w:top="320" w:right="5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u w:val="single" w:color="auto"/>
          <w:color w:val="auto"/>
        </w:rPr>
        <w:t>CECO ENVIRONMENTAL CORP. AND SUBSIDIARIES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 – FINANCIAL INFORMATION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6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7"/>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data)</w:t>
            </w:r>
          </w:p>
        </w:tc>
        <w:tc>
          <w:tcPr>
            <w:tcW w:w="260" w:type="dxa"/>
            <w:vAlign w:val="bottom"/>
          </w:tcPr>
          <w:p>
            <w:pPr>
              <w:spacing w:after="0"/>
              <w:rPr>
                <w:sz w:val="16"/>
                <w:szCs w:val="16"/>
                <w:color w:val="auto"/>
              </w:rPr>
            </w:pPr>
          </w:p>
        </w:tc>
        <w:tc>
          <w:tcPr>
            <w:tcW w:w="17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00" w:type="dxa"/>
            <w:vAlign w:val="bottom"/>
          </w:tcPr>
          <w:p>
            <w:pPr>
              <w:spacing w:after="0"/>
              <w:rPr>
                <w:sz w:val="16"/>
                <w:szCs w:val="16"/>
                <w:color w:val="auto"/>
              </w:rPr>
            </w:pPr>
          </w:p>
        </w:tc>
        <w:tc>
          <w:tcPr>
            <w:tcW w:w="16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09"/>
        </w:trPr>
        <w:tc>
          <w:tcPr>
            <w:tcW w:w="7380" w:type="dxa"/>
            <w:vAlign w:val="bottom"/>
            <w:shd w:val="clear" w:color="auto" w:fill="CFF0FC"/>
          </w:tcPr>
          <w:p>
            <w:pPr>
              <w:ind w:left="3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28,382</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29,902</w:t>
            </w:r>
          </w:p>
        </w:tc>
        <w:tc>
          <w:tcPr>
            <w:tcW w:w="80" w:type="dxa"/>
            <w:vAlign w:val="bottom"/>
            <w:shd w:val="clear" w:color="auto" w:fill="CFF0FC"/>
          </w:tcPr>
          <w:p>
            <w:pPr>
              <w:spacing w:after="0"/>
              <w:rPr>
                <w:sz w:val="18"/>
                <w:szCs w:val="18"/>
                <w:color w:val="auto"/>
              </w:rPr>
            </w:pPr>
          </w:p>
        </w:tc>
      </w:tr>
      <w:tr>
        <w:trPr>
          <w:trHeight w:val="216"/>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80" w:type="dxa"/>
            <w:vAlign w:val="bottom"/>
          </w:tcPr>
          <w:p>
            <w:pPr>
              <w:spacing w:after="0"/>
              <w:rPr>
                <w:sz w:val="18"/>
                <w:szCs w:val="18"/>
                <w:color w:val="auto"/>
              </w:rPr>
            </w:pPr>
          </w:p>
        </w:tc>
      </w:tr>
      <w:tr>
        <w:trPr>
          <w:trHeight w:val="216"/>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95,440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74,991</w:t>
            </w:r>
          </w:p>
        </w:tc>
        <w:tc>
          <w:tcPr>
            <w:tcW w:w="80" w:type="dxa"/>
            <w:vAlign w:val="bottom"/>
            <w:shd w:val="clear" w:color="auto" w:fill="CFF0FC"/>
          </w:tcPr>
          <w:p>
            <w:pPr>
              <w:spacing w:after="0"/>
              <w:rPr>
                <w:sz w:val="18"/>
                <w:szCs w:val="18"/>
                <w:color w:val="auto"/>
              </w:rPr>
            </w:pPr>
          </w:p>
        </w:tc>
      </w:tr>
      <w:tr>
        <w:trPr>
          <w:trHeight w:val="216"/>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49,567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51,429</w:t>
            </w:r>
          </w:p>
        </w:tc>
        <w:tc>
          <w:tcPr>
            <w:tcW w:w="80" w:type="dxa"/>
            <w:vAlign w:val="bottom"/>
          </w:tcPr>
          <w:p>
            <w:pPr>
              <w:spacing w:after="0"/>
              <w:rPr>
                <w:sz w:val="18"/>
                <w:szCs w:val="18"/>
                <w:color w:val="auto"/>
              </w:rPr>
            </w:pPr>
          </w:p>
        </w:tc>
      </w:tr>
      <w:tr>
        <w:trPr>
          <w:trHeight w:val="216"/>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Inventories, net</w:t>
            </w: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22,080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17,052</w:t>
            </w:r>
          </w:p>
        </w:tc>
        <w:tc>
          <w:tcPr>
            <w:tcW w:w="80" w:type="dxa"/>
            <w:vAlign w:val="bottom"/>
            <w:shd w:val="clear" w:color="auto" w:fill="CFF0FC"/>
          </w:tcPr>
          <w:p>
            <w:pPr>
              <w:spacing w:after="0"/>
              <w:rPr>
                <w:sz w:val="18"/>
                <w:szCs w:val="18"/>
                <w:color w:val="auto"/>
              </w:rPr>
            </w:pPr>
          </w:p>
        </w:tc>
      </w:tr>
      <w:tr>
        <w:trPr>
          <w:trHeight w:val="216"/>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80" w:type="dxa"/>
            <w:vAlign w:val="bottom"/>
          </w:tcPr>
          <w:p>
            <w:pPr>
              <w:spacing w:after="0"/>
              <w:rPr>
                <w:sz w:val="18"/>
                <w:szCs w:val="18"/>
                <w:color w:val="auto"/>
              </w:rPr>
            </w:pPr>
          </w:p>
        </w:tc>
      </w:tr>
      <w:tr>
        <w:trPr>
          <w:trHeight w:val="216"/>
        </w:trPr>
        <w:tc>
          <w:tcPr>
            <w:tcW w:w="73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income taxes</w:t>
            </w:r>
          </w:p>
        </w:tc>
        <w:tc>
          <w:tcPr>
            <w:tcW w:w="2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211,838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189,011</w:t>
            </w:r>
          </w:p>
        </w:tc>
        <w:tc>
          <w:tcPr>
            <w:tcW w:w="80" w:type="dxa"/>
            <w:vAlign w:val="bottom"/>
          </w:tcPr>
          <w:p>
            <w:pPr>
              <w:spacing w:after="0"/>
              <w:rPr>
                <w:sz w:val="18"/>
                <w:szCs w:val="18"/>
                <w:color w:val="auto"/>
              </w:rPr>
            </w:pPr>
          </w:p>
        </w:tc>
      </w:tr>
      <w:tr>
        <w:trPr>
          <w:trHeight w:val="216"/>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16,219</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15,948</w:t>
            </w:r>
          </w:p>
        </w:tc>
        <w:tc>
          <w:tcPr>
            <w:tcW w:w="80" w:type="dxa"/>
            <w:vAlign w:val="bottom"/>
            <w:shd w:val="clear" w:color="auto" w:fill="CFF0FC"/>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from operating leases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10,893</w:t>
            </w:r>
          </w:p>
        </w:tc>
        <w:tc>
          <w:tcPr>
            <w:tcW w:w="80" w:type="dxa"/>
            <w:vAlign w:val="bottom"/>
          </w:tcPr>
          <w:p>
            <w:pPr>
              <w:spacing w:after="0"/>
              <w:rPr>
                <w:sz w:val="18"/>
                <w:szCs w:val="18"/>
                <w:color w:val="auto"/>
              </w:rPr>
            </w:pPr>
          </w:p>
        </w:tc>
      </w:tr>
      <w:tr>
        <w:trPr>
          <w:trHeight w:val="216"/>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181,599</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161,183</w:t>
            </w:r>
          </w:p>
        </w:tc>
        <w:tc>
          <w:tcPr>
            <w:tcW w:w="80" w:type="dxa"/>
            <w:vAlign w:val="bottom"/>
            <w:shd w:val="clear" w:color="auto" w:fill="CFF0FC"/>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 finite life, net</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25,841</w:t>
            </w:r>
          </w:p>
        </w:tc>
        <w:tc>
          <w:tcPr>
            <w:tcW w:w="80" w:type="dxa"/>
            <w:vAlign w:val="bottom"/>
          </w:tcPr>
          <w:p>
            <w:pPr>
              <w:spacing w:after="0"/>
              <w:rPr>
                <w:sz w:val="18"/>
                <w:szCs w:val="18"/>
                <w:color w:val="auto"/>
              </w:rPr>
            </w:pPr>
          </w:p>
        </w:tc>
      </w:tr>
      <w:tr>
        <w:trPr>
          <w:trHeight w:val="216"/>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 indefinite life</w:t>
            </w: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9,573</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9,629</w:t>
            </w:r>
          </w:p>
        </w:tc>
        <w:tc>
          <w:tcPr>
            <w:tcW w:w="80" w:type="dxa"/>
            <w:vAlign w:val="bottom"/>
            <w:shd w:val="clear" w:color="auto" w:fill="CFF0FC"/>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80" w:type="dxa"/>
            <w:vAlign w:val="bottom"/>
          </w:tcPr>
          <w:p>
            <w:pPr>
              <w:spacing w:after="0"/>
              <w:rPr>
                <w:sz w:val="18"/>
                <w:szCs w:val="18"/>
                <w:color w:val="auto"/>
              </w:rPr>
            </w:pPr>
          </w:p>
        </w:tc>
      </w:tr>
      <w:tr>
        <w:trPr>
          <w:trHeight w:val="216"/>
        </w:trPr>
        <w:tc>
          <w:tcPr>
            <w:tcW w:w="7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2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458,393</w:t>
            </w:r>
          </w:p>
        </w:tc>
        <w:tc>
          <w:tcPr>
            <w:tcW w:w="2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416,197</w:t>
            </w:r>
          </w:p>
        </w:tc>
        <w:tc>
          <w:tcPr>
            <w:tcW w:w="80" w:type="dxa"/>
            <w:vAlign w:val="bottom"/>
          </w:tcPr>
          <w:p>
            <w:pPr>
              <w:spacing w:after="0"/>
              <w:rPr>
                <w:sz w:val="18"/>
                <w:szCs w:val="18"/>
                <w:color w:val="auto"/>
              </w:rPr>
            </w:pPr>
          </w:p>
        </w:tc>
      </w:tr>
      <w:tr>
        <w:trPr>
          <w:trHeight w:val="20"/>
        </w:trPr>
        <w:tc>
          <w:tcPr>
            <w:tcW w:w="7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7380" w:type="dxa"/>
            <w:vAlign w:val="bottom"/>
            <w:shd w:val="clear" w:color="auto" w:fill="CFF0FC"/>
          </w:tcPr>
          <w:p>
            <w:pPr>
              <w:ind w:left="166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6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debt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80" w:type="dxa"/>
            <w:vAlign w:val="bottom"/>
            <w:shd w:val="clear" w:color="auto" w:fill="CFF0FC"/>
          </w:tcPr>
          <w:p>
            <w:pPr>
              <w:spacing w:after="0"/>
              <w:rPr>
                <w:sz w:val="18"/>
                <w:szCs w:val="18"/>
                <w:color w:val="auto"/>
              </w:rPr>
            </w:pPr>
          </w:p>
        </w:tc>
      </w:tr>
      <w:tr>
        <w:trPr>
          <w:trHeight w:val="216"/>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91,369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84,081</w:t>
            </w:r>
          </w:p>
        </w:tc>
        <w:tc>
          <w:tcPr>
            <w:tcW w:w="80" w:type="dxa"/>
            <w:vAlign w:val="bottom"/>
          </w:tcPr>
          <w:p>
            <w:pPr>
              <w:spacing w:after="0"/>
              <w:rPr>
                <w:sz w:val="18"/>
                <w:szCs w:val="18"/>
                <w:color w:val="auto"/>
              </w:rPr>
            </w:pPr>
          </w:p>
        </w:tc>
      </w:tr>
      <w:tr>
        <w:trPr>
          <w:trHeight w:val="216"/>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Billings in excess of costs and estimated earnings on uncompleted contracts</w:t>
            </w: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36,308</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28,908</w:t>
            </w:r>
          </w:p>
        </w:tc>
        <w:tc>
          <w:tcPr>
            <w:tcW w:w="80" w:type="dxa"/>
            <w:vAlign w:val="bottom"/>
            <w:shd w:val="clear" w:color="auto" w:fill="CFF0FC"/>
          </w:tcPr>
          <w:p>
            <w:pPr>
              <w:spacing w:after="0"/>
              <w:rPr>
                <w:sz w:val="18"/>
                <w:szCs w:val="18"/>
                <w:color w:val="auto"/>
              </w:rPr>
            </w:pPr>
          </w:p>
        </w:tc>
      </w:tr>
      <w:tr>
        <w:trPr>
          <w:trHeight w:val="216"/>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80" w:type="dxa"/>
            <w:vAlign w:val="bottom"/>
          </w:tcPr>
          <w:p>
            <w:pPr>
              <w:spacing w:after="0"/>
              <w:rPr>
                <w:sz w:val="18"/>
                <w:szCs w:val="18"/>
                <w:color w:val="auto"/>
              </w:rPr>
            </w:pPr>
          </w:p>
        </w:tc>
      </w:tr>
      <w:tr>
        <w:trPr>
          <w:trHeight w:val="210"/>
        </w:trPr>
        <w:tc>
          <w:tcPr>
            <w:tcW w:w="73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132,590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116,685</w:t>
            </w:r>
          </w:p>
        </w:tc>
        <w:tc>
          <w:tcPr>
            <w:tcW w:w="80" w:type="dxa"/>
            <w:vAlign w:val="bottom"/>
            <w:shd w:val="clear" w:color="auto" w:fill="CFF0FC"/>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14,826</w:t>
            </w:r>
          </w:p>
        </w:tc>
        <w:tc>
          <w:tcPr>
            <w:tcW w:w="80" w:type="dxa"/>
            <w:vAlign w:val="bottom"/>
          </w:tcPr>
          <w:p>
            <w:pPr>
              <w:spacing w:after="0"/>
              <w:rPr>
                <w:sz w:val="18"/>
                <w:szCs w:val="18"/>
                <w:color w:val="auto"/>
              </w:rPr>
            </w:pPr>
          </w:p>
        </w:tc>
      </w:tr>
      <w:tr>
        <w:trPr>
          <w:trHeight w:val="216"/>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 less current portion</w:t>
            </w: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81,401</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80" w:type="dxa"/>
            <w:vAlign w:val="bottom"/>
            <w:shd w:val="clear" w:color="auto" w:fill="CFF0FC"/>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liability, net</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8,390</w:t>
            </w:r>
          </w:p>
        </w:tc>
        <w:tc>
          <w:tcPr>
            <w:tcW w:w="80" w:type="dxa"/>
            <w:vAlign w:val="bottom"/>
          </w:tcPr>
          <w:p>
            <w:pPr>
              <w:spacing w:after="0"/>
              <w:rPr>
                <w:sz w:val="18"/>
                <w:szCs w:val="18"/>
                <w:color w:val="auto"/>
              </w:rPr>
            </w:pPr>
          </w:p>
        </w:tc>
      </w:tr>
      <w:tr>
        <w:trPr>
          <w:trHeight w:val="216"/>
        </w:trPr>
        <w:tc>
          <w:tcPr>
            <w:tcW w:w="7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9,272</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8,762</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245,171</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210,240</w:t>
            </w:r>
          </w:p>
        </w:tc>
        <w:tc>
          <w:tcPr>
            <w:tcW w:w="80" w:type="dxa"/>
            <w:vAlign w:val="bottom"/>
          </w:tcPr>
          <w:p>
            <w:pPr>
              <w:spacing w:after="0"/>
              <w:rPr>
                <w:sz w:val="18"/>
                <w:szCs w:val="18"/>
                <w:color w:val="auto"/>
              </w:rPr>
            </w:pPr>
          </w:p>
        </w:tc>
      </w:tr>
      <w:tr>
        <w:trPr>
          <w:trHeight w:val="210"/>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Shareholders’ equity:</w:t>
            </w: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$.01 par value; 10,000 shares authorized, none issued</w:t>
            </w:r>
          </w:p>
        </w:tc>
        <w:tc>
          <w:tcPr>
            <w:tcW w:w="26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71"/>
        </w:trPr>
        <w:tc>
          <w:tcPr>
            <w:tcW w:w="738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Common stock, $.01 par value; 100,000,000 shares authorized, 35,076,119 and</w:t>
            </w: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9"/>
        </w:trPr>
        <w:tc>
          <w:tcPr>
            <w:tcW w:w="738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35,028,197 shares issued and outstanding at March 31, 2022 and</w:t>
            </w: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December 31, 2021, respectively</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Pr>
          <w:p>
            <w:pPr>
              <w:spacing w:after="0"/>
              <w:rPr>
                <w:sz w:val="20"/>
                <w:szCs w:val="20"/>
                <w:color w:val="auto"/>
              </w:rPr>
            </w:pPr>
          </w:p>
        </w:tc>
      </w:tr>
      <w:tr>
        <w:trPr>
          <w:trHeight w:val="216"/>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253,875</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252,989</w:t>
            </w:r>
          </w:p>
        </w:tc>
        <w:tc>
          <w:tcPr>
            <w:tcW w:w="80" w:type="dxa"/>
            <w:vAlign w:val="bottom"/>
            <w:shd w:val="clear" w:color="auto" w:fill="CFF0FC"/>
          </w:tcPr>
          <w:p>
            <w:pPr>
              <w:spacing w:after="0"/>
              <w:rPr>
                <w:sz w:val="18"/>
                <w:szCs w:val="18"/>
                <w:color w:val="auto"/>
              </w:rPr>
            </w:pPr>
          </w:p>
        </w:tc>
      </w:tr>
      <w:tr>
        <w:trPr>
          <w:trHeight w:val="216"/>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loss</w:t>
            </w:r>
          </w:p>
        </w:tc>
        <w:tc>
          <w:tcPr>
            <w:tcW w:w="26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(33,923 )</w:t>
            </w:r>
          </w:p>
        </w:tc>
        <w:tc>
          <w:tcPr>
            <w:tcW w:w="20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(36,715 )</w:t>
            </w:r>
          </w:p>
        </w:tc>
      </w:tr>
      <w:tr>
        <w:trPr>
          <w:trHeight w:val="216"/>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(12,601 )</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(12,070 )</w:t>
            </w:r>
          </w:p>
        </w:tc>
      </w:tr>
      <w:tr>
        <w:trPr>
          <w:trHeight w:val="210"/>
        </w:trPr>
        <w:tc>
          <w:tcPr>
            <w:tcW w:w="738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CECO shareholders' equity</w:t>
            </w:r>
          </w:p>
        </w:tc>
        <w:tc>
          <w:tcPr>
            <w:tcW w:w="2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207,701</w:t>
            </w:r>
          </w:p>
        </w:tc>
        <w:tc>
          <w:tcPr>
            <w:tcW w:w="2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204,554</w:t>
            </w:r>
          </w:p>
        </w:tc>
        <w:tc>
          <w:tcPr>
            <w:tcW w:w="80" w:type="dxa"/>
            <w:vAlign w:val="bottom"/>
            <w:tcBorders>
              <w:top w:val="single" w:sz="8" w:color="CFF0FC"/>
            </w:tcBorders>
          </w:tcPr>
          <w:p>
            <w:pPr>
              <w:spacing w:after="0"/>
              <w:rPr>
                <w:sz w:val="18"/>
                <w:szCs w:val="18"/>
                <w:color w:val="auto"/>
              </w:rPr>
            </w:pPr>
          </w:p>
        </w:tc>
      </w:tr>
      <w:tr>
        <w:trPr>
          <w:trHeight w:val="216"/>
        </w:trPr>
        <w:tc>
          <w:tcPr>
            <w:tcW w:w="73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Noncontrolling interest</w:t>
            </w:r>
          </w:p>
        </w:tc>
        <w:tc>
          <w:tcPr>
            <w:tcW w:w="2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5,521</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213,222</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205,957</w:t>
            </w:r>
          </w:p>
        </w:tc>
        <w:tc>
          <w:tcPr>
            <w:tcW w:w="80" w:type="dxa"/>
            <w:vAlign w:val="bottom"/>
          </w:tcPr>
          <w:p>
            <w:pPr>
              <w:spacing w:after="0"/>
              <w:rPr>
                <w:sz w:val="18"/>
                <w:szCs w:val="18"/>
                <w:color w:val="auto"/>
              </w:rPr>
            </w:pPr>
          </w:p>
        </w:tc>
      </w:tr>
      <w:tr>
        <w:trPr>
          <w:trHeight w:val="250"/>
        </w:trPr>
        <w:tc>
          <w:tcPr>
            <w:tcW w:w="738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458,393</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416,197</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-4748530</wp:posOffset>
            </wp:positionV>
            <wp:extent cx="596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-4748530</wp:posOffset>
            </wp:positionV>
            <wp:extent cx="514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-3642360</wp:posOffset>
            </wp:positionV>
            <wp:extent cx="596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-3642360</wp:posOffset>
            </wp:positionV>
            <wp:extent cx="514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-1953895</wp:posOffset>
            </wp:positionV>
            <wp:extent cx="596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-1953895</wp:posOffset>
            </wp:positionV>
            <wp:extent cx="514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-599440</wp:posOffset>
            </wp:positionV>
            <wp:extent cx="596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-599440</wp:posOffset>
            </wp:positionV>
            <wp:extent cx="514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-316865</wp:posOffset>
            </wp:positionV>
            <wp:extent cx="596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-316865</wp:posOffset>
            </wp:positionV>
            <wp:extent cx="514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-24765</wp:posOffset>
            </wp:positionV>
            <wp:extent cx="596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596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the condensed consolidated financial statements are an integral part of the above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40" w:type="dxa"/>
            <w:vAlign w:val="bottom"/>
            <w:gridSpan w:val="5"/>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data)</w:t>
            </w:r>
          </w:p>
        </w:tc>
        <w:tc>
          <w:tcPr>
            <w:tcW w:w="44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09"/>
        </w:trPr>
        <w:tc>
          <w:tcPr>
            <w:tcW w:w="7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92,436</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71,892</w:t>
            </w:r>
          </w:p>
        </w:tc>
        <w:tc>
          <w:tcPr>
            <w:tcW w:w="80" w:type="dxa"/>
            <w:vAlign w:val="bottom"/>
            <w:shd w:val="clear" w:color="auto" w:fill="CFF0FC"/>
          </w:tcPr>
          <w:p>
            <w:pPr>
              <w:spacing w:after="0"/>
              <w:rPr>
                <w:sz w:val="18"/>
                <w:szCs w:val="18"/>
                <w:color w:val="auto"/>
              </w:rPr>
            </w:pPr>
          </w:p>
        </w:tc>
      </w:tr>
      <w:tr>
        <w:trPr>
          <w:trHeight w:val="216"/>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66,008</w:t>
            </w: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47,485</w:t>
            </w:r>
          </w:p>
        </w:tc>
        <w:tc>
          <w:tcPr>
            <w:tcW w:w="80" w:type="dxa"/>
            <w:vAlign w:val="bottom"/>
          </w:tcPr>
          <w:p>
            <w:pPr>
              <w:spacing w:after="0"/>
              <w:rPr>
                <w:sz w:val="18"/>
                <w:szCs w:val="18"/>
                <w:color w:val="auto"/>
              </w:rPr>
            </w:pPr>
          </w:p>
        </w:tc>
      </w:tr>
      <w:tr>
        <w:trPr>
          <w:trHeight w:val="209"/>
        </w:trPr>
        <w:tc>
          <w:tcPr>
            <w:tcW w:w="7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26,428</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24,407</w:t>
            </w:r>
          </w:p>
        </w:tc>
        <w:tc>
          <w:tcPr>
            <w:tcW w:w="80" w:type="dxa"/>
            <w:vAlign w:val="bottom"/>
            <w:shd w:val="clear" w:color="auto" w:fill="CFF0FC"/>
          </w:tcPr>
          <w:p>
            <w:pPr>
              <w:spacing w:after="0"/>
              <w:rPr>
                <w:sz w:val="18"/>
                <w:szCs w:val="18"/>
                <w:color w:val="auto"/>
              </w:rPr>
            </w:pPr>
          </w:p>
        </w:tc>
      </w:tr>
      <w:tr>
        <w:trPr>
          <w:trHeight w:val="216"/>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18,652</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19,454</w:t>
            </w:r>
          </w:p>
        </w:tc>
        <w:tc>
          <w:tcPr>
            <w:tcW w:w="80" w:type="dxa"/>
            <w:vAlign w:val="bottom"/>
          </w:tcPr>
          <w:p>
            <w:pPr>
              <w:spacing w:after="0"/>
              <w:rPr>
                <w:sz w:val="18"/>
                <w:szCs w:val="18"/>
                <w:color w:val="auto"/>
              </w:rPr>
            </w:pPr>
          </w:p>
        </w:tc>
      </w:tr>
      <w:tr>
        <w:trPr>
          <w:trHeight w:val="216"/>
        </w:trPr>
        <w:tc>
          <w:tcPr>
            <w:tcW w:w="7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and earnout expenses</w:t>
            </w: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80" w:type="dxa"/>
            <w:vAlign w:val="bottom"/>
            <w:shd w:val="clear" w:color="auto" w:fill="CFF0FC"/>
          </w:tcPr>
          <w:p>
            <w:pPr>
              <w:spacing w:after="0"/>
              <w:rPr>
                <w:sz w:val="18"/>
                <w:szCs w:val="18"/>
                <w:color w:val="auto"/>
              </w:rPr>
            </w:pPr>
          </w:p>
        </w:tc>
      </w:tr>
      <w:tr>
        <w:trPr>
          <w:trHeight w:val="216"/>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expenses</w:t>
            </w: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4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2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from operations</w:t>
            </w: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80" w:type="dxa"/>
            <w:vAlign w:val="bottom"/>
          </w:tcPr>
          <w:p>
            <w:pPr>
              <w:spacing w:after="0"/>
              <w:rPr>
                <w:sz w:val="18"/>
                <w:szCs w:val="18"/>
                <w:color w:val="auto"/>
              </w:rPr>
            </w:pPr>
          </w:p>
        </w:tc>
      </w:tr>
      <w:tr>
        <w:trPr>
          <w:trHeight w:val="216"/>
        </w:trPr>
        <w:tc>
          <w:tcPr>
            <w:tcW w:w="7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(458 )</w:t>
            </w:r>
          </w:p>
        </w:tc>
        <w:tc>
          <w:tcPr>
            <w:tcW w:w="4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(480 )</w:t>
            </w:r>
          </w:p>
        </w:tc>
      </w:tr>
      <w:tr>
        <w:trPr>
          <w:trHeight w:val="216"/>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(822 )</w:t>
            </w:r>
          </w:p>
        </w:tc>
        <w:tc>
          <w:tcPr>
            <w:tcW w:w="44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(725 )</w:t>
            </w:r>
          </w:p>
        </w:tc>
      </w:tr>
      <w:tr>
        <w:trPr>
          <w:trHeight w:val="210"/>
        </w:trPr>
        <w:tc>
          <w:tcPr>
            <w:tcW w:w="7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4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24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80" w:type="dxa"/>
            <w:vAlign w:val="bottom"/>
            <w:shd w:val="clear" w:color="auto" w:fill="CFF0FC"/>
          </w:tcPr>
          <w:p>
            <w:pPr>
              <w:spacing w:after="0"/>
              <w:rPr>
                <w:sz w:val="18"/>
                <w:szCs w:val="18"/>
                <w:color w:val="auto"/>
              </w:rPr>
            </w:pPr>
          </w:p>
        </w:tc>
      </w:tr>
      <w:tr>
        <w:trPr>
          <w:trHeight w:val="216"/>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80" w:type="dxa"/>
            <w:vAlign w:val="bottom"/>
          </w:tcPr>
          <w:p>
            <w:pPr>
              <w:spacing w:after="0"/>
              <w:rPr>
                <w:sz w:val="18"/>
                <w:szCs w:val="18"/>
                <w:color w:val="auto"/>
              </w:rPr>
            </w:pPr>
          </w:p>
        </w:tc>
      </w:tr>
      <w:tr>
        <w:trPr>
          <w:trHeight w:val="209"/>
        </w:trPr>
        <w:tc>
          <w:tcPr>
            <w:tcW w:w="7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80" w:type="dxa"/>
            <w:vAlign w:val="bottom"/>
            <w:shd w:val="clear" w:color="auto" w:fill="CFF0FC"/>
          </w:tcPr>
          <w:p>
            <w:pPr>
              <w:spacing w:after="0"/>
              <w:rPr>
                <w:sz w:val="18"/>
                <w:szCs w:val="18"/>
                <w:color w:val="auto"/>
              </w:rPr>
            </w:pPr>
          </w:p>
        </w:tc>
      </w:tr>
      <w:tr>
        <w:trPr>
          <w:trHeight w:val="216"/>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44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(18 )</w:t>
            </w:r>
          </w:p>
        </w:tc>
        <w:tc>
          <w:tcPr>
            <w:tcW w:w="44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(117 )</w:t>
            </w:r>
          </w:p>
        </w:tc>
      </w:tr>
      <w:tr>
        <w:trPr>
          <w:trHeight w:val="209"/>
        </w:trPr>
        <w:tc>
          <w:tcPr>
            <w:tcW w:w="7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 attributable to CECO Environmental Corp.</w:t>
            </w: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2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6"/>
        </w:trPr>
        <w:tc>
          <w:tcPr>
            <w:tcW w:w="7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Borders>
              <w:bottom w:val="single" w:sz="8" w:color="CFF0FC"/>
            </w:tcBorders>
            <w:shd w:val="clear" w:color="auto" w:fill="CFF0FC"/>
          </w:tcPr>
          <w:p>
            <w:pPr>
              <w:spacing w:after="0"/>
              <w:rPr>
                <w:sz w:val="22"/>
                <w:szCs w:val="22"/>
                <w:color w:val="auto"/>
              </w:rPr>
            </w:pPr>
          </w:p>
        </w:tc>
      </w:tr>
      <w:tr>
        <w:trPr>
          <w:trHeight w:val="196"/>
        </w:trPr>
        <w:tc>
          <w:tcPr>
            <w:tcW w:w="726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44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0.08</w:t>
            </w:r>
          </w:p>
        </w:tc>
        <w:tc>
          <w:tcPr>
            <w:tcW w:w="240" w:type="dxa"/>
            <w:vAlign w:val="bottom"/>
          </w:tcPr>
          <w:p>
            <w:pPr>
              <w:spacing w:after="0"/>
              <w:rPr>
                <w:sz w:val="17"/>
                <w:szCs w:val="17"/>
                <w:color w:val="auto"/>
              </w:rPr>
            </w:pPr>
          </w:p>
        </w:tc>
        <w:tc>
          <w:tcPr>
            <w:tcW w:w="440" w:type="dxa"/>
            <w:vAlign w:val="bottom"/>
            <w:tcBorders>
              <w:bottom w:val="single" w:sz="8" w:color="auto"/>
            </w:tcBorders>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17"/>
                <w:szCs w:val="17"/>
                <w:color w:val="auto"/>
              </w:rPr>
            </w:pPr>
          </w:p>
        </w:tc>
      </w:tr>
      <w:tr>
        <w:trPr>
          <w:trHeight w:val="20"/>
        </w:trPr>
        <w:tc>
          <w:tcPr>
            <w:tcW w:w="7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72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4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6"/>
        </w:trPr>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35,051,034</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35,396,705</w:t>
            </w:r>
          </w:p>
        </w:tc>
        <w:tc>
          <w:tcPr>
            <w:tcW w:w="80" w:type="dxa"/>
            <w:vAlign w:val="bottom"/>
          </w:tcPr>
          <w:p>
            <w:pPr>
              <w:spacing w:after="0"/>
              <w:rPr>
                <w:sz w:val="18"/>
                <w:szCs w:val="18"/>
                <w:color w:val="auto"/>
              </w:rPr>
            </w:pPr>
          </w:p>
        </w:tc>
      </w:tr>
      <w:tr>
        <w:trPr>
          <w:trHeight w:val="216"/>
        </w:trPr>
        <w:tc>
          <w:tcPr>
            <w:tcW w:w="7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35,199,201</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35,774,208</w:t>
            </w:r>
          </w:p>
        </w:tc>
        <w:tc>
          <w:tcPr>
            <w:tcW w:w="8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-2013585</wp:posOffset>
            </wp:positionV>
            <wp:extent cx="514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-2013585</wp:posOffset>
            </wp:positionV>
            <wp:extent cx="514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-882015</wp:posOffset>
            </wp:positionV>
            <wp:extent cx="514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-882015</wp:posOffset>
            </wp:positionV>
            <wp:extent cx="514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-599440</wp:posOffset>
            </wp:positionV>
            <wp:extent cx="514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-582295</wp:posOffset>
            </wp:positionV>
            <wp:extent cx="514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-599440</wp:posOffset>
            </wp:positionV>
            <wp:extent cx="514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-582295</wp:posOffset>
            </wp:positionV>
            <wp:extent cx="514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4"/>
          </w:tcPr>
          <w:p>
            <w:pPr>
              <w:jc w:val="right"/>
              <w:ind w:right="93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 w:type="dxa"/>
            <w:vAlign w:val="bottom"/>
          </w:tcPr>
          <w:p>
            <w:pPr>
              <w:spacing w:after="0"/>
              <w:rPr>
                <w:sz w:val="16"/>
                <w:szCs w:val="16"/>
                <w:color w:val="auto"/>
              </w:rPr>
            </w:pPr>
          </w:p>
        </w:tc>
      </w:tr>
      <w:tr>
        <w:trPr>
          <w:trHeight w:val="169"/>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209"/>
        </w:trPr>
        <w:tc>
          <w:tcPr>
            <w:tcW w:w="7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2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1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(loss) gain</w:t>
            </w:r>
          </w:p>
        </w:tc>
        <w:tc>
          <w:tcPr>
            <w:tcW w:w="4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(531 )</w:t>
            </w: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shd w:val="clear" w:color="auto" w:fill="CFF0FC"/>
          </w:tcPr>
          <w:p>
            <w:pPr>
              <w:spacing w:after="0"/>
              <w:rPr>
                <w:sz w:val="18"/>
                <w:szCs w:val="18"/>
                <w:color w:val="auto"/>
              </w:rPr>
            </w:pPr>
          </w:p>
        </w:tc>
      </w:tr>
      <w:tr>
        <w:trPr>
          <w:trHeight w:val="209"/>
        </w:trPr>
        <w:tc>
          <w:tcPr>
            <w:tcW w:w="71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280" w:type="dxa"/>
            <w:vAlign w:val="bottom"/>
            <w:tcBorders>
              <w:top w:val="single" w:sz="8" w:color="CFF0FC"/>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60" w:type="dxa"/>
            <w:vAlign w:val="bottom"/>
            <w:tcBorders>
              <w:top w:val="single" w:sz="8" w:color="CFF0FC"/>
            </w:tcBorders>
          </w:tcPr>
          <w:p>
            <w:pPr>
              <w:spacing w:after="0"/>
              <w:rPr>
                <w:sz w:val="18"/>
                <w:szCs w:val="18"/>
                <w:color w:val="auto"/>
              </w:rPr>
            </w:pPr>
          </w:p>
        </w:tc>
      </w:tr>
      <w:tr>
        <w:trPr>
          <w:trHeight w:val="20"/>
        </w:trPr>
        <w:tc>
          <w:tcPr>
            <w:tcW w:w="7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-454025</wp:posOffset>
            </wp:positionV>
            <wp:extent cx="603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-454025</wp:posOffset>
            </wp:positionV>
            <wp:extent cx="342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-170815</wp:posOffset>
            </wp:positionV>
            <wp:extent cx="603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-170815</wp:posOffset>
            </wp:positionV>
            <wp:extent cx="342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5"/>
          </w:tcPr>
          <w:p>
            <w:pPr>
              <w:jc w:val="center"/>
              <w:ind w:right="193"/>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6"/>
            <w:vMerge w:val="restart"/>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6"/>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Capital in</w:t>
            </w:r>
          </w:p>
        </w:tc>
        <w:tc>
          <w:tcPr>
            <w:tcW w:w="20" w:type="dxa"/>
            <w:vAlign w:val="bottom"/>
          </w:tcPr>
          <w:p>
            <w:pPr>
              <w:spacing w:after="0"/>
              <w:rPr>
                <w:sz w:val="12"/>
                <w:szCs w:val="12"/>
                <w:color w:val="auto"/>
              </w:rPr>
            </w:pPr>
          </w:p>
        </w:tc>
        <w:tc>
          <w:tcPr>
            <w:tcW w:w="960" w:type="dxa"/>
            <w:vAlign w:val="bottom"/>
            <w:gridSpan w:val="5"/>
            <w:vMerge w:val="restart"/>
          </w:tcPr>
          <w:p>
            <w:pPr>
              <w:jc w:val="center"/>
              <w:ind w:right="93"/>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2"/>
                <w:szCs w:val="12"/>
                <w:color w:val="auto"/>
              </w:rPr>
            </w:pPr>
          </w:p>
        </w:tc>
        <w:tc>
          <w:tcPr>
            <w:tcW w:w="1100" w:type="dxa"/>
            <w:vAlign w:val="bottom"/>
            <w:gridSpan w:val="5"/>
          </w:tcPr>
          <w:p>
            <w:pPr>
              <w:jc w:val="center"/>
              <w:ind w:right="153"/>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gridSpan w:val="14"/>
            <w:vMerge w:val="restart"/>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4"/>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Non-</w:t>
            </w:r>
          </w:p>
        </w:tc>
        <w:tc>
          <w:tcPr>
            <w:tcW w:w="840" w:type="dxa"/>
            <w:vAlign w:val="bottom"/>
            <w:gridSpan w:val="4"/>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Shareholder</w:t>
            </w:r>
          </w:p>
        </w:tc>
        <w:tc>
          <w:tcPr>
            <w:tcW w:w="0" w:type="dxa"/>
            <w:vAlign w:val="bottom"/>
          </w:tcPr>
          <w:p>
            <w:pPr>
              <w:spacing w:after="0"/>
              <w:rPr>
                <w:sz w:val="1"/>
                <w:szCs w:val="1"/>
                <w:color w:val="auto"/>
              </w:rPr>
            </w:pPr>
          </w:p>
        </w:tc>
      </w:tr>
      <w:tr>
        <w:trPr>
          <w:trHeight w:val="175"/>
        </w:trPr>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6"/>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4"/>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excess of</w:t>
            </w:r>
          </w:p>
        </w:tc>
        <w:tc>
          <w:tcPr>
            <w:tcW w:w="20" w:type="dxa"/>
            <w:vAlign w:val="bottom"/>
          </w:tcPr>
          <w:p>
            <w:pPr>
              <w:spacing w:after="0"/>
              <w:rPr>
                <w:sz w:val="15"/>
                <w:szCs w:val="15"/>
                <w:color w:val="auto"/>
              </w:rPr>
            </w:pPr>
          </w:p>
        </w:tc>
        <w:tc>
          <w:tcPr>
            <w:tcW w:w="96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5"/>
          </w:tcPr>
          <w:p>
            <w:pPr>
              <w:jc w:val="center"/>
              <w:ind w:right="153"/>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gridSpan w:val="14"/>
            <w:vMerge w:val="continue"/>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6"/>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controlling</w:t>
            </w:r>
          </w:p>
        </w:tc>
        <w:tc>
          <w:tcPr>
            <w:tcW w:w="200" w:type="dxa"/>
            <w:vAlign w:val="bottom"/>
          </w:tcPr>
          <w:p>
            <w:pPr>
              <w:spacing w:after="0"/>
              <w:rPr>
                <w:sz w:val="15"/>
                <w:szCs w:val="15"/>
                <w:color w:val="auto"/>
              </w:rPr>
            </w:pPr>
          </w:p>
        </w:tc>
        <w:tc>
          <w:tcPr>
            <w:tcW w:w="64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s'</w:t>
            </w:r>
          </w:p>
        </w:tc>
        <w:tc>
          <w:tcPr>
            <w:tcW w:w="0" w:type="dxa"/>
            <w:vAlign w:val="bottom"/>
          </w:tcPr>
          <w:p>
            <w:pPr>
              <w:spacing w:after="0"/>
              <w:rPr>
                <w:sz w:val="1"/>
                <w:szCs w:val="1"/>
                <w:color w:val="auto"/>
              </w:rPr>
            </w:pPr>
          </w:p>
        </w:tc>
      </w:tr>
      <w:tr>
        <w:trPr>
          <w:trHeight w:val="129"/>
        </w:trPr>
        <w:tc>
          <w:tcPr>
            <w:tcW w:w="2700" w:type="dxa"/>
            <w:vAlign w:val="bottom"/>
          </w:tcPr>
          <w:p>
            <w:pPr>
              <w:spacing w:after="0"/>
              <w:rPr>
                <w:sz w:val="11"/>
                <w:szCs w:val="11"/>
                <w:color w:val="auto"/>
              </w:rPr>
            </w:pPr>
          </w:p>
        </w:tc>
        <w:tc>
          <w:tcPr>
            <w:tcW w:w="760" w:type="dxa"/>
            <w:vAlign w:val="bottom"/>
            <w:tcBorders>
              <w:top w:val="single" w:sz="8" w:color="auto"/>
            </w:tcBorders>
            <w:gridSpan w:val="3"/>
          </w:tcPr>
          <w:p>
            <w:pPr>
              <w:jc w:val="right"/>
              <w:ind w:right="20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right"/>
              <w:ind w:right="140"/>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5"/>
          </w:tcPr>
          <w:p>
            <w:pPr>
              <w:jc w:val="center"/>
              <w:ind w:right="260"/>
              <w:spacing w:after="0" w:line="129" w:lineRule="exact"/>
              <w:rPr>
                <w:sz w:val="20"/>
                <w:szCs w:val="20"/>
                <w:color w:val="auto"/>
              </w:rPr>
            </w:pPr>
            <w:r>
              <w:rPr>
                <w:rFonts w:ascii="Times New Roman" w:cs="Times New Roman" w:eastAsia="Times New Roman" w:hAnsi="Times New Roman"/>
                <w:sz w:val="13"/>
                <w:szCs w:val="13"/>
                <w:b w:val="1"/>
                <w:bCs w:val="1"/>
                <w:color w:val="auto"/>
              </w:rPr>
              <w:t>par value</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4"/>
          </w:tcPr>
          <w:p>
            <w:pPr>
              <w:jc w:val="center"/>
              <w:ind w:right="353"/>
              <w:spacing w:after="0" w:line="129" w:lineRule="exact"/>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4"/>
          </w:tcPr>
          <w:p>
            <w:pPr>
              <w:jc w:val="center"/>
              <w:ind w:right="453"/>
              <w:spacing w:after="0" w:line="129" w:lineRule="exact"/>
              <w:rPr>
                <w:sz w:val="20"/>
                <w:szCs w:val="20"/>
                <w:color w:val="auto"/>
              </w:rPr>
            </w:pPr>
            <w:r>
              <w:rPr>
                <w:rFonts w:ascii="Times New Roman" w:cs="Times New Roman" w:eastAsia="Times New Roman" w:hAnsi="Times New Roman"/>
                <w:sz w:val="13"/>
                <w:szCs w:val="13"/>
                <w:b w:val="1"/>
                <w:bCs w:val="1"/>
                <w:color w:val="auto"/>
              </w:rPr>
              <w:t>Loss</w:t>
            </w:r>
          </w:p>
        </w:tc>
        <w:tc>
          <w:tcPr>
            <w:tcW w:w="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7"/>
          </w:tcPr>
          <w:p>
            <w:pPr>
              <w:jc w:val="right"/>
              <w:ind w:right="32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5"/>
          </w:tcPr>
          <w:p>
            <w:pPr>
              <w:jc w:val="right"/>
              <w:ind w:right="73"/>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5"/>
          </w:tcPr>
          <w:p>
            <w:pPr>
              <w:jc w:val="center"/>
              <w:ind w:right="260"/>
              <w:spacing w:after="0" w:line="129"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200" w:type="dxa"/>
            <w:vAlign w:val="bottom"/>
          </w:tcPr>
          <w:p>
            <w:pPr>
              <w:spacing w:after="0"/>
              <w:rPr>
                <w:sz w:val="11"/>
                <w:szCs w:val="11"/>
                <w:color w:val="auto"/>
              </w:rPr>
            </w:pPr>
          </w:p>
        </w:tc>
        <w:tc>
          <w:tcPr>
            <w:tcW w:w="640" w:type="dxa"/>
            <w:vAlign w:val="bottom"/>
            <w:gridSpan w:val="3"/>
          </w:tcPr>
          <w:p>
            <w:pPr>
              <w:jc w:val="center"/>
              <w:ind w:right="260"/>
              <w:spacing w:after="0" w:line="129"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
        </w:trPr>
        <w:tc>
          <w:tcPr>
            <w:tcW w:w="2880" w:type="dxa"/>
            <w:vAlign w:val="bottom"/>
            <w:gridSpan w:val="2"/>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80" w:type="dxa"/>
            <w:vAlign w:val="bottom"/>
            <w:tcBorders>
              <w:top w:val="single" w:sz="8" w:color="auto"/>
            </w:tcBorders>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80" w:type="dxa"/>
            <w:vAlign w:val="bottom"/>
            <w:tcBorders>
              <w:top w:val="single" w:sz="8" w:color="auto"/>
            </w:tcBorders>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400" w:type="dxa"/>
            <w:vAlign w:val="bottom"/>
            <w:tcBorders>
              <w:top w:val="single" w:sz="8" w:color="auto"/>
            </w:tcBorders>
            <w:gridSpan w:val="2"/>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480" w:type="dxa"/>
            <w:vAlign w:val="bottom"/>
            <w:tcBorders>
              <w:top w:val="single" w:sz="8" w:color="auto"/>
            </w:tcBorders>
            <w:gridSpan w:val="2"/>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December 31, 2020</w:t>
            </w: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35,505</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355</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255,296</w:t>
            </w:r>
          </w:p>
        </w:tc>
        <w:tc>
          <w:tcPr>
            <w:tcW w:w="140" w:type="dxa"/>
            <w:vAlign w:val="bottom"/>
            <w:shd w:val="clear" w:color="auto" w:fill="CFF0FC"/>
          </w:tcPr>
          <w:p>
            <w:pPr>
              <w:spacing w:after="0"/>
              <w:rPr>
                <w:sz w:val="15"/>
                <w:szCs w:val="15"/>
                <w:color w:val="auto"/>
              </w:rPr>
            </w:pPr>
          </w:p>
        </w:tc>
        <w:tc>
          <w:tcPr>
            <w:tcW w:w="2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4"/>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rPr>
              <w:t>(38,141 )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(14,496 )</w:t>
            </w:r>
          </w:p>
        </w:tc>
        <w:tc>
          <w:tcPr>
            <w:tcW w:w="920" w:type="dxa"/>
            <w:vAlign w:val="bottom"/>
            <w:gridSpan w:val="8"/>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(138 )</w:t>
            </w:r>
          </w:p>
        </w:tc>
        <w:tc>
          <w:tcPr>
            <w:tcW w:w="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7"/>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(356 )</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953</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203,611</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700" w:type="dxa"/>
            <w:vAlign w:val="bottom"/>
          </w:tcPr>
          <w:p>
            <w:pPr>
              <w:ind w:left="20"/>
              <w:spacing w:after="0" w:line="123" w:lineRule="exact"/>
              <w:rPr>
                <w:sz w:val="20"/>
                <w:szCs w:val="20"/>
                <w:color w:val="auto"/>
              </w:rPr>
            </w:pPr>
            <w:r>
              <w:rPr>
                <w:rFonts w:ascii="Times New Roman" w:cs="Times New Roman" w:eastAsia="Times New Roman" w:hAnsi="Times New Roman"/>
                <w:sz w:val="13"/>
                <w:szCs w:val="13"/>
                <w:color w:val="auto"/>
              </w:rPr>
              <w:t>Net income for the three months ended March</w:t>
            </w: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gridSpan w:val="3"/>
          </w:tcPr>
          <w:p>
            <w:pPr>
              <w:jc w:val="right"/>
              <w:spacing w:after="0" w:line="123" w:lineRule="exact"/>
              <w:rPr>
                <w:sz w:val="20"/>
                <w:szCs w:val="20"/>
                <w:color w:val="auto"/>
              </w:rPr>
            </w:pPr>
            <w:r>
              <w:rPr>
                <w:rFonts w:ascii="Times New Roman" w:cs="Times New Roman" w:eastAsia="Times New Roman" w:hAnsi="Times New Roman"/>
                <w:sz w:val="13"/>
                <w:szCs w:val="13"/>
                <w:color w:val="auto"/>
              </w:rPr>
              <w:t>1,181</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4"/>
          </w:tcPr>
          <w:p>
            <w:pPr>
              <w:jc w:val="right"/>
              <w:ind w:right="20"/>
              <w:spacing w:after="0" w:line="123" w:lineRule="exact"/>
              <w:rPr>
                <w:sz w:val="20"/>
                <w:szCs w:val="20"/>
                <w:color w:val="auto"/>
              </w:rPr>
            </w:pPr>
            <w:r>
              <w:rPr>
                <w:rFonts w:ascii="Times New Roman" w:cs="Times New Roman" w:eastAsia="Times New Roman" w:hAnsi="Times New Roman"/>
                <w:sz w:val="13"/>
                <w:szCs w:val="13"/>
                <w:color w:val="auto"/>
              </w:rPr>
              <w:t>117</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gridSpan w:val="2"/>
          </w:tcPr>
          <w:p>
            <w:pPr>
              <w:jc w:val="right"/>
              <w:spacing w:after="0" w:line="123" w:lineRule="exact"/>
              <w:rPr>
                <w:sz w:val="20"/>
                <w:szCs w:val="20"/>
                <w:color w:val="auto"/>
              </w:rPr>
            </w:pPr>
            <w:r>
              <w:rPr>
                <w:rFonts w:ascii="Times New Roman" w:cs="Times New Roman" w:eastAsia="Times New Roman" w:hAnsi="Times New Roman"/>
                <w:sz w:val="13"/>
                <w:szCs w:val="13"/>
                <w:color w:val="auto"/>
              </w:rPr>
              <w:t>1,298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1240" w:type="dxa"/>
            <w:vAlign w:val="bottom"/>
            <w:gridSpan w:val="56"/>
          </w:tcPr>
          <w:p>
            <w:pPr>
              <w:ind w:left="20"/>
              <w:spacing w:after="0"/>
              <w:rPr>
                <w:sz w:val="20"/>
                <w:szCs w:val="20"/>
                <w:color w:val="auto"/>
              </w:rPr>
            </w:pPr>
            <w:r>
              <w:rPr>
                <w:rFonts w:ascii="Times New Roman" w:cs="Times New Roman" w:eastAsia="Times New Roman" w:hAnsi="Times New Roman"/>
                <w:sz w:val="13"/>
                <w:szCs w:val="13"/>
                <w:color w:val="auto"/>
              </w:rPr>
              <w:t>31, 2021</w:t>
            </w:r>
          </w:p>
        </w:tc>
        <w:tc>
          <w:tcPr>
            <w:tcW w:w="0" w:type="dxa"/>
            <w:vAlign w:val="bottom"/>
          </w:tcPr>
          <w:p>
            <w:pPr>
              <w:spacing w:after="0"/>
              <w:rPr>
                <w:sz w:val="1"/>
                <w:szCs w:val="1"/>
                <w:color w:val="auto"/>
              </w:rPr>
            </w:pPr>
          </w:p>
        </w:tc>
      </w:tr>
      <w:tr>
        <w:trPr>
          <w:trHeight w:val="183"/>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13</w:t>
            </w: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Restricted stock units issued</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40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6"/>
          </w:tcPr>
          <w:p>
            <w:pPr>
              <w:jc w:val="right"/>
              <w:ind w:right="80"/>
              <w:spacing w:after="0"/>
              <w:rPr>
                <w:sz w:val="20"/>
                <w:szCs w:val="20"/>
                <w:color w:val="auto"/>
              </w:rPr>
            </w:pPr>
            <w:r>
              <w:rPr>
                <w:rFonts w:ascii="Times New Roman" w:cs="Times New Roman" w:eastAsia="Times New Roman" w:hAnsi="Times New Roman"/>
                <w:sz w:val="13"/>
                <w:szCs w:val="13"/>
                <w:color w:val="auto"/>
              </w:rPr>
              <w:t>(134 )</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(133 )</w:t>
            </w:r>
          </w:p>
        </w:tc>
        <w:tc>
          <w:tcPr>
            <w:tcW w:w="0" w:type="dxa"/>
            <w:vAlign w:val="bottom"/>
          </w:tcPr>
          <w:p>
            <w:pPr>
              <w:spacing w:after="0"/>
              <w:rPr>
                <w:sz w:val="1"/>
                <w:szCs w:val="1"/>
                <w:color w:val="auto"/>
              </w:rPr>
            </w:pPr>
          </w:p>
        </w:tc>
      </w:tr>
      <w:tr>
        <w:trPr>
          <w:trHeight w:val="176"/>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 based compensation earned</w:t>
            </w: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21</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807</w:t>
            </w: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807</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Translation gain</w:t>
            </w:r>
          </w:p>
        </w:tc>
        <w:tc>
          <w:tcPr>
            <w:tcW w:w="1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March 31, 2021</w:t>
            </w:r>
          </w:p>
        </w:tc>
        <w:tc>
          <w:tcPr>
            <w:tcW w:w="76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35,568</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356</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255,982</w:t>
            </w:r>
          </w:p>
        </w:tc>
        <w:tc>
          <w:tcPr>
            <w:tcW w:w="1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(36,960</w:t>
            </w:r>
          </w:p>
        </w:tc>
        <w:tc>
          <w:tcPr>
            <w:tcW w:w="160" w:type="dxa"/>
            <w:vAlign w:val="bottom"/>
            <w:tcBorders>
              <w:bottom w:val="single" w:sz="8" w:color="CFF0FC"/>
            </w:tcBorders>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(14,441</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gridSpan w:val="6"/>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gridSpan w:val="5"/>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(356</w:t>
            </w:r>
          </w:p>
        </w:tc>
        <w:tc>
          <w:tcPr>
            <w:tcW w:w="1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1,070</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205,651</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521"/>
        </w:trPr>
        <w:tc>
          <w:tcPr>
            <w:tcW w:w="2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5"/>
          </w:tcPr>
          <w:p>
            <w:pPr>
              <w:jc w:val="center"/>
              <w:ind w:right="193"/>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6"/>
            <w:vMerge w:val="restart"/>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6"/>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Capital in</w:t>
            </w:r>
          </w:p>
        </w:tc>
        <w:tc>
          <w:tcPr>
            <w:tcW w:w="20" w:type="dxa"/>
            <w:vAlign w:val="bottom"/>
          </w:tcPr>
          <w:p>
            <w:pPr>
              <w:spacing w:after="0"/>
              <w:rPr>
                <w:sz w:val="12"/>
                <w:szCs w:val="12"/>
                <w:color w:val="auto"/>
              </w:rPr>
            </w:pPr>
          </w:p>
        </w:tc>
        <w:tc>
          <w:tcPr>
            <w:tcW w:w="960" w:type="dxa"/>
            <w:vAlign w:val="bottom"/>
            <w:gridSpan w:val="5"/>
            <w:vMerge w:val="restart"/>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2"/>
                <w:szCs w:val="12"/>
                <w:color w:val="auto"/>
              </w:rPr>
            </w:pPr>
          </w:p>
        </w:tc>
        <w:tc>
          <w:tcPr>
            <w:tcW w:w="1100" w:type="dxa"/>
            <w:vAlign w:val="bottom"/>
            <w:gridSpan w:val="5"/>
          </w:tcPr>
          <w:p>
            <w:pPr>
              <w:jc w:val="center"/>
              <w:ind w:right="173"/>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gridSpan w:val="14"/>
            <w:vMerge w:val="restart"/>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4"/>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Non-</w:t>
            </w:r>
          </w:p>
        </w:tc>
        <w:tc>
          <w:tcPr>
            <w:tcW w:w="840" w:type="dxa"/>
            <w:vAlign w:val="bottom"/>
            <w:gridSpan w:val="4"/>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Shareholder</w:t>
            </w:r>
          </w:p>
        </w:tc>
        <w:tc>
          <w:tcPr>
            <w:tcW w:w="0" w:type="dxa"/>
            <w:vAlign w:val="bottom"/>
          </w:tcPr>
          <w:p>
            <w:pPr>
              <w:spacing w:after="0"/>
              <w:rPr>
                <w:sz w:val="1"/>
                <w:szCs w:val="1"/>
                <w:color w:val="auto"/>
              </w:rPr>
            </w:pPr>
          </w:p>
        </w:tc>
      </w:tr>
      <w:tr>
        <w:trPr>
          <w:trHeight w:val="176"/>
        </w:trPr>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6"/>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4"/>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excess of</w:t>
            </w:r>
          </w:p>
        </w:tc>
        <w:tc>
          <w:tcPr>
            <w:tcW w:w="20" w:type="dxa"/>
            <w:vAlign w:val="bottom"/>
          </w:tcPr>
          <w:p>
            <w:pPr>
              <w:spacing w:after="0"/>
              <w:rPr>
                <w:sz w:val="15"/>
                <w:szCs w:val="15"/>
                <w:color w:val="auto"/>
              </w:rPr>
            </w:pPr>
          </w:p>
        </w:tc>
        <w:tc>
          <w:tcPr>
            <w:tcW w:w="960" w:type="dxa"/>
            <w:vAlign w:val="bottom"/>
            <w:gridSpan w:val="5"/>
            <w:vMerge w:val="continue"/>
          </w:tcPr>
          <w:p>
            <w:pPr>
              <w:spacing w:after="0"/>
              <w:rPr>
                <w:sz w:val="15"/>
                <w:szCs w:val="15"/>
                <w:color w:val="auto"/>
              </w:rPr>
            </w:pPr>
          </w:p>
        </w:tc>
        <w:tc>
          <w:tcPr>
            <w:tcW w:w="1200" w:type="dxa"/>
            <w:vAlign w:val="bottom"/>
            <w:gridSpan w:val="6"/>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gridSpan w:val="14"/>
            <w:vMerge w:val="continue"/>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6"/>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controlling</w:t>
            </w:r>
          </w:p>
        </w:tc>
        <w:tc>
          <w:tcPr>
            <w:tcW w:w="200" w:type="dxa"/>
            <w:vAlign w:val="bottom"/>
          </w:tcPr>
          <w:p>
            <w:pPr>
              <w:spacing w:after="0"/>
              <w:rPr>
                <w:sz w:val="15"/>
                <w:szCs w:val="15"/>
                <w:color w:val="auto"/>
              </w:rPr>
            </w:pPr>
          </w:p>
        </w:tc>
        <w:tc>
          <w:tcPr>
            <w:tcW w:w="64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s'</w:t>
            </w:r>
          </w:p>
        </w:tc>
        <w:tc>
          <w:tcPr>
            <w:tcW w:w="0" w:type="dxa"/>
            <w:vAlign w:val="bottom"/>
          </w:tcPr>
          <w:p>
            <w:pPr>
              <w:spacing w:after="0"/>
              <w:rPr>
                <w:sz w:val="1"/>
                <w:szCs w:val="1"/>
                <w:color w:val="auto"/>
              </w:rPr>
            </w:pPr>
          </w:p>
        </w:tc>
      </w:tr>
      <w:tr>
        <w:trPr>
          <w:trHeight w:val="128"/>
        </w:trPr>
        <w:tc>
          <w:tcPr>
            <w:tcW w:w="2700" w:type="dxa"/>
            <w:vAlign w:val="bottom"/>
          </w:tcPr>
          <w:p>
            <w:pPr>
              <w:spacing w:after="0"/>
              <w:rPr>
                <w:sz w:val="11"/>
                <w:szCs w:val="11"/>
                <w:color w:val="auto"/>
              </w:rPr>
            </w:pPr>
          </w:p>
        </w:tc>
        <w:tc>
          <w:tcPr>
            <w:tcW w:w="760" w:type="dxa"/>
            <w:vAlign w:val="bottom"/>
            <w:tcBorders>
              <w:top w:val="single" w:sz="8" w:color="auto"/>
            </w:tcBorders>
            <w:gridSpan w:val="3"/>
          </w:tcPr>
          <w:p>
            <w:pPr>
              <w:jc w:val="right"/>
              <w:ind w:right="20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right"/>
              <w:ind w:right="140"/>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6"/>
          </w:tcPr>
          <w:p>
            <w:pPr>
              <w:jc w:val="center"/>
              <w:ind w:right="260"/>
              <w:spacing w:after="0" w:line="129" w:lineRule="exact"/>
              <w:rPr>
                <w:sz w:val="20"/>
                <w:szCs w:val="20"/>
                <w:color w:val="auto"/>
              </w:rPr>
            </w:pPr>
            <w:r>
              <w:rPr>
                <w:rFonts w:ascii="Times New Roman" w:cs="Times New Roman" w:eastAsia="Times New Roman" w:hAnsi="Times New Roman"/>
                <w:sz w:val="13"/>
                <w:szCs w:val="13"/>
                <w:b w:val="1"/>
                <w:bCs w:val="1"/>
                <w:color w:val="auto"/>
              </w:rPr>
              <w:t>par value</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4"/>
          </w:tcPr>
          <w:p>
            <w:pPr>
              <w:jc w:val="center"/>
              <w:ind w:right="373"/>
              <w:spacing w:after="0" w:line="129" w:lineRule="exact"/>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4"/>
          </w:tcPr>
          <w:p>
            <w:pPr>
              <w:jc w:val="center"/>
              <w:ind w:right="473"/>
              <w:spacing w:after="0" w:line="129" w:lineRule="exact"/>
              <w:rPr>
                <w:sz w:val="20"/>
                <w:szCs w:val="20"/>
                <w:color w:val="auto"/>
              </w:rPr>
            </w:pPr>
            <w:r>
              <w:rPr>
                <w:rFonts w:ascii="Times New Roman" w:cs="Times New Roman" w:eastAsia="Times New Roman" w:hAnsi="Times New Roman"/>
                <w:sz w:val="13"/>
                <w:szCs w:val="13"/>
                <w:b w:val="1"/>
                <w:bCs w:val="1"/>
                <w:color w:val="auto"/>
              </w:rPr>
              <w:t>Loss</w:t>
            </w:r>
          </w:p>
        </w:tc>
        <w:tc>
          <w:tcPr>
            <w:tcW w:w="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6"/>
          </w:tcPr>
          <w:p>
            <w:pPr>
              <w:jc w:val="right"/>
              <w:ind w:right="30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5"/>
          </w:tcPr>
          <w:p>
            <w:pPr>
              <w:jc w:val="right"/>
              <w:ind w:right="93"/>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5"/>
          </w:tcPr>
          <w:p>
            <w:pPr>
              <w:jc w:val="center"/>
              <w:ind w:right="260"/>
              <w:spacing w:after="0" w:line="129"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200" w:type="dxa"/>
            <w:vAlign w:val="bottom"/>
          </w:tcPr>
          <w:p>
            <w:pPr>
              <w:spacing w:after="0"/>
              <w:rPr>
                <w:sz w:val="11"/>
                <w:szCs w:val="11"/>
                <w:color w:val="auto"/>
              </w:rPr>
            </w:pPr>
          </w:p>
        </w:tc>
        <w:tc>
          <w:tcPr>
            <w:tcW w:w="640" w:type="dxa"/>
            <w:vAlign w:val="bottom"/>
            <w:gridSpan w:val="3"/>
          </w:tcPr>
          <w:p>
            <w:pPr>
              <w:jc w:val="center"/>
              <w:ind w:right="260"/>
              <w:spacing w:after="0" w:line="129"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
        </w:trPr>
        <w:tc>
          <w:tcPr>
            <w:tcW w:w="2880" w:type="dxa"/>
            <w:vAlign w:val="bottom"/>
            <w:gridSpan w:val="2"/>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560" w:type="dxa"/>
            <w:vAlign w:val="bottom"/>
            <w:tcBorders>
              <w:top w:val="single" w:sz="8" w:color="auto"/>
            </w:tcBorders>
            <w:gridSpan w:val="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400" w:type="dxa"/>
            <w:vAlign w:val="bottom"/>
            <w:tcBorders>
              <w:top w:val="single" w:sz="8" w:color="auto"/>
            </w:tcBorders>
            <w:gridSpan w:val="2"/>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480" w:type="dxa"/>
            <w:vAlign w:val="bottom"/>
            <w:tcBorders>
              <w:top w:val="single" w:sz="8" w:color="auto"/>
            </w:tcBorders>
            <w:gridSpan w:val="2"/>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December 31, 2021</w:t>
            </w: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35,028</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350</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252,989</w:t>
            </w: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4"/>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rPr>
              <w:t>(36,715 )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(12,070 )</w:t>
            </w: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1,403</w:t>
            </w: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205,957</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700" w:type="dxa"/>
            <w:vAlign w:val="bottom"/>
          </w:tcPr>
          <w:p>
            <w:pPr>
              <w:ind w:left="20"/>
              <w:spacing w:after="0" w:line="123" w:lineRule="exact"/>
              <w:rPr>
                <w:sz w:val="20"/>
                <w:szCs w:val="20"/>
                <w:color w:val="auto"/>
              </w:rPr>
            </w:pPr>
            <w:r>
              <w:rPr>
                <w:rFonts w:ascii="Times New Roman" w:cs="Times New Roman" w:eastAsia="Times New Roman" w:hAnsi="Times New Roman"/>
                <w:sz w:val="13"/>
                <w:szCs w:val="13"/>
                <w:color w:val="auto"/>
              </w:rPr>
              <w:t>Net income for the three months ended March</w:t>
            </w: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gridSpan w:val="3"/>
          </w:tcPr>
          <w:p>
            <w:pPr>
              <w:jc w:val="right"/>
              <w:spacing w:after="0" w:line="123" w:lineRule="exact"/>
              <w:rPr>
                <w:sz w:val="20"/>
                <w:szCs w:val="20"/>
                <w:color w:val="auto"/>
              </w:rPr>
            </w:pPr>
            <w:r>
              <w:rPr>
                <w:rFonts w:ascii="Times New Roman" w:cs="Times New Roman" w:eastAsia="Times New Roman" w:hAnsi="Times New Roman"/>
                <w:sz w:val="13"/>
                <w:szCs w:val="13"/>
                <w:color w:val="auto"/>
              </w:rPr>
              <w:t>2,792</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3"/>
          </w:tcPr>
          <w:p>
            <w:pPr>
              <w:jc w:val="right"/>
              <w:spacing w:after="0" w:line="123" w:lineRule="exact"/>
              <w:rPr>
                <w:sz w:val="20"/>
                <w:szCs w:val="20"/>
                <w:color w:val="auto"/>
              </w:rPr>
            </w:pPr>
            <w:r>
              <w:rPr>
                <w:rFonts w:ascii="Times New Roman" w:cs="Times New Roman" w:eastAsia="Times New Roman" w:hAnsi="Times New Roman"/>
                <w:sz w:val="13"/>
                <w:szCs w:val="13"/>
                <w:color w:val="auto"/>
              </w:rPr>
              <w:t>18</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gridSpan w:val="2"/>
          </w:tcPr>
          <w:p>
            <w:pPr>
              <w:jc w:val="right"/>
              <w:spacing w:after="0" w:line="123" w:lineRule="exact"/>
              <w:rPr>
                <w:sz w:val="20"/>
                <w:szCs w:val="20"/>
                <w:color w:val="auto"/>
              </w:rPr>
            </w:pPr>
            <w:r>
              <w:rPr>
                <w:rFonts w:ascii="Times New Roman" w:cs="Times New Roman" w:eastAsia="Times New Roman" w:hAnsi="Times New Roman"/>
                <w:sz w:val="13"/>
                <w:szCs w:val="13"/>
                <w:color w:val="auto"/>
              </w:rPr>
              <w:t>2,810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1240" w:type="dxa"/>
            <w:vAlign w:val="bottom"/>
            <w:gridSpan w:val="56"/>
          </w:tcPr>
          <w:p>
            <w:pPr>
              <w:ind w:left="20"/>
              <w:spacing w:after="0"/>
              <w:rPr>
                <w:sz w:val="20"/>
                <w:szCs w:val="20"/>
                <w:color w:val="auto"/>
              </w:rPr>
            </w:pPr>
            <w:r>
              <w:rPr>
                <w:rFonts w:ascii="Times New Roman" w:cs="Times New Roman" w:eastAsia="Times New Roman" w:hAnsi="Times New Roman"/>
                <w:sz w:val="13"/>
                <w:szCs w:val="13"/>
                <w:color w:val="auto"/>
              </w:rPr>
              <w:t>31, 2022</w:t>
            </w:r>
          </w:p>
        </w:tc>
        <w:tc>
          <w:tcPr>
            <w:tcW w:w="0" w:type="dxa"/>
            <w:vAlign w:val="bottom"/>
          </w:tcPr>
          <w:p>
            <w:pPr>
              <w:spacing w:after="0"/>
              <w:rPr>
                <w:sz w:val="1"/>
                <w:szCs w:val="1"/>
                <w:color w:val="auto"/>
              </w:rPr>
            </w:pPr>
          </w:p>
        </w:tc>
      </w:tr>
      <w:tr>
        <w:trPr>
          <w:trHeight w:val="189"/>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Restricted stock units issued</w:t>
            </w: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34</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gridSpan w:val="6"/>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(67 )</w:t>
            </w:r>
          </w:p>
        </w:tc>
        <w:tc>
          <w:tcPr>
            <w:tcW w:w="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20" w:type="dxa"/>
            <w:vAlign w:val="bottom"/>
            <w:gridSpan w:val="2"/>
            <w:shd w:val="clear" w:color="auto" w:fill="CFF0FC"/>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(67 )</w:t>
            </w:r>
          </w:p>
        </w:tc>
        <w:tc>
          <w:tcPr>
            <w:tcW w:w="0" w:type="dxa"/>
            <w:vAlign w:val="bottom"/>
          </w:tcPr>
          <w:p>
            <w:pPr>
              <w:spacing w:after="0"/>
              <w:rPr>
                <w:sz w:val="1"/>
                <w:szCs w:val="1"/>
                <w:color w:val="auto"/>
              </w:rPr>
            </w:pPr>
          </w:p>
        </w:tc>
      </w:tr>
      <w:tr>
        <w:trPr>
          <w:trHeight w:val="174"/>
        </w:trPr>
        <w:tc>
          <w:tcPr>
            <w:tcW w:w="2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 based compensation earned</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14</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color w:val="auto"/>
              </w:rPr>
              <w:t>953</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gridSpan w:val="2"/>
          </w:tcPr>
          <w:p>
            <w:pPr>
              <w:jc w:val="right"/>
              <w:ind w:right="11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953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Translation loss</w:t>
            </w:r>
          </w:p>
        </w:tc>
        <w:tc>
          <w:tcPr>
            <w:tcW w:w="1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(531 )</w:t>
            </w: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(531 )</w:t>
            </w:r>
          </w:p>
        </w:tc>
        <w:tc>
          <w:tcPr>
            <w:tcW w:w="0" w:type="dxa"/>
            <w:vAlign w:val="bottom"/>
          </w:tcPr>
          <w:p>
            <w:pPr>
              <w:spacing w:after="0"/>
              <w:rPr>
                <w:sz w:val="1"/>
                <w:szCs w:val="1"/>
                <w:color w:val="auto"/>
              </w:rPr>
            </w:pPr>
          </w:p>
        </w:tc>
      </w:tr>
      <w:tr>
        <w:trPr>
          <w:trHeight w:val="175"/>
        </w:trPr>
        <w:tc>
          <w:tcPr>
            <w:tcW w:w="2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Noncontrolling interest distributions</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5"/>
          </w:tcPr>
          <w:p>
            <w:pPr>
              <w:jc w:val="right"/>
              <w:ind w:right="80"/>
              <w:spacing w:after="0"/>
              <w:rPr>
                <w:sz w:val="20"/>
                <w:szCs w:val="20"/>
                <w:color w:val="auto"/>
              </w:rPr>
            </w:pPr>
            <w:r>
              <w:rPr>
                <w:rFonts w:ascii="Times New Roman" w:cs="Times New Roman" w:eastAsia="Times New Roman" w:hAnsi="Times New Roman"/>
                <w:sz w:val="13"/>
                <w:szCs w:val="13"/>
                <w:color w:val="auto"/>
              </w:rPr>
              <w:t>(900 )</w:t>
            </w:r>
          </w:p>
        </w:tc>
        <w:tc>
          <w:tcPr>
            <w:tcW w:w="200" w:type="dxa"/>
            <w:vAlign w:val="bottom"/>
          </w:tcPr>
          <w:p>
            <w:pPr>
              <w:spacing w:after="0"/>
              <w:rPr>
                <w:sz w:val="15"/>
                <w:szCs w:val="15"/>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(900 )</w:t>
            </w:r>
          </w:p>
        </w:tc>
        <w:tc>
          <w:tcPr>
            <w:tcW w:w="0" w:type="dxa"/>
            <w:vAlign w:val="bottom"/>
          </w:tcPr>
          <w:p>
            <w:pPr>
              <w:spacing w:after="0"/>
              <w:rPr>
                <w:sz w:val="1"/>
                <w:szCs w:val="1"/>
                <w:color w:val="auto"/>
              </w:rPr>
            </w:pPr>
          </w:p>
        </w:tc>
      </w:tr>
      <w:tr>
        <w:trPr>
          <w:trHeight w:val="123"/>
        </w:trPr>
        <w:tc>
          <w:tcPr>
            <w:tcW w:w="2700" w:type="dxa"/>
            <w:vAlign w:val="bottom"/>
            <w:shd w:val="clear" w:color="auto" w:fill="CFF0FC"/>
          </w:tcPr>
          <w:p>
            <w:pPr>
              <w:ind w:left="20"/>
              <w:spacing w:after="0" w:line="123" w:lineRule="exact"/>
              <w:rPr>
                <w:sz w:val="20"/>
                <w:szCs w:val="20"/>
                <w:color w:val="auto"/>
              </w:rPr>
            </w:pPr>
            <w:r>
              <w:rPr>
                <w:rFonts w:ascii="Times New Roman" w:cs="Times New Roman" w:eastAsia="Times New Roman" w:hAnsi="Times New Roman"/>
                <w:sz w:val="13"/>
                <w:szCs w:val="13"/>
                <w:color w:val="auto"/>
              </w:rPr>
              <w:t>Fair value of noncontrolling interest equity</w:t>
            </w:r>
          </w:p>
        </w:tc>
        <w:tc>
          <w:tcPr>
            <w:tcW w:w="18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520" w:type="dxa"/>
            <w:vAlign w:val="bottom"/>
            <w:gridSpan w:val="2"/>
            <w:shd w:val="clear" w:color="auto" w:fill="CFF0FC"/>
          </w:tcPr>
          <w:p>
            <w:pPr>
              <w:jc w:val="right"/>
              <w:ind w:right="73"/>
              <w:spacing w:after="0" w:line="123"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gridSpan w:val="3"/>
            <w:shd w:val="clear" w:color="auto" w:fill="CFF0FC"/>
          </w:tcPr>
          <w:p>
            <w:pPr>
              <w:jc w:val="right"/>
              <w:spacing w:after="0" w:line="123" w:lineRule="exact"/>
              <w:rPr>
                <w:sz w:val="20"/>
                <w:szCs w:val="20"/>
                <w:color w:val="auto"/>
              </w:rPr>
            </w:pPr>
            <w:r>
              <w:rPr>
                <w:rFonts w:ascii="Times New Roman" w:cs="Times New Roman" w:eastAsia="Times New Roman" w:hAnsi="Times New Roman"/>
                <w:sz w:val="13"/>
                <w:szCs w:val="13"/>
                <w:color w:val="auto"/>
              </w:rPr>
              <w:t>5,000</w:t>
            </w: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80" w:type="dxa"/>
            <w:vAlign w:val="bottom"/>
            <w:gridSpan w:val="2"/>
            <w:shd w:val="clear" w:color="auto" w:fill="CFF0FC"/>
          </w:tcPr>
          <w:p>
            <w:pPr>
              <w:jc w:val="right"/>
              <w:spacing w:after="0" w:line="123" w:lineRule="exact"/>
              <w:rPr>
                <w:sz w:val="20"/>
                <w:szCs w:val="20"/>
                <w:color w:val="auto"/>
              </w:rPr>
            </w:pPr>
            <w:r>
              <w:rPr>
                <w:rFonts w:ascii="Times New Roman" w:cs="Times New Roman" w:eastAsia="Times New Roman" w:hAnsi="Times New Roman"/>
                <w:sz w:val="13"/>
                <w:szCs w:val="13"/>
                <w:color w:val="auto"/>
              </w:rPr>
              <w:t>5,000</w:t>
            </w: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issued (see Note 14)</w:t>
            </w:r>
          </w:p>
        </w:tc>
        <w:tc>
          <w:tcPr>
            <w:tcW w:w="760" w:type="dxa"/>
            <w:vAlign w:val="bottom"/>
            <w:tcBorders>
              <w:bottom w:val="single" w:sz="8" w:color="auto"/>
            </w:tcBorders>
            <w:gridSpan w:val="3"/>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auto"/>
            </w:tcBorders>
            <w:gridSpan w:val="3"/>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auto"/>
            </w:tcBorders>
            <w:gridSpan w:val="5"/>
            <w:shd w:val="clear" w:color="auto" w:fill="CFF0FC"/>
          </w:tcPr>
          <w:p>
            <w:pPr>
              <w:spacing w:after="0"/>
              <w:rPr>
                <w:sz w:val="15"/>
                <w:szCs w:val="15"/>
                <w:color w:val="auto"/>
              </w:rPr>
            </w:pPr>
          </w:p>
        </w:tc>
        <w:tc>
          <w:tcPr>
            <w:tcW w:w="160" w:type="dxa"/>
            <w:vAlign w:val="bottom"/>
            <w:tcBorders>
              <w:bottom w:val="single" w:sz="8" w:color="CFF0FC"/>
            </w:tcBorders>
            <w:gridSpan w:val="2"/>
            <w:shd w:val="clear" w:color="auto" w:fill="CFF0FC"/>
          </w:tcPr>
          <w:p>
            <w:pPr>
              <w:spacing w:after="0"/>
              <w:rPr>
                <w:sz w:val="15"/>
                <w:szCs w:val="15"/>
                <w:color w:val="auto"/>
              </w:rPr>
            </w:pPr>
          </w:p>
        </w:tc>
        <w:tc>
          <w:tcPr>
            <w:tcW w:w="820" w:type="dxa"/>
            <w:vAlign w:val="bottom"/>
            <w:tcBorders>
              <w:bottom w:val="single" w:sz="8" w:color="auto"/>
            </w:tcBorders>
            <w:gridSpan w:val="5"/>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auto"/>
            </w:tcBorders>
            <w:gridSpan w:val="5"/>
            <w:shd w:val="clear" w:color="auto" w:fill="CFF0FC"/>
          </w:tcPr>
          <w:p>
            <w:pPr>
              <w:spacing w:after="0"/>
              <w:rPr>
                <w:sz w:val="15"/>
                <w:szCs w:val="15"/>
                <w:color w:val="auto"/>
              </w:rPr>
            </w:pPr>
          </w:p>
        </w:tc>
        <w:tc>
          <w:tcPr>
            <w:tcW w:w="140" w:type="dxa"/>
            <w:vAlign w:val="bottom"/>
            <w:tcBorders>
              <w:bottom w:val="single" w:sz="8" w:color="CFF0FC"/>
            </w:tcBorders>
            <w:gridSpan w:val="2"/>
            <w:shd w:val="clear" w:color="auto" w:fill="CFF0FC"/>
          </w:tcPr>
          <w:p>
            <w:pPr>
              <w:spacing w:after="0"/>
              <w:rPr>
                <w:sz w:val="15"/>
                <w:szCs w:val="15"/>
                <w:color w:val="auto"/>
              </w:rPr>
            </w:pPr>
          </w:p>
        </w:tc>
        <w:tc>
          <w:tcPr>
            <w:tcW w:w="800" w:type="dxa"/>
            <w:vAlign w:val="bottom"/>
            <w:tcBorders>
              <w:bottom w:val="single" w:sz="8" w:color="auto"/>
            </w:tcBorders>
            <w:gridSpan w:val="6"/>
            <w:shd w:val="clear" w:color="auto" w:fill="CFF0FC"/>
          </w:tcPr>
          <w:p>
            <w:pPr>
              <w:spacing w:after="0"/>
              <w:rPr>
                <w:sz w:val="15"/>
                <w:szCs w:val="15"/>
                <w:color w:val="auto"/>
              </w:rPr>
            </w:pPr>
          </w:p>
        </w:tc>
        <w:tc>
          <w:tcPr>
            <w:tcW w:w="120" w:type="dxa"/>
            <w:vAlign w:val="bottom"/>
            <w:tcBorders>
              <w:bottom w:val="single" w:sz="8" w:color="CFF0FC"/>
            </w:tcBorders>
            <w:gridSpan w:val="2"/>
            <w:shd w:val="clear" w:color="auto" w:fill="CFF0FC"/>
          </w:tcPr>
          <w:p>
            <w:pPr>
              <w:spacing w:after="0"/>
              <w:rPr>
                <w:sz w:val="15"/>
                <w:szCs w:val="15"/>
                <w:color w:val="auto"/>
              </w:rPr>
            </w:pPr>
          </w:p>
        </w:tc>
        <w:tc>
          <w:tcPr>
            <w:tcW w:w="800" w:type="dxa"/>
            <w:vAlign w:val="bottom"/>
            <w:tcBorders>
              <w:bottom w:val="single" w:sz="8" w:color="auto"/>
            </w:tcBorders>
            <w:gridSpan w:val="7"/>
            <w:shd w:val="clear" w:color="auto" w:fill="CFF0FC"/>
          </w:tcPr>
          <w:p>
            <w:pPr>
              <w:spacing w:after="0"/>
              <w:rPr>
                <w:sz w:val="15"/>
                <w:szCs w:val="15"/>
                <w:color w:val="auto"/>
              </w:rPr>
            </w:pPr>
          </w:p>
        </w:tc>
        <w:tc>
          <w:tcPr>
            <w:tcW w:w="120" w:type="dxa"/>
            <w:vAlign w:val="bottom"/>
            <w:tcBorders>
              <w:bottom w:val="single" w:sz="8" w:color="CFF0FC"/>
            </w:tcBorders>
            <w:gridSpan w:val="2"/>
            <w:shd w:val="clear" w:color="auto" w:fill="CFF0FC"/>
          </w:tcPr>
          <w:p>
            <w:pPr>
              <w:spacing w:after="0"/>
              <w:rPr>
                <w:sz w:val="15"/>
                <w:szCs w:val="15"/>
                <w:color w:val="auto"/>
              </w:rPr>
            </w:pPr>
          </w:p>
        </w:tc>
        <w:tc>
          <w:tcPr>
            <w:tcW w:w="760" w:type="dxa"/>
            <w:vAlign w:val="bottom"/>
            <w:tcBorders>
              <w:bottom w:val="single" w:sz="8" w:color="auto"/>
            </w:tcBorders>
            <w:gridSpan w:val="4"/>
            <w:shd w:val="clear" w:color="auto" w:fill="CFF0FC"/>
          </w:tcPr>
          <w:p>
            <w:pPr>
              <w:spacing w:after="0"/>
              <w:rPr>
                <w:sz w:val="15"/>
                <w:szCs w:val="15"/>
                <w:color w:val="auto"/>
              </w:rPr>
            </w:pPr>
          </w:p>
        </w:tc>
        <w:tc>
          <w:tcPr>
            <w:tcW w:w="140" w:type="dxa"/>
            <w:vAlign w:val="bottom"/>
            <w:tcBorders>
              <w:bottom w:val="single" w:sz="8" w:color="CFF0FC"/>
            </w:tcBorders>
            <w:gridSpan w:val="2"/>
            <w:shd w:val="clear" w:color="auto" w:fill="CFF0FC"/>
          </w:tcPr>
          <w:p>
            <w:pPr>
              <w:spacing w:after="0"/>
              <w:rPr>
                <w:sz w:val="15"/>
                <w:szCs w:val="15"/>
                <w:color w:val="auto"/>
              </w:rPr>
            </w:pPr>
          </w:p>
        </w:tc>
        <w:tc>
          <w:tcPr>
            <w:tcW w:w="780" w:type="dxa"/>
            <w:vAlign w:val="bottom"/>
            <w:tcBorders>
              <w:bottom w:val="single" w:sz="8" w:color="auto"/>
            </w:tcBorders>
            <w:gridSpan w:val="3"/>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March 31, 2022</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35,076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350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color w:val="auto"/>
              </w:rPr>
              <w:t>253,875</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4"/>
          </w:tcPr>
          <w:p>
            <w:pPr>
              <w:jc w:val="right"/>
              <w:ind w:right="33"/>
              <w:spacing w:after="0"/>
              <w:rPr>
                <w:sz w:val="20"/>
                <w:szCs w:val="20"/>
                <w:color w:val="auto"/>
              </w:rPr>
            </w:pPr>
            <w:r>
              <w:rPr>
                <w:rFonts w:ascii="Times New Roman" w:cs="Times New Roman" w:eastAsia="Times New Roman" w:hAnsi="Times New Roman"/>
                <w:sz w:val="13"/>
                <w:szCs w:val="13"/>
                <w:color w:val="auto"/>
              </w:rPr>
              <w:t>(33,923 )</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(12,601 )</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5,521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213,222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-1782445</wp:posOffset>
            </wp:positionV>
            <wp:extent cx="342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-1765300</wp:posOffset>
            </wp:positionV>
            <wp:extent cx="342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-1782445</wp:posOffset>
            </wp:positionV>
            <wp:extent cx="342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-1765300</wp:posOffset>
            </wp:positionV>
            <wp:extent cx="342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-1782445</wp:posOffset>
            </wp:positionV>
            <wp:extent cx="431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-1765300</wp:posOffset>
            </wp:positionV>
            <wp:extent cx="431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-1782445</wp:posOffset>
            </wp:positionV>
            <wp:extent cx="431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-1765300</wp:posOffset>
            </wp:positionV>
            <wp:extent cx="431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-1782445</wp:posOffset>
            </wp:positionV>
            <wp:extent cx="342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-1765300</wp:posOffset>
            </wp:positionV>
            <wp:extent cx="342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-1782445</wp:posOffset>
            </wp:positionV>
            <wp:extent cx="342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-1765300</wp:posOffset>
            </wp:positionV>
            <wp:extent cx="342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-1782445</wp:posOffset>
            </wp:positionV>
            <wp:extent cx="342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-1765300</wp:posOffset>
            </wp:positionV>
            <wp:extent cx="342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-1782445</wp:posOffset>
            </wp:positionV>
            <wp:extent cx="254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-1765300</wp:posOffset>
            </wp:positionV>
            <wp:extent cx="254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-1782445</wp:posOffset>
            </wp:positionV>
            <wp:extent cx="342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-1765300</wp:posOffset>
            </wp:positionV>
            <wp:extent cx="342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-145415</wp:posOffset>
            </wp:positionV>
            <wp:extent cx="342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-145415</wp:posOffset>
            </wp:positionV>
            <wp:extent cx="342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-145415</wp:posOffset>
            </wp:positionV>
            <wp:extent cx="431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-145415</wp:posOffset>
            </wp:positionV>
            <wp:extent cx="431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-145415</wp:posOffset>
            </wp:positionV>
            <wp:extent cx="431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-145415</wp:posOffset>
            </wp:positionV>
            <wp:extent cx="254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-145415</wp:posOffset>
            </wp:positionV>
            <wp:extent cx="254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-145415</wp:posOffset>
            </wp:positionV>
            <wp:extent cx="342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-145415</wp:posOffset>
            </wp:positionV>
            <wp:extent cx="342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7"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42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3"/>
                <w:szCs w:val="13"/>
                <w:b w:val="1"/>
                <w:bCs w:val="1"/>
                <w:color w:val="auto"/>
              </w:rPr>
              <w:t>2022</w:t>
            </w:r>
          </w:p>
        </w:tc>
        <w:tc>
          <w:tcPr>
            <w:tcW w:w="24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Pr>
          <w:p>
            <w:pPr>
              <w:spacing w:after="0"/>
              <w:rPr>
                <w:sz w:val="14"/>
                <w:szCs w:val="14"/>
                <w:color w:val="auto"/>
              </w:rPr>
            </w:pPr>
          </w:p>
        </w:tc>
      </w:tr>
      <w:tr>
        <w:trPr>
          <w:trHeight w:val="196"/>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2,810</w:t>
            </w:r>
          </w:p>
        </w:tc>
        <w:tc>
          <w:tcPr>
            <w:tcW w:w="240" w:type="dxa"/>
            <w:vAlign w:val="bottom"/>
          </w:tcPr>
          <w:p>
            <w:pPr>
              <w:spacing w:after="0"/>
              <w:rPr>
                <w:sz w:val="17"/>
                <w:szCs w:val="17"/>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w:t>
            </w:r>
          </w:p>
        </w:tc>
        <w:tc>
          <w:tcPr>
            <w:tcW w:w="80" w:type="dxa"/>
            <w:vAlign w:val="bottom"/>
          </w:tcPr>
          <w:p>
            <w:pPr>
              <w:spacing w:after="0"/>
              <w:rPr>
                <w:sz w:val="17"/>
                <w:szCs w:val="17"/>
                <w:color w:val="auto"/>
              </w:rPr>
            </w:pPr>
          </w:p>
        </w:tc>
      </w:tr>
      <w:tr>
        <w:trPr>
          <w:trHeight w:val="203"/>
        </w:trPr>
        <w:tc>
          <w:tcPr>
            <w:tcW w:w="7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(used in) operating activities:</w:t>
            </w: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2,288</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2,435</w:t>
            </w:r>
          </w:p>
        </w:tc>
        <w:tc>
          <w:tcPr>
            <w:tcW w:w="80" w:type="dxa"/>
            <w:vAlign w:val="bottom"/>
          </w:tcPr>
          <w:p>
            <w:pPr>
              <w:spacing w:after="0"/>
              <w:rPr>
                <w:sz w:val="17"/>
                <w:szCs w:val="17"/>
                <w:color w:val="auto"/>
              </w:rPr>
            </w:pPr>
          </w:p>
        </w:tc>
      </w:tr>
      <w:tr>
        <w:trPr>
          <w:trHeight w:val="203"/>
        </w:trPr>
        <w:tc>
          <w:tcPr>
            <w:tcW w:w="7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Unrealized foreign currency loss</w:t>
            </w: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80" w:type="dxa"/>
            <w:vAlign w:val="bottom"/>
            <w:shd w:val="clear" w:color="auto" w:fill="CFF0FC"/>
          </w:tcPr>
          <w:p>
            <w:pPr>
              <w:spacing w:after="0"/>
              <w:rPr>
                <w:sz w:val="17"/>
                <w:szCs w:val="17"/>
                <w:color w:val="auto"/>
              </w:rPr>
            </w:pPr>
          </w:p>
        </w:tc>
      </w:tr>
      <w:tr>
        <w:trPr>
          <w:trHeight w:val="203"/>
        </w:trPr>
        <w:tc>
          <w:tcPr>
            <w:tcW w:w="7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(Gain) loss on sale of property and equipment</w:t>
            </w:r>
          </w:p>
        </w:tc>
        <w:tc>
          <w:tcPr>
            <w:tcW w:w="420" w:type="dxa"/>
            <w:vAlign w:val="bottom"/>
          </w:tcPr>
          <w:p>
            <w:pPr>
              <w:spacing w:after="0"/>
              <w:rPr>
                <w:sz w:val="17"/>
                <w:szCs w:val="17"/>
                <w:color w:val="auto"/>
              </w:rPr>
            </w:pPr>
          </w:p>
        </w:tc>
        <w:tc>
          <w:tcPr>
            <w:tcW w:w="16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(7 )</w:t>
            </w:r>
          </w:p>
        </w:tc>
        <w:tc>
          <w:tcPr>
            <w:tcW w:w="440" w:type="dxa"/>
            <w:vAlign w:val="bottom"/>
          </w:tcPr>
          <w:p>
            <w:pPr>
              <w:spacing w:after="0"/>
              <w:rPr>
                <w:sz w:val="17"/>
                <w:szCs w:val="17"/>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(66 )</w:t>
            </w:r>
          </w:p>
        </w:tc>
      </w:tr>
      <w:tr>
        <w:trPr>
          <w:trHeight w:val="203"/>
        </w:trPr>
        <w:tc>
          <w:tcPr>
            <w:tcW w:w="7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Debt discount amortization</w:t>
            </w: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80" w:type="dxa"/>
            <w:vAlign w:val="bottom"/>
            <w:shd w:val="clear" w:color="auto" w:fill="CFF0FC"/>
          </w:tcPr>
          <w:p>
            <w:pPr>
              <w:spacing w:after="0"/>
              <w:rPr>
                <w:sz w:val="17"/>
                <w:szCs w:val="17"/>
                <w:color w:val="auto"/>
              </w:rPr>
            </w:pPr>
          </w:p>
        </w:tc>
      </w:tr>
      <w:tr>
        <w:trPr>
          <w:trHeight w:val="203"/>
        </w:trPr>
        <w:tc>
          <w:tcPr>
            <w:tcW w:w="7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80" w:type="dxa"/>
            <w:vAlign w:val="bottom"/>
          </w:tcPr>
          <w:p>
            <w:pPr>
              <w:spacing w:after="0"/>
              <w:rPr>
                <w:sz w:val="17"/>
                <w:szCs w:val="17"/>
                <w:color w:val="auto"/>
              </w:rPr>
            </w:pPr>
          </w:p>
        </w:tc>
      </w:tr>
      <w:tr>
        <w:trPr>
          <w:trHeight w:val="203"/>
        </w:trPr>
        <w:tc>
          <w:tcPr>
            <w:tcW w:w="7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Bad debt expense (recoveries)</w:t>
            </w: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(41 )</w:t>
            </w:r>
          </w:p>
        </w:tc>
      </w:tr>
      <w:tr>
        <w:trPr>
          <w:trHeight w:val="203"/>
        </w:trPr>
        <w:tc>
          <w:tcPr>
            <w:tcW w:w="7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Inventory reserve expense</w:t>
            </w: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80" w:type="dxa"/>
            <w:vAlign w:val="bottom"/>
          </w:tcPr>
          <w:p>
            <w:pPr>
              <w:spacing w:after="0"/>
              <w:rPr>
                <w:sz w:val="17"/>
                <w:szCs w:val="17"/>
                <w:color w:val="auto"/>
              </w:rPr>
            </w:pPr>
          </w:p>
        </w:tc>
      </w:tr>
      <w:tr>
        <w:trPr>
          <w:trHeight w:val="203"/>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w:t>
            </w: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420" w:type="dxa"/>
            <w:vAlign w:val="bottom"/>
          </w:tcPr>
          <w:p>
            <w:pPr>
              <w:spacing w:after="0"/>
              <w:rPr>
                <w:sz w:val="17"/>
                <w:szCs w:val="17"/>
                <w:color w:val="auto"/>
              </w:rPr>
            </w:pPr>
          </w:p>
        </w:tc>
        <w:tc>
          <w:tcPr>
            <w:tcW w:w="16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(18,964 )</w:t>
            </w:r>
          </w:p>
        </w:tc>
        <w:tc>
          <w:tcPr>
            <w:tcW w:w="440" w:type="dxa"/>
            <w:vAlign w:val="bottom"/>
          </w:tcPr>
          <w:p>
            <w:pPr>
              <w:spacing w:after="0"/>
              <w:rPr>
                <w:sz w:val="17"/>
                <w:szCs w:val="17"/>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(3,493 )</w:t>
            </w:r>
          </w:p>
        </w:tc>
      </w:tr>
      <w:tr>
        <w:trPr>
          <w:trHeight w:val="203"/>
        </w:trPr>
        <w:tc>
          <w:tcPr>
            <w:tcW w:w="7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Costs and estimated earnings in excess of billings on uncompleted contracts</w:t>
            </w: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1,515</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4,319</w:t>
            </w:r>
          </w:p>
        </w:tc>
        <w:tc>
          <w:tcPr>
            <w:tcW w:w="80" w:type="dxa"/>
            <w:vAlign w:val="bottom"/>
            <w:shd w:val="clear" w:color="auto" w:fill="CFF0FC"/>
          </w:tcPr>
          <w:p>
            <w:pPr>
              <w:spacing w:after="0"/>
              <w:rPr>
                <w:sz w:val="17"/>
                <w:szCs w:val="17"/>
                <w:color w:val="auto"/>
              </w:rPr>
            </w:pPr>
          </w:p>
        </w:tc>
      </w:tr>
      <w:tr>
        <w:trPr>
          <w:trHeight w:val="203"/>
        </w:trPr>
        <w:tc>
          <w:tcPr>
            <w:tcW w:w="7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420" w:type="dxa"/>
            <w:vAlign w:val="bottom"/>
          </w:tcPr>
          <w:p>
            <w:pPr>
              <w:spacing w:after="0"/>
              <w:rPr>
                <w:sz w:val="17"/>
                <w:szCs w:val="17"/>
                <w:color w:val="auto"/>
              </w:rPr>
            </w:pPr>
          </w:p>
        </w:tc>
        <w:tc>
          <w:tcPr>
            <w:tcW w:w="16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(3,316 )</w:t>
            </w: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80" w:type="dxa"/>
            <w:vAlign w:val="bottom"/>
          </w:tcPr>
          <w:p>
            <w:pPr>
              <w:spacing w:after="0"/>
              <w:rPr>
                <w:sz w:val="17"/>
                <w:szCs w:val="17"/>
                <w:color w:val="auto"/>
              </w:rPr>
            </w:pPr>
          </w:p>
        </w:tc>
      </w:tr>
      <w:tr>
        <w:trPr>
          <w:trHeight w:val="203"/>
        </w:trPr>
        <w:tc>
          <w:tcPr>
            <w:tcW w:w="7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Prepaid expense and other current assets</w:t>
            </w:r>
          </w:p>
        </w:tc>
        <w:tc>
          <w:tcPr>
            <w:tcW w:w="42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(878 )</w:t>
            </w:r>
          </w:p>
        </w:tc>
        <w:tc>
          <w:tcPr>
            <w:tcW w:w="4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5,269</w:t>
            </w:r>
          </w:p>
        </w:tc>
        <w:tc>
          <w:tcPr>
            <w:tcW w:w="80" w:type="dxa"/>
            <w:vAlign w:val="bottom"/>
            <w:shd w:val="clear" w:color="auto" w:fill="CFF0FC"/>
          </w:tcPr>
          <w:p>
            <w:pPr>
              <w:spacing w:after="0"/>
              <w:rPr>
                <w:sz w:val="17"/>
                <w:szCs w:val="17"/>
                <w:color w:val="auto"/>
              </w:rPr>
            </w:pPr>
          </w:p>
        </w:tc>
      </w:tr>
      <w:tr>
        <w:trPr>
          <w:trHeight w:val="203"/>
        </w:trPr>
        <w:tc>
          <w:tcPr>
            <w:tcW w:w="7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80" w:type="dxa"/>
            <w:vAlign w:val="bottom"/>
          </w:tcPr>
          <w:p>
            <w:pPr>
              <w:spacing w:after="0"/>
              <w:rPr>
                <w:sz w:val="17"/>
                <w:szCs w:val="17"/>
                <w:color w:val="auto"/>
              </w:rPr>
            </w:pPr>
          </w:p>
        </w:tc>
      </w:tr>
      <w:tr>
        <w:trPr>
          <w:trHeight w:val="203"/>
        </w:trPr>
        <w:tc>
          <w:tcPr>
            <w:tcW w:w="7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7,452</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1,548</w:t>
            </w:r>
          </w:p>
        </w:tc>
        <w:tc>
          <w:tcPr>
            <w:tcW w:w="80" w:type="dxa"/>
            <w:vAlign w:val="bottom"/>
            <w:shd w:val="clear" w:color="auto" w:fill="CFF0FC"/>
          </w:tcPr>
          <w:p>
            <w:pPr>
              <w:spacing w:after="0"/>
              <w:rPr>
                <w:sz w:val="17"/>
                <w:szCs w:val="17"/>
                <w:color w:val="auto"/>
              </w:rPr>
            </w:pPr>
          </w:p>
        </w:tc>
      </w:tr>
      <w:tr>
        <w:trPr>
          <w:trHeight w:val="203"/>
        </w:trPr>
        <w:tc>
          <w:tcPr>
            <w:tcW w:w="7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Billings in excess of costs and estimated earnings on uncompleted contracts</w:t>
            </w: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7,615</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(3,564 )</w:t>
            </w:r>
          </w:p>
        </w:tc>
      </w:tr>
      <w:tr>
        <w:trPr>
          <w:trHeight w:val="203"/>
        </w:trPr>
        <w:tc>
          <w:tcPr>
            <w:tcW w:w="7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Income taxes payable</w:t>
            </w: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(499 )</w:t>
            </w:r>
          </w:p>
        </w:tc>
      </w:tr>
      <w:tr>
        <w:trPr>
          <w:trHeight w:val="203"/>
        </w:trPr>
        <w:tc>
          <w:tcPr>
            <w:tcW w:w="7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liabilities</w:t>
            </w:r>
          </w:p>
        </w:tc>
        <w:tc>
          <w:tcPr>
            <w:tcW w:w="420" w:type="dxa"/>
            <w:vAlign w:val="bottom"/>
          </w:tcPr>
          <w:p>
            <w:pPr>
              <w:spacing w:after="0"/>
              <w:rPr>
                <w:sz w:val="17"/>
                <w:szCs w:val="17"/>
                <w:color w:val="auto"/>
              </w:rPr>
            </w:pPr>
          </w:p>
        </w:tc>
        <w:tc>
          <w:tcPr>
            <w:tcW w:w="16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(1,341 )</w:t>
            </w:r>
          </w:p>
        </w:tc>
        <w:tc>
          <w:tcPr>
            <w:tcW w:w="440" w:type="dxa"/>
            <w:vAlign w:val="bottom"/>
          </w:tcPr>
          <w:p>
            <w:pPr>
              <w:spacing w:after="0"/>
              <w:rPr>
                <w:sz w:val="17"/>
                <w:szCs w:val="17"/>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(55 )</w:t>
            </w:r>
          </w:p>
        </w:tc>
      </w:tr>
      <w:tr>
        <w:trPr>
          <w:trHeight w:val="196"/>
        </w:trPr>
        <w:tc>
          <w:tcPr>
            <w:tcW w:w="72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420" w:type="dxa"/>
            <w:vAlign w:val="bottom"/>
            <w:tcBorders>
              <w:top w:val="single" w:sz="8" w:color="auto"/>
              <w:bottom w:val="single" w:sz="8" w:color="auto"/>
            </w:tcBorders>
            <w:shd w:val="clear" w:color="auto" w:fill="CFF0FC"/>
          </w:tcPr>
          <w:p>
            <w:pPr>
              <w:spacing w:after="0"/>
              <w:rPr>
                <w:sz w:val="17"/>
                <w:szCs w:val="17"/>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240" w:type="dxa"/>
            <w:vAlign w:val="bottom"/>
            <w:tcBorders>
              <w:bottom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top w:val="single" w:sz="8" w:color="auto"/>
              <w:bottom w:val="single" w:sz="8" w:color="auto"/>
            </w:tcBorders>
            <w:shd w:val="clear" w:color="auto" w:fill="CFF0FC"/>
          </w:tcPr>
          <w:p>
            <w:pPr>
              <w:spacing w:after="0"/>
              <w:rPr>
                <w:sz w:val="17"/>
                <w:szCs w:val="17"/>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9,908</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Acquisitions of property and equipment</w:t>
            </w:r>
          </w:p>
        </w:tc>
        <w:tc>
          <w:tcPr>
            <w:tcW w:w="42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(665 )</w:t>
            </w:r>
          </w:p>
        </w:tc>
        <w:tc>
          <w:tcPr>
            <w:tcW w:w="4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(492 )</w:t>
            </w:r>
          </w:p>
        </w:tc>
      </w:tr>
      <w:tr>
        <w:trPr>
          <w:trHeight w:val="203"/>
        </w:trPr>
        <w:tc>
          <w:tcPr>
            <w:tcW w:w="7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proceeds from sale of assets</w:t>
            </w: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80" w:type="dxa"/>
            <w:vAlign w:val="bottom"/>
          </w:tcPr>
          <w:p>
            <w:pPr>
              <w:spacing w:after="0"/>
              <w:rPr>
                <w:sz w:val="17"/>
                <w:szCs w:val="17"/>
                <w:color w:val="auto"/>
              </w:rPr>
            </w:pPr>
          </w:p>
        </w:tc>
      </w:tr>
      <w:tr>
        <w:trPr>
          <w:trHeight w:val="203"/>
        </w:trPr>
        <w:tc>
          <w:tcPr>
            <w:tcW w:w="7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cash paid for acquisition</w:t>
            </w:r>
          </w:p>
        </w:tc>
        <w:tc>
          <w:tcPr>
            <w:tcW w:w="42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(19,583 )</w:t>
            </w:r>
          </w:p>
        </w:tc>
        <w:tc>
          <w:tcPr>
            <w:tcW w:w="4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72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7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420" w:type="dxa"/>
            <w:vAlign w:val="bottom"/>
          </w:tcPr>
          <w:p>
            <w:pPr>
              <w:spacing w:after="0"/>
              <w:rPr>
                <w:sz w:val="17"/>
                <w:szCs w:val="17"/>
                <w:color w:val="auto"/>
              </w:rPr>
            </w:pPr>
          </w:p>
        </w:tc>
        <w:tc>
          <w:tcPr>
            <w:tcW w:w="16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(20,241 )</w:t>
            </w: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tcPr>
          <w:p>
            <w:pPr>
              <w:spacing w:after="0"/>
              <w:rPr>
                <w:sz w:val="17"/>
                <w:szCs w:val="17"/>
                <w:color w:val="auto"/>
              </w:rPr>
            </w:pPr>
          </w:p>
        </w:tc>
      </w:tr>
      <w:tr>
        <w:trPr>
          <w:trHeight w:val="196"/>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42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Borrowings on revolving credit lines</w:t>
            </w: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17,800</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9,200</w:t>
            </w:r>
          </w:p>
        </w:tc>
        <w:tc>
          <w:tcPr>
            <w:tcW w:w="80" w:type="dxa"/>
            <w:vAlign w:val="bottom"/>
          </w:tcPr>
          <w:p>
            <w:pPr>
              <w:spacing w:after="0"/>
              <w:rPr>
                <w:sz w:val="17"/>
                <w:szCs w:val="17"/>
                <w:color w:val="auto"/>
              </w:rPr>
            </w:pPr>
          </w:p>
        </w:tc>
      </w:tr>
      <w:tr>
        <w:trPr>
          <w:trHeight w:val="203"/>
        </w:trPr>
        <w:tc>
          <w:tcPr>
            <w:tcW w:w="7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Repayments on revolving credit lines</w:t>
            </w:r>
          </w:p>
        </w:tc>
        <w:tc>
          <w:tcPr>
            <w:tcW w:w="42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(7,200 )</w:t>
            </w:r>
          </w:p>
        </w:tc>
        <w:tc>
          <w:tcPr>
            <w:tcW w:w="4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(11,900 )</w:t>
            </w:r>
          </w:p>
        </w:tc>
      </w:tr>
      <w:tr>
        <w:trPr>
          <w:trHeight w:val="203"/>
        </w:trPr>
        <w:tc>
          <w:tcPr>
            <w:tcW w:w="7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Borrowing on long-term debt</w:t>
            </w: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42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(643 )</w:t>
            </w:r>
          </w:p>
        </w:tc>
        <w:tc>
          <w:tcPr>
            <w:tcW w:w="4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(625 )</w:t>
            </w:r>
          </w:p>
        </w:tc>
      </w:tr>
      <w:tr>
        <w:trPr>
          <w:trHeight w:val="203"/>
        </w:trPr>
        <w:tc>
          <w:tcPr>
            <w:tcW w:w="7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financing fees paid</w:t>
            </w:r>
          </w:p>
        </w:tc>
        <w:tc>
          <w:tcPr>
            <w:tcW w:w="420" w:type="dxa"/>
            <w:vAlign w:val="bottom"/>
          </w:tcPr>
          <w:p>
            <w:pPr>
              <w:spacing w:after="0"/>
              <w:rPr>
                <w:sz w:val="17"/>
                <w:szCs w:val="17"/>
                <w:color w:val="auto"/>
              </w:rPr>
            </w:pPr>
          </w:p>
        </w:tc>
        <w:tc>
          <w:tcPr>
            <w:tcW w:w="16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(130 )</w:t>
            </w:r>
          </w:p>
        </w:tc>
        <w:tc>
          <w:tcPr>
            <w:tcW w:w="440" w:type="dxa"/>
            <w:vAlign w:val="bottom"/>
          </w:tcPr>
          <w:p>
            <w:pPr>
              <w:spacing w:after="0"/>
              <w:rPr>
                <w:sz w:val="17"/>
                <w:szCs w:val="17"/>
                <w:color w:val="auto"/>
              </w:rPr>
            </w:pPr>
          </w:p>
        </w:tc>
        <w:tc>
          <w:tcPr>
            <w:tcW w:w="14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Payments on finance leases and financing liability</w:t>
            </w:r>
          </w:p>
        </w:tc>
        <w:tc>
          <w:tcPr>
            <w:tcW w:w="42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(145 )</w:t>
            </w:r>
          </w:p>
        </w:tc>
        <w:tc>
          <w:tcPr>
            <w:tcW w:w="4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(135 )</w:t>
            </w:r>
          </w:p>
        </w:tc>
      </w:tr>
      <w:tr>
        <w:trPr>
          <w:trHeight w:val="203"/>
        </w:trPr>
        <w:tc>
          <w:tcPr>
            <w:tcW w:w="7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Earnout payments</w:t>
            </w:r>
          </w:p>
        </w:tc>
        <w:tc>
          <w:tcPr>
            <w:tcW w:w="420" w:type="dxa"/>
            <w:vAlign w:val="bottom"/>
          </w:tcPr>
          <w:p>
            <w:pPr>
              <w:spacing w:after="0"/>
              <w:rPr>
                <w:sz w:val="17"/>
                <w:szCs w:val="17"/>
                <w:color w:val="auto"/>
              </w:rPr>
            </w:pPr>
          </w:p>
        </w:tc>
        <w:tc>
          <w:tcPr>
            <w:tcW w:w="16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7"/>
                <w:szCs w:val="17"/>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(823 )</w:t>
            </w:r>
          </w:p>
        </w:tc>
      </w:tr>
      <w:tr>
        <w:trPr>
          <w:trHeight w:val="203"/>
        </w:trPr>
        <w:tc>
          <w:tcPr>
            <w:tcW w:w="7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employee stock purchase plan and exercise of stock options</w:t>
            </w: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80" w:type="dxa"/>
            <w:vAlign w:val="bottom"/>
            <w:shd w:val="clear" w:color="auto" w:fill="CFF0FC"/>
          </w:tcPr>
          <w:p>
            <w:pPr>
              <w:spacing w:after="0"/>
              <w:rPr>
                <w:sz w:val="17"/>
                <w:szCs w:val="17"/>
                <w:color w:val="auto"/>
              </w:rPr>
            </w:pPr>
          </w:p>
        </w:tc>
      </w:tr>
      <w:tr>
        <w:trPr>
          <w:trHeight w:val="203"/>
        </w:trPr>
        <w:tc>
          <w:tcPr>
            <w:tcW w:w="7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Noncontrolling interest distributions</w:t>
            </w:r>
          </w:p>
        </w:tc>
        <w:tc>
          <w:tcPr>
            <w:tcW w:w="420" w:type="dxa"/>
            <w:vAlign w:val="bottom"/>
          </w:tcPr>
          <w:p>
            <w:pPr>
              <w:spacing w:after="0"/>
              <w:rPr>
                <w:sz w:val="17"/>
                <w:szCs w:val="17"/>
                <w:color w:val="auto"/>
              </w:rPr>
            </w:pPr>
          </w:p>
        </w:tc>
        <w:tc>
          <w:tcPr>
            <w:tcW w:w="16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(900 )</w:t>
            </w:r>
          </w:p>
        </w:tc>
        <w:tc>
          <w:tcPr>
            <w:tcW w:w="440" w:type="dxa"/>
            <w:vAlign w:val="bottom"/>
          </w:tcPr>
          <w:p>
            <w:pPr>
              <w:spacing w:after="0"/>
              <w:rPr>
                <w:sz w:val="17"/>
                <w:szCs w:val="17"/>
                <w:color w:val="auto"/>
              </w:rPr>
            </w:pPr>
          </w:p>
        </w:tc>
        <w:tc>
          <w:tcPr>
            <w:tcW w:w="14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72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420" w:type="dxa"/>
            <w:vAlign w:val="bottom"/>
            <w:tcBorders>
              <w:top w:val="single" w:sz="8" w:color="auto"/>
              <w:bottom w:val="single" w:sz="8" w:color="auto"/>
            </w:tcBorders>
            <w:shd w:val="clear" w:color="auto" w:fill="CFF0FC"/>
          </w:tcPr>
          <w:p>
            <w:pPr>
              <w:spacing w:after="0"/>
              <w:rPr>
                <w:sz w:val="17"/>
                <w:szCs w:val="17"/>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19,859</w:t>
            </w:r>
          </w:p>
        </w:tc>
        <w:tc>
          <w:tcPr>
            <w:tcW w:w="2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top w:val="single" w:sz="8" w:color="auto"/>
              <w:bottom w:val="single" w:sz="8" w:color="auto"/>
            </w:tcBorders>
            <w:shd w:val="clear" w:color="auto" w:fill="CFF0FC"/>
          </w:tcPr>
          <w:p>
            <w:pPr>
              <w:spacing w:after="0"/>
              <w:rPr>
                <w:sz w:val="17"/>
                <w:szCs w:val="17"/>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(4,155</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420" w:type="dxa"/>
            <w:vAlign w:val="bottom"/>
          </w:tcPr>
          <w:p>
            <w:pPr>
              <w:spacing w:after="0"/>
              <w:rPr>
                <w:sz w:val="17"/>
                <w:szCs w:val="17"/>
                <w:color w:val="auto"/>
              </w:rPr>
            </w:pPr>
          </w:p>
        </w:tc>
        <w:tc>
          <w:tcPr>
            <w:tcW w:w="16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(1,111 )</w:t>
            </w:r>
          </w:p>
        </w:tc>
        <w:tc>
          <w:tcPr>
            <w:tcW w:w="440" w:type="dxa"/>
            <w:vAlign w:val="bottom"/>
          </w:tcPr>
          <w:p>
            <w:pPr>
              <w:spacing w:after="0"/>
              <w:rPr>
                <w:sz w:val="17"/>
                <w:szCs w:val="17"/>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(356 )</w:t>
            </w:r>
          </w:p>
        </w:tc>
      </w:tr>
      <w:tr>
        <w:trPr>
          <w:trHeight w:val="196"/>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42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(1,695</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5,439</w:t>
            </w:r>
          </w:p>
        </w:tc>
        <w:tc>
          <w:tcPr>
            <w:tcW w:w="80" w:type="dxa"/>
            <w:vAlign w:val="bottom"/>
            <w:shd w:val="clear" w:color="auto" w:fill="CFF0FC"/>
          </w:tcPr>
          <w:p>
            <w:pPr>
              <w:spacing w:after="0"/>
              <w:rPr>
                <w:sz w:val="17"/>
                <w:szCs w:val="17"/>
                <w:color w:val="auto"/>
              </w:rPr>
            </w:pPr>
          </w:p>
        </w:tc>
      </w:tr>
      <w:tr>
        <w:trPr>
          <w:trHeight w:val="203"/>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31,995</w:t>
            </w:r>
          </w:p>
        </w:tc>
        <w:tc>
          <w:tcPr>
            <w:tcW w:w="2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37,811</w:t>
            </w:r>
          </w:p>
        </w:tc>
        <w:tc>
          <w:tcPr>
            <w:tcW w:w="80" w:type="dxa"/>
            <w:vAlign w:val="bottom"/>
          </w:tcPr>
          <w:p>
            <w:pPr>
              <w:spacing w:after="0"/>
              <w:rPr>
                <w:sz w:val="17"/>
                <w:szCs w:val="17"/>
                <w:color w:val="auto"/>
              </w:rPr>
            </w:pPr>
          </w:p>
        </w:tc>
      </w:tr>
      <w:tr>
        <w:trPr>
          <w:trHeight w:val="236"/>
        </w:trPr>
        <w:tc>
          <w:tcPr>
            <w:tcW w:w="7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420" w:type="dxa"/>
            <w:vAlign w:val="bottom"/>
            <w:tcBorders>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30,300</w:t>
            </w:r>
          </w:p>
        </w:tc>
        <w:tc>
          <w:tcPr>
            <w:tcW w:w="24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43,250</w:t>
            </w:r>
          </w:p>
        </w:tc>
        <w:tc>
          <w:tcPr>
            <w:tcW w:w="80" w:type="dxa"/>
            <w:vAlign w:val="bottom"/>
            <w:tcBorders>
              <w:bottom w:val="single" w:sz="8" w:color="CFF0FC"/>
            </w:tcBorders>
            <w:shd w:val="clear" w:color="auto" w:fill="CFF0FC"/>
          </w:tcPr>
          <w:p>
            <w:pPr>
              <w:spacing w:after="0"/>
              <w:rPr>
                <w:sz w:val="20"/>
                <w:szCs w:val="20"/>
                <w:color w:val="auto"/>
              </w:rPr>
            </w:pPr>
          </w:p>
        </w:tc>
      </w:tr>
      <w:tr>
        <w:trPr>
          <w:trHeight w:val="183"/>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(received) during the period for:</w:t>
            </w: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36"/>
        </w:trPr>
        <w:tc>
          <w:tcPr>
            <w:tcW w:w="72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w:t>
            </w:r>
          </w:p>
        </w:tc>
        <w:tc>
          <w:tcPr>
            <w:tcW w:w="420" w:type="dxa"/>
            <w:vAlign w:val="bottom"/>
            <w:tcBorders>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24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80" w:type="dxa"/>
            <w:vAlign w:val="bottom"/>
            <w:tcBorders>
              <w:bottom w:val="single" w:sz="8" w:color="CFF0FC"/>
            </w:tcBorders>
            <w:shd w:val="clear" w:color="auto" w:fill="CFF0FC"/>
          </w:tcPr>
          <w:p>
            <w:pPr>
              <w:spacing w:after="0"/>
              <w:rPr>
                <w:sz w:val="20"/>
                <w:szCs w:val="20"/>
                <w:color w:val="auto"/>
              </w:rPr>
            </w:pPr>
          </w:p>
        </w:tc>
      </w:tr>
      <w:tr>
        <w:trPr>
          <w:trHeight w:val="183"/>
        </w:trPr>
        <w:tc>
          <w:tcPr>
            <w:tcW w:w="7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taxes</w:t>
            </w: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240" w:type="dxa"/>
            <w:vAlign w:val="bottom"/>
          </w:tcPr>
          <w:p>
            <w:pPr>
              <w:spacing w:after="0"/>
              <w:rPr>
                <w:sz w:val="15"/>
                <w:szCs w:val="15"/>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(3,717 )</w:t>
            </w:r>
          </w:p>
        </w:tc>
      </w:tr>
      <w:tr>
        <w:trPr>
          <w:trHeight w:val="20"/>
        </w:trPr>
        <w:tc>
          <w:tcPr>
            <w:tcW w:w="7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-3102610</wp:posOffset>
            </wp:positionV>
            <wp:extent cx="514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-3102610</wp:posOffset>
            </wp:positionV>
            <wp:extent cx="514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-2579370</wp:posOffset>
            </wp:positionV>
            <wp:extent cx="514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-2579370</wp:posOffset>
            </wp:positionV>
            <wp:extent cx="514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-1010920</wp:posOffset>
            </wp:positionV>
            <wp:extent cx="514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-1010920</wp:posOffset>
            </wp:positionV>
            <wp:extent cx="514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-471170</wp:posOffset>
            </wp:positionV>
            <wp:extent cx="514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-453390</wp:posOffset>
            </wp:positionV>
            <wp:extent cx="514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-471170</wp:posOffset>
            </wp:positionV>
            <wp:extent cx="514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-453390</wp:posOffset>
            </wp:positionV>
            <wp:extent cx="514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-179070</wp:posOffset>
            </wp:positionV>
            <wp:extent cx="514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-162560</wp:posOffset>
            </wp:positionV>
            <wp:extent cx="514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-179070</wp:posOffset>
            </wp:positionV>
            <wp:extent cx="514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-162560</wp:posOffset>
            </wp:positionV>
            <wp:extent cx="514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 w:name="page8"/>
    <w:bookmarkEnd w:id="7"/>
    <w:p>
      <w:pPr>
        <w:ind w:left="3452"/>
        <w:spacing w:after="0"/>
        <w:rPr>
          <w:sz w:val="20"/>
          <w:szCs w:val="20"/>
          <w:color w:val="auto"/>
        </w:rPr>
      </w:pPr>
      <w:r>
        <w:rPr>
          <w:rFonts w:ascii="Times New Roman" w:cs="Times New Roman" w:eastAsia="Times New Roman" w:hAnsi="Times New Roman"/>
          <w:sz w:val="18"/>
          <w:szCs w:val="18"/>
          <w:u w:val="single" w:color="auto"/>
          <w:color w:val="auto"/>
        </w:rPr>
        <w:t>CECO ENVIRONMENTAL CORP. AND SUBSIDIARIES</w:t>
      </w:r>
    </w:p>
    <w:p>
      <w:pPr>
        <w:spacing w:after="0" w:line="25" w:lineRule="exact"/>
        <w:rPr>
          <w:sz w:val="20"/>
          <w:szCs w:val="20"/>
          <w:color w:val="auto"/>
        </w:rPr>
      </w:pPr>
    </w:p>
    <w:p>
      <w:pPr>
        <w:ind w:left="2812"/>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w:t>
      </w:r>
    </w:p>
    <w:p>
      <w:pPr>
        <w:jc w:val="center"/>
        <w:ind w:right="-31"/>
        <w:spacing w:after="0"/>
        <w:rPr>
          <w:sz w:val="20"/>
          <w:szCs w:val="20"/>
          <w:color w:val="auto"/>
        </w:rPr>
      </w:pPr>
      <w:r>
        <w:rPr>
          <w:rFonts w:ascii="Times New Roman" w:cs="Times New Roman" w:eastAsia="Times New Roman" w:hAnsi="Times New Roman"/>
          <w:sz w:val="18"/>
          <w:szCs w:val="18"/>
          <w:u w:val="single" w:color="auto"/>
          <w:color w:val="auto"/>
        </w:rPr>
        <w:t>(unaudited)</w:t>
      </w:r>
    </w:p>
    <w:p>
      <w:pPr>
        <w:spacing w:after="0" w:line="188" w:lineRule="exact"/>
        <w:rPr>
          <w:sz w:val="20"/>
          <w:szCs w:val="20"/>
          <w:color w:val="auto"/>
        </w:rPr>
      </w:pPr>
    </w:p>
    <w:p>
      <w:pPr>
        <w:ind w:left="352" w:hanging="352"/>
        <w:spacing w:after="0"/>
        <w:tabs>
          <w:tab w:leader="none" w:pos="352"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Reporting for Consolidated Financial Statements</w:t>
      </w:r>
    </w:p>
    <w:p>
      <w:pPr>
        <w:spacing w:after="0" w:line="216" w:lineRule="exact"/>
        <w:rPr>
          <w:sz w:val="20"/>
          <w:szCs w:val="20"/>
          <w:color w:val="auto"/>
        </w:rPr>
      </w:pPr>
    </w:p>
    <w:p>
      <w:pPr>
        <w:ind w:left="512" w:right="60"/>
        <w:spacing w:after="0" w:line="24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CECO Environmental Corp. and its subsidiaries (the “Company”, “we”, “us”, or “our”) have been prepared pursuant to the rules and regulations of the Securities and Exchange Commission (the “SEC”). Certain information and footnote disclosures normally included in annual financial statements have been condensed or omitted pursuant to those rules and regulations. In the opinion of management, the accompanying unaudited condensed consolidated financial statements of the Company contain all adjustments (consisting only of normal recurring adjustments) necessary to present fairly the financial position as of March 31, 2022 and the results of operations, cash flows and shareholders’ equity for the three-month periods ended March 31, 2022 and 2021. The results of operations for the three-month period ended March 31, 2022 are not necessarily indicative of the results to be expected for the full year. The balance sheet as of December 31, 2021 has been derived from the audited consolidated financial statements included in the Company’s Annual Report on Form 10-K for the year ended December 31, 2021 as filed with the SEC (the "2021 Form 10-K").</w:t>
      </w:r>
    </w:p>
    <w:p>
      <w:pPr>
        <w:spacing w:after="0" w:line="201" w:lineRule="exact"/>
        <w:rPr>
          <w:sz w:val="20"/>
          <w:szCs w:val="20"/>
          <w:color w:val="auto"/>
        </w:rPr>
      </w:pPr>
    </w:p>
    <w:p>
      <w:pPr>
        <w:ind w:left="512" w:right="40"/>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7" w:lineRule="exact"/>
        <w:rPr>
          <w:sz w:val="20"/>
          <w:szCs w:val="20"/>
          <w:color w:val="auto"/>
        </w:rPr>
      </w:pPr>
    </w:p>
    <w:p>
      <w:pPr>
        <w:ind w:left="512" w:right="580"/>
        <w:spacing w:after="0" w:line="266" w:lineRule="auto"/>
        <w:rPr>
          <w:sz w:val="20"/>
          <w:szCs w:val="20"/>
          <w:color w:val="auto"/>
        </w:rPr>
      </w:pPr>
      <w:r>
        <w:rPr>
          <w:rFonts w:ascii="Times New Roman" w:cs="Times New Roman" w:eastAsia="Times New Roman" w:hAnsi="Times New Roman"/>
          <w:sz w:val="18"/>
          <w:szCs w:val="18"/>
          <w:color w:val="auto"/>
        </w:rPr>
        <w:t>These financial statements and accompanying notes should be read in conjunction with the audited financial statements and the notes thereto included in the 2021 Form 10-K.</w:t>
      </w:r>
    </w:p>
    <w:p>
      <w:pPr>
        <w:spacing w:after="0" w:line="176"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Unless otherwise indicated, all balances within tables are in thousands, except per share amounts.</w:t>
      </w:r>
    </w:p>
    <w:p>
      <w:pPr>
        <w:spacing w:after="0" w:line="210"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i w:val="1"/>
          <w:iCs w:val="1"/>
          <w:color w:val="auto"/>
        </w:rPr>
        <w:t>COVID-19</w:t>
      </w:r>
    </w:p>
    <w:p>
      <w:pPr>
        <w:spacing w:after="0" w:line="214" w:lineRule="exact"/>
        <w:rPr>
          <w:sz w:val="20"/>
          <w:szCs w:val="20"/>
          <w:color w:val="auto"/>
        </w:rPr>
      </w:pPr>
    </w:p>
    <w:p>
      <w:pPr>
        <w:jc w:val="both"/>
        <w:ind w:left="512"/>
        <w:spacing w:after="0" w:line="280" w:lineRule="auto"/>
        <w:rPr>
          <w:sz w:val="20"/>
          <w:szCs w:val="20"/>
          <w:color w:val="auto"/>
        </w:rPr>
      </w:pPr>
      <w:r>
        <w:rPr>
          <w:rFonts w:ascii="Times New Roman" w:cs="Times New Roman" w:eastAsia="Times New Roman" w:hAnsi="Times New Roman"/>
          <w:sz w:val="17"/>
          <w:szCs w:val="17"/>
          <w:color w:val="auto"/>
        </w:rPr>
        <w:t>A novel strain of coronavirus (“COVID-19”) surfaced in late 2019 and has spread around the world, including to the United States. In March 2020, the World Health Organization characterized COVID-19 as a pandemic. As of Mach 31, 2022, the virus, including new emerging variants, continues to spread and has had a significant impact on worldwide economic activity, on macroeconomic conditions and the end markets of our business.</w:t>
      </w:r>
    </w:p>
    <w:p>
      <w:pPr>
        <w:spacing w:after="0" w:line="153" w:lineRule="exact"/>
        <w:rPr>
          <w:sz w:val="20"/>
          <w:szCs w:val="20"/>
          <w:color w:val="auto"/>
        </w:rPr>
      </w:pPr>
    </w:p>
    <w:p>
      <w:pPr>
        <w:ind w:left="512" w:right="160"/>
        <w:spacing w:after="0" w:line="264" w:lineRule="auto"/>
        <w:rPr>
          <w:sz w:val="20"/>
          <w:szCs w:val="20"/>
          <w:color w:val="auto"/>
        </w:rPr>
      </w:pPr>
      <w:r>
        <w:rPr>
          <w:rFonts w:ascii="Times New Roman" w:cs="Times New Roman" w:eastAsia="Times New Roman" w:hAnsi="Times New Roman"/>
          <w:sz w:val="17"/>
          <w:szCs w:val="17"/>
          <w:color w:val="auto"/>
        </w:rPr>
        <w:t>The outbreak and a continued spread of COVID-19 has resulted in a substantial curtailment of business activities worldwide and has caused weakened economic conditions, both in the United States and abroad. Although vaccines are available in various countries where we operate, it is possible the COVID-19 pandemic may continue to have a negative impact on the Company's ongoing operations and the end markets in which it serves. However, the full impact of the COVID-19 pandemic continues to evolve as of the date of this filing, and as such, it is uncertain as to the full magnitude or lasting impact that the pandemic will have on the Company’s financial condition, liquidity, and future results of operations. Management is actively monitoring the impact of the pandemic on its financial condition, liquidity, operations, suppliers, industry, and workforce.</w:t>
      </w:r>
    </w:p>
    <w:p>
      <w:pPr>
        <w:spacing w:after="0" w:line="164" w:lineRule="exact"/>
        <w:rPr>
          <w:sz w:val="20"/>
          <w:szCs w:val="20"/>
          <w:color w:val="auto"/>
        </w:rPr>
      </w:pPr>
    </w:p>
    <w:p>
      <w:pPr>
        <w:ind w:left="512" w:right="7220" w:hanging="512"/>
        <w:spacing w:after="0" w:line="495" w:lineRule="auto"/>
        <w:tabs>
          <w:tab w:leader="none" w:pos="363"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Financial Accounting Pronouncements Accounting Standards adopted in Fiscal 2022</w:t>
      </w:r>
    </w:p>
    <w:p>
      <w:pPr>
        <w:spacing w:after="0" w:line="1"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b w:val="1"/>
          <w:bCs w:val="1"/>
          <w:color w:val="auto"/>
        </w:rPr>
        <w:t>Accounting Standards Yet to be Adopted</w:t>
      </w:r>
    </w:p>
    <w:p>
      <w:pPr>
        <w:spacing w:after="0" w:line="216" w:lineRule="exact"/>
        <w:rPr>
          <w:sz w:val="20"/>
          <w:szCs w:val="20"/>
          <w:color w:val="auto"/>
        </w:rPr>
      </w:pPr>
    </w:p>
    <w:p>
      <w:pPr>
        <w:ind w:left="512"/>
        <w:spacing w:after="0" w:line="250" w:lineRule="auto"/>
        <w:rPr>
          <w:sz w:val="20"/>
          <w:szCs w:val="20"/>
          <w:color w:val="auto"/>
        </w:rPr>
      </w:pPr>
      <w:r>
        <w:rPr>
          <w:rFonts w:ascii="Times New Roman" w:cs="Times New Roman" w:eastAsia="Times New Roman" w:hAnsi="Times New Roman"/>
          <w:sz w:val="18"/>
          <w:szCs w:val="18"/>
          <w:color w:val="auto"/>
        </w:rPr>
        <w:t>In October 2021, the FASB issued ASU 2021-08, Business Combinations (Topic 805): Accounting for Contract Assets and Contract Liabilities from Contracts with Customers, which addresses how an acquirer should recognize and measure revenue contracts acquired in a business combination. This ASU is effective for fiscal years beginning after December 15, 2022, including interim periods within those fiscal years. The Company is currently evaluating the impact the adoption of the standard will have on the Company’s financial position and/or results of operations.</w:t>
      </w:r>
    </w:p>
    <w:p>
      <w:pPr>
        <w:spacing w:after="0" w:line="19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324" w:right="359" w:bottom="1440" w:gutter="0" w:footer="0" w:header="0"/>
        </w:sectPr>
      </w:pPr>
    </w:p>
    <w:bookmarkStart w:id="8" w:name="page9"/>
    <w:bookmarkEnd w:id="8"/>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3.</w:t>
        <w:tab/>
        <w:t>Accounts Receivable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280" w:type="dxa"/>
            <w:vAlign w:val="bottom"/>
          </w:tcPr>
          <w:p>
            <w:pPr>
              <w:spacing w:after="0"/>
              <w:rPr>
                <w:sz w:val="16"/>
                <w:szCs w:val="16"/>
                <w:color w:val="auto"/>
              </w:rPr>
            </w:pPr>
          </w:p>
        </w:tc>
        <w:tc>
          <w:tcPr>
            <w:tcW w:w="18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20" w:type="dxa"/>
            <w:vAlign w:val="bottom"/>
          </w:tcPr>
          <w:p>
            <w:pPr>
              <w:spacing w:after="0"/>
              <w:rPr>
                <w:sz w:val="16"/>
                <w:szCs w:val="16"/>
                <w:color w:val="auto"/>
              </w:rPr>
            </w:pPr>
          </w:p>
        </w:tc>
        <w:tc>
          <w:tcPr>
            <w:tcW w:w="16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09"/>
        </w:trPr>
        <w:tc>
          <w:tcPr>
            <w:tcW w:w="7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receivables</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81,956</w:t>
            </w: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65,932</w:t>
            </w:r>
          </w:p>
        </w:tc>
        <w:tc>
          <w:tcPr>
            <w:tcW w:w="80" w:type="dxa"/>
            <w:vAlign w:val="bottom"/>
            <w:shd w:val="clear" w:color="auto" w:fill="CFF0FC"/>
          </w:tcPr>
          <w:p>
            <w:pPr>
              <w:spacing w:after="0"/>
              <w:rPr>
                <w:sz w:val="18"/>
                <w:szCs w:val="18"/>
                <w:color w:val="auto"/>
              </w:rPr>
            </w:pPr>
          </w:p>
        </w:tc>
      </w:tr>
      <w:tr>
        <w:trPr>
          <w:trHeight w:val="216"/>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12,537</w:t>
            </w:r>
          </w:p>
        </w:tc>
        <w:tc>
          <w:tcPr>
            <w:tcW w:w="80" w:type="dxa"/>
            <w:vAlign w:val="bottom"/>
          </w:tcPr>
          <w:p>
            <w:pPr>
              <w:spacing w:after="0"/>
              <w:rPr>
                <w:sz w:val="18"/>
                <w:szCs w:val="18"/>
                <w:color w:val="auto"/>
              </w:rPr>
            </w:pPr>
          </w:p>
        </w:tc>
      </w:tr>
      <w:tr>
        <w:trPr>
          <w:trHeight w:val="216"/>
        </w:trPr>
        <w:tc>
          <w:tcPr>
            <w:tcW w:w="7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8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(3,475 )</w:t>
            </w:r>
          </w:p>
        </w:tc>
        <w:tc>
          <w:tcPr>
            <w:tcW w:w="2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(3,478 )</w:t>
            </w:r>
          </w:p>
        </w:tc>
      </w:tr>
      <w:tr>
        <w:trPr>
          <w:trHeight w:val="210"/>
        </w:trPr>
        <w:tc>
          <w:tcPr>
            <w:tcW w:w="72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accounts receivable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95,440</w:t>
            </w:r>
          </w:p>
        </w:tc>
        <w:tc>
          <w:tcPr>
            <w:tcW w:w="24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74,991</w:t>
            </w:r>
          </w:p>
        </w:tc>
        <w:tc>
          <w:tcPr>
            <w:tcW w:w="80" w:type="dxa"/>
            <w:vAlign w:val="bottom"/>
            <w:tcBorders>
              <w:top w:val="single" w:sz="8" w:color="CFF0FC"/>
            </w:tcBorders>
          </w:tcPr>
          <w:p>
            <w:pPr>
              <w:spacing w:after="0"/>
              <w:rPr>
                <w:sz w:val="18"/>
                <w:szCs w:val="18"/>
                <w:color w:val="auto"/>
              </w:rPr>
            </w:pPr>
          </w:p>
        </w:tc>
      </w:tr>
      <w:tr>
        <w:trPr>
          <w:trHeight w:val="20"/>
        </w:trPr>
        <w:tc>
          <w:tcPr>
            <w:tcW w:w="7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-170815</wp:posOffset>
            </wp:positionV>
            <wp:extent cx="514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-170815</wp:posOffset>
            </wp:positionV>
            <wp:extent cx="514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70" w:lineRule="exact"/>
        <w:rPr>
          <w:sz w:val="20"/>
          <w:szCs w:val="20"/>
          <w:color w:val="auto"/>
        </w:rPr>
      </w:pPr>
    </w:p>
    <w:p>
      <w:pPr>
        <w:ind w:left="520" w:right="200"/>
        <w:spacing w:after="0" w:line="250" w:lineRule="auto"/>
        <w:rPr>
          <w:sz w:val="20"/>
          <w:szCs w:val="20"/>
          <w:color w:val="auto"/>
        </w:rPr>
      </w:pPr>
      <w:r>
        <w:rPr>
          <w:rFonts w:ascii="Times New Roman" w:cs="Times New Roman" w:eastAsia="Times New Roman" w:hAnsi="Times New Roman"/>
          <w:sz w:val="18"/>
          <w:szCs w:val="18"/>
          <w:color w:val="auto"/>
        </w:rPr>
        <w:t>Balances billed but not paid by customers under retainage provisions in contracts within the Condensed Consolidated Balance Sheets amounted to approximately $1.6 million and $1.8 million at March 31, 2022 and December 31, 2021, respectively. Retainage receivables on contracts in progress are generally collected within a year or two subsequent to contract completion, and are recorded in either accounts receivable, net or deferred charges and other assets within the Condensed Consolidated Balance Sheets depending on timing of expected collection.</w:t>
      </w:r>
    </w:p>
    <w:p>
      <w:pPr>
        <w:spacing w:after="0" w:line="177" w:lineRule="exact"/>
        <w:rPr>
          <w:sz w:val="20"/>
          <w:szCs w:val="20"/>
          <w:color w:val="auto"/>
        </w:rPr>
      </w:pPr>
    </w:p>
    <w:p>
      <w:pPr>
        <w:ind w:left="520" w:right="400"/>
        <w:spacing w:after="0" w:line="266" w:lineRule="auto"/>
        <w:rPr>
          <w:sz w:val="20"/>
          <w:szCs w:val="20"/>
          <w:color w:val="auto"/>
        </w:rPr>
      </w:pPr>
      <w:r>
        <w:rPr>
          <w:rFonts w:ascii="Times New Roman" w:cs="Times New Roman" w:eastAsia="Times New Roman" w:hAnsi="Times New Roman"/>
          <w:sz w:val="18"/>
          <w:szCs w:val="18"/>
          <w:color w:val="auto"/>
        </w:rPr>
        <w:t>Bad debt expense was approximately $45,000 compared with net recoveries of bad debts of approximately $41,000 for the three-month periods ended March 31, 2022 and 2021, respectively.</w:t>
      </w:r>
    </w:p>
    <w:p>
      <w:pPr>
        <w:spacing w:after="0" w:line="17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4.</w:t>
        <w:tab/>
        <w:t>Inventories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280" w:type="dxa"/>
            <w:vAlign w:val="bottom"/>
          </w:tcPr>
          <w:p>
            <w:pPr>
              <w:spacing w:after="0"/>
              <w:rPr>
                <w:sz w:val="16"/>
                <w:szCs w:val="16"/>
                <w:color w:val="auto"/>
              </w:rPr>
            </w:pPr>
          </w:p>
        </w:tc>
        <w:tc>
          <w:tcPr>
            <w:tcW w:w="18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20" w:type="dxa"/>
            <w:vAlign w:val="bottom"/>
          </w:tcPr>
          <w:p>
            <w:pPr>
              <w:spacing w:after="0"/>
              <w:rPr>
                <w:sz w:val="16"/>
                <w:szCs w:val="16"/>
                <w:color w:val="auto"/>
              </w:rPr>
            </w:pPr>
          </w:p>
        </w:tc>
        <w:tc>
          <w:tcPr>
            <w:tcW w:w="16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10"/>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14,835</w:t>
            </w: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13,405</w:t>
            </w:r>
          </w:p>
        </w:tc>
        <w:tc>
          <w:tcPr>
            <w:tcW w:w="80" w:type="dxa"/>
            <w:vAlign w:val="bottom"/>
            <w:shd w:val="clear" w:color="auto" w:fill="CFF0FC"/>
          </w:tcPr>
          <w:p>
            <w:pPr>
              <w:spacing w:after="0"/>
              <w:rPr>
                <w:sz w:val="18"/>
                <w:szCs w:val="18"/>
                <w:color w:val="auto"/>
              </w:rPr>
            </w:pPr>
          </w:p>
        </w:tc>
      </w:tr>
      <w:tr>
        <w:trPr>
          <w:trHeight w:val="216"/>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80" w:type="dxa"/>
            <w:vAlign w:val="bottom"/>
          </w:tcPr>
          <w:p>
            <w:pPr>
              <w:spacing w:after="0"/>
              <w:rPr>
                <w:sz w:val="18"/>
                <w:szCs w:val="18"/>
                <w:color w:val="auto"/>
              </w:rPr>
            </w:pPr>
          </w:p>
        </w:tc>
      </w:tr>
      <w:tr>
        <w:trPr>
          <w:trHeight w:val="216"/>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80" w:type="dxa"/>
            <w:vAlign w:val="bottom"/>
            <w:shd w:val="clear" w:color="auto" w:fill="CFF0FC"/>
          </w:tcPr>
          <w:p>
            <w:pPr>
              <w:spacing w:after="0"/>
              <w:rPr>
                <w:sz w:val="18"/>
                <w:szCs w:val="18"/>
                <w:color w:val="auto"/>
              </w:rPr>
            </w:pPr>
          </w:p>
        </w:tc>
      </w:tr>
      <w:tr>
        <w:trPr>
          <w:trHeight w:val="216"/>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Obsolescence allowance</w:t>
            </w:r>
          </w:p>
        </w:tc>
        <w:tc>
          <w:tcPr>
            <w:tcW w:w="28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(2,282 )</w:t>
            </w:r>
          </w:p>
        </w:tc>
        <w:tc>
          <w:tcPr>
            <w:tcW w:w="22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(2,174 )</w:t>
            </w:r>
          </w:p>
        </w:tc>
      </w:tr>
      <w:tr>
        <w:trPr>
          <w:trHeight w:val="250"/>
        </w:trPr>
        <w:tc>
          <w:tcPr>
            <w:tcW w:w="72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inventories</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22,080</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17,052</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-24765</wp:posOffset>
            </wp:positionV>
            <wp:extent cx="514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514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left="520" w:right="20"/>
        <w:spacing w:after="0" w:line="266" w:lineRule="auto"/>
        <w:rPr>
          <w:sz w:val="20"/>
          <w:szCs w:val="20"/>
          <w:color w:val="auto"/>
        </w:rPr>
      </w:pPr>
      <w:r>
        <w:rPr>
          <w:rFonts w:ascii="Times New Roman" w:cs="Times New Roman" w:eastAsia="Times New Roman" w:hAnsi="Times New Roman"/>
          <w:sz w:val="18"/>
          <w:szCs w:val="18"/>
          <w:color w:val="auto"/>
        </w:rPr>
        <w:t>Amounts credited to the allowance for obsolete inventory and charged to cost of sales amounted to $0.2 million and $0.1 million for the three-month periods ended March 31, 2022 and 2021, respectively.</w:t>
      </w:r>
    </w:p>
    <w:p>
      <w:pPr>
        <w:spacing w:after="0" w:line="15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5.</w:t>
        <w:tab/>
        <w:t>Goodwill and Intangible Assets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40" w:type="dxa"/>
            <w:vAlign w:val="bottom"/>
            <w:gridSpan w:val="9"/>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00" w:type="dxa"/>
            <w:vAlign w:val="bottom"/>
            <w:gridSpan w:val="11"/>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r>
      <w:tr>
        <w:trPr>
          <w:trHeight w:val="169"/>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Goodwill / Tradename</w:t>
            </w:r>
          </w:p>
        </w:tc>
        <w:tc>
          <w:tcPr>
            <w:tcW w:w="2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Tradename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Tradename</w:t>
            </w:r>
          </w:p>
        </w:tc>
        <w:tc>
          <w:tcPr>
            <w:tcW w:w="80" w:type="dxa"/>
            <w:vAlign w:val="bottom"/>
          </w:tcPr>
          <w:p>
            <w:pPr>
              <w:spacing w:after="0"/>
              <w:rPr>
                <w:sz w:val="14"/>
                <w:szCs w:val="14"/>
                <w:color w:val="auto"/>
              </w:rPr>
            </w:pPr>
          </w:p>
        </w:tc>
      </w:tr>
      <w:tr>
        <w:trPr>
          <w:trHeight w:val="210"/>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161,183</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9,629</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161,820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12,937</w:t>
            </w:r>
          </w:p>
        </w:tc>
        <w:tc>
          <w:tcPr>
            <w:tcW w:w="80" w:type="dxa"/>
            <w:vAlign w:val="bottom"/>
            <w:shd w:val="clear" w:color="auto" w:fill="CFF0FC"/>
          </w:tcPr>
          <w:p>
            <w:pPr>
              <w:spacing w:after="0"/>
              <w:rPr>
                <w:sz w:val="18"/>
                <w:szCs w:val="18"/>
                <w:color w:val="auto"/>
              </w:rPr>
            </w:pPr>
          </w:p>
        </w:tc>
      </w:tr>
      <w:tr>
        <w:trPr>
          <w:trHeight w:val="21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20,667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Transfers to finite life classification</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(3,150 )</w:t>
            </w:r>
          </w:p>
        </w:tc>
      </w:tr>
      <w:tr>
        <w:trPr>
          <w:trHeight w:val="21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(251 )</w:t>
            </w:r>
          </w:p>
        </w:tc>
        <w:tc>
          <w:tcPr>
            <w:tcW w:w="20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w w:val="91"/>
              </w:rPr>
              <w:t>(637 )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(158 )</w:t>
            </w:r>
          </w:p>
        </w:tc>
      </w:tr>
      <w:tr>
        <w:trPr>
          <w:trHeight w:val="250"/>
        </w:trPr>
        <w:tc>
          <w:tcPr>
            <w:tcW w:w="50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181,599</w:t>
            </w:r>
          </w:p>
        </w:tc>
        <w:tc>
          <w:tcPr>
            <w:tcW w:w="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9,573</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161,183</w:t>
            </w:r>
          </w:p>
        </w:tc>
        <w:tc>
          <w:tcPr>
            <w:tcW w:w="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9,629</w:t>
            </w:r>
          </w:p>
        </w:tc>
        <w:tc>
          <w:tcPr>
            <w:tcW w:w="80" w:type="dxa"/>
            <w:vAlign w:val="bottom"/>
            <w:tcBorders>
              <w:bottom w:val="single" w:sz="8" w:color="CFF0FC"/>
            </w:tcBorders>
            <w:shd w:val="clear" w:color="auto" w:fill="CFF0FC"/>
          </w:tcPr>
          <w:p>
            <w:pPr>
              <w:spacing w:after="0"/>
              <w:rPr>
                <w:sz w:val="21"/>
                <w:szCs w:val="21"/>
                <w:color w:val="auto"/>
              </w:rPr>
            </w:pPr>
          </w:p>
        </w:tc>
      </w:tr>
      <w:tr>
        <w:trPr>
          <w:trHeight w:val="575"/>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40" w:type="dxa"/>
            <w:vAlign w:val="bottom"/>
            <w:gridSpan w:val="9"/>
          </w:tcPr>
          <w:p>
            <w:pPr>
              <w:ind w:left="380"/>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00" w:type="dxa"/>
            <w:vAlign w:val="bottom"/>
            <w:gridSpan w:val="11"/>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r>
      <w:tr>
        <w:trPr>
          <w:trHeight w:val="169"/>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Intangible assets – finite life</w:t>
            </w:r>
          </w:p>
        </w:tc>
        <w:tc>
          <w:tcPr>
            <w:tcW w:w="2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 Amort.</w:t>
            </w:r>
          </w:p>
        </w:tc>
        <w:tc>
          <w:tcPr>
            <w:tcW w:w="220" w:type="dxa"/>
            <w:vAlign w:val="bottom"/>
            <w:gridSpan w:val="2"/>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Accum. Amort.</w:t>
            </w:r>
          </w:p>
        </w:tc>
        <w:tc>
          <w:tcPr>
            <w:tcW w:w="100" w:type="dxa"/>
            <w:vAlign w:val="bottom"/>
            <w:gridSpan w:val="2"/>
          </w:tcPr>
          <w:p>
            <w:pPr>
              <w:spacing w:after="0"/>
              <w:rPr>
                <w:sz w:val="14"/>
                <w:szCs w:val="14"/>
                <w:color w:val="auto"/>
              </w:rPr>
            </w:pPr>
          </w:p>
        </w:tc>
      </w:tr>
      <w:tr>
        <w:trPr>
          <w:trHeight w:val="21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14,038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14,457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lists</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73,199</w:t>
            </w: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54,838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73,199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53,970</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Tradename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9,728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(1,950 )</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(697 )</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5"/>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(2,149 )</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(1,025 )</w:t>
            </w:r>
          </w:p>
        </w:tc>
      </w:tr>
      <w:tr>
        <w:trPr>
          <w:trHeight w:val="210"/>
        </w:trPr>
        <w:tc>
          <w:tcPr>
            <w:tcW w:w="502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95,434</w:t>
            </w:r>
          </w:p>
        </w:tc>
        <w:tc>
          <w:tcPr>
            <w:tcW w:w="20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71,153</w:t>
            </w: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95,235</w:t>
            </w: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69,394</w:t>
            </w:r>
          </w:p>
        </w:tc>
        <w:tc>
          <w:tcPr>
            <w:tcW w:w="2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1380" w:type="dxa"/>
            <w:vAlign w:val="bottom"/>
            <w:tcBorders>
              <w:bottom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5"/>
        </w:trPr>
        <w:tc>
          <w:tcPr>
            <w:tcW w:w="660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Activity for the three-months ended March 31, 2022 and 2021 is as follows:</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8"/>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 finite life, net at beginning of period</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25,841</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29,637</w:t>
            </w:r>
          </w:p>
        </w:tc>
        <w:tc>
          <w:tcPr>
            <w:tcW w:w="80" w:type="dxa"/>
            <w:vAlign w:val="bottom"/>
            <w:shd w:val="clear" w:color="auto" w:fill="CFF0FC"/>
          </w:tcPr>
          <w:p>
            <w:pPr>
              <w:spacing w:after="0"/>
              <w:rPr>
                <w:sz w:val="18"/>
                <w:szCs w:val="18"/>
                <w:color w:val="auto"/>
              </w:rPr>
            </w:pPr>
          </w:p>
        </w:tc>
      </w:tr>
      <w:tr>
        <w:trPr>
          <w:trHeight w:val="216"/>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expense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(1,431 )</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(1,685 )</w:t>
            </w:r>
          </w:p>
        </w:tc>
      </w:tr>
      <w:tr>
        <w:trPr>
          <w:trHeight w:val="216"/>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Transfers from indefinite life classification</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3,150</w:t>
            </w:r>
          </w:p>
        </w:tc>
        <w:tc>
          <w:tcPr>
            <w:tcW w:w="80" w:type="dxa"/>
            <w:vAlign w:val="bottom"/>
            <w:shd w:val="clear" w:color="auto" w:fill="CFF0FC"/>
          </w:tcPr>
          <w:p>
            <w:pPr>
              <w:spacing w:after="0"/>
              <w:rPr>
                <w:sz w:val="18"/>
                <w:szCs w:val="18"/>
                <w:color w:val="auto"/>
              </w:rPr>
            </w:pPr>
          </w:p>
        </w:tc>
      </w:tr>
      <w:tr>
        <w:trPr>
          <w:trHeight w:val="216"/>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(129 )</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(81 )</w:t>
            </w:r>
          </w:p>
        </w:tc>
      </w:tr>
      <w:tr>
        <w:trPr>
          <w:trHeight w:val="250"/>
        </w:trPr>
        <w:tc>
          <w:tcPr>
            <w:tcW w:w="5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 finite life, net at end of period</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top w:val="single" w:sz="8" w:color="auto"/>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80" w:type="dxa"/>
            <w:vAlign w:val="bottom"/>
            <w:tcBorders>
              <w:top w:val="single" w:sz="8" w:color="auto"/>
              <w:bottom w:val="single" w:sz="8" w:color="auto"/>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24,281</w:t>
            </w:r>
          </w:p>
        </w:tc>
        <w:tc>
          <w:tcPr>
            <w:tcW w:w="2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80" w:type="dxa"/>
            <w:vAlign w:val="bottom"/>
            <w:tcBorders>
              <w:top w:val="single" w:sz="8" w:color="auto"/>
              <w:bottom w:val="single" w:sz="8" w:color="auto"/>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11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31,021</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-2425065</wp:posOffset>
            </wp:positionV>
            <wp:extent cx="596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-2407920</wp:posOffset>
            </wp:positionV>
            <wp:extent cx="596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-2425065</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-2407920</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-2425065</wp:posOffset>
            </wp:positionV>
            <wp:extent cx="514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-2407920</wp:posOffset>
            </wp:positionV>
            <wp:extent cx="514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-2425065</wp:posOffset>
            </wp:positionV>
            <wp:extent cx="514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-2407920</wp:posOffset>
            </wp:positionV>
            <wp:extent cx="514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-1344930</wp:posOffset>
            </wp:positionV>
            <wp:extent cx="774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-1344930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-1344930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-1344930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-24765</wp:posOffset>
            </wp:positionV>
            <wp:extent cx="514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-8255</wp:posOffset>
            </wp:positionV>
            <wp:extent cx="514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70" w:lineRule="exact"/>
        <w:rPr>
          <w:sz w:val="20"/>
          <w:szCs w:val="20"/>
          <w:color w:val="auto"/>
        </w:rPr>
      </w:pPr>
    </w:p>
    <w:p>
      <w:pPr>
        <w:jc w:val="both"/>
        <w:ind w:left="520" w:right="60"/>
        <w:spacing w:after="0" w:line="258" w:lineRule="auto"/>
        <w:rPr>
          <w:sz w:val="20"/>
          <w:szCs w:val="20"/>
          <w:color w:val="auto"/>
        </w:rPr>
      </w:pPr>
      <w:r>
        <w:rPr>
          <w:rFonts w:ascii="Times New Roman" w:cs="Times New Roman" w:eastAsia="Times New Roman" w:hAnsi="Times New Roman"/>
          <w:sz w:val="18"/>
          <w:szCs w:val="18"/>
          <w:color w:val="auto"/>
        </w:rPr>
        <w:t>Amortization expense of finite life intangible assets was $1.4 million and $1.7 million for the three-month periods ended March 31, 2022 and 2021, respectively. Amortization over the next five years for finite life intangibles is expected to be $4.4 million for the remainder of 2022, $5.1 million in 2023, $4.2 million in 2024, $3.2 million in 2025, and $1.8 million in 2026.</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9" w:name="page10"/>
    <w:bookmarkEnd w:id="9"/>
    <w:p>
      <w:pPr>
        <w:ind w:left="520" w:right="40"/>
        <w:spacing w:after="0" w:line="245" w:lineRule="auto"/>
        <w:rPr>
          <w:sz w:val="20"/>
          <w:szCs w:val="20"/>
          <w:color w:val="auto"/>
        </w:rPr>
      </w:pPr>
      <w:r>
        <w:rPr>
          <w:rFonts w:ascii="Times New Roman" w:cs="Times New Roman" w:eastAsia="Times New Roman" w:hAnsi="Times New Roman"/>
          <w:sz w:val="18"/>
          <w:szCs w:val="18"/>
          <w:color w:val="auto"/>
        </w:rPr>
        <w:t>The Company completes an annual (or more often if circumstances require) goodwill and indefinite life intangible asset impairment assessment on October 1. As a part of its impairment assessment, the Company first qualitatively assesses whether current events or changes in circumstances lead to a determination that it is more likely than not (defined as a likelihood of more than 50 percent) that the fair value of a reporting unit or indefinite life intangible asset is less than its carrying amount. If there is a qualitative determination that the fair value is more likely than not greater than carrying value, the Company does not need to quantitatively test for impairment. If this qualitative assessment indicates a more likely than not potential that the asset may be impaired, the estimated fair value is calculated. If the estimated fair value is less than carrying value, an impairment charge is recorded.</w:t>
      </w:r>
    </w:p>
    <w:p>
      <w:pPr>
        <w:spacing w:after="0" w:line="195" w:lineRule="exact"/>
        <w:rPr>
          <w:sz w:val="20"/>
          <w:szCs w:val="20"/>
          <w:color w:val="auto"/>
        </w:rPr>
      </w:pPr>
    </w:p>
    <w:p>
      <w:pPr>
        <w:ind w:left="520" w:right="40"/>
        <w:spacing w:after="0" w:line="245" w:lineRule="auto"/>
        <w:rPr>
          <w:sz w:val="20"/>
          <w:szCs w:val="20"/>
          <w:color w:val="auto"/>
        </w:rPr>
      </w:pPr>
      <w:r>
        <w:rPr>
          <w:rFonts w:ascii="Times New Roman" w:cs="Times New Roman" w:eastAsia="Times New Roman" w:hAnsi="Times New Roman"/>
          <w:sz w:val="18"/>
          <w:szCs w:val="18"/>
          <w:color w:val="auto"/>
        </w:rPr>
        <w:t>As of March 31, 2022, we reviewed our previous forecasts and assumptions based on our current projections, which are subject to various risks and uncertainties, including projected revenue, projected operational profit, terminal growth rates, and the cost of capital. The Company did not identify any triggering events during the three-month period ended March 31, 2022 that would require an interim impairment assessment of goodwill or intangible assets.</w:t>
      </w:r>
    </w:p>
    <w:p>
      <w:pPr>
        <w:spacing w:after="0" w:line="194" w:lineRule="exact"/>
        <w:rPr>
          <w:sz w:val="20"/>
          <w:szCs w:val="20"/>
          <w:color w:val="auto"/>
        </w:rPr>
      </w:pPr>
    </w:p>
    <w:p>
      <w:pPr>
        <w:ind w:left="520" w:right="40"/>
        <w:spacing w:after="0" w:line="250" w:lineRule="auto"/>
        <w:rPr>
          <w:sz w:val="20"/>
          <w:szCs w:val="20"/>
          <w:color w:val="auto"/>
        </w:rPr>
      </w:pPr>
      <w:r>
        <w:rPr>
          <w:rFonts w:ascii="Times New Roman" w:cs="Times New Roman" w:eastAsia="Times New Roman" w:hAnsi="Times New Roman"/>
          <w:sz w:val="18"/>
          <w:szCs w:val="18"/>
          <w:color w:val="auto"/>
        </w:rPr>
        <w:t>The Company's assumptions about future conditions important to its assessment of potential impairment of its goodwill and indefinite life intangible assets, including the impact of the COVID-19 pandemic, are subject to uncertainty, and the Company will continue to monitor these conditions in future periods as new information becomes available, and will update its analysis accordingly.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Accounts Payable and Accrued Expenses</w:t>
            </w: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78"/>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2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60" w:type="dxa"/>
            <w:vAlign w:val="bottom"/>
          </w:tcPr>
          <w:p>
            <w:pPr>
              <w:spacing w:after="0"/>
              <w:rPr>
                <w:sz w:val="24"/>
                <w:szCs w:val="24"/>
                <w:color w:val="auto"/>
              </w:rPr>
            </w:pPr>
          </w:p>
        </w:tc>
      </w:tr>
      <w:tr>
        <w:trPr>
          <w:trHeight w:val="209"/>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 accounts payable, including amounts due to subcontractors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63,217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56,242</w:t>
            </w:r>
          </w:p>
        </w:tc>
        <w:tc>
          <w:tcPr>
            <w:tcW w:w="60" w:type="dxa"/>
            <w:vAlign w:val="bottom"/>
            <w:shd w:val="clear" w:color="auto" w:fill="CFF0FC"/>
          </w:tcPr>
          <w:p>
            <w:pPr>
              <w:spacing w:after="0"/>
              <w:rPr>
                <w:sz w:val="18"/>
                <w:szCs w:val="18"/>
                <w:color w:val="auto"/>
              </w:rPr>
            </w:pPr>
          </w:p>
        </w:tc>
      </w:tr>
      <w:tr>
        <w:trPr>
          <w:trHeight w:val="216"/>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and related benefits</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6,065</w:t>
            </w:r>
          </w:p>
        </w:tc>
        <w:tc>
          <w:tcPr>
            <w:tcW w:w="60" w:type="dxa"/>
            <w:vAlign w:val="bottom"/>
          </w:tcPr>
          <w:p>
            <w:pPr>
              <w:spacing w:after="0"/>
              <w:rPr>
                <w:sz w:val="18"/>
                <w:szCs w:val="18"/>
                <w:color w:val="auto"/>
              </w:rPr>
            </w:pPr>
          </w:p>
        </w:tc>
      </w:tr>
      <w:tr>
        <w:trPr>
          <w:trHeight w:val="216"/>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warranty</w:t>
            </w:r>
          </w:p>
        </w:tc>
        <w:tc>
          <w:tcPr>
            <w:tcW w:w="2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60" w:type="dxa"/>
            <w:vAlign w:val="bottom"/>
            <w:shd w:val="clear" w:color="auto" w:fill="CFF0FC"/>
          </w:tcPr>
          <w:p>
            <w:pPr>
              <w:spacing w:after="0"/>
              <w:rPr>
                <w:sz w:val="18"/>
                <w:szCs w:val="18"/>
                <w:color w:val="auto"/>
              </w:rPr>
            </w:pPr>
          </w:p>
        </w:tc>
      </w:tr>
      <w:tr>
        <w:trPr>
          <w:trHeight w:val="216"/>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60" w:type="dxa"/>
            <w:vAlign w:val="bottom"/>
          </w:tcPr>
          <w:p>
            <w:pPr>
              <w:spacing w:after="0"/>
              <w:rPr>
                <w:sz w:val="18"/>
                <w:szCs w:val="18"/>
                <w:color w:val="auto"/>
              </w:rPr>
            </w:pPr>
          </w:p>
        </w:tc>
      </w:tr>
      <w:tr>
        <w:trPr>
          <w:trHeight w:val="216"/>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lease liability</w:t>
            </w:r>
          </w:p>
        </w:tc>
        <w:tc>
          <w:tcPr>
            <w:tcW w:w="2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60" w:type="dxa"/>
            <w:vAlign w:val="bottom"/>
            <w:shd w:val="clear" w:color="auto" w:fill="CFF0FC"/>
          </w:tcPr>
          <w:p>
            <w:pPr>
              <w:spacing w:after="0"/>
              <w:rPr>
                <w:sz w:val="18"/>
                <w:szCs w:val="18"/>
                <w:color w:val="auto"/>
              </w:rPr>
            </w:pPr>
          </w:p>
        </w:tc>
      </w:tr>
      <w:tr>
        <w:trPr>
          <w:trHeight w:val="216"/>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12,381</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11,881</w:t>
            </w:r>
          </w:p>
        </w:tc>
        <w:tc>
          <w:tcPr>
            <w:tcW w:w="60" w:type="dxa"/>
            <w:vAlign w:val="bottom"/>
          </w:tcPr>
          <w:p>
            <w:pPr>
              <w:spacing w:after="0"/>
              <w:rPr>
                <w:sz w:val="18"/>
                <w:szCs w:val="18"/>
                <w:color w:val="auto"/>
              </w:rPr>
            </w:pPr>
          </w:p>
        </w:tc>
      </w:tr>
      <w:tr>
        <w:trPr>
          <w:trHeight w:val="249"/>
        </w:trPr>
        <w:tc>
          <w:tcPr>
            <w:tcW w:w="72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accounts payable and accrued expenses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91,369</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84,081</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-25400</wp:posOffset>
            </wp:positionV>
            <wp:extent cx="431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431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-25400</wp:posOffset>
            </wp:positionV>
            <wp:extent cx="342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6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7.</w:t>
        <w:tab/>
        <w:t>Senior Debt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Debt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260" w:type="dxa"/>
            <w:vAlign w:val="bottom"/>
          </w:tcPr>
          <w:p>
            <w:pPr>
              <w:spacing w:after="0"/>
              <w:rPr>
                <w:sz w:val="16"/>
                <w:szCs w:val="16"/>
                <w:color w:val="auto"/>
              </w:rPr>
            </w:pPr>
          </w:p>
        </w:tc>
        <w:tc>
          <w:tcPr>
            <w:tcW w:w="18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20" w:type="dxa"/>
            <w:vAlign w:val="bottom"/>
          </w:tcPr>
          <w:p>
            <w:pPr>
              <w:spacing w:after="0"/>
              <w:rPr>
                <w:sz w:val="16"/>
                <w:szCs w:val="16"/>
                <w:color w:val="auto"/>
              </w:rPr>
            </w:pPr>
          </w:p>
        </w:tc>
        <w:tc>
          <w:tcPr>
            <w:tcW w:w="16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64"/>
        </w:trPr>
        <w:tc>
          <w:tcPr>
            <w:tcW w:w="7280" w:type="dxa"/>
            <w:vAlign w:val="bottom"/>
            <w:shd w:val="clear" w:color="auto" w:fill="CFF0FC"/>
          </w:tcPr>
          <w:p>
            <w:pPr>
              <w:ind w:left="20"/>
              <w:spacing w:after="0" w:line="164" w:lineRule="exact"/>
              <w:rPr>
                <w:sz w:val="20"/>
                <w:szCs w:val="20"/>
                <w:color w:val="auto"/>
              </w:rPr>
            </w:pPr>
            <w:r>
              <w:rPr>
                <w:rFonts w:ascii="Times New Roman" w:cs="Times New Roman" w:eastAsia="Times New Roman" w:hAnsi="Times New Roman"/>
                <w:sz w:val="18"/>
                <w:szCs w:val="18"/>
                <w:color w:val="auto"/>
              </w:rPr>
              <w:t>Outstanding borrowings under the Credit Facility (defined below).</w:t>
            </w:r>
          </w:p>
        </w:tc>
        <w:tc>
          <w:tcPr>
            <w:tcW w:w="260" w:type="dxa"/>
            <w:vAlign w:val="bottom"/>
            <w:tcBorders>
              <w:top w:val="single" w:sz="8" w:color="auto"/>
            </w:tcBorders>
            <w:shd w:val="clear" w:color="auto" w:fill="CFF0FC"/>
          </w:tcPr>
          <w:p>
            <w:pPr>
              <w:spacing w:after="0"/>
              <w:rPr>
                <w:sz w:val="14"/>
                <w:szCs w:val="14"/>
                <w:color w:val="auto"/>
              </w:rPr>
            </w:pPr>
          </w:p>
        </w:tc>
        <w:tc>
          <w:tcPr>
            <w:tcW w:w="156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160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89"/>
        </w:trPr>
        <w:tc>
          <w:tcPr>
            <w:tcW w:w="728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Term loan payable in quarterly principal installments of $0.6 million through September 2023,</w:t>
            </w:r>
          </w:p>
        </w:tc>
        <w:tc>
          <w:tcPr>
            <w:tcW w:w="26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728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and $0.8 million through September 2025 and $1.1 million thereafter with balance due upon</w:t>
            </w:r>
          </w:p>
        </w:tc>
        <w:tc>
          <w:tcPr>
            <w:tcW w:w="26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34"/>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maturity in September 2026.</w:t>
            </w:r>
          </w:p>
        </w:tc>
        <w:tc>
          <w:tcPr>
            <w:tcW w:w="26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16"/>
        </w:trPr>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Term loan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42,961</w:t>
            </w:r>
          </w:p>
        </w:tc>
        <w:tc>
          <w:tcPr>
            <w:tcW w:w="24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43,511</w:t>
            </w:r>
          </w:p>
        </w:tc>
        <w:tc>
          <w:tcPr>
            <w:tcW w:w="80" w:type="dxa"/>
            <w:vAlign w:val="bottom"/>
          </w:tcPr>
          <w:p>
            <w:pPr>
              <w:spacing w:after="0"/>
              <w:rPr>
                <w:sz w:val="18"/>
                <w:szCs w:val="18"/>
                <w:color w:val="auto"/>
              </w:rPr>
            </w:pPr>
          </w:p>
        </w:tc>
      </w:tr>
      <w:tr>
        <w:trPr>
          <w:trHeight w:val="216"/>
        </w:trPr>
        <w:tc>
          <w:tcPr>
            <w:tcW w:w="72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 Revolving credit loan</w:t>
            </w:r>
          </w:p>
        </w:tc>
        <w:tc>
          <w:tcPr>
            <w:tcW w:w="26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32,600</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7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outstanding borrowings under the Credit Facility</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75,561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65,511</w:t>
            </w:r>
          </w:p>
        </w:tc>
        <w:tc>
          <w:tcPr>
            <w:tcW w:w="80" w:type="dxa"/>
            <w:vAlign w:val="bottom"/>
          </w:tcPr>
          <w:p>
            <w:pPr>
              <w:spacing w:after="0"/>
              <w:rPr>
                <w:sz w:val="18"/>
                <w:szCs w:val="18"/>
                <w:color w:val="auto"/>
              </w:rPr>
            </w:pPr>
          </w:p>
        </w:tc>
      </w:tr>
      <w:tr>
        <w:trPr>
          <w:trHeight w:val="216"/>
        </w:trPr>
        <w:tc>
          <w:tcPr>
            <w:tcW w:w="7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Outstanding borrowings under joint venture term debt</w:t>
            </w: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26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(1,767 )</w:t>
            </w:r>
          </w:p>
        </w:tc>
        <w:tc>
          <w:tcPr>
            <w:tcW w:w="22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(1,731 )</w:t>
            </w:r>
          </w:p>
        </w:tc>
      </w:tr>
      <w:tr>
        <w:trPr>
          <w:trHeight w:val="210"/>
        </w:trPr>
        <w:tc>
          <w:tcPr>
            <w:tcW w:w="7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outstanding borrowings</w:t>
            </w:r>
          </w:p>
        </w:tc>
        <w:tc>
          <w:tcPr>
            <w:tcW w:w="26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84,704</w:t>
            </w: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63,780</w:t>
            </w:r>
          </w:p>
        </w:tc>
        <w:tc>
          <w:tcPr>
            <w:tcW w:w="80" w:type="dxa"/>
            <w:vAlign w:val="bottom"/>
            <w:shd w:val="clear" w:color="auto" w:fill="CFF0FC"/>
          </w:tcPr>
          <w:p>
            <w:pPr>
              <w:spacing w:after="0"/>
              <w:rPr>
                <w:sz w:val="18"/>
                <w:szCs w:val="18"/>
                <w:color w:val="auto"/>
              </w:rPr>
            </w:pPr>
          </w:p>
        </w:tc>
      </w:tr>
      <w:tr>
        <w:trPr>
          <w:trHeight w:val="216"/>
        </w:trPr>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current portion</w:t>
            </w:r>
          </w:p>
        </w:tc>
        <w:tc>
          <w:tcPr>
            <w:tcW w:w="26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(3,303 )</w:t>
            </w:r>
          </w:p>
        </w:tc>
        <w:tc>
          <w:tcPr>
            <w:tcW w:w="22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(2,203 )</w:t>
            </w:r>
          </w:p>
        </w:tc>
      </w:tr>
      <w:tr>
        <w:trPr>
          <w:trHeight w:val="250"/>
        </w:trPr>
        <w:tc>
          <w:tcPr>
            <w:tcW w:w="72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debt, less current portion</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81,401</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-873760</wp:posOffset>
            </wp:positionV>
            <wp:extent cx="514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-873760</wp:posOffset>
            </wp:positionV>
            <wp:extent cx="514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-24765</wp:posOffset>
            </wp:positionV>
            <wp:extent cx="514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514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left="520" w:right="220"/>
        <w:spacing w:after="0" w:line="266" w:lineRule="auto"/>
        <w:rPr>
          <w:sz w:val="20"/>
          <w:szCs w:val="20"/>
          <w:color w:val="auto"/>
        </w:rPr>
      </w:pPr>
      <w:r>
        <w:rPr>
          <w:rFonts w:ascii="Times New Roman" w:cs="Times New Roman" w:eastAsia="Times New Roman" w:hAnsi="Times New Roman"/>
          <w:sz w:val="18"/>
          <w:szCs w:val="18"/>
          <w:color w:val="auto"/>
        </w:rPr>
        <w:t>Scheduled principal payments under our Credit Facility and joint venture term debt are $2.5 million remaining in 2022, $3.6 million in 2023, $4.9 million in 2024, $5.2 million in 2025, $66.4 million in 2026, and $3.9 million in 2027.</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Credit Facility</w:t>
      </w:r>
    </w:p>
    <w:p>
      <w:pPr>
        <w:spacing w:after="0" w:line="212" w:lineRule="exact"/>
        <w:rPr>
          <w:sz w:val="20"/>
          <w:szCs w:val="20"/>
          <w:color w:val="auto"/>
        </w:rPr>
      </w:pPr>
    </w:p>
    <w:p>
      <w:pPr>
        <w:ind w:left="520" w:right="100"/>
        <w:spacing w:after="0" w:line="246" w:lineRule="auto"/>
        <w:rPr>
          <w:sz w:val="20"/>
          <w:szCs w:val="20"/>
          <w:color w:val="auto"/>
        </w:rPr>
      </w:pPr>
      <w:r>
        <w:rPr>
          <w:rFonts w:ascii="Times New Roman" w:cs="Times New Roman" w:eastAsia="Times New Roman" w:hAnsi="Times New Roman"/>
          <w:sz w:val="18"/>
          <w:szCs w:val="18"/>
          <w:color w:val="auto"/>
        </w:rPr>
        <w:t>As of March 31, 2022 and December 31, 2021, $17.3 million and $14.5 million of letters of credit were outstanding, respectively. Total unused credit availability under the Company’s senior secured term loan and senior secured revolver loan with sub-facilities for letters of credit, swing-line loans and senior secured multi-currency loans (the "Credit Facility") was $59.9 million and $45.9 million at March 31, 2022 and December 31, 2021, respectively. Revolving loans may be borrowed, repaid and reborrowed until December 17, 2026, at which time all outstanding balances of the Credit Facility must be repaid.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0" w:name="page11"/>
    <w:bookmarkEnd w:id="10"/>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At the Company’s option, revolving loans and the term loans accrue interest at a per annum rate based on either the highest of (a) the federal funds rate plus 0.5%, (b) the Agent’s prime lending rate, (c) Daily Simple SOFR plus the Daily Simple SOFR Adjustment of 0.11448% plus 1.0%, or (d) 1.0%, plus a margin ranging from 1.75% to 2.75% depending on the Company’s Consolidated Leverage Ratio (“Base Rate”), or (d) a one/three/six-month Term SOFR Rate (as defined in the Credit Agreement) plus the Term SOFR Adjustment ranging from 0.11% to 0.43% plus 1.75% to 2.75% depending on the Company’s Consolidated Leverage Ratio. Interest on swing line loans is the Base Rate.</w:t>
      </w:r>
    </w:p>
    <w:p>
      <w:pPr>
        <w:spacing w:after="0" w:line="17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Interest on Base Rate loans is payable quarterly in arrears on the last day of each calendar quarter and at maturity. Interest on Term SOFR rate loans is payable on the last date of each applicable Interest Period (as defined in the agreement), but in no event less than once every three months and at maturity. The weighted average stated interest rate on outstanding borrowings was 2.87% and 2.54% at March 31, 2022 and December 31, 2021, respectively. Under the terms of the Credit Facility, the Company is required to maintain certain financial covenants, including the maintenance of a Consolidated Net Leverage Ratio (as defined in the Credit Facility). Through September 30, 2023, the maximum Consolidated Net Leverage Ratio is 3.75, after which time it will decrease to 3.50 until the end of the term of the Credit Facility.</w:t>
      </w:r>
    </w:p>
    <w:p>
      <w:pPr>
        <w:spacing w:after="0" w:line="19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The Company has granted a security interest in substantially all of its assets to secure its obligations pursuant to the Credit Facility. The Company’s obligations under the Credit Agreement are guaranteed by the Company’s U.S. subsidiaries and such guaranty obligations are secured by a security interest on substantially all the assets of such subsidiaries, including certain real property. The Company’s obligations under the Credit Agreement may also be guaranteed by the Company’s material foreign subsidiaries to the extent no adverse tax consequences would result to the Company.</w:t>
      </w:r>
    </w:p>
    <w:p>
      <w:pPr>
        <w:spacing w:after="0" w:line="16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of March 31, 2022 and December 31, 2021, the Company was in compliance with all related financial and other restrictive covenants under the Credit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Joint Venture Debt</w:t>
      </w:r>
    </w:p>
    <w:p>
      <w:pPr>
        <w:spacing w:after="0" w:line="21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On March 7, 2022, our Effox-Flextor-Mader, Inc. joint venture ("EFM JV") entered into a loan agreement secured by the assets of the EFM JV in the aggregate principal amount of $11.0 million for the acquisition of General Rubber, LLC ("GRC"), as further described in Note 14. As of March 31, 2022, $10.9 million was outstanding under the loan. Principal will be paid back to the lender monthly with final installment due by February 27, 2027. Interest is accrued at the per annum rate based on the Company’s choice of the 1/3/6 month Term SOFR rate plus 3.25%, with a floor rate of 3.75%. Interest is paid monthly on the last day of each month. The interest rate at March 31, 2022 was 3.75%. As of March 31, 2022, the EFM JV was in compliance with all related financial and other restrictive covenants under this loan agreement. This loan balance does not impact the Company’s borrowing capacity or the financial covenants under the Credit Facility.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Foreign Debt</w:t>
      </w:r>
    </w:p>
    <w:p>
      <w:pPr>
        <w:spacing w:after="0" w:line="21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The Company has a number of bank guarantee facilities and bilateral lines of credit in various foreign countries currently supported by cash, letters of credit or pledged assets and collateral under the Credit Facility. The Credit Facility allows letters of credit and bank guarantee issuances of up to $65.0 million from the bilateral lines of credit secured by pledged assets and collateral under the Credit Facility. As of March 31, 2022, $14.8 million in bank guarantees were outstanding. In addition, a subsidiary of the Company located in the Netherlands has a Euro-denominated bank guarantee agreement secured by local assets under which $0.7 million in bank guarantees were outstanding as of March 31, 2022. Additionally, a subsidiary of our Company in China recently entered into an RMB denominated bank guarantee agreement secured primarily by local assets. As of March 31, 2022, there were zero bank guarantees outstanding related to this agreement. As of March 31, 2022, the borrowers of these facilities and agreements were in compliance with all related financial and other restrictive covenants.</w:t>
      </w:r>
    </w:p>
    <w:p>
      <w:pPr>
        <w:spacing w:after="0" w:line="17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64770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840" w:top="540" w:right="399" w:bottom="1440" w:gutter="0" w:footer="0" w:header="0"/>
        </w:sectPr>
      </w:pPr>
    </w:p>
    <w:bookmarkStart w:id="11" w:name="page12"/>
    <w:bookmarkEnd w:id="11"/>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computational components of basic and diluted earnings per share for the three-month periods ended March 31, are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12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7280" w:type="dxa"/>
            <w:vAlign w:val="bottom"/>
            <w:gridSpan w:val="2"/>
            <w:vMerge w:val="continue"/>
          </w:tcPr>
          <w:p>
            <w:pPr>
              <w:spacing w:after="0"/>
              <w:rPr>
                <w:sz w:val="11"/>
                <w:szCs w:val="11"/>
                <w:color w:val="auto"/>
              </w:rPr>
            </w:pPr>
          </w:p>
        </w:tc>
        <w:tc>
          <w:tcPr>
            <w:tcW w:w="1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Numerator </w:t>
            </w:r>
            <w:r>
              <w:rPr>
                <w:rFonts w:ascii="Times New Roman" w:cs="Times New Roman" w:eastAsia="Times New Roman" w:hAnsi="Times New Roman"/>
                <w:sz w:val="18"/>
                <w:szCs w:val="18"/>
                <w:color w:val="auto"/>
              </w:rPr>
              <w:t>(for basic and diluted earnings per share)</w:t>
            </w:r>
          </w:p>
        </w:tc>
        <w:tc>
          <w:tcPr>
            <w:tcW w:w="1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71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income attributable to CECO Environmental Corp.</w:t>
            </w:r>
          </w:p>
        </w:tc>
        <w:tc>
          <w:tcPr>
            <w:tcW w:w="180" w:type="dxa"/>
            <w:vAlign w:val="bottom"/>
            <w:tcBorders>
              <w:bottom w:val="single" w:sz="8" w:color="CCECFF"/>
            </w:tcBorders>
            <w:shd w:val="clear" w:color="auto" w:fill="CCECFF"/>
          </w:tcPr>
          <w:p>
            <w:pPr>
              <w:spacing w:after="0"/>
              <w:rPr>
                <w:sz w:val="22"/>
                <w:szCs w:val="22"/>
                <w:color w:val="auto"/>
              </w:rPr>
            </w:pPr>
          </w:p>
        </w:tc>
        <w:tc>
          <w:tcPr>
            <w:tcW w:w="1200" w:type="dxa"/>
            <w:vAlign w:val="bottom"/>
            <w:tcBorders>
              <w:bottom w:val="single" w:sz="8" w:color="auto"/>
            </w:tcBorders>
            <w:shd w:val="clear" w:color="auto" w:fill="CCECFF"/>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220" w:type="dxa"/>
            <w:vAlign w:val="bottom"/>
            <w:tcBorders>
              <w:bottom w:val="single" w:sz="8" w:color="CCECFF"/>
            </w:tcBorders>
            <w:shd w:val="clear" w:color="auto" w:fill="CCECFF"/>
          </w:tcPr>
          <w:p>
            <w:pPr>
              <w:spacing w:after="0"/>
              <w:rPr>
                <w:sz w:val="22"/>
                <w:szCs w:val="22"/>
                <w:color w:val="auto"/>
              </w:rPr>
            </w:pPr>
          </w:p>
        </w:tc>
        <w:tc>
          <w:tcPr>
            <w:tcW w:w="440" w:type="dxa"/>
            <w:vAlign w:val="bottom"/>
            <w:tcBorders>
              <w:bottom w:val="single" w:sz="8" w:color="auto"/>
            </w:tcBorders>
            <w:shd w:val="clear" w:color="auto" w:fill="CCEC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60" w:type="dxa"/>
            <w:vAlign w:val="bottom"/>
            <w:tcBorders>
              <w:bottom w:val="single" w:sz="8" w:color="CCECFF"/>
            </w:tcBorders>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280" w:type="dxa"/>
            <w:vAlign w:val="bottom"/>
            <w:gridSpan w:val="2"/>
          </w:tcPr>
          <w:p>
            <w:pPr>
              <w:spacing w:after="0"/>
              <w:rPr>
                <w:sz w:val="17"/>
                <w:szCs w:val="17"/>
                <w:color w:val="auto"/>
              </w:rPr>
            </w:pPr>
          </w:p>
        </w:tc>
        <w:tc>
          <w:tcPr>
            <w:tcW w:w="1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00" w:type="dxa"/>
            <w:vAlign w:val="bottom"/>
            <w:shd w:val="clear" w:color="auto" w:fill="CCECFF"/>
          </w:tcPr>
          <w:p>
            <w:pPr>
              <w:spacing w:after="0"/>
              <w:rPr>
                <w:sz w:val="18"/>
                <w:szCs w:val="18"/>
                <w:color w:val="auto"/>
              </w:rPr>
            </w:pPr>
          </w:p>
        </w:tc>
        <w:tc>
          <w:tcPr>
            <w:tcW w:w="64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440" w:type="dxa"/>
            <w:vAlign w:val="bottom"/>
            <w:shd w:val="clear" w:color="auto" w:fill="CCECFF"/>
          </w:tcPr>
          <w:p>
            <w:pPr>
              <w:spacing w:after="0"/>
              <w:rPr>
                <w:sz w:val="18"/>
                <w:szCs w:val="18"/>
                <w:color w:val="auto"/>
              </w:rPr>
            </w:pPr>
          </w:p>
        </w:tc>
        <w:tc>
          <w:tcPr>
            <w:tcW w:w="1400" w:type="dxa"/>
            <w:vAlign w:val="bottom"/>
            <w:shd w:val="clear" w:color="auto" w:fill="CCECFF"/>
          </w:tcPr>
          <w:p>
            <w:pPr>
              <w:spacing w:after="0"/>
              <w:rPr>
                <w:sz w:val="18"/>
                <w:szCs w:val="18"/>
                <w:color w:val="auto"/>
              </w:rPr>
            </w:pPr>
          </w:p>
        </w:tc>
        <w:tc>
          <w:tcPr>
            <w:tcW w:w="6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1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35,051</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7"/>
                <w:szCs w:val="17"/>
                <w:color w:val="auto"/>
              </w:rPr>
              <w:t>Common stock equivalents arising from stock options and restricted stock awards</w:t>
            </w:r>
          </w:p>
        </w:tc>
        <w:tc>
          <w:tcPr>
            <w:tcW w:w="1200" w:type="dxa"/>
            <w:vAlign w:val="bottom"/>
            <w:tcBorders>
              <w:bottom w:val="single" w:sz="8" w:color="auto"/>
            </w:tcBorders>
            <w:shd w:val="clear" w:color="auto" w:fill="CCECFF"/>
          </w:tcPr>
          <w:p>
            <w:pPr>
              <w:spacing w:after="0"/>
              <w:rPr>
                <w:sz w:val="18"/>
                <w:szCs w:val="18"/>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20" w:type="dxa"/>
            <w:vAlign w:val="bottom"/>
            <w:tcBorders>
              <w:bottom w:val="single" w:sz="8" w:color="CCECFF"/>
            </w:tcBorders>
            <w:shd w:val="clear" w:color="auto" w:fill="CCECFF"/>
          </w:tcPr>
          <w:p>
            <w:pPr>
              <w:spacing w:after="0"/>
              <w:rPr>
                <w:sz w:val="18"/>
                <w:szCs w:val="18"/>
                <w:color w:val="auto"/>
              </w:rPr>
            </w:pPr>
          </w:p>
        </w:tc>
        <w:tc>
          <w:tcPr>
            <w:tcW w:w="440" w:type="dxa"/>
            <w:vAlign w:val="bottom"/>
            <w:tcBorders>
              <w:bottom w:val="single" w:sz="8" w:color="auto"/>
            </w:tcBorders>
            <w:shd w:val="clear" w:color="auto" w:fill="CCECFF"/>
          </w:tcPr>
          <w:p>
            <w:pPr>
              <w:spacing w:after="0"/>
              <w:rPr>
                <w:sz w:val="18"/>
                <w:szCs w:val="18"/>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6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1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35,199</w:t>
            </w: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-745490</wp:posOffset>
            </wp:positionV>
            <wp:extent cx="431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-728345</wp:posOffset>
            </wp:positionV>
            <wp:extent cx="431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-745490</wp:posOffset>
            </wp:positionV>
            <wp:extent cx="431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-728345</wp:posOffset>
            </wp:positionV>
            <wp:extent cx="431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-170815</wp:posOffset>
            </wp:positionV>
            <wp:extent cx="431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-170815</wp:posOffset>
            </wp:positionV>
            <wp:extent cx="431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70" w:lineRule="exact"/>
        <w:rPr>
          <w:sz w:val="20"/>
          <w:szCs w:val="20"/>
          <w:color w:val="auto"/>
        </w:rPr>
      </w:pPr>
    </w:p>
    <w:p>
      <w:pPr>
        <w:ind w:left="520" w:right="180"/>
        <w:spacing w:after="0" w:line="258" w:lineRule="auto"/>
        <w:rPr>
          <w:sz w:val="20"/>
          <w:szCs w:val="20"/>
          <w:color w:val="auto"/>
        </w:rPr>
      </w:pPr>
      <w:r>
        <w:rPr>
          <w:rFonts w:ascii="Times New Roman" w:cs="Times New Roman" w:eastAsia="Times New Roman" w:hAnsi="Times New Roman"/>
          <w:sz w:val="18"/>
          <w:szCs w:val="18"/>
          <w:color w:val="auto"/>
        </w:rPr>
        <w:t>Options and restricted stock units included in the computation of diluted earnings per share are calculated using the treasury stock method. For the three-month periods ended March 31, 2022 and 2021, 2.1 million and 1.5 million, respectively, of outstanding options and restricted stock units were excluded from the computation of diluted earnings per share due to their having an anti-dilutive effect.</w:t>
      </w:r>
    </w:p>
    <w:p>
      <w:pPr>
        <w:spacing w:after="0" w:line="169" w:lineRule="exact"/>
        <w:rPr>
          <w:sz w:val="20"/>
          <w:szCs w:val="20"/>
          <w:color w:val="auto"/>
        </w:rPr>
      </w:pPr>
    </w:p>
    <w:p>
      <w:pPr>
        <w:ind w:left="520"/>
        <w:spacing w:after="0" w:line="266" w:lineRule="auto"/>
        <w:rPr>
          <w:sz w:val="20"/>
          <w:szCs w:val="20"/>
          <w:color w:val="auto"/>
        </w:rPr>
      </w:pPr>
      <w:r>
        <w:rPr>
          <w:rFonts w:ascii="Times New Roman" w:cs="Times New Roman" w:eastAsia="Times New Roman" w:hAnsi="Times New Roman"/>
          <w:sz w:val="18"/>
          <w:szCs w:val="18"/>
          <w:color w:val="auto"/>
        </w:rPr>
        <w:t>Once a restricted stock unit vests, it is included in the computation of weighted average shares outstanding for purposes of basic and diluted earnings per share.</w:t>
      </w:r>
    </w:p>
    <w:p>
      <w:pPr>
        <w:spacing w:after="0" w:line="172"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16" w:lineRule="exact"/>
        <w:rPr>
          <w:sz w:val="20"/>
          <w:szCs w:val="20"/>
          <w:color w:val="auto"/>
        </w:rPr>
      </w:pPr>
    </w:p>
    <w:p>
      <w:pPr>
        <w:ind w:left="520" w:right="60"/>
        <w:spacing w:after="0" w:line="250" w:lineRule="auto"/>
        <w:rPr>
          <w:sz w:val="20"/>
          <w:szCs w:val="20"/>
          <w:color w:val="auto"/>
        </w:rPr>
      </w:pPr>
      <w:r>
        <w:rPr>
          <w:rFonts w:ascii="Times New Roman" w:cs="Times New Roman" w:eastAsia="Times New Roman" w:hAnsi="Times New Roman"/>
          <w:sz w:val="18"/>
          <w:szCs w:val="18"/>
          <w:color w:val="auto"/>
        </w:rPr>
        <w:t>The Company accounts for share-based compensation in accordance with Accounting Standards Codification (“ASC”) Topic 718, “Compensation – Stock Compensation,” which requires the Company to recognize compensation expense for share-based awards, measured at the fair value of the awards at the grant date. The Company recognized $0.9 million and $0.7 million of share-based compensation related expense during the three-month periods ended March 31, 2022 and 2021, respectively.</w:t>
      </w:r>
    </w:p>
    <w:p>
      <w:pPr>
        <w:spacing w:after="0" w:line="177" w:lineRule="exact"/>
        <w:rPr>
          <w:sz w:val="20"/>
          <w:szCs w:val="20"/>
          <w:color w:val="auto"/>
        </w:rPr>
      </w:pPr>
    </w:p>
    <w:p>
      <w:pPr>
        <w:ind w:left="520" w:right="500"/>
        <w:spacing w:after="0" w:line="266" w:lineRule="auto"/>
        <w:rPr>
          <w:sz w:val="20"/>
          <w:szCs w:val="20"/>
          <w:color w:val="auto"/>
        </w:rPr>
      </w:pPr>
      <w:r>
        <w:rPr>
          <w:rFonts w:ascii="Times New Roman" w:cs="Times New Roman" w:eastAsia="Times New Roman" w:hAnsi="Times New Roman"/>
          <w:sz w:val="18"/>
          <w:szCs w:val="18"/>
          <w:color w:val="auto"/>
        </w:rPr>
        <w:t>The Company granted approximately 600,000 and zero restricted stock units during the three-month periods ended March 31, 2022 and 2021, respectively.</w:t>
      </w:r>
    </w:p>
    <w:p>
      <w:pPr>
        <w:spacing w:after="0" w:line="176" w:lineRule="exact"/>
        <w:rPr>
          <w:sz w:val="20"/>
          <w:szCs w:val="20"/>
          <w:color w:val="auto"/>
        </w:rPr>
      </w:pPr>
    </w:p>
    <w:p>
      <w:pPr>
        <w:jc w:val="both"/>
        <w:ind w:left="520" w:right="160"/>
        <w:spacing w:after="0" w:line="272" w:lineRule="auto"/>
        <w:rPr>
          <w:sz w:val="20"/>
          <w:szCs w:val="20"/>
          <w:color w:val="auto"/>
        </w:rPr>
      </w:pPr>
      <w:r>
        <w:rPr>
          <w:rFonts w:ascii="Times New Roman" w:cs="Times New Roman" w:eastAsia="Times New Roman" w:hAnsi="Times New Roman"/>
          <w:sz w:val="17"/>
          <w:szCs w:val="17"/>
          <w:color w:val="auto"/>
        </w:rPr>
        <w:t>There were zero and approximately 2,000 options exercised during the three-months ended March 31, 2022 and 2021, respectively. The Company received zero and $13,000 in cash from employees and a non-employee director exercising options during the three-months ended March 31, 2022 and 2021. The intrinsic value of options exercised during the three-months ended March 31, 2022 and 2021 was zero and $13,000, respectively.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Pension and Employee Benefit Plans</w:t>
      </w:r>
    </w:p>
    <w:p>
      <w:pPr>
        <w:spacing w:after="0" w:line="216" w:lineRule="exact"/>
        <w:rPr>
          <w:sz w:val="20"/>
          <w:szCs w:val="20"/>
          <w:color w:val="auto"/>
        </w:rPr>
      </w:pPr>
    </w:p>
    <w:p>
      <w:pPr>
        <w:ind w:left="520" w:right="640"/>
        <w:spacing w:after="0" w:line="266" w:lineRule="auto"/>
        <w:rPr>
          <w:sz w:val="20"/>
          <w:szCs w:val="20"/>
          <w:color w:val="auto"/>
        </w:rPr>
      </w:pPr>
      <w:r>
        <w:rPr>
          <w:rFonts w:ascii="Times New Roman" w:cs="Times New Roman" w:eastAsia="Times New Roman" w:hAnsi="Times New Roman"/>
          <w:sz w:val="18"/>
          <w:szCs w:val="18"/>
          <w:color w:val="auto"/>
        </w:rPr>
        <w:t>We sponsor a non-contributory defined benefit pension plan for certain union employees. The plan is funded in accordance with the funding requirements of the Employee Retirement Income Security Act of 1974.</w:t>
      </w:r>
    </w:p>
    <w:p>
      <w:pPr>
        <w:spacing w:after="0" w:line="176" w:lineRule="exact"/>
        <w:rPr>
          <w:sz w:val="20"/>
          <w:szCs w:val="20"/>
          <w:color w:val="auto"/>
        </w:rPr>
      </w:pPr>
    </w:p>
    <w:p>
      <w:pPr>
        <w:ind w:left="520" w:right="260"/>
        <w:spacing w:after="0" w:line="266" w:lineRule="auto"/>
        <w:rPr>
          <w:sz w:val="20"/>
          <w:szCs w:val="20"/>
          <w:color w:val="auto"/>
        </w:rPr>
      </w:pPr>
      <w:r>
        <w:rPr>
          <w:rFonts w:ascii="Times New Roman" w:cs="Times New Roman" w:eastAsia="Times New Roman" w:hAnsi="Times New Roman"/>
          <w:sz w:val="18"/>
          <w:szCs w:val="18"/>
          <w:color w:val="auto"/>
        </w:rPr>
        <w:t>We also sponsor a postretirement health care plan for office employees retired before January 1, 1990. The plan allowed retirees who attained the age of 65 to elect the type of coverage desired.</w:t>
      </w:r>
    </w:p>
    <w:p>
      <w:pPr>
        <w:spacing w:after="0" w:line="162" w:lineRule="exact"/>
        <w:rPr>
          <w:sz w:val="20"/>
          <w:szCs w:val="20"/>
          <w:color w:val="auto"/>
        </w:rPr>
      </w:pPr>
    </w:p>
    <w:p>
      <w:pPr>
        <w:ind w:left="520" w:right="180"/>
        <w:spacing w:after="0" w:line="282" w:lineRule="auto"/>
        <w:rPr>
          <w:sz w:val="20"/>
          <w:szCs w:val="20"/>
          <w:color w:val="auto"/>
        </w:rPr>
      </w:pPr>
      <w:r>
        <w:rPr>
          <w:rFonts w:ascii="Times New Roman" w:cs="Times New Roman" w:eastAsia="Times New Roman" w:hAnsi="Times New Roman"/>
          <w:sz w:val="18"/>
          <w:szCs w:val="18"/>
          <w:color w:val="auto"/>
        </w:rPr>
        <w:t>We present the components of net periodic benefit cost (gain) within “Other income (expense), net” on the Condensed Consolidated Statements of Income.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2" w:name="page13"/>
    <w:bookmarkEnd w:id="12"/>
    <w:p>
      <w:pPr>
        <w:ind w:left="520" w:right="80"/>
        <w:spacing w:after="0" w:line="282" w:lineRule="auto"/>
        <w:rPr>
          <w:sz w:val="20"/>
          <w:szCs w:val="20"/>
          <w:color w:val="auto"/>
        </w:rPr>
      </w:pPr>
      <w:r>
        <w:rPr>
          <w:rFonts w:ascii="Times New Roman" w:cs="Times New Roman" w:eastAsia="Times New Roman" w:hAnsi="Times New Roman"/>
          <w:sz w:val="18"/>
          <w:szCs w:val="18"/>
          <w:color w:val="auto"/>
        </w:rPr>
        <w:t>Retirement and health care plan expense is based on valuations performed by plan actuaries as of the beginning of each fiscal year. The components of the expense consisted of the following: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40" w:type="dxa"/>
            <w:vAlign w:val="bottom"/>
            <w:gridSpan w:val="5"/>
          </w:tcPr>
          <w:p>
            <w:pPr>
              <w:jc w:val="right"/>
              <w:ind w:right="97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44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10"/>
        </w:trPr>
        <w:tc>
          <w:tcPr>
            <w:tcW w:w="7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Pension plan:</w:t>
            </w: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40" w:type="dxa"/>
            <w:vAlign w:val="bottom"/>
          </w:tcPr>
          <w:p>
            <w:pPr>
              <w:spacing w:after="0"/>
              <w:rPr>
                <w:sz w:val="18"/>
                <w:szCs w:val="18"/>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Pr>
          <w:p>
            <w:pPr>
              <w:spacing w:after="0"/>
              <w:rPr>
                <w:sz w:val="18"/>
                <w:szCs w:val="18"/>
                <w:color w:val="auto"/>
              </w:rPr>
            </w:pPr>
          </w:p>
        </w:tc>
      </w:tr>
      <w:tr>
        <w:trPr>
          <w:trHeight w:val="216"/>
        </w:trPr>
        <w:tc>
          <w:tcPr>
            <w:tcW w:w="7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4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(390 )</w:t>
            </w:r>
          </w:p>
        </w:tc>
        <w:tc>
          <w:tcPr>
            <w:tcW w:w="4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(378 )</w:t>
            </w:r>
          </w:p>
        </w:tc>
      </w:tr>
      <w:tr>
        <w:trPr>
          <w:trHeight w:val="216"/>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8"/>
                <w:szCs w:val="18"/>
                <w:color w:val="auto"/>
              </w:rPr>
            </w:pPr>
          </w:p>
        </w:tc>
      </w:tr>
      <w:tr>
        <w:trPr>
          <w:trHeight w:val="250"/>
        </w:trPr>
        <w:tc>
          <w:tcPr>
            <w:tcW w:w="7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periodic benefit (gain) cost</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196"/>
        </w:trPr>
        <w:tc>
          <w:tcPr>
            <w:tcW w:w="7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Health care plan:</w:t>
            </w: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8"/>
                <w:szCs w:val="18"/>
                <w:color w:val="auto"/>
              </w:rPr>
            </w:pPr>
          </w:p>
        </w:tc>
      </w:tr>
      <w:tr>
        <w:trPr>
          <w:trHeight w:val="216"/>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(gain) loss</w:t>
            </w:r>
          </w:p>
        </w:tc>
        <w:tc>
          <w:tcPr>
            <w:tcW w:w="440" w:type="dxa"/>
            <w:vAlign w:val="bottom"/>
          </w:tcPr>
          <w:p>
            <w:pPr>
              <w:spacing w:after="0"/>
              <w:rPr>
                <w:sz w:val="18"/>
                <w:szCs w:val="18"/>
                <w:color w:val="auto"/>
              </w:rPr>
            </w:pPr>
          </w:p>
        </w:tc>
        <w:tc>
          <w:tcPr>
            <w:tcW w:w="1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(2 )</w:t>
            </w: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r>
      <w:tr>
        <w:trPr>
          <w:trHeight w:val="249"/>
        </w:trPr>
        <w:tc>
          <w:tcPr>
            <w:tcW w:w="7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periodic benefit (gain) cost</w:t>
            </w: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-607695</wp:posOffset>
            </wp:positionV>
            <wp:extent cx="514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-591185</wp:posOffset>
            </wp:positionV>
            <wp:extent cx="514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-607695</wp:posOffset>
            </wp:positionV>
            <wp:extent cx="514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-591185</wp:posOffset>
            </wp:positionV>
            <wp:extent cx="514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-25400</wp:posOffset>
            </wp:positionV>
            <wp:extent cx="514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514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left="520" w:right="20"/>
        <w:spacing w:after="0" w:line="250" w:lineRule="auto"/>
        <w:rPr>
          <w:sz w:val="20"/>
          <w:szCs w:val="20"/>
          <w:color w:val="auto"/>
        </w:rPr>
      </w:pPr>
      <w:r>
        <w:rPr>
          <w:rFonts w:ascii="Times New Roman" w:cs="Times New Roman" w:eastAsia="Times New Roman" w:hAnsi="Times New Roman"/>
          <w:sz w:val="18"/>
          <w:szCs w:val="18"/>
          <w:color w:val="auto"/>
        </w:rPr>
        <w:t>We were not required to make contributions to our defined benefit plans during the three-months ended March 31, 2022 and 2021, respectively. For the remainder of 2022, we do not expect to make any contributions to fund the pension plan or the retiree health care plan. The unfunded liability of the plans of $5.5 million and $5.6 million as of March 31, 2022 and December 31, 2021, respectively, is included in “Other liabilities” on our Condensed Consolidated Balance Sheets.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ind w:left="520" w:right="320"/>
        <w:spacing w:after="0" w:line="266" w:lineRule="auto"/>
        <w:rPr>
          <w:sz w:val="20"/>
          <w:szCs w:val="20"/>
          <w:color w:val="auto"/>
        </w:rPr>
      </w:pPr>
      <w:r>
        <w:rPr>
          <w:rFonts w:ascii="Times New Roman" w:cs="Times New Roman" w:eastAsia="Times New Roman" w:hAnsi="Times New Roman"/>
          <w:sz w:val="18"/>
          <w:szCs w:val="18"/>
          <w:color w:val="auto"/>
        </w:rPr>
        <w:t>We file income tax returns in various federal, state and local jurisdictions. Tax years from 2018 forward remain open for examination by Federal authorities. Tax years from 2016 forward remain open for all significant state and foreign authorities.</w:t>
      </w:r>
    </w:p>
    <w:p>
      <w:pPr>
        <w:spacing w:after="0" w:line="162" w:lineRule="exact"/>
        <w:rPr>
          <w:sz w:val="20"/>
          <w:szCs w:val="20"/>
          <w:color w:val="auto"/>
        </w:rPr>
      </w:pPr>
    </w:p>
    <w:p>
      <w:pPr>
        <w:ind w:left="520" w:right="80"/>
        <w:spacing w:after="0" w:line="250" w:lineRule="auto"/>
        <w:rPr>
          <w:sz w:val="20"/>
          <w:szCs w:val="20"/>
          <w:color w:val="auto"/>
        </w:rPr>
      </w:pPr>
      <w:r>
        <w:rPr>
          <w:rFonts w:ascii="Times New Roman" w:cs="Times New Roman" w:eastAsia="Times New Roman" w:hAnsi="Times New Roman"/>
          <w:sz w:val="18"/>
          <w:szCs w:val="18"/>
          <w:color w:val="auto"/>
        </w:rPr>
        <w:t>We account for uncertain tax positions pursuant to ASC Topic 740, “Income Taxes.” As of March 31, 2022 and December 31, 2021, the liability for uncertain tax positions totaled approximately $0.1 million, which is included in “Other liabilities” on our Condensed Consolidated Balance Sheets. We recognize accrued interest related to uncertain tax positions and penalties, if any, in income tax expense within the Condensed Consolidated Statements of Income.</w:t>
      </w:r>
    </w:p>
    <w:p>
      <w:pPr>
        <w:spacing w:after="0" w:line="177" w:lineRule="exact"/>
        <w:rPr>
          <w:sz w:val="20"/>
          <w:szCs w:val="20"/>
          <w:color w:val="auto"/>
        </w:rPr>
      </w:pPr>
    </w:p>
    <w:p>
      <w:pPr>
        <w:ind w:left="520" w:right="120"/>
        <w:spacing w:after="0" w:line="250" w:lineRule="auto"/>
        <w:rPr>
          <w:sz w:val="20"/>
          <w:szCs w:val="20"/>
          <w:color w:val="auto"/>
        </w:rPr>
      </w:pPr>
      <w:r>
        <w:rPr>
          <w:rFonts w:ascii="Times New Roman" w:cs="Times New Roman" w:eastAsia="Times New Roman" w:hAnsi="Times New Roman"/>
          <w:sz w:val="18"/>
          <w:szCs w:val="18"/>
          <w:color w:val="auto"/>
        </w:rPr>
        <w:t>Certain of the Company’s undistributed earnings of our foreign subsidiaries are not permanently reinvested. Since foreign earnings have already been subject to United States income tax in 2017 as a result of the 2017 Tax Cuts and Jobs Act, we intend to repatriate foreign-held cash as needed. We record deferred income tax attributable to foreign withholding taxes that would become payable should we decide to repatriate cash held in our foreign operations. As of March 31, 2022 and December 31, 2021, we have recorded deferred income taxes of approximately $1.1 million, respectively, on the undistributed earnings of our foreign subsidiaries.</w:t>
      </w:r>
    </w:p>
    <w:p>
      <w:pPr>
        <w:spacing w:after="0" w:line="177" w:lineRule="exact"/>
        <w:rPr>
          <w:sz w:val="20"/>
          <w:szCs w:val="20"/>
          <w:color w:val="auto"/>
        </w:rPr>
      </w:pPr>
    </w:p>
    <w:p>
      <w:pPr>
        <w:ind w:left="520" w:right="100"/>
        <w:spacing w:after="0" w:line="250" w:lineRule="auto"/>
        <w:rPr>
          <w:sz w:val="20"/>
          <w:szCs w:val="20"/>
          <w:color w:val="auto"/>
        </w:rPr>
      </w:pPr>
      <w:r>
        <w:rPr>
          <w:rFonts w:ascii="Times New Roman" w:cs="Times New Roman" w:eastAsia="Times New Roman" w:hAnsi="Times New Roman"/>
          <w:sz w:val="18"/>
          <w:szCs w:val="18"/>
          <w:color w:val="auto"/>
        </w:rPr>
        <w:t>Income tax expense was $1.1 million and $0.6 million for the first quarter of 2022 and 2021, respectively. The effective income tax rate for the first quarter of 2022 was 28.3% compared with 29.8% for the first quarter of 2021. The effective income tax rate for the first quarter of 2022 is higher than the United States federal statutory rate. Our effective rate is affected by certain other permanent differences, including state income taxes, non-deductible incentive stock-based compensation and differences in tax rates among jurisdictions in which we operate.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Financial Instruments</w:t>
      </w:r>
    </w:p>
    <w:p>
      <w:pPr>
        <w:spacing w:after="0" w:line="229" w:lineRule="exact"/>
        <w:rPr>
          <w:sz w:val="20"/>
          <w:szCs w:val="20"/>
          <w:color w:val="auto"/>
        </w:rPr>
      </w:pPr>
    </w:p>
    <w:p>
      <w:pPr>
        <w:ind w:left="520" w:right="40"/>
        <w:spacing w:after="0" w:line="250" w:lineRule="auto"/>
        <w:rPr>
          <w:sz w:val="20"/>
          <w:szCs w:val="20"/>
          <w:color w:val="auto"/>
        </w:rPr>
      </w:pPr>
      <w:r>
        <w:rPr>
          <w:rFonts w:ascii="Times New Roman" w:cs="Times New Roman" w:eastAsia="Times New Roman" w:hAnsi="Times New Roman"/>
          <w:sz w:val="18"/>
          <w:szCs w:val="18"/>
          <w:color w:val="auto"/>
        </w:rPr>
        <w:t>Our financial instruments consist primarily of investments in cash and cash equivalents, receivables and certain other assets, foreign debt and accounts payable, which approximate fair value at March 31, 2022 and December 31, 2021, due to their short-term nature or variable, market-driven interest rates.</w:t>
      </w:r>
    </w:p>
    <w:p>
      <w:pPr>
        <w:spacing w:after="0" w:line="177" w:lineRule="exact"/>
        <w:rPr>
          <w:sz w:val="20"/>
          <w:szCs w:val="20"/>
          <w:color w:val="auto"/>
        </w:rPr>
      </w:pPr>
    </w:p>
    <w:p>
      <w:pPr>
        <w:jc w:val="both"/>
        <w:ind w:left="520" w:right="200"/>
        <w:spacing w:after="0" w:line="258" w:lineRule="auto"/>
        <w:rPr>
          <w:sz w:val="20"/>
          <w:szCs w:val="20"/>
          <w:color w:val="auto"/>
        </w:rPr>
      </w:pPr>
      <w:r>
        <w:rPr>
          <w:rFonts w:ascii="Times New Roman" w:cs="Times New Roman" w:eastAsia="Times New Roman" w:hAnsi="Times New Roman"/>
          <w:sz w:val="18"/>
          <w:szCs w:val="18"/>
          <w:color w:val="auto"/>
        </w:rPr>
        <w:t>The fair value of the debt issued under the Credit Facility and joint venture term loan was $86.5 million and $65.5 million at March 31, 2022 and December 31, 2021, respectively. The fair value was determined considering market conditions, our credit worthiness and the current terms of our debt, which is considered Level 2 on the fair value hierarchy.</w:t>
      </w:r>
    </w:p>
    <w:p>
      <w:pPr>
        <w:spacing w:after="0" w:line="169" w:lineRule="exact"/>
        <w:rPr>
          <w:sz w:val="20"/>
          <w:szCs w:val="20"/>
          <w:color w:val="auto"/>
        </w:rPr>
      </w:pPr>
    </w:p>
    <w:p>
      <w:pPr>
        <w:ind w:left="520" w:right="140"/>
        <w:spacing w:after="0" w:line="258" w:lineRule="auto"/>
        <w:rPr>
          <w:sz w:val="20"/>
          <w:szCs w:val="20"/>
          <w:color w:val="auto"/>
        </w:rPr>
      </w:pPr>
      <w:r>
        <w:rPr>
          <w:rFonts w:ascii="Times New Roman" w:cs="Times New Roman" w:eastAsia="Times New Roman" w:hAnsi="Times New Roman"/>
          <w:sz w:val="18"/>
          <w:szCs w:val="18"/>
          <w:color w:val="auto"/>
        </w:rPr>
        <w:t>At March 31, 2022 and December 31, 2021, the Company had cash and cash equivalents of $28.4 million and $29.9 million, respectively, of which $22.4 million and $22.6 million, respectively, was held outside of the United States, principally in the Netherlands, United Kingdom, China, and Canada.</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 – Legal Matters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Asbestos cases</w:t>
      </w:r>
    </w:p>
    <w:p>
      <w:pPr>
        <w:spacing w:after="0" w:line="214" w:lineRule="exact"/>
        <w:rPr>
          <w:sz w:val="20"/>
          <w:szCs w:val="20"/>
          <w:color w:val="auto"/>
        </w:rPr>
      </w:pPr>
    </w:p>
    <w:p>
      <w:pPr>
        <w:ind w:left="520" w:right="140"/>
        <w:spacing w:after="0" w:line="242" w:lineRule="auto"/>
        <w:rPr>
          <w:sz w:val="20"/>
          <w:szCs w:val="20"/>
          <w:color w:val="auto"/>
        </w:rPr>
      </w:pPr>
      <w:r>
        <w:rPr>
          <w:rFonts w:ascii="Times New Roman" w:cs="Times New Roman" w:eastAsia="Times New Roman" w:hAnsi="Times New Roman"/>
          <w:sz w:val="18"/>
          <w:szCs w:val="18"/>
          <w:color w:val="auto"/>
        </w:rPr>
        <w:t>Our subsidiary, Met-Pro Technologies LLC (“Met-Pro”), beginning in 2002, began to be named in asbestos-related lawsuits filed against a large number of industrial companies including, in particular, those in the pump and fluid handling industries. In management’s opinion, the complaints typically have been vague, general and speculative, alleging that Met-Pro, along with the numerous other defendants, sold unidentified asbestos-containing products and engaged in other related actions which caused injuries (including death) and loss to the plaintiffs. Counsel has advised that more recent cases typically allege more serious claims of mesothelioma. The Company’s insurers have hired attorneys who, together with the Company, are vigorously defending these cases. Many cases have been dismissed after the plaintiff fails to produce evidence of exposure to Met-Pro’s products. In those cases, where evidence has been produced, the Company’s experience has been that the exposure levels are low and the Company’s position has been that its products were not a cause of death, injury or loss. The Company has been dismissed from or settled a large number of these cases. Cumulative settlement payments from 2002 through March 31, 2022 for cases involving asbestos-related claims were $4.9 million, of which, together with all legal fees other than corporate counsel expenses, $4.8 million has been paid by the Company’s insurers. The average cost per settled claim, excluding legal fees, was approximately $40,000.</w:t>
      </w:r>
    </w:p>
    <w:p>
      <w:pPr>
        <w:spacing w:after="0" w:line="188" w:lineRule="exact"/>
        <w:rPr>
          <w:sz w:val="20"/>
          <w:szCs w:val="20"/>
          <w:color w:val="auto"/>
        </w:rPr>
      </w:pPr>
    </w:p>
    <w:p>
      <w:pPr>
        <w:ind w:left="520" w:right="100"/>
        <w:spacing w:after="0" w:line="244" w:lineRule="auto"/>
        <w:rPr>
          <w:sz w:val="20"/>
          <w:szCs w:val="20"/>
          <w:color w:val="auto"/>
        </w:rPr>
      </w:pPr>
      <w:r>
        <w:rPr>
          <w:rFonts w:ascii="Times New Roman" w:cs="Times New Roman" w:eastAsia="Times New Roman" w:hAnsi="Times New Roman"/>
          <w:sz w:val="18"/>
          <w:szCs w:val="18"/>
          <w:color w:val="auto"/>
        </w:rPr>
        <w:t>Based upon the most recent information available to the Company regarding such claims, there were a total of 240 cases pending against the Company as of March 31, 2022 (with Illinois, New York, Pennsylvania and West Virginia having the largest number of cases), as compared with 223 cases that were pending as of December 31, 2021. During the three-months ended March 31, 2022, 37 new cases were filed against the Company, and the Company was dismissed from 18 cases and settled 2 cases. Most of the pending cases have not advanced beyond the early stages of discovery, although a number of cases are on schedules leading to or scheduled for trial. The Company believes that its insurance coverage is adequate for the cases currently pending against the Company and for the foreseeable future, assuming a continuation of the current volume, nature of cases and settlement amounts. However, the Company has no control over the number and nature of cases that are filed against it, nor as to the financial health of its insurers or their position as to coverage. The Company also presently believes that none of the pending cases will have a material adverse impact upon the Company’s results of operations, liquidity or financial condition.</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27" w:lineRule="exact"/>
        <w:rPr>
          <w:sz w:val="20"/>
          <w:szCs w:val="20"/>
          <w:color w:val="auto"/>
        </w:rPr>
      </w:pPr>
    </w:p>
    <w:p>
      <w:pPr>
        <w:ind w:left="520" w:right="120"/>
        <w:spacing w:after="0" w:line="266" w:lineRule="auto"/>
        <w:rPr>
          <w:sz w:val="20"/>
          <w:szCs w:val="20"/>
          <w:color w:val="auto"/>
        </w:rPr>
      </w:pPr>
      <w:r>
        <w:rPr>
          <w:rFonts w:ascii="Times New Roman" w:cs="Times New Roman" w:eastAsia="Times New Roman" w:hAnsi="Times New Roman"/>
          <w:sz w:val="18"/>
          <w:szCs w:val="18"/>
          <w:color w:val="auto"/>
        </w:rPr>
        <w:t>The Company is also a party to routine contract and employment-related litigation matters, warranty claims and routine audits of state and local tax returns arising in the ordinary course of its business.</w:t>
      </w:r>
    </w:p>
    <w:p>
      <w:pPr>
        <w:spacing w:after="0" w:line="162" w:lineRule="exact"/>
        <w:rPr>
          <w:sz w:val="20"/>
          <w:szCs w:val="20"/>
          <w:color w:val="auto"/>
        </w:rPr>
      </w:pPr>
    </w:p>
    <w:p>
      <w:pPr>
        <w:ind w:left="520"/>
        <w:spacing w:after="0" w:line="250" w:lineRule="auto"/>
        <w:rPr>
          <w:sz w:val="20"/>
          <w:szCs w:val="20"/>
          <w:color w:val="auto"/>
        </w:rPr>
      </w:pPr>
      <w:r>
        <w:rPr>
          <w:rFonts w:ascii="Times New Roman" w:cs="Times New Roman" w:eastAsia="Times New Roman" w:hAnsi="Times New Roman"/>
          <w:sz w:val="18"/>
          <w:szCs w:val="18"/>
          <w:color w:val="auto"/>
        </w:rPr>
        <w:t>The final outcome and impact of open matters, and related claims and investigations that may be brought in the future, are subject to many variables, and cannot be predicted. In accordance with ASC 450, “Contingencies,” and related guidance, we record accruals for estimated losses relating to claims and lawsuits when available information indicates that a loss is probable and the amount of the loss, or range of loss, can be reasonably estimated. The Company expenses legal costs as they are incurred.</w:t>
      </w:r>
    </w:p>
    <w:p>
      <w:pPr>
        <w:spacing w:after="0" w:line="177" w:lineRule="exact"/>
        <w:rPr>
          <w:sz w:val="20"/>
          <w:szCs w:val="20"/>
          <w:color w:val="auto"/>
        </w:rPr>
      </w:pPr>
    </w:p>
    <w:p>
      <w:pPr>
        <w:ind w:left="520" w:right="160"/>
        <w:spacing w:after="0" w:line="282" w:lineRule="auto"/>
        <w:rPr>
          <w:sz w:val="20"/>
          <w:szCs w:val="20"/>
          <w:color w:val="auto"/>
        </w:rPr>
      </w:pPr>
      <w:r>
        <w:rPr>
          <w:rFonts w:ascii="Times New Roman" w:cs="Times New Roman" w:eastAsia="Times New Roman" w:hAnsi="Times New Roman"/>
          <w:sz w:val="18"/>
          <w:szCs w:val="18"/>
          <w:color w:val="auto"/>
        </w:rPr>
        <w:t>We are not aware of any pending claims or assessments, other than as described above, which may have a material adverse impact on our liquidity, financial position, results of operations, or cash flows.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Acquisitions</w:t>
      </w:r>
    </w:p>
    <w:p>
      <w:pPr>
        <w:spacing w:after="0" w:line="2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Rubber LLC</w:t>
      </w:r>
    </w:p>
    <w:p>
      <w:pPr>
        <w:spacing w:after="0" w:line="227" w:lineRule="exact"/>
        <w:rPr>
          <w:sz w:val="20"/>
          <w:szCs w:val="20"/>
          <w:color w:val="auto"/>
        </w:rPr>
      </w:pPr>
    </w:p>
    <w:p>
      <w:pPr>
        <w:ind w:left="520" w:right="80"/>
        <w:spacing w:after="0" w:line="246" w:lineRule="auto"/>
        <w:rPr>
          <w:sz w:val="20"/>
          <w:szCs w:val="20"/>
          <w:color w:val="auto"/>
        </w:rPr>
      </w:pPr>
      <w:r>
        <w:rPr>
          <w:rFonts w:ascii="Times New Roman" w:cs="Times New Roman" w:eastAsia="Times New Roman" w:hAnsi="Times New Roman"/>
          <w:sz w:val="18"/>
          <w:szCs w:val="18"/>
          <w:color w:val="auto"/>
        </w:rPr>
        <w:t>On March 7, 2022, the Company, through the EFM JV, acquired 100% of the equity interests of GRC for $19.7 million in cash, which was financed with a combination of a draw on the Company's revolving credit facility and issuance of term debt by the EFM JV (see Note 7). As additional consideration, the former owners were issued 10% of the equity interest in the EFM JV. The preliminary fair value ascribed to the equity interest was approximately $5.0 million. As of March 31, 2022, there were $11.6 million in current assets, $29.8 million in long-lived assets, and $30.9 million in total liabilities related to the EFM JV included in our Condensed Consolidated Balance Sheets.</w:t>
      </w:r>
    </w:p>
    <w:p>
      <w:pPr>
        <w:spacing w:after="0" w:line="181" w:lineRule="exact"/>
        <w:rPr>
          <w:sz w:val="20"/>
          <w:szCs w:val="20"/>
          <w:color w:val="auto"/>
        </w:rPr>
      </w:pPr>
    </w:p>
    <w:p>
      <w:pPr>
        <w:ind w:left="520" w:right="360"/>
        <w:spacing w:after="0" w:line="282" w:lineRule="auto"/>
        <w:rPr>
          <w:sz w:val="20"/>
          <w:szCs w:val="20"/>
          <w:color w:val="auto"/>
        </w:rPr>
      </w:pPr>
      <w:r>
        <w:rPr>
          <w:rFonts w:ascii="Times New Roman" w:cs="Times New Roman" w:eastAsia="Times New Roman" w:hAnsi="Times New Roman"/>
          <w:sz w:val="18"/>
          <w:szCs w:val="18"/>
          <w:color w:val="auto"/>
        </w:rPr>
        <w:t>GRC engineers and manufactures non-metallic expansion joints and flow control products including rubber expansion joints, ducting expansion joints, and industrial pinch and duck bill valves, serving the industrial water and wastewater markets. The</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4" w:name="page15"/>
    <w:bookmarkEnd w:id="14"/>
    <w:p>
      <w:pPr>
        <w:ind w:left="520" w:right="340"/>
        <w:spacing w:after="0" w:line="282" w:lineRule="auto"/>
        <w:rPr>
          <w:sz w:val="20"/>
          <w:szCs w:val="20"/>
          <w:color w:val="auto"/>
        </w:rPr>
      </w:pPr>
      <w:r>
        <w:rPr>
          <w:rFonts w:ascii="Times New Roman" w:cs="Times New Roman" w:eastAsia="Times New Roman" w:hAnsi="Times New Roman"/>
          <w:sz w:val="18"/>
          <w:szCs w:val="18"/>
          <w:color w:val="auto"/>
        </w:rPr>
        <w:t>acquisition diversifies and expands our EFM JV product offerings within our Engineered Systems segment. The following table summarizes the approximate fair values of the assets acquired and liabilities assumed at the date of closing.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assets (including cash of $137)</w:t>
            </w:r>
          </w:p>
        </w:tc>
        <w:tc>
          <w:tcPr>
            <w:tcW w:w="780" w:type="dxa"/>
            <w:vAlign w:val="bottom"/>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8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7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tcPr>
          <w:p>
            <w:pPr>
              <w:spacing w:after="0"/>
              <w:rPr>
                <w:sz w:val="18"/>
                <w:szCs w:val="18"/>
                <w:color w:val="auto"/>
              </w:rPr>
            </w:pPr>
          </w:p>
        </w:tc>
      </w:tr>
      <w:tr>
        <w:trPr>
          <w:trHeight w:val="216"/>
        </w:trPr>
        <w:tc>
          <w:tcPr>
            <w:tcW w:w="9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20,667</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 acquired</w:t>
            </w:r>
          </w:p>
        </w:tc>
        <w:tc>
          <w:tcPr>
            <w:tcW w:w="7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25,434</w:t>
            </w:r>
          </w:p>
        </w:tc>
        <w:tc>
          <w:tcPr>
            <w:tcW w:w="80" w:type="dxa"/>
            <w:vAlign w:val="bottom"/>
          </w:tcPr>
          <w:p>
            <w:pPr>
              <w:spacing w:after="0"/>
              <w:rPr>
                <w:sz w:val="18"/>
                <w:szCs w:val="18"/>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 assumed</w:t>
            </w:r>
          </w:p>
        </w:tc>
        <w:tc>
          <w:tcPr>
            <w:tcW w:w="7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(714 )</w:t>
            </w:r>
          </w:p>
        </w:tc>
      </w:tr>
      <w:tr>
        <w:trPr>
          <w:trHeight w:val="209"/>
        </w:trPr>
        <w:tc>
          <w:tcPr>
            <w:tcW w:w="92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Net assets acquired</w:t>
            </w:r>
          </w:p>
        </w:tc>
        <w:tc>
          <w:tcPr>
            <w:tcW w:w="7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24,720</w:t>
            </w:r>
          </w:p>
        </w:tc>
        <w:tc>
          <w:tcPr>
            <w:tcW w:w="80" w:type="dxa"/>
            <w:vAlign w:val="bottom"/>
            <w:tcBorders>
              <w:top w:val="single" w:sz="8" w:color="CFF0FC"/>
            </w:tcBorders>
          </w:tcPr>
          <w:p>
            <w:pPr>
              <w:spacing w:after="0"/>
              <w:rPr>
                <w:sz w:val="18"/>
                <w:szCs w:val="18"/>
                <w:color w:val="auto"/>
              </w:rPr>
            </w:pPr>
          </w:p>
        </w:tc>
      </w:tr>
      <w:tr>
        <w:trPr>
          <w:trHeight w:val="20"/>
        </w:trPr>
        <w:tc>
          <w:tcPr>
            <w:tcW w:w="9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7085965</wp:posOffset>
            </wp:positionH>
            <wp:positionV relativeFrom="paragraph">
              <wp:posOffset>-454025</wp:posOffset>
            </wp:positionV>
            <wp:extent cx="514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-170815</wp:posOffset>
            </wp:positionV>
            <wp:extent cx="514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left="520" w:right="80"/>
        <w:spacing w:after="0" w:line="250" w:lineRule="auto"/>
        <w:rPr>
          <w:sz w:val="20"/>
          <w:szCs w:val="20"/>
          <w:color w:val="auto"/>
        </w:rPr>
      </w:pPr>
      <w:r>
        <w:rPr>
          <w:rFonts w:ascii="Times New Roman" w:cs="Times New Roman" w:eastAsia="Times New Roman" w:hAnsi="Times New Roman"/>
          <w:sz w:val="18"/>
          <w:szCs w:val="18"/>
          <w:color w:val="auto"/>
        </w:rPr>
        <w:t>The approximate fair values of the assets acquired and liabilities assumed related to the acquisition are based on preliminary estimates and assumptions. These preliminary estimates and assumptions could change significantly during the purchase price measurement period as we finalize the valuation of assets acquired and liabilities assumed. These changes could result in material variances between the Company's future financial results, including variances in the estimated purchase price, fair values recorded and expenses associated with these items.</w:t>
      </w:r>
    </w:p>
    <w:p>
      <w:pPr>
        <w:spacing w:after="0" w:line="177" w:lineRule="exact"/>
        <w:rPr>
          <w:sz w:val="20"/>
          <w:szCs w:val="20"/>
          <w:color w:val="auto"/>
        </w:rPr>
      </w:pPr>
    </w:p>
    <w:p>
      <w:pPr>
        <w:jc w:val="both"/>
        <w:ind w:left="520" w:right="120"/>
        <w:spacing w:after="0" w:line="258" w:lineRule="auto"/>
        <w:rPr>
          <w:sz w:val="20"/>
          <w:szCs w:val="20"/>
          <w:color w:val="auto"/>
        </w:rPr>
      </w:pPr>
      <w:r>
        <w:rPr>
          <w:rFonts w:ascii="Times New Roman" w:cs="Times New Roman" w:eastAsia="Times New Roman" w:hAnsi="Times New Roman"/>
          <w:sz w:val="18"/>
          <w:szCs w:val="18"/>
          <w:color w:val="auto"/>
        </w:rPr>
        <w:t>Goodwill recognized represents value the Company expects to be created by combining the various operations of the acquired businesses with the Company’s operations, including the expansion into markets within existing business segments, access to new customers and potential cost savings and synergies. Goodwill related to this acquisition is not deductible for tax purposes.</w:t>
      </w:r>
    </w:p>
    <w:p>
      <w:pPr>
        <w:spacing w:after="0" w:line="169" w:lineRule="exact"/>
        <w:rPr>
          <w:sz w:val="20"/>
          <w:szCs w:val="20"/>
          <w:color w:val="auto"/>
        </w:rPr>
      </w:pPr>
    </w:p>
    <w:p>
      <w:pPr>
        <w:jc w:val="both"/>
        <w:ind w:left="520" w:right="500"/>
        <w:spacing w:after="0" w:line="258" w:lineRule="auto"/>
        <w:rPr>
          <w:sz w:val="20"/>
          <w:szCs w:val="20"/>
          <w:color w:val="auto"/>
        </w:rPr>
      </w:pPr>
      <w:r>
        <w:rPr>
          <w:rFonts w:ascii="Times New Roman" w:cs="Times New Roman" w:eastAsia="Times New Roman" w:hAnsi="Times New Roman"/>
          <w:sz w:val="18"/>
          <w:szCs w:val="18"/>
          <w:color w:val="auto"/>
        </w:rPr>
        <w:t>Acquisition and integration expenses on the Condensed Consolidated Statements of Income are related to acquisition activities, which include retention, legal, accounting, banking, and other expenses. During the three months ended March 31, 2022, GRC accounted for $0.7 million in revenue and $0.3 million of net income included in the Company’s results.</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unaudited pro forma financial information represents the Company's results of operations as if GRC acquisition had occurred on</w:t>
      </w:r>
    </w:p>
    <w:p>
      <w:pPr>
        <w:spacing w:after="0" w:line="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January 1, 2021: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4"/>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 w:type="dxa"/>
            <w:vAlign w:val="bottom"/>
          </w:tcPr>
          <w:p>
            <w:pPr>
              <w:spacing w:after="0"/>
              <w:rPr>
                <w:sz w:val="16"/>
                <w:szCs w:val="16"/>
                <w:color w:val="auto"/>
              </w:rPr>
            </w:pPr>
          </w:p>
        </w:tc>
      </w:tr>
      <w:tr>
        <w:trPr>
          <w:trHeight w:val="196"/>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in thousands, except per share data)</w:t>
            </w: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7"/>
                <w:szCs w:val="17"/>
                <w:color w:val="auto"/>
              </w:rPr>
            </w:pPr>
          </w:p>
        </w:tc>
      </w:tr>
      <w:tr>
        <w:trPr>
          <w:trHeight w:val="209"/>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94,575</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75,215</w:t>
            </w:r>
          </w:p>
        </w:tc>
        <w:tc>
          <w:tcPr>
            <w:tcW w:w="60" w:type="dxa"/>
            <w:vAlign w:val="bottom"/>
            <w:shd w:val="clear" w:color="auto" w:fill="CFF0FC"/>
          </w:tcPr>
          <w:p>
            <w:pPr>
              <w:spacing w:after="0"/>
              <w:rPr>
                <w:sz w:val="18"/>
                <w:szCs w:val="18"/>
                <w:color w:val="auto"/>
              </w:rPr>
            </w:pPr>
          </w:p>
        </w:tc>
      </w:tr>
      <w:tr>
        <w:trPr>
          <w:trHeight w:val="216"/>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CECO Environmental Corp.</w:t>
            </w: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60" w:type="dxa"/>
            <w:vAlign w:val="bottom"/>
          </w:tcPr>
          <w:p>
            <w:pPr>
              <w:spacing w:after="0"/>
              <w:rPr>
                <w:sz w:val="18"/>
                <w:szCs w:val="18"/>
                <w:color w:val="auto"/>
              </w:rPr>
            </w:pPr>
          </w:p>
        </w:tc>
      </w:tr>
      <w:tr>
        <w:trPr>
          <w:trHeight w:val="216"/>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7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6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60" w:type="dxa"/>
            <w:vAlign w:val="bottom"/>
          </w:tcPr>
          <w:p>
            <w:pPr>
              <w:spacing w:after="0"/>
              <w:rPr>
                <w:sz w:val="18"/>
                <w:szCs w:val="18"/>
                <w:color w:val="auto"/>
              </w:rPr>
            </w:pPr>
          </w:p>
        </w:tc>
      </w:tr>
      <w:tr>
        <w:trPr>
          <w:trHeight w:val="216"/>
        </w:trPr>
        <w:tc>
          <w:tcPr>
            <w:tcW w:w="7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66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6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left="520"/>
        <w:spacing w:after="0" w:line="250" w:lineRule="auto"/>
        <w:rPr>
          <w:sz w:val="20"/>
          <w:szCs w:val="20"/>
          <w:color w:val="auto"/>
        </w:rPr>
      </w:pPr>
      <w:r>
        <w:rPr>
          <w:rFonts w:ascii="Times New Roman" w:cs="Times New Roman" w:eastAsia="Times New Roman" w:hAnsi="Times New Roman"/>
          <w:sz w:val="18"/>
          <w:szCs w:val="18"/>
          <w:color w:val="auto"/>
        </w:rPr>
        <w:t>The pro forma results have been prepared for informational purposes only and include adjustments to reflect additional interest expense on debt used to fund the acquisition, and to record the income tax consequences of the pro forma adjustments. These pro forma results do not purport to be indicative of the results of operations that would have occurred had the purchase been made as of the beginning of the periods presented or the results of operations that may occur in the future.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Business Segment Information</w:t>
      </w:r>
    </w:p>
    <w:p>
      <w:pPr>
        <w:spacing w:after="0" w:line="216" w:lineRule="exact"/>
        <w:rPr>
          <w:sz w:val="20"/>
          <w:szCs w:val="20"/>
          <w:color w:val="auto"/>
        </w:rPr>
      </w:pPr>
    </w:p>
    <w:p>
      <w:pPr>
        <w:ind w:left="520" w:right="240"/>
        <w:spacing w:after="0" w:line="258" w:lineRule="auto"/>
        <w:rPr>
          <w:sz w:val="20"/>
          <w:szCs w:val="20"/>
          <w:color w:val="auto"/>
        </w:rPr>
      </w:pPr>
      <w:r>
        <w:rPr>
          <w:rFonts w:ascii="Times New Roman" w:cs="Times New Roman" w:eastAsia="Times New Roman" w:hAnsi="Times New Roman"/>
          <w:sz w:val="18"/>
          <w:szCs w:val="18"/>
          <w:color w:val="auto"/>
        </w:rPr>
        <w:t>The Company’s operations are organized and reviewed by management along its product platforms or end market that the segment serves and are presented in two reportable segments. The results of the segments are reviewed through the “Income from operations” line on the Condensed Consolidated Statements of Income.</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reportable segments are organized as groups of similar products and services, as described as follows:</w:t>
      </w:r>
    </w:p>
    <w:p>
      <w:pPr>
        <w:spacing w:after="0" w:line="221" w:lineRule="exact"/>
        <w:rPr>
          <w:sz w:val="20"/>
          <w:szCs w:val="20"/>
          <w:color w:val="auto"/>
        </w:rPr>
      </w:pPr>
    </w:p>
    <w:p>
      <w:pPr>
        <w:ind w:left="520" w:right="140"/>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Engineered Systems segment: </w:t>
      </w:r>
      <w:r>
        <w:rPr>
          <w:rFonts w:ascii="Times New Roman" w:cs="Times New Roman" w:eastAsia="Times New Roman" w:hAnsi="Times New Roman"/>
          <w:sz w:val="18"/>
          <w:szCs w:val="18"/>
          <w:color w:val="auto"/>
        </w:rPr>
        <w:t>Our Engineered Systems segment serves the general industrial, power generation, refinery, water/wastewater,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midstream oil &amp; gas, and other energy transition markets. We are a key part of helping meet the global demand for environmental and equipment protection through our highly engineered platforms including emissions management, fluid bed cyclones, thermal acoustics, separation &amp; filtration (gas &amp; water), and dampers &amp; expansion joints.</w:t>
      </w:r>
    </w:p>
    <w:p>
      <w:pPr>
        <w:spacing w:after="0" w:line="191" w:lineRule="exact"/>
        <w:rPr>
          <w:sz w:val="20"/>
          <w:szCs w:val="20"/>
          <w:color w:val="auto"/>
        </w:rPr>
      </w:pPr>
    </w:p>
    <w:p>
      <w:pPr>
        <w:ind w:left="520" w:right="320"/>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Industrial Process Solutions segment: </w:t>
      </w:r>
      <w:r>
        <w:rPr>
          <w:rFonts w:ascii="Times New Roman" w:cs="Times New Roman" w:eastAsia="Times New Roman" w:hAnsi="Times New Roman"/>
          <w:sz w:val="18"/>
          <w:szCs w:val="18"/>
          <w:color w:val="auto"/>
        </w:rPr>
        <w:t>Our Industrial Process Solutions segment serves the broad industrial air pollution control, beverage can,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fluid handling, electric vehicle production, food and beverage, semi-conductor, process filtration, pharmaceutical, petrochemical, wastewater treatment, wood manufacturing, desalination, and aquaculture markets. We protect the air we collectively breathe, maintain clean and safe operations for employees, lower energy consumption, minimize waste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5" w:name="page16"/>
    <w:bookmarkEnd w:id="15"/>
    <w:p>
      <w:pPr>
        <w:ind w:left="520" w:right="80"/>
        <w:spacing w:after="0" w:line="297" w:lineRule="auto"/>
        <w:rPr>
          <w:sz w:val="20"/>
          <w:szCs w:val="20"/>
          <w:color w:val="auto"/>
        </w:rPr>
      </w:pPr>
      <w:r>
        <w:rPr>
          <w:rFonts w:ascii="Times New Roman" w:cs="Times New Roman" w:eastAsia="Times New Roman" w:hAnsi="Times New Roman"/>
          <w:sz w:val="18"/>
          <w:szCs w:val="18"/>
          <w:color w:val="auto"/>
        </w:rPr>
        <w:t>for customers, and ensure they meet regulatory compliance standards for toxic emissions, fumes, volatile organic compounds and odors through our platforms including duct &amp; installation, industrial air, and fluid handling.</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financial segment information is presented in the following tables:</w:t>
      </w:r>
    </w:p>
    <w:p>
      <w:pPr>
        <w:sectPr>
          <w:pgSz w:w="11900" w:h="16838" w:orient="portrait"/>
          <w:cols w:equalWidth="0" w:num="1">
            <w:col w:w="11240"/>
          </w:cols>
          <w:pgMar w:left="320" w:top="540" w:right="33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Net sales (less intra-, inter-segment sales)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Engineered Systems segment</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Industrial Process Solutions segment</w:t>
      </w:r>
    </w:p>
    <w:p>
      <w:pPr>
        <w:spacing w:after="0" w:line="4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bottom w:val="single" w:sz="8" w:color="auto"/>
            </w:tcBorders>
          </w:tcPr>
          <w:p>
            <w:pPr>
              <w:spacing w:after="0"/>
              <w:rPr>
                <w:sz w:val="14"/>
                <w:szCs w:val="14"/>
                <w:color w:val="auto"/>
              </w:rPr>
            </w:pPr>
          </w:p>
        </w:tc>
      </w:tr>
      <w:tr>
        <w:trPr>
          <w:trHeight w:val="407"/>
        </w:trPr>
        <w:tc>
          <w:tcPr>
            <w:tcW w:w="2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56,975</w:t>
            </w:r>
          </w:p>
        </w:tc>
        <w:tc>
          <w:tcPr>
            <w:tcW w:w="6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42,057</w:t>
            </w:r>
          </w:p>
        </w:tc>
      </w:tr>
      <w:tr>
        <w:trPr>
          <w:trHeight w:val="234"/>
        </w:trPr>
        <w:tc>
          <w:tcPr>
            <w:tcW w:w="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35,461</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29,835</w:t>
            </w:r>
          </w:p>
        </w:tc>
      </w:tr>
      <w:tr>
        <w:trPr>
          <w:trHeight w:val="209"/>
        </w:trPr>
        <w:tc>
          <w:tcPr>
            <w:tcW w:w="2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92,436</w:t>
            </w:r>
          </w:p>
        </w:tc>
        <w:tc>
          <w:tcPr>
            <w:tcW w:w="220" w:type="dxa"/>
            <w:vAlign w:val="bottom"/>
          </w:tcPr>
          <w:p>
            <w:pPr>
              <w:spacing w:after="0"/>
              <w:rPr>
                <w:sz w:val="18"/>
                <w:szCs w:val="18"/>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71,892</w:t>
            </w: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75"/>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8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-4604385</wp:posOffset>
            </wp:positionH>
            <wp:positionV relativeFrom="paragraph">
              <wp:posOffset>-1079500</wp:posOffset>
            </wp:positionV>
            <wp:extent cx="7132320"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-4604385</wp:posOffset>
            </wp:positionH>
            <wp:positionV relativeFrom="paragraph">
              <wp:posOffset>-805180</wp:posOffset>
            </wp:positionV>
            <wp:extent cx="7132320" cy="1454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540" w:space="720"/>
            <w:col w:w="3980"/>
          </w:cols>
          <w:pgMar w:left="320" w:top="540"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726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7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16"/>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240" w:type="dxa"/>
            <w:vAlign w:val="bottom"/>
          </w:tcPr>
          <w:p>
            <w:pPr>
              <w:spacing w:after="0"/>
              <w:rPr>
                <w:sz w:val="18"/>
                <w:szCs w:val="18"/>
                <w:color w:val="auto"/>
              </w:rPr>
            </w:pPr>
          </w:p>
        </w:tc>
        <w:tc>
          <w:tcPr>
            <w:tcW w:w="7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80" w:type="dxa"/>
            <w:vAlign w:val="bottom"/>
          </w:tcPr>
          <w:p>
            <w:pPr>
              <w:spacing w:after="0"/>
              <w:rPr>
                <w:sz w:val="18"/>
                <w:szCs w:val="18"/>
                <w:color w:val="auto"/>
              </w:rPr>
            </w:pPr>
          </w:p>
        </w:tc>
      </w:tr>
      <w:tr>
        <w:trPr>
          <w:trHeight w:val="216"/>
        </w:trPr>
        <w:tc>
          <w:tcPr>
            <w:tcW w:w="7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7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80" w:type="dxa"/>
            <w:vAlign w:val="bottom"/>
            <w:shd w:val="clear" w:color="auto" w:fill="CFF0FC"/>
          </w:tcPr>
          <w:p>
            <w:pPr>
              <w:spacing w:after="0"/>
              <w:rPr>
                <w:sz w:val="18"/>
                <w:szCs w:val="18"/>
                <w:color w:val="auto"/>
              </w:rPr>
            </w:pPr>
          </w:p>
        </w:tc>
      </w:tr>
      <w:tr>
        <w:trPr>
          <w:trHeight w:val="216"/>
        </w:trPr>
        <w:tc>
          <w:tcPr>
            <w:tcW w:w="72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4"/>
                <w:szCs w:val="24"/>
                <w:color w:val="auto"/>
                <w:vertAlign w:val="superscript"/>
              </w:rPr>
              <w:t>(1)</w:t>
            </w:r>
          </w:p>
        </w:tc>
        <w:tc>
          <w:tcPr>
            <w:tcW w:w="7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(5,407 )</w:t>
            </w:r>
          </w:p>
        </w:tc>
        <w:tc>
          <w:tcPr>
            <w:tcW w:w="7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(6,938 )</w:t>
            </w:r>
          </w:p>
        </w:tc>
      </w:tr>
      <w:tr>
        <w:trPr>
          <w:trHeight w:val="250"/>
        </w:trPr>
        <w:tc>
          <w:tcPr>
            <w:tcW w:w="7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from operations</w:t>
            </w:r>
          </w:p>
        </w:tc>
        <w:tc>
          <w:tcPr>
            <w:tcW w:w="74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5,202</w:t>
            </w:r>
          </w:p>
        </w:tc>
        <w:tc>
          <w:tcPr>
            <w:tcW w:w="2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top w:val="single" w:sz="8" w:color="auto"/>
              <w:bottom w:val="single" w:sz="8" w:color="auto"/>
            </w:tcBorders>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-24765</wp:posOffset>
            </wp:positionV>
            <wp:extent cx="514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514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Includes corporate compensation, professional services, information technology, and other general and administrative corporate expenses.</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7260" w:type="dxa"/>
            <w:vAlign w:val="bottom"/>
          </w:tcPr>
          <w:p>
            <w:pPr>
              <w:spacing w:after="0"/>
              <w:rPr>
                <w:sz w:val="16"/>
                <w:szCs w:val="16"/>
                <w:color w:val="auto"/>
              </w:rPr>
            </w:pPr>
          </w:p>
        </w:tc>
        <w:tc>
          <w:tcPr>
            <w:tcW w:w="3900" w:type="dxa"/>
            <w:vAlign w:val="bottom"/>
            <w:tcBorders>
              <w:bottom w:val="single" w:sz="8" w:color="auto"/>
            </w:tcBorders>
            <w:gridSpan w:val="2"/>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84"/>
        </w:trPr>
        <w:tc>
          <w:tcPr>
            <w:tcW w:w="7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940" w:type="dxa"/>
            <w:vAlign w:val="bottom"/>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960" w:type="dxa"/>
            <w:vAlign w:val="bottom"/>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54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additions</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Engineered Systems segment</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Industrial Process Solutions segment</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Corporate and Other</w:t>
      </w:r>
    </w:p>
    <w:p>
      <w:pPr>
        <w:spacing w:after="0" w:line="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Property and equipment additions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34"/>
        </w:trPr>
        <w:tc>
          <w:tcPr>
            <w:tcW w:w="4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09"/>
        </w:trPr>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220" w:type="dxa"/>
            <w:vAlign w:val="bottom"/>
          </w:tcPr>
          <w:p>
            <w:pPr>
              <w:spacing w:after="0"/>
              <w:rPr>
                <w:sz w:val="18"/>
                <w:szCs w:val="18"/>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Borders>
              <w:bottom w:val="single" w:sz="8" w:color="auto"/>
            </w:tcBorders>
            <w:gridSpan w:val="2"/>
          </w:tcPr>
          <w:p>
            <w:pPr>
              <w:spacing w:after="0" w:line="20" w:lineRule="exact"/>
              <w:rPr>
                <w:sz w:val="1"/>
                <w:szCs w:val="1"/>
                <w:color w:val="auto"/>
              </w:rPr>
            </w:pPr>
          </w:p>
        </w:tc>
      </w:tr>
      <w:tr>
        <w:trPr>
          <w:trHeight w:val="588"/>
        </w:trPr>
        <w:tc>
          <w:tcPr>
            <w:tcW w:w="4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4"/>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440" w:type="dxa"/>
            <w:vAlign w:val="bottom"/>
          </w:tcPr>
          <w:p>
            <w:pPr>
              <w:spacing w:after="0"/>
              <w:rPr>
                <w:sz w:val="14"/>
                <w:szCs w:val="14"/>
                <w:color w:val="auto"/>
              </w:rPr>
            </w:pPr>
          </w:p>
        </w:tc>
        <w:tc>
          <w:tcPr>
            <w:tcW w:w="1400" w:type="dxa"/>
            <w:vAlign w:val="bottom"/>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-951230</wp:posOffset>
            </wp:positionV>
            <wp:extent cx="7132320" cy="1371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-668020</wp:posOffset>
            </wp:positionV>
            <wp:extent cx="7132320" cy="1625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560" w:space="720"/>
            <w:col w:w="3960"/>
          </w:cols>
          <w:pgMar w:left="320" w:top="540"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728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26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2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75"/>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Identifiable assets</w:t>
            </w: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303,245</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142,585</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141,975</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4"/>
                <w:szCs w:val="24"/>
                <w:color w:val="auto"/>
                <w:vertAlign w:val="superscript"/>
              </w:rPr>
              <w:t>(2)</w:t>
            </w: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12,563</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2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Identifiable assets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458,393</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416,197</w:t>
            </w:r>
          </w:p>
        </w:tc>
        <w:tc>
          <w:tcPr>
            <w:tcW w:w="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05"/>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(2)  Corporate and Other assets consist primarily of cash and income tax related assets.</w:t>
            </w: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119,826</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26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61,773</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61,880</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181,599</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2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72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-2579370</wp:posOffset>
            </wp:positionV>
            <wp:extent cx="431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-2562225</wp:posOffset>
            </wp:positionV>
            <wp:extent cx="431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-2579370</wp:posOffset>
            </wp:positionV>
            <wp:extent cx="431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-2562225</wp:posOffset>
            </wp:positionV>
            <wp:extent cx="431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-1473835</wp:posOffset>
            </wp:positionV>
            <wp:extent cx="431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-1456690</wp:posOffset>
            </wp:positionV>
            <wp:extent cx="431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-1473835</wp:posOffset>
            </wp:positionV>
            <wp:extent cx="431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-1456690</wp:posOffset>
            </wp:positionV>
            <wp:extent cx="431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-650875</wp:posOffset>
            </wp:positionV>
            <wp:extent cx="431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-650875</wp:posOffset>
            </wp:positionV>
            <wp:extent cx="431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type w:val="continuous"/>
        </w:sectPr>
      </w:pPr>
    </w:p>
    <w:bookmarkStart w:id="16" w:name="page17"/>
    <w:bookmarkEnd w:id="16"/>
    <w:p>
      <w:pPr>
        <w:ind w:left="520"/>
        <w:spacing w:after="0"/>
        <w:rPr>
          <w:sz w:val="20"/>
          <w:szCs w:val="20"/>
          <w:color w:val="auto"/>
        </w:rPr>
      </w:pPr>
      <w:r>
        <w:rPr>
          <w:rFonts w:ascii="Times New Roman" w:cs="Times New Roman" w:eastAsia="Times New Roman" w:hAnsi="Times New Roman"/>
          <w:sz w:val="18"/>
          <w:szCs w:val="18"/>
          <w:b w:val="1"/>
          <w:bCs w:val="1"/>
          <w:color w:val="auto"/>
        </w:rPr>
        <w:t>Intra-segment and Inter-segment Revenues</w:t>
      </w:r>
    </w:p>
    <w:p>
      <w:pPr>
        <w:spacing w:after="0" w:line="216" w:lineRule="exact"/>
        <w:rPr>
          <w:sz w:val="20"/>
          <w:szCs w:val="20"/>
          <w:color w:val="auto"/>
        </w:rPr>
      </w:pPr>
    </w:p>
    <w:p>
      <w:pPr>
        <w:ind w:left="520" w:right="320"/>
        <w:spacing w:after="0" w:line="266" w:lineRule="auto"/>
        <w:rPr>
          <w:sz w:val="20"/>
          <w:szCs w:val="20"/>
          <w:color w:val="auto"/>
        </w:rPr>
      </w:pPr>
      <w:r>
        <w:rPr>
          <w:rFonts w:ascii="Times New Roman" w:cs="Times New Roman" w:eastAsia="Times New Roman" w:hAnsi="Times New Roman"/>
          <w:sz w:val="18"/>
          <w:szCs w:val="18"/>
          <w:color w:val="auto"/>
        </w:rPr>
        <w:t>The Company has multiple divisions that sell to each other within segments (intra-segment sales) and between segments (inter-segment sales) as indicated in the following tables: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8"/>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Less Inter-Segment Sales</w:t>
            </w:r>
          </w:p>
        </w:tc>
        <w:tc>
          <w:tcPr>
            <w:tcW w:w="140" w:type="dxa"/>
            <w:vAlign w:val="bottom"/>
          </w:tcPr>
          <w:p>
            <w:pPr>
              <w:spacing w:after="0"/>
              <w:rPr>
                <w:sz w:val="14"/>
                <w:szCs w:val="14"/>
                <w:color w:val="auto"/>
              </w:rPr>
            </w:pPr>
          </w:p>
        </w:tc>
        <w:tc>
          <w:tcPr>
            <w:tcW w:w="1020" w:type="dxa"/>
            <w:vAlign w:val="bottom"/>
            <w:vMerge w:val="restart"/>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9"/>
              </w:rPr>
              <w:t>Net Sales to</w:t>
            </w:r>
          </w:p>
        </w:tc>
        <w:tc>
          <w:tcPr>
            <w:tcW w:w="0" w:type="dxa"/>
            <w:vAlign w:val="bottom"/>
          </w:tcPr>
          <w:p>
            <w:pPr>
              <w:spacing w:after="0"/>
              <w:rPr>
                <w:sz w:val="1"/>
                <w:szCs w:val="1"/>
                <w:color w:val="auto"/>
              </w:rPr>
            </w:pPr>
          </w:p>
        </w:tc>
      </w:tr>
      <w:tr>
        <w:trPr>
          <w:trHeight w:val="144"/>
        </w:trPr>
        <w:tc>
          <w:tcPr>
            <w:tcW w:w="4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420"/>
              <w:spacing w:after="0" w:line="145" w:lineRule="exact"/>
              <w:rPr>
                <w:sz w:val="20"/>
                <w:szCs w:val="20"/>
                <w:color w:val="auto"/>
              </w:rPr>
            </w:pPr>
            <w:r>
              <w:rPr>
                <w:rFonts w:ascii="Times New Roman" w:cs="Times New Roman" w:eastAsia="Times New Roman" w:hAnsi="Times New Roman"/>
                <w:sz w:val="14"/>
                <w:szCs w:val="14"/>
                <w:b w:val="1"/>
                <w:bCs w:val="1"/>
                <w:color w:val="auto"/>
              </w:rPr>
              <w:t>Intra-</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3"/>
                <w:szCs w:val="13"/>
                <w:color w:val="auto"/>
              </w:rPr>
            </w:pPr>
          </w:p>
        </w:tc>
        <w:tc>
          <w:tcPr>
            <w:tcW w:w="1140" w:type="dxa"/>
            <w:vAlign w:val="bottom"/>
            <w:gridSpan w:val="2"/>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60" w:type="dxa"/>
            <w:vAlign w:val="bottom"/>
          </w:tcPr>
          <w:p>
            <w:pPr>
              <w:spacing w:after="0"/>
              <w:rPr>
                <w:sz w:val="13"/>
                <w:szCs w:val="13"/>
                <w:color w:val="auto"/>
              </w:rPr>
            </w:pPr>
          </w:p>
        </w:tc>
        <w:tc>
          <w:tcPr>
            <w:tcW w:w="1180" w:type="dxa"/>
            <w:vAlign w:val="bottom"/>
            <w:gridSpan w:val="2"/>
          </w:tcPr>
          <w:p>
            <w:pPr>
              <w:jc w:val="right"/>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Industrial</w:t>
            </w:r>
          </w:p>
        </w:tc>
        <w:tc>
          <w:tcPr>
            <w:tcW w:w="140" w:type="dxa"/>
            <w:vAlign w:val="bottom"/>
          </w:tcPr>
          <w:p>
            <w:pPr>
              <w:spacing w:after="0"/>
              <w:rPr>
                <w:sz w:val="13"/>
                <w:szCs w:val="13"/>
                <w:color w:val="auto"/>
              </w:rPr>
            </w:pPr>
          </w:p>
        </w:tc>
        <w:tc>
          <w:tcPr>
            <w:tcW w:w="114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Engineered</w:t>
            </w:r>
          </w:p>
        </w:tc>
        <w:tc>
          <w:tcPr>
            <w:tcW w:w="140" w:type="dxa"/>
            <w:vAlign w:val="bottom"/>
          </w:tcPr>
          <w:p>
            <w:pPr>
              <w:spacing w:after="0"/>
              <w:rPr>
                <w:sz w:val="13"/>
                <w:szCs w:val="13"/>
                <w:color w:val="auto"/>
              </w:rPr>
            </w:pPr>
          </w:p>
        </w:tc>
        <w:tc>
          <w:tcPr>
            <w:tcW w:w="1020" w:type="dxa"/>
            <w:vAlign w:val="bottom"/>
          </w:tcPr>
          <w:p>
            <w:pPr>
              <w:jc w:val="center"/>
              <w:ind w:right="99"/>
              <w:spacing w:after="0" w:line="160" w:lineRule="exact"/>
              <w:rPr>
                <w:sz w:val="20"/>
                <w:szCs w:val="20"/>
                <w:color w:val="auto"/>
              </w:rPr>
            </w:pPr>
            <w:r>
              <w:rPr>
                <w:rFonts w:ascii="Times New Roman" w:cs="Times New Roman" w:eastAsia="Times New Roman" w:hAnsi="Times New Roman"/>
                <w:sz w:val="14"/>
                <w:szCs w:val="14"/>
                <w:b w:val="1"/>
                <w:bCs w:val="1"/>
                <w:color w:val="auto"/>
              </w:rPr>
              <w:t>Outside</w:t>
            </w:r>
          </w:p>
        </w:tc>
        <w:tc>
          <w:tcPr>
            <w:tcW w:w="0" w:type="dxa"/>
            <w:vAlign w:val="bottom"/>
          </w:tcPr>
          <w:p>
            <w:pPr>
              <w:spacing w:after="0"/>
              <w:rPr>
                <w:sz w:val="1"/>
                <w:szCs w:val="1"/>
                <w:color w:val="auto"/>
              </w:rPr>
            </w:pPr>
          </w:p>
        </w:tc>
      </w:tr>
      <w:tr>
        <w:trPr>
          <w:trHeight w:val="189"/>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8"/>
              </w:rPr>
              <w:t>Sales</w:t>
            </w:r>
          </w:p>
        </w:tc>
        <w:tc>
          <w:tcPr>
            <w:tcW w:w="200" w:type="dxa"/>
            <w:vAlign w:val="bottom"/>
          </w:tcPr>
          <w:p>
            <w:pPr>
              <w:spacing w:after="0"/>
              <w:rPr>
                <w:sz w:val="16"/>
                <w:szCs w:val="16"/>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Process Solutions</w:t>
            </w:r>
          </w:p>
        </w:tc>
        <w:tc>
          <w:tcPr>
            <w:tcW w:w="14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140" w:type="dxa"/>
            <w:vAlign w:val="bottom"/>
          </w:tcPr>
          <w:p>
            <w:pPr>
              <w:spacing w:after="0"/>
              <w:rPr>
                <w:sz w:val="16"/>
                <w:szCs w:val="16"/>
                <w:color w:val="auto"/>
              </w:rPr>
            </w:pPr>
          </w:p>
        </w:tc>
        <w:tc>
          <w:tcPr>
            <w:tcW w:w="102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Customers</w:t>
            </w:r>
          </w:p>
        </w:tc>
        <w:tc>
          <w:tcPr>
            <w:tcW w:w="0" w:type="dxa"/>
            <w:vAlign w:val="bottom"/>
          </w:tcPr>
          <w:p>
            <w:pPr>
              <w:spacing w:after="0"/>
              <w:rPr>
                <w:sz w:val="1"/>
                <w:szCs w:val="1"/>
                <w:color w:val="auto"/>
              </w:rPr>
            </w:pPr>
          </w:p>
        </w:tc>
      </w:tr>
      <w:tr>
        <w:trPr>
          <w:trHeight w:val="209"/>
        </w:trPr>
        <w:tc>
          <w:tcPr>
            <w:tcW w:w="48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righ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right w:val="single" w:sz="8" w:color="CFF0FC"/>
            </w:tcBorders>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righ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61,600</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(4,558 )</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(67 )</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56,975</w:t>
            </w:r>
          </w:p>
        </w:tc>
        <w:tc>
          <w:tcPr>
            <w:tcW w:w="0" w:type="dxa"/>
            <w:vAlign w:val="bottom"/>
          </w:tcPr>
          <w:p>
            <w:pPr>
              <w:spacing w:after="0"/>
              <w:rPr>
                <w:sz w:val="1"/>
                <w:szCs w:val="1"/>
                <w:color w:val="auto"/>
              </w:rPr>
            </w:pPr>
          </w:p>
        </w:tc>
      </w:tr>
      <w:tr>
        <w:trPr>
          <w:trHeight w:val="216"/>
        </w:trPr>
        <w:tc>
          <w:tcPr>
            <w:tcW w:w="482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240" w:type="dxa"/>
            <w:vAlign w:val="bottom"/>
            <w:shd w:val="clear" w:color="auto" w:fill="CFF0FC"/>
          </w:tcPr>
          <w:p>
            <w:pPr>
              <w:spacing w:after="0"/>
              <w:rPr>
                <w:sz w:val="18"/>
                <w:szCs w:val="18"/>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37,142</w:t>
            </w:r>
          </w:p>
        </w:tc>
        <w:tc>
          <w:tcPr>
            <w:tcW w:w="1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(1,625 )</w:t>
            </w:r>
          </w:p>
        </w:tc>
        <w:tc>
          <w:tcPr>
            <w:tcW w:w="160" w:type="dxa"/>
            <w:vAlign w:val="bottom"/>
            <w:shd w:val="clear" w:color="auto" w:fill="CFF0FC"/>
          </w:tcPr>
          <w:p>
            <w:pPr>
              <w:spacing w:after="0"/>
              <w:rPr>
                <w:sz w:val="18"/>
                <w:szCs w:val="18"/>
                <w:color w:val="auto"/>
              </w:rPr>
            </w:pPr>
          </w:p>
        </w:tc>
        <w:tc>
          <w:tcPr>
            <w:tcW w:w="11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(56 )</w:t>
            </w:r>
          </w:p>
        </w:tc>
        <w:tc>
          <w:tcPr>
            <w:tcW w:w="14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35,461</w:t>
            </w:r>
          </w:p>
        </w:tc>
        <w:tc>
          <w:tcPr>
            <w:tcW w:w="0" w:type="dxa"/>
            <w:vAlign w:val="bottom"/>
          </w:tcPr>
          <w:p>
            <w:pPr>
              <w:spacing w:after="0"/>
              <w:rPr>
                <w:sz w:val="1"/>
                <w:szCs w:val="1"/>
                <w:color w:val="auto"/>
              </w:rPr>
            </w:pPr>
          </w:p>
        </w:tc>
      </w:tr>
      <w:tr>
        <w:trPr>
          <w:trHeight w:val="20"/>
        </w:trPr>
        <w:tc>
          <w:tcPr>
            <w:tcW w:w="4820" w:type="dxa"/>
            <w:vAlign w:val="bottom"/>
            <w:tcBorders>
              <w:right w:val="single" w:sz="8" w:color="auto"/>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98,742</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(6,183 )</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(67 )</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92,436</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4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8"/>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Three months ended March 31, 2021</w:t>
            </w: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Less Inter-Segment Sales</w:t>
            </w:r>
          </w:p>
        </w:tc>
        <w:tc>
          <w:tcPr>
            <w:tcW w:w="140" w:type="dxa"/>
            <w:vAlign w:val="bottom"/>
          </w:tcPr>
          <w:p>
            <w:pPr>
              <w:spacing w:after="0"/>
              <w:rPr>
                <w:sz w:val="14"/>
                <w:szCs w:val="14"/>
                <w:color w:val="auto"/>
              </w:rPr>
            </w:pPr>
          </w:p>
        </w:tc>
        <w:tc>
          <w:tcPr>
            <w:tcW w:w="1020" w:type="dxa"/>
            <w:vAlign w:val="bottom"/>
            <w:vMerge w:val="restart"/>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9"/>
              </w:rPr>
              <w:t>Net Sales to</w:t>
            </w:r>
          </w:p>
        </w:tc>
        <w:tc>
          <w:tcPr>
            <w:tcW w:w="0" w:type="dxa"/>
            <w:vAlign w:val="bottom"/>
          </w:tcPr>
          <w:p>
            <w:pPr>
              <w:spacing w:after="0"/>
              <w:rPr>
                <w:sz w:val="1"/>
                <w:szCs w:val="1"/>
                <w:color w:val="auto"/>
              </w:rPr>
            </w:pPr>
          </w:p>
        </w:tc>
      </w:tr>
      <w:tr>
        <w:trPr>
          <w:trHeight w:val="144"/>
        </w:trPr>
        <w:tc>
          <w:tcPr>
            <w:tcW w:w="4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420"/>
              <w:spacing w:after="0" w:line="145" w:lineRule="exact"/>
              <w:rPr>
                <w:sz w:val="20"/>
                <w:szCs w:val="20"/>
                <w:color w:val="auto"/>
              </w:rPr>
            </w:pPr>
            <w:r>
              <w:rPr>
                <w:rFonts w:ascii="Times New Roman" w:cs="Times New Roman" w:eastAsia="Times New Roman" w:hAnsi="Times New Roman"/>
                <w:sz w:val="14"/>
                <w:szCs w:val="14"/>
                <w:b w:val="1"/>
                <w:bCs w:val="1"/>
                <w:color w:val="auto"/>
              </w:rPr>
              <w:t>Intra-</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3"/>
                <w:szCs w:val="13"/>
                <w:color w:val="auto"/>
              </w:rPr>
            </w:pPr>
          </w:p>
        </w:tc>
        <w:tc>
          <w:tcPr>
            <w:tcW w:w="1140" w:type="dxa"/>
            <w:vAlign w:val="bottom"/>
            <w:gridSpan w:val="2"/>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60" w:type="dxa"/>
            <w:vAlign w:val="bottom"/>
          </w:tcPr>
          <w:p>
            <w:pPr>
              <w:spacing w:after="0"/>
              <w:rPr>
                <w:sz w:val="13"/>
                <w:szCs w:val="13"/>
                <w:color w:val="auto"/>
              </w:rPr>
            </w:pPr>
          </w:p>
        </w:tc>
        <w:tc>
          <w:tcPr>
            <w:tcW w:w="1180" w:type="dxa"/>
            <w:vAlign w:val="bottom"/>
            <w:gridSpan w:val="2"/>
          </w:tcPr>
          <w:p>
            <w:pPr>
              <w:jc w:val="right"/>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Industrial</w:t>
            </w:r>
          </w:p>
        </w:tc>
        <w:tc>
          <w:tcPr>
            <w:tcW w:w="140" w:type="dxa"/>
            <w:vAlign w:val="bottom"/>
          </w:tcPr>
          <w:p>
            <w:pPr>
              <w:spacing w:after="0"/>
              <w:rPr>
                <w:sz w:val="13"/>
                <w:szCs w:val="13"/>
                <w:color w:val="auto"/>
              </w:rPr>
            </w:pPr>
          </w:p>
        </w:tc>
        <w:tc>
          <w:tcPr>
            <w:tcW w:w="114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Engineered</w:t>
            </w:r>
          </w:p>
        </w:tc>
        <w:tc>
          <w:tcPr>
            <w:tcW w:w="140" w:type="dxa"/>
            <w:vAlign w:val="bottom"/>
          </w:tcPr>
          <w:p>
            <w:pPr>
              <w:spacing w:after="0"/>
              <w:rPr>
                <w:sz w:val="13"/>
                <w:szCs w:val="13"/>
                <w:color w:val="auto"/>
              </w:rPr>
            </w:pPr>
          </w:p>
        </w:tc>
        <w:tc>
          <w:tcPr>
            <w:tcW w:w="1020" w:type="dxa"/>
            <w:vAlign w:val="bottom"/>
          </w:tcPr>
          <w:p>
            <w:pPr>
              <w:jc w:val="center"/>
              <w:ind w:right="99"/>
              <w:spacing w:after="0" w:line="160" w:lineRule="exact"/>
              <w:rPr>
                <w:sz w:val="20"/>
                <w:szCs w:val="20"/>
                <w:color w:val="auto"/>
              </w:rPr>
            </w:pPr>
            <w:r>
              <w:rPr>
                <w:rFonts w:ascii="Times New Roman" w:cs="Times New Roman" w:eastAsia="Times New Roman" w:hAnsi="Times New Roman"/>
                <w:sz w:val="14"/>
                <w:szCs w:val="14"/>
                <w:b w:val="1"/>
                <w:bCs w:val="1"/>
                <w:color w:val="auto"/>
              </w:rPr>
              <w:t>Outside</w:t>
            </w:r>
          </w:p>
        </w:tc>
        <w:tc>
          <w:tcPr>
            <w:tcW w:w="0" w:type="dxa"/>
            <w:vAlign w:val="bottom"/>
          </w:tcPr>
          <w:p>
            <w:pPr>
              <w:spacing w:after="0"/>
              <w:rPr>
                <w:sz w:val="1"/>
                <w:szCs w:val="1"/>
                <w:color w:val="auto"/>
              </w:rPr>
            </w:pPr>
          </w:p>
        </w:tc>
      </w:tr>
      <w:tr>
        <w:trPr>
          <w:trHeight w:val="189"/>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00" w:type="dxa"/>
            <w:vAlign w:val="bottom"/>
          </w:tcPr>
          <w:p>
            <w:pPr>
              <w:spacing w:after="0"/>
              <w:rPr>
                <w:sz w:val="16"/>
                <w:szCs w:val="16"/>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Process Solutions</w:t>
            </w:r>
          </w:p>
        </w:tc>
        <w:tc>
          <w:tcPr>
            <w:tcW w:w="140" w:type="dxa"/>
            <w:vAlign w:val="bottom"/>
          </w:tcPr>
          <w:p>
            <w:pPr>
              <w:spacing w:after="0"/>
              <w:rPr>
                <w:sz w:val="16"/>
                <w:szCs w:val="16"/>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140" w:type="dxa"/>
            <w:vAlign w:val="bottom"/>
          </w:tcPr>
          <w:p>
            <w:pPr>
              <w:spacing w:after="0"/>
              <w:rPr>
                <w:sz w:val="16"/>
                <w:szCs w:val="16"/>
                <w:color w:val="auto"/>
              </w:rPr>
            </w:pPr>
          </w:p>
        </w:tc>
        <w:tc>
          <w:tcPr>
            <w:tcW w:w="102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Customers</w:t>
            </w:r>
          </w:p>
        </w:tc>
        <w:tc>
          <w:tcPr>
            <w:tcW w:w="0" w:type="dxa"/>
            <w:vAlign w:val="bottom"/>
          </w:tcPr>
          <w:p>
            <w:pPr>
              <w:spacing w:after="0"/>
              <w:rPr>
                <w:sz w:val="1"/>
                <w:szCs w:val="1"/>
                <w:color w:val="auto"/>
              </w:rPr>
            </w:pPr>
          </w:p>
        </w:tc>
      </w:tr>
      <w:tr>
        <w:trPr>
          <w:trHeight w:val="209"/>
        </w:trPr>
        <w:tc>
          <w:tcPr>
            <w:tcW w:w="48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righ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right w:val="single" w:sz="8" w:color="CFF0FC"/>
            </w:tcBorders>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righ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44,476</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(2,374 )</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42,057</w:t>
            </w:r>
          </w:p>
        </w:tc>
        <w:tc>
          <w:tcPr>
            <w:tcW w:w="0" w:type="dxa"/>
            <w:vAlign w:val="bottom"/>
          </w:tcPr>
          <w:p>
            <w:pPr>
              <w:spacing w:after="0"/>
              <w:rPr>
                <w:sz w:val="1"/>
                <w:szCs w:val="1"/>
                <w:color w:val="auto"/>
              </w:rPr>
            </w:pPr>
          </w:p>
        </w:tc>
      </w:tr>
      <w:tr>
        <w:trPr>
          <w:trHeight w:val="216"/>
        </w:trPr>
        <w:tc>
          <w:tcPr>
            <w:tcW w:w="482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240" w:type="dxa"/>
            <w:vAlign w:val="bottom"/>
            <w:shd w:val="clear" w:color="auto" w:fill="CFF0FC"/>
          </w:tcPr>
          <w:p>
            <w:pPr>
              <w:spacing w:after="0"/>
              <w:rPr>
                <w:sz w:val="18"/>
                <w:szCs w:val="18"/>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32,933</w:t>
            </w:r>
          </w:p>
        </w:tc>
        <w:tc>
          <w:tcPr>
            <w:tcW w:w="1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(2,774 )</w:t>
            </w:r>
          </w:p>
        </w:tc>
        <w:tc>
          <w:tcPr>
            <w:tcW w:w="160" w:type="dxa"/>
            <w:vAlign w:val="bottom"/>
            <w:shd w:val="clear" w:color="auto" w:fill="CFF0FC"/>
          </w:tcPr>
          <w:p>
            <w:pPr>
              <w:spacing w:after="0"/>
              <w:rPr>
                <w:sz w:val="18"/>
                <w:szCs w:val="18"/>
                <w:color w:val="auto"/>
              </w:rPr>
            </w:pPr>
          </w:p>
        </w:tc>
        <w:tc>
          <w:tcPr>
            <w:tcW w:w="11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(324 )</w:t>
            </w:r>
          </w:p>
        </w:tc>
        <w:tc>
          <w:tcPr>
            <w:tcW w:w="14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29,835</w:t>
            </w:r>
          </w:p>
        </w:tc>
        <w:tc>
          <w:tcPr>
            <w:tcW w:w="0" w:type="dxa"/>
            <w:vAlign w:val="bottom"/>
          </w:tcPr>
          <w:p>
            <w:pPr>
              <w:spacing w:after="0"/>
              <w:rPr>
                <w:sz w:val="1"/>
                <w:szCs w:val="1"/>
                <w:color w:val="auto"/>
              </w:rPr>
            </w:pPr>
          </w:p>
        </w:tc>
      </w:tr>
      <w:tr>
        <w:trPr>
          <w:trHeight w:val="20"/>
        </w:trPr>
        <w:tc>
          <w:tcPr>
            <w:tcW w:w="482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77,409</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(5,148 )</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(324 )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71,892</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-1585595</wp:posOffset>
            </wp:positionV>
            <wp:extent cx="431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-1585595</wp:posOffset>
            </wp:positionV>
            <wp:extent cx="6032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-1585595</wp:posOffset>
            </wp:positionV>
            <wp:extent cx="5143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-1585595</wp:posOffset>
            </wp:positionV>
            <wp:extent cx="5143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-1585595</wp:posOffset>
            </wp:positionV>
            <wp:extent cx="342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-170815</wp:posOffset>
            </wp:positionV>
            <wp:extent cx="431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-170815</wp:posOffset>
            </wp:positionV>
            <wp:extent cx="603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-170815</wp:posOffset>
            </wp:positionV>
            <wp:extent cx="596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-170815</wp:posOffset>
            </wp:positionV>
            <wp:extent cx="514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-170815</wp:posOffset>
            </wp:positionV>
            <wp:extent cx="342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29" w:lineRule="exact"/>
        <w:rPr>
          <w:sz w:val="20"/>
          <w:szCs w:val="20"/>
          <w:color w:val="auto"/>
        </w:rPr>
      </w:pPr>
    </w:p>
    <w:p>
      <w:pPr>
        <w:ind w:left="520" w:right="240"/>
        <w:spacing w:after="0" w:line="242" w:lineRule="auto"/>
        <w:rPr>
          <w:sz w:val="20"/>
          <w:szCs w:val="20"/>
          <w:color w:val="auto"/>
        </w:rPr>
      </w:pPr>
      <w:r>
        <w:rPr>
          <w:rFonts w:ascii="Times New Roman" w:cs="Times New Roman" w:eastAsia="Times New Roman" w:hAnsi="Times New Roman"/>
          <w:sz w:val="18"/>
          <w:szCs w:val="18"/>
          <w:color w:val="auto"/>
        </w:rPr>
        <w:t>On May 3, 2022, the Company completed the acquisition of Compass Water Solutions, Inc. ("Compass"). Compass is a leading global supplier of membrane-based, industrial water and wastewater treatment systems that help customers achieve regulatory compliance of water discharge. This acquisition advances the Company further into industrial water technologies markets. The purchase price was approximately $12.5 million and financed using a combination of cash and debt, under the Company's existing Credit Facility. The impact of this acquisition is not included in our results for the three month period ended March 31, 2022. The initial accounting for the acquisition was not complete at the time the financial statements were issued due to the timing of the acquisition and the filing of this report on Form 10-Q. As a result, complete disclosures required under ASC 805, Business Combinations cannot be made at this time.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17" w:name="page18"/>
    <w:bookmarkEnd w:id="17"/>
    <w:p>
      <w:pPr>
        <w:ind w:left="3460"/>
        <w:spacing w:after="0"/>
        <w:rPr>
          <w:sz w:val="20"/>
          <w:szCs w:val="20"/>
          <w:color w:val="auto"/>
        </w:rPr>
      </w:pPr>
      <w:r>
        <w:rPr>
          <w:rFonts w:ascii="Times New Roman" w:cs="Times New Roman" w:eastAsia="Times New Roman" w:hAnsi="Times New Roman"/>
          <w:sz w:val="18"/>
          <w:szCs w:val="18"/>
          <w:u w:val="single" w:color="auto"/>
          <w:color w:val="auto"/>
        </w:rPr>
        <w:t>CECO ENVIRONMENTAL CORP. AND SUBSIDIARIES</w:t>
      </w:r>
    </w:p>
    <w:p>
      <w:pPr>
        <w:spacing w:after="0" w:line="2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u w:val="single" w:color="auto"/>
          <w:color w:val="auto"/>
        </w:rPr>
        <w:t>MANAGEMENT’S DISCUSSION AND ANALYSIS OF FINANCIAL CONDITION</w:t>
      </w: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16"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The Company’s Condensed Consolidated Statements of Income for the three-month periods ended March 31, 2022 and 2021 reflect the consolidated operations of the Company and its subsidiaries.</w:t>
      </w:r>
    </w:p>
    <w:p>
      <w:pPr>
        <w:spacing w:after="0" w:line="176"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CECO Environmental Corp. (“CECO,” “we,” “us,” or the “Company”) is a leading environmentally focused, diversified industrial company whose solutions protect people, the environment, and industrial equipment. We focus on engineering, designing, building, and installing systems that capture, clean and destroy air- and water-borne emissions from industrial facilities as well as fluid handling, gas and water separation, and filtration systems. CECO provides innovative technology and application expertise that helps companies grow their businesses with safe, clean, and more efficient solutions to protect our shared environment.</w:t>
      </w:r>
    </w:p>
    <w:p>
      <w:pPr>
        <w:spacing w:after="0" w:line="181"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CECO serves diverse industries globally by working to improve air and water quality, protect customer’s equipment, and provide customized engineered solutions in our customers’ mission critical applications. The industries CECO serves include power generation, petrochemical processing, general industrial, refining, midstream oil &amp; gas, electric vehicle production, poly silicon fabrication, battery recycling, and wastewater treatment, along with a wide range of other industries.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229"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A novel strain of coronavirus (“COVID-19”) surfaced in late 2019 and has spread around the world, including to the United States. In March 2020, the World Health Organization characterized COVID-19 as a pandemic. The COVID-19 pandemic persists in geographic areas in which we have operations, suppliers, customers and employees, and has had a significant impact on worldwide economic activity and on macroeconomic conditions and the end markets of our business.</w:t>
      </w:r>
    </w:p>
    <w:p>
      <w:pPr>
        <w:spacing w:after="0" w:line="177"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As a key supplier to critical infrastructure projects, CECO has worked to maintain ongoing operations. Within the United States, certain portions of our business have been designated an essential business, and we continue to operate our business in compliance with applicable state and local laws and are observing recommended Centers for Disease Control and Prevention guidelines to minimize the risk of spreading the COVID-19 virus including implementing, where possible, work-from-home procedures and additional sanitization efforts where facilities remain open to provide necessary services. This allows us to continue to serve our customers, however, the COVID-19 pandemic has also disrupted our international operations. Some of our facilities and our suppliers have experienced temporary disruptions as a result of the COVID-19 pandemic, and we continue to work closely with our global supply chain to proactively support customers during this critical time. We cannot predict whether our facilities will experience more significant disruptions in the future or the impact on our suppliers.</w:t>
      </w:r>
    </w:p>
    <w:p>
      <w:pPr>
        <w:spacing w:after="0" w:line="18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The senior management team meets regularly to review and assess the status of the Company's operations and the health and safety of its employees. The senior management team continues to monitor and manage the Company’s ability to operate effectively. We are currently experiencing shortages of raw materials and inflationary pressures for certain materials and labor. We expect these supply chain challenges and cost impacts to continue for the foreseeable future as markets recover. Although we have secured additional raw materials from existing and alternate suppliers and have taken other mitigating actions to mitigate supply disruptions, we cannot guarantee that we can continue to do so in the future. In this event, our business, results and financial condition could be adversely affected. Although vaccines are available in various countries where we operate, health concern risks remain and notwithstanding the Company's continued efforts, it is possible the COVID-19 pandemic could further impact our operations and the operations of our suppliers and venders, particularly in light of newly emerging variant strains of the virus becoming more dominant and the potential resumption of high levels of infection and hospitalization. We cannot predict whether any of our manufacturing, operations or suppliers will be disrupted by these events, or how long such disruptions would last. COVID-19 has had and may have further negative impacts on our operations, customers and supply chain despite the preventative and precautionary measures being taken.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Use of Non-GAAP Financial Measures</w:t>
      </w:r>
    </w:p>
    <w:p>
      <w:pPr>
        <w:spacing w:after="0" w:line="2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are prepared in accordance with accounting principles generally accepted in the United States (“GAAP”). These GAAP financial statements include certain charges the Company believes are not indicative of its core ongoing operational performance.</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8" w:name="page19"/>
    <w:bookmarkEnd w:id="18"/>
    <w:p>
      <w:pPr>
        <w:ind w:right="20"/>
        <w:spacing w:after="0" w:line="250" w:lineRule="auto"/>
        <w:rPr>
          <w:sz w:val="20"/>
          <w:szCs w:val="20"/>
          <w:color w:val="auto"/>
        </w:rPr>
      </w:pPr>
      <w:r>
        <w:rPr>
          <w:rFonts w:ascii="Times New Roman" w:cs="Times New Roman" w:eastAsia="Times New Roman" w:hAnsi="Times New Roman"/>
          <w:sz w:val="18"/>
          <w:szCs w:val="18"/>
          <w:color w:val="auto"/>
        </w:rPr>
        <w:t>As a result, the Company provides financial information in this Management’s Discussion and Analysis that was not prepared in accordance with GAAP and should not be considered as an alternative to the information prepared in accordance with GAAP. The Company provides this supplemental non-GAAP financial information because the Company’s management utilizes it to evaluate its ongoing financial performance and the Company believes it provides greater transparency to investors as supplemental information to its GAAP results.</w:t>
      </w:r>
    </w:p>
    <w:p>
      <w:pPr>
        <w:spacing w:after="0" w:line="191"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8"/>
          <w:szCs w:val="18"/>
          <w:color w:val="auto"/>
        </w:rPr>
        <w:t>The Company has provided the non-GAAP financial measures of non-GAAP operating income and non-GAAP operating margin as a result of items that the Company believes are not indicative of its ongoing operations. These include transactions associated with the Company’s acquisitions, divestitures and the items described below in “Consolidated Results.” The Company believes that evaluation of its financial performance compared with prior and future periods can be enhanced by a presentation of results that exclude the impact of these items. The Company has incurred substantial expense and income associated with the acquisition and divestitures. While the Company cannot predict the exact timing or amounts of such charges, it does expect to treat the financial impact of these transactions as special items in its future presentation of non-GAAP results.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Condensed Consolidated Statements of Income for the three-month periods ended March 31, 2022 and 2021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40" w:type="dxa"/>
            <w:vAlign w:val="bottom"/>
            <w:gridSpan w:val="5"/>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r>
      <w:tr>
        <w:trPr>
          <w:trHeight w:val="209"/>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34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20" w:type="dxa"/>
            <w:vAlign w:val="bottom"/>
            <w:shd w:val="clear" w:color="auto" w:fill="CFF0FC"/>
          </w:tcPr>
          <w:p>
            <w:pPr>
              <w:spacing w:after="0"/>
              <w:rPr>
                <w:sz w:val="18"/>
                <w:szCs w:val="18"/>
                <w:color w:val="auto"/>
              </w:rPr>
            </w:pPr>
          </w:p>
        </w:tc>
      </w:tr>
      <w:tr>
        <w:trPr>
          <w:trHeight w:val="216"/>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3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20" w:type="dxa"/>
            <w:vAlign w:val="bottom"/>
          </w:tcPr>
          <w:p>
            <w:pPr>
              <w:spacing w:after="0"/>
              <w:rPr>
                <w:sz w:val="18"/>
                <w:szCs w:val="18"/>
                <w:color w:val="auto"/>
              </w:rPr>
            </w:pPr>
          </w:p>
        </w:tc>
      </w:tr>
      <w:tr>
        <w:trPr>
          <w:trHeight w:val="210"/>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34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20" w:type="dxa"/>
            <w:vAlign w:val="bottom"/>
            <w:shd w:val="clear" w:color="auto" w:fill="CFF0FC"/>
          </w:tcPr>
          <w:p>
            <w:pPr>
              <w:spacing w:after="0"/>
              <w:rPr>
                <w:sz w:val="18"/>
                <w:szCs w:val="18"/>
                <w:color w:val="auto"/>
              </w:rPr>
            </w:pPr>
          </w:p>
        </w:tc>
      </w:tr>
      <w:tr>
        <w:trPr>
          <w:trHeight w:val="216"/>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Percent of sales</w:t>
            </w:r>
          </w:p>
        </w:tc>
        <w:tc>
          <w:tcPr>
            <w:tcW w:w="42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28.6 %</w:t>
            </w:r>
          </w:p>
        </w:tc>
        <w:tc>
          <w:tcPr>
            <w:tcW w:w="42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33.9 %</w:t>
            </w:r>
          </w:p>
        </w:tc>
      </w:tr>
      <w:tr>
        <w:trPr>
          <w:trHeight w:val="216"/>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3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20" w:type="dxa"/>
            <w:vAlign w:val="bottom"/>
            <w:shd w:val="clear" w:color="auto" w:fill="CFF0FC"/>
          </w:tcPr>
          <w:p>
            <w:pPr>
              <w:spacing w:after="0"/>
              <w:rPr>
                <w:sz w:val="18"/>
                <w:szCs w:val="18"/>
                <w:color w:val="auto"/>
              </w:rPr>
            </w:pPr>
          </w:p>
        </w:tc>
      </w:tr>
      <w:tr>
        <w:trPr>
          <w:trHeight w:val="216"/>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Percent of sales</w:t>
            </w:r>
          </w:p>
        </w:tc>
        <w:tc>
          <w:tcPr>
            <w:tcW w:w="42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20.1 %</w:t>
            </w:r>
          </w:p>
        </w:tc>
        <w:tc>
          <w:tcPr>
            <w:tcW w:w="42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27.0 %</w:t>
            </w:r>
          </w:p>
        </w:tc>
      </w:tr>
      <w:tr>
        <w:trPr>
          <w:trHeight w:val="216"/>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and earnout expenses</w:t>
            </w: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FF0FC"/>
          </w:tcPr>
          <w:p>
            <w:pPr>
              <w:spacing w:after="0"/>
              <w:rPr>
                <w:sz w:val="18"/>
                <w:szCs w:val="18"/>
                <w:color w:val="auto"/>
              </w:rPr>
            </w:pPr>
          </w:p>
        </w:tc>
      </w:tr>
      <w:tr>
        <w:trPr>
          <w:trHeight w:val="216"/>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expenses</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4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bottom w:val="single" w:sz="8" w:color="CFF0FC"/>
            </w:tcBorders>
            <w:shd w:val="clear" w:color="auto" w:fill="CFF0FC"/>
          </w:tcPr>
          <w:p>
            <w:pPr>
              <w:spacing w:after="0"/>
              <w:rPr>
                <w:sz w:val="18"/>
                <w:szCs w:val="18"/>
                <w:color w:val="auto"/>
              </w:rPr>
            </w:pPr>
          </w:p>
        </w:tc>
      </w:tr>
      <w:tr>
        <w:trPr>
          <w:trHeight w:val="21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4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8"/>
                <w:szCs w:val="18"/>
                <w:color w:val="auto"/>
              </w:rPr>
            </w:pPr>
          </w:p>
        </w:tc>
      </w:tr>
      <w:tr>
        <w:trPr>
          <w:trHeight w:val="216"/>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4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5.6 %</w:t>
            </w:r>
          </w:p>
        </w:tc>
        <w:tc>
          <w:tcPr>
            <w:tcW w:w="4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4.3 %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-281940</wp:posOffset>
            </wp:positionV>
            <wp:extent cx="13716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-281940</wp:posOffset>
            </wp:positionV>
            <wp:extent cx="13716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7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 compare operating performance between the three-month period ended March 31, 2022 and 2021, the Company has adjusted GAAP operating income to exclude (1) amortization of intangible assets, earnout and retention expenses, (2) restructuring expenses primarily relating to severance, facility exits, and associated legal expenses, and (3) acquisition and integration expenses, which include legal, accounting, and other expenses.</w:t>
      </w:r>
    </w:p>
    <w:p>
      <w:pPr>
        <w:spacing w:after="0" w:line="16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reconciliation of GAAP operating income and GAAP operating margin to non-GAAP operating income and non-GAAP operating margin, and GAAP net income to non-GAAP net income.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6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4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r>
      <w:tr>
        <w:trPr>
          <w:trHeight w:val="209"/>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 as reported in accordance with GAAP</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w w:val="97"/>
              </w:rPr>
              <w:t>5.2</w:t>
            </w: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FF0FC"/>
          </w:tcPr>
          <w:p>
            <w:pPr>
              <w:spacing w:after="0"/>
              <w:rPr>
                <w:sz w:val="18"/>
                <w:szCs w:val="18"/>
                <w:color w:val="auto"/>
              </w:rPr>
            </w:pPr>
          </w:p>
        </w:tc>
      </w:tr>
      <w:tr>
        <w:trPr>
          <w:trHeight w:val="216"/>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Operating margin in accordance with GAAP</w:t>
            </w:r>
          </w:p>
        </w:tc>
        <w:tc>
          <w:tcPr>
            <w:tcW w:w="440" w:type="dxa"/>
            <w:vAlign w:val="bottom"/>
          </w:tcPr>
          <w:p>
            <w:pPr>
              <w:spacing w:after="0"/>
              <w:rPr>
                <w:sz w:val="18"/>
                <w:szCs w:val="18"/>
                <w:color w:val="auto"/>
              </w:rPr>
            </w:pPr>
          </w:p>
        </w:tc>
        <w:tc>
          <w:tcPr>
            <w:tcW w:w="1660" w:type="dxa"/>
            <w:vAlign w:val="bottom"/>
            <w:gridSpan w:val="2"/>
          </w:tcPr>
          <w:p>
            <w:pPr>
              <w:ind w:left="1120"/>
              <w:spacing w:after="0"/>
              <w:rPr>
                <w:sz w:val="20"/>
                <w:szCs w:val="20"/>
                <w:color w:val="auto"/>
              </w:rPr>
            </w:pPr>
            <w:r>
              <w:rPr>
                <w:rFonts w:ascii="Times New Roman" w:cs="Times New Roman" w:eastAsia="Times New Roman" w:hAnsi="Times New Roman"/>
                <w:sz w:val="18"/>
                <w:szCs w:val="18"/>
                <w:i w:val="1"/>
                <w:iCs w:val="1"/>
                <w:color w:val="auto"/>
              </w:rPr>
              <w:t>5.6 %</w:t>
            </w:r>
          </w:p>
        </w:tc>
        <w:tc>
          <w:tcPr>
            <w:tcW w:w="4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4.3 %</w:t>
            </w:r>
          </w:p>
        </w:tc>
      </w:tr>
      <w:tr>
        <w:trPr>
          <w:trHeight w:val="216"/>
        </w:trPr>
        <w:tc>
          <w:tcPr>
            <w:tcW w:w="7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and earnout expenses</w:t>
            </w:r>
          </w:p>
        </w:tc>
        <w:tc>
          <w:tcPr>
            <w:tcW w:w="440" w:type="dxa"/>
            <w:vAlign w:val="bottom"/>
            <w:shd w:val="clear" w:color="auto" w:fill="CFF0FC"/>
          </w:tcPr>
          <w:p>
            <w:pPr>
              <w:spacing w:after="0"/>
              <w:rPr>
                <w:sz w:val="18"/>
                <w:szCs w:val="18"/>
                <w:color w:val="auto"/>
              </w:rPr>
            </w:pPr>
          </w:p>
        </w:tc>
        <w:tc>
          <w:tcPr>
            <w:tcW w:w="136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w w:val="97"/>
              </w:rPr>
              <w:t>1.5</w:t>
            </w: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FF0FC"/>
          </w:tcPr>
          <w:p>
            <w:pPr>
              <w:spacing w:after="0"/>
              <w:rPr>
                <w:sz w:val="18"/>
                <w:szCs w:val="18"/>
                <w:color w:val="auto"/>
              </w:rPr>
            </w:pPr>
          </w:p>
        </w:tc>
      </w:tr>
      <w:tr>
        <w:trPr>
          <w:trHeight w:val="216"/>
        </w:trPr>
        <w:tc>
          <w:tcPr>
            <w:tcW w:w="7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Restructuring expenses</w:t>
            </w:r>
          </w:p>
        </w:tc>
        <w:tc>
          <w:tcPr>
            <w:tcW w:w="440" w:type="dxa"/>
            <w:vAlign w:val="bottom"/>
          </w:tcPr>
          <w:p>
            <w:pPr>
              <w:spacing w:after="0"/>
              <w:rPr>
                <w:sz w:val="18"/>
                <w:szCs w:val="18"/>
                <w:color w:val="auto"/>
              </w:rPr>
            </w:pPr>
          </w:p>
        </w:tc>
        <w:tc>
          <w:tcPr>
            <w:tcW w:w="136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7"/>
              </w:rPr>
              <w:t>0.1</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4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w w:val="97"/>
              </w:rPr>
              <w:t>1.0</w:t>
            </w:r>
          </w:p>
        </w:tc>
        <w:tc>
          <w:tcPr>
            <w:tcW w:w="3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bottom w:val="single" w:sz="8" w:color="CFF0FC"/>
            </w:tcBorders>
            <w:shd w:val="clear" w:color="auto" w:fill="CFF0FC"/>
          </w:tcPr>
          <w:p>
            <w:pPr>
              <w:spacing w:after="0"/>
              <w:rPr>
                <w:sz w:val="18"/>
                <w:szCs w:val="18"/>
                <w:color w:val="auto"/>
              </w:rPr>
            </w:pPr>
          </w:p>
        </w:tc>
      </w:tr>
      <w:tr>
        <w:trPr>
          <w:trHeight w:val="21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operating income</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7"/>
              </w:rPr>
              <w:t>7.8</w:t>
            </w:r>
          </w:p>
        </w:tc>
        <w:tc>
          <w:tcPr>
            <w:tcW w:w="30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18"/>
                <w:szCs w:val="18"/>
                <w:color w:val="auto"/>
              </w:rPr>
            </w:pPr>
          </w:p>
        </w:tc>
      </w:tr>
      <w:tr>
        <w:trPr>
          <w:trHeight w:val="216"/>
        </w:trPr>
        <w:tc>
          <w:tcPr>
            <w:tcW w:w="7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Non-GAAP operating margin</w:t>
            </w:r>
          </w:p>
        </w:tc>
        <w:tc>
          <w:tcPr>
            <w:tcW w:w="44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8"/>
                <w:szCs w:val="18"/>
                <w:i w:val="1"/>
                <w:iCs w:val="1"/>
                <w:color w:val="auto"/>
              </w:rPr>
              <w:t>8.4 %</w:t>
            </w:r>
          </w:p>
        </w:tc>
        <w:tc>
          <w:tcPr>
            <w:tcW w:w="4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7.0 %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-281940</wp:posOffset>
            </wp:positionV>
            <wp:extent cx="1371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-281940</wp:posOffset>
            </wp:positionV>
            <wp:extent cx="1371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7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Net sales for the first quarter of 2022 increased $20.5 million, or 28.5%, to $92.4 million compared with $71.9 million in the first quarter of 2021. The increase is primarily attributable to increases of $8.9 million in our emissions management technologies, $3.8 million in our fluid bed cyclone technologies, $3.2 million in our custom thermal acoustics technologies, $2.3 million in our damper and expansion products and $2.1 million in our industrial air control technologies.</w:t>
      </w:r>
    </w:p>
    <w:p>
      <w:pPr>
        <w:spacing w:after="0" w:line="177"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Gross profit increased $2.0 million, or 8.2%, to $26.4 million in the first quarter of 2022 compared with $24.4 million in the first quarter of 2021. Gross profit as a percentage of sales decreased to 28.6% in the first quarter of 2022 compared with 33.9% in the first quarter of 2021 due to inflation, supply chain challenges, and lower project margin mix partially offset by price increases. We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9" w:name="page20"/>
    <w:bookmarkEnd w:id="19"/>
    <w:p>
      <w:pPr>
        <w:ind w:right="240"/>
        <w:spacing w:after="0" w:line="270" w:lineRule="auto"/>
        <w:rPr>
          <w:sz w:val="20"/>
          <w:szCs w:val="20"/>
          <w:color w:val="auto"/>
        </w:rPr>
      </w:pPr>
      <w:r>
        <w:rPr>
          <w:rFonts w:ascii="Times New Roman" w:cs="Times New Roman" w:eastAsia="Times New Roman" w:hAnsi="Times New Roman"/>
          <w:sz w:val="17"/>
          <w:szCs w:val="17"/>
          <w:color w:val="auto"/>
        </w:rPr>
        <w:t>continue to experience shortages of raw materials and inflationary pressures for certain materials and labor. We expect these supply chain challenges and cost impacts to continue for the foreseeable future as markets recover. Although we have secured additional raw materials from existing and alternate suppliers and have taken other mitigating actions to mitigate supply disruptions, such as implementing price increases and applying material surcharges. We cannot guarantee that we can continue to do so in the future. In this event, our business, results and financial condition could be adversely affected.</w:t>
      </w:r>
    </w:p>
    <w:p>
      <w:pPr>
        <w:spacing w:after="0" w:line="17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Orders booked were $160.9 million during the first quarter of 2022 as compared with $92.1 million during the first quarter of 2021. The increase is primarily attributable to increases of $27.2 million in our emission management technologies, $23.0 million in industrial air control technologies, and $22.4 million in our custom thermal acoustics technologies, partially offset by a decrease of $10.7 million in our fluid bed cyclone technologies.</w:t>
      </w:r>
    </w:p>
    <w:p>
      <w:pPr>
        <w:spacing w:after="0" w:line="19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Selling and administrative expenses were $18.6 million for the first quarter of 2022 compared with $19.4 million for the first quarter of 2021. The decrease is primarily attributed to a $2.5 million favorable insurance settlement, partially offset by inflationary increases for wages and services. Selling and administrative expenses as a percentage of sales were 20.1% in 2022 compared with 27.1% in 2021.</w:t>
      </w:r>
    </w:p>
    <w:p>
      <w:pPr>
        <w:spacing w:after="0" w:line="17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Amortization and earnout expenses was $1.5 million for the first quarter of 2022 compared with $1.8 million for the first quarter of 2021. The decrease in expense is attributable $0.3 million decrease in definite lived asset amortization.</w:t>
      </w:r>
    </w:p>
    <w:p>
      <w:pPr>
        <w:spacing w:after="0" w:line="148"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Operating income increased $2.1 million to $5.2 million in the first quarter of 2022 compared with $3.1 million during the first quarter of 2021. The increase is attributable to the factors described above.</w:t>
      </w:r>
    </w:p>
    <w:p>
      <w:pPr>
        <w:spacing w:after="0" w:line="176"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Non-GAAP operating income was $7.8 million for the first quarter of 2022 compared with $5.0 million for the first quarter of 2021. The increase in non-GAAP operating income is primarily attributable to the increase in sales and lower selling and administrative expenses. Non-GAAP operating income as a percentage of sales increased to 8.4% for the first quarter of 2022 from 7.0% for the first quarter of 2021.</w:t>
      </w:r>
    </w:p>
    <w:p>
      <w:pPr>
        <w:spacing w:after="0" w:line="190"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Interest expense increased to $0.8 million in the first quarter of 2022 compared with $0.7 million in the first quarter of 2021. The increase in interest expense is primarily due to higher debt balance for the three-month period in 2022 compared to 2021.</w:t>
      </w:r>
    </w:p>
    <w:p>
      <w:pPr>
        <w:spacing w:after="0" w:line="16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Income tax expense was $1.1 million and $0.6 million for the first quarter of 2022 and 2021. The effective income tax rate for the first quarter of 2022 was 28.3% compared with 29.8% for first quarter of 2021. The effective income tax rate for the first quarter of 2022 is higher than the United States federal statutory rate. Our effective tax rate is affected by certain other permanent differences, including state income taxes, non-deductible incentive stock-based compensation, and differences in tax rates among the jurisdictions in which we operate.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Segments</w:t>
      </w:r>
    </w:p>
    <w:p>
      <w:pPr>
        <w:spacing w:after="0" w:line="216"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The Company’s operations are organized and reviewed by management along its product lines or end market that the segment serves and are presented in two reportable segments. The results of the segments are reviewed through “Income from operations” on the unaudited Condensed Consolidated Statements of Income.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540" w:type="dxa"/>
            <w:vAlign w:val="bottom"/>
            <w:gridSpan w:val="7"/>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2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09"/>
        </w:trPr>
        <w:tc>
          <w:tcPr>
            <w:tcW w:w="72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(less intra- and inter-segment sales)</w:t>
            </w: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56,975</w:t>
            </w:r>
          </w:p>
        </w:tc>
        <w:tc>
          <w:tcPr>
            <w:tcW w:w="220" w:type="dxa"/>
            <w:vAlign w:val="bottom"/>
          </w:tcPr>
          <w:p>
            <w:pPr>
              <w:spacing w:after="0"/>
              <w:rPr>
                <w:sz w:val="18"/>
                <w:szCs w:val="18"/>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42,057</w:t>
            </w:r>
          </w:p>
        </w:tc>
        <w:tc>
          <w:tcPr>
            <w:tcW w:w="60" w:type="dxa"/>
            <w:vAlign w:val="bottom"/>
          </w:tcPr>
          <w:p>
            <w:pPr>
              <w:spacing w:after="0"/>
              <w:rPr>
                <w:sz w:val="18"/>
                <w:szCs w:val="18"/>
                <w:color w:val="auto"/>
              </w:rPr>
            </w:pPr>
          </w:p>
        </w:tc>
      </w:tr>
      <w:tr>
        <w:trPr>
          <w:trHeight w:val="216"/>
        </w:trPr>
        <w:tc>
          <w:tcPr>
            <w:tcW w:w="72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4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35,461</w:t>
            </w:r>
          </w:p>
        </w:tc>
        <w:tc>
          <w:tcPr>
            <w:tcW w:w="2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29,835</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10"/>
        </w:trPr>
        <w:tc>
          <w:tcPr>
            <w:tcW w:w="72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92,436</w:t>
            </w:r>
          </w:p>
        </w:tc>
        <w:tc>
          <w:tcPr>
            <w:tcW w:w="220" w:type="dxa"/>
            <w:vAlign w:val="bottom"/>
          </w:tcPr>
          <w:p>
            <w:pPr>
              <w:spacing w:after="0"/>
              <w:rPr>
                <w:sz w:val="18"/>
                <w:szCs w:val="18"/>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71,892</w:t>
            </w:r>
          </w:p>
        </w:tc>
        <w:tc>
          <w:tcPr>
            <w:tcW w:w="60" w:type="dxa"/>
            <w:vAlign w:val="bottom"/>
          </w:tcPr>
          <w:p>
            <w:pPr>
              <w:spacing w:after="0"/>
              <w:rPr>
                <w:sz w:val="18"/>
                <w:szCs w:val="18"/>
                <w:color w:val="auto"/>
              </w:rPr>
            </w:pPr>
          </w:p>
        </w:tc>
      </w:tr>
      <w:tr>
        <w:trPr>
          <w:trHeight w:val="20"/>
        </w:trPr>
        <w:tc>
          <w:tcPr>
            <w:tcW w:w="7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7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5"/>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 w:type="dxa"/>
            <w:vAlign w:val="bottom"/>
            <w:gridSpan w:val="2"/>
          </w:tcPr>
          <w:p>
            <w:pPr>
              <w:spacing w:after="0"/>
              <w:rPr>
                <w:sz w:val="24"/>
                <w:szCs w:val="24"/>
                <w:color w:val="auto"/>
              </w:rPr>
            </w:pPr>
          </w:p>
        </w:tc>
      </w:tr>
      <w:tr>
        <w:trPr>
          <w:trHeight w:val="169"/>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20" w:type="dxa"/>
            <w:vAlign w:val="bottom"/>
          </w:tcPr>
          <w:p>
            <w:pPr>
              <w:spacing w:after="0"/>
              <w:rPr>
                <w:sz w:val="14"/>
                <w:szCs w:val="14"/>
                <w:color w:val="auto"/>
              </w:rPr>
            </w:pPr>
          </w:p>
        </w:tc>
        <w:tc>
          <w:tcPr>
            <w:tcW w:w="1400" w:type="dxa"/>
            <w:vAlign w:val="bottom"/>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7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2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72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4"/>
                <w:szCs w:val="24"/>
                <w:color w:val="auto"/>
                <w:vertAlign w:val="superscript"/>
              </w:rPr>
              <w:t>(1)</w:t>
            </w:r>
          </w:p>
        </w:tc>
        <w:tc>
          <w:tcPr>
            <w:tcW w:w="420" w:type="dxa"/>
            <w:vAlign w:val="bottom"/>
          </w:tcPr>
          <w:p>
            <w:pPr>
              <w:spacing w:after="0"/>
              <w:rPr>
                <w:sz w:val="18"/>
                <w:szCs w:val="18"/>
                <w:color w:val="auto"/>
              </w:rPr>
            </w:pPr>
          </w:p>
        </w:tc>
        <w:tc>
          <w:tcPr>
            <w:tcW w:w="1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(5,407 )</w:t>
            </w:r>
          </w:p>
        </w:tc>
        <w:tc>
          <w:tcPr>
            <w:tcW w:w="44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(6,938 )</w:t>
            </w:r>
          </w:p>
        </w:tc>
      </w:tr>
      <w:tr>
        <w:trPr>
          <w:trHeight w:val="250"/>
        </w:trPr>
        <w:tc>
          <w:tcPr>
            <w:tcW w:w="7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from operations</w:t>
            </w:r>
          </w:p>
        </w:tc>
        <w:tc>
          <w:tcPr>
            <w:tcW w:w="20" w:type="dxa"/>
            <w:vAlign w:val="bottom"/>
            <w:tcBorders>
              <w:top w:val="single" w:sz="8" w:color="auto"/>
              <w:bottom w:val="single" w:sz="8" w:color="auto"/>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5,202</w:t>
            </w:r>
          </w:p>
        </w:tc>
        <w:tc>
          <w:tcPr>
            <w:tcW w:w="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-1319530</wp:posOffset>
            </wp:positionV>
            <wp:extent cx="431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-1319530</wp:posOffset>
            </wp:positionV>
            <wp:extent cx="431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-24765</wp:posOffset>
            </wp:positionV>
            <wp:extent cx="514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514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left="5540" w:right="980" w:hanging="5532"/>
        <w:spacing w:after="0" w:line="516" w:lineRule="auto"/>
        <w:tabs>
          <w:tab w:leader="none" w:pos="37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corporate compensation, professional services, information technology and other general and administrative corporate expenses.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u w:val="single" w:color="auto"/>
          <w:color w:val="auto"/>
        </w:rPr>
        <w:t>Engineered Systems Segment</w:t>
      </w:r>
    </w:p>
    <w:p>
      <w:pPr>
        <w:spacing w:after="0" w:line="2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Our Engineered Systems segment net sales increased $14.9 million, or 26.1%, to $57.0 million in the first quarter of 2022 compared with $42.1 million in the first quarter of 2021. The increase is primarily attributable to $8.9 million in our emissions management technologies, $3.8 million in our fluid bed cyclone technologies, $3.2 million in our custom thermal acoustics technologies, and $2.3 million in our damper and expansion products, partially offset by a decrease of $4.1 million in our separation and filtration technologies.</w:t>
      </w:r>
    </w:p>
    <w:p>
      <w:pPr>
        <w:spacing w:after="0" w:line="177"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Operating income for the Engineered Systems segment increased $0.3 million to $6.5 million in the first quarter of 2022 compared with $6.2 million in the first quarter of 2021. The change is primarily attributable to higher gross margin related to increased sales of $14.9 million, partially offset by increases of $1.0 million in acquisition and integration expenses related to the General Rubber, LLC acquisition.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Industrial Process Solutions Segment</w:t>
      </w:r>
    </w:p>
    <w:p>
      <w:pPr>
        <w:spacing w:after="0" w:line="21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Industrial Process Solutions segment net sales increased $5.7 million, or 16.1%, to $35.5 million in the first quarter of 2022 compared with $29.8 million in the first quarter of 2021. The increase is primarily attributable to $2.8 million in our duct fabrication products and services, and $2.1 million in our industrial air control technologies.</w:t>
      </w:r>
    </w:p>
    <w:p>
      <w:pPr>
        <w:spacing w:after="0" w:line="16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Operating income for the Industrial Process Solutions segment increased $0.3 million to $4.1 million in the first quarter of 2022 compared with $3.8 million in the first quarter of 2021. The increase is primarily attributable to higher gross margin related to increased sales of $5.7 million, partially offset by $0.4 million increase in selling and administrative expenses.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Corporate and Other Segment</w:t>
      </w:r>
    </w:p>
    <w:p>
      <w:pPr>
        <w:spacing w:after="0" w:line="21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Operating expense for the Corporate and Other segment decreased $1.5 million to $5.4 million in the first quarter of 2022 compared with $6.9 million in same period in 2021. The decrease is primarily attributed to a $2.5 million favorable insurance settlement, partially offset by inflationary increases for wages and services.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color w:val="auto"/>
        </w:rPr>
        <w:t>Backlog (i.e., unfulfilled or remaining performance obligations) represents the sales we expect to recognize for our products and services for which control has not yet transferred to the customer. Backlog increased to $283.2 million as of March 31, 2022 from $213.9 million as of December 31, 2021. Our customers may have the right to cancel a given order. Historically cancellations have not been common. Backlog is adjusted on a quarterly basis for adjustments in foreign currency exchange rates. Substantially all backlog is expected to be delivered within 12 to 18 months. Backlog is not defined by United States generally accepted accounting principles (“GAAP”) and our methodology for calculating backlog may not be consistent with methodologies used by other companies.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For information regarding recent accounting pronouncements, see Note 2 to the unaudited condensed consolidated financial statements within Item 1 of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When we undertake large jobs, our working capital objective is to make these projects self-funding. We work to achieve this by obtaining initial down payments, progress billing contracts, when possible, utilizing extended payment terms from material suppliers, and paying sub-contractors after payment from our customers, which is an industry practice. Our investment in net working capital is funded by cash flow from operations and by our revolving line of credit under our Credit Facility (as defined below).</w:t>
      </w:r>
    </w:p>
    <w:p>
      <w:pPr>
        <w:spacing w:after="0" w:line="17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At March 31, 2022, the Company had working capital of $79.2 million, compared with $72.3 million at December 31, 2021. The ratio of current assets to current liabilities was 1.60 to 1.00 on March 31, 2022, as compared with a ratio of 1.62 to 1.00 at December 31, 2021.</w:t>
      </w:r>
    </w:p>
    <w:p>
      <w:pPr>
        <w:spacing w:after="0" w:line="176"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At March 31, 2022 and December 31, 2021, cash and cash equivalents totaled $28.4 million and $29.9 million, respectively. As of March 31, 2022 and December 31, 2021, $22.4 million and $22.6 million, respectively, of our cash and cash equivalents were held by certain non-United States subsidiaries, as well as being denominated in foreign currencies.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8"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Debt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260" w:type="dxa"/>
            <w:vAlign w:val="bottom"/>
          </w:tcPr>
          <w:p>
            <w:pPr>
              <w:spacing w:after="0"/>
              <w:rPr>
                <w:sz w:val="16"/>
                <w:szCs w:val="16"/>
                <w:color w:val="auto"/>
              </w:rPr>
            </w:pPr>
          </w:p>
        </w:tc>
        <w:tc>
          <w:tcPr>
            <w:tcW w:w="18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20" w:type="dxa"/>
            <w:vAlign w:val="bottom"/>
          </w:tcPr>
          <w:p>
            <w:pPr>
              <w:spacing w:after="0"/>
              <w:rPr>
                <w:sz w:val="16"/>
                <w:szCs w:val="16"/>
                <w:color w:val="auto"/>
              </w:rPr>
            </w:pPr>
          </w:p>
        </w:tc>
        <w:tc>
          <w:tcPr>
            <w:tcW w:w="16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64"/>
        </w:trPr>
        <w:tc>
          <w:tcPr>
            <w:tcW w:w="7280" w:type="dxa"/>
            <w:vAlign w:val="bottom"/>
            <w:shd w:val="clear" w:color="auto" w:fill="CFF0FC"/>
          </w:tcPr>
          <w:p>
            <w:pPr>
              <w:ind w:left="20"/>
              <w:spacing w:after="0" w:line="164" w:lineRule="exact"/>
              <w:rPr>
                <w:sz w:val="20"/>
                <w:szCs w:val="20"/>
                <w:color w:val="auto"/>
              </w:rPr>
            </w:pPr>
            <w:r>
              <w:rPr>
                <w:rFonts w:ascii="Times New Roman" w:cs="Times New Roman" w:eastAsia="Times New Roman" w:hAnsi="Times New Roman"/>
                <w:sz w:val="18"/>
                <w:szCs w:val="18"/>
                <w:color w:val="auto"/>
              </w:rPr>
              <w:t>Outstanding borrowings under the Credit Facility (defined below).</w:t>
            </w:r>
          </w:p>
        </w:tc>
        <w:tc>
          <w:tcPr>
            <w:tcW w:w="260" w:type="dxa"/>
            <w:vAlign w:val="bottom"/>
            <w:tcBorders>
              <w:top w:val="single" w:sz="8" w:color="auto"/>
            </w:tcBorders>
            <w:shd w:val="clear" w:color="auto" w:fill="CFF0FC"/>
          </w:tcPr>
          <w:p>
            <w:pPr>
              <w:spacing w:after="0"/>
              <w:rPr>
                <w:sz w:val="14"/>
                <w:szCs w:val="14"/>
                <w:color w:val="auto"/>
              </w:rPr>
            </w:pPr>
          </w:p>
        </w:tc>
        <w:tc>
          <w:tcPr>
            <w:tcW w:w="156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160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89"/>
        </w:trPr>
        <w:tc>
          <w:tcPr>
            <w:tcW w:w="728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Term loan payable in quarterly principal installments of $0.6 million through September 2023,</w:t>
            </w:r>
          </w:p>
        </w:tc>
        <w:tc>
          <w:tcPr>
            <w:tcW w:w="26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728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and $0.8 million through September 2025 and $1.1 million thereafter with balance due upon</w:t>
            </w:r>
          </w:p>
        </w:tc>
        <w:tc>
          <w:tcPr>
            <w:tcW w:w="26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34"/>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maturity in September 2026.</w:t>
            </w:r>
          </w:p>
        </w:tc>
        <w:tc>
          <w:tcPr>
            <w:tcW w:w="26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16"/>
        </w:trPr>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Term loan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42,961</w:t>
            </w:r>
          </w:p>
        </w:tc>
        <w:tc>
          <w:tcPr>
            <w:tcW w:w="24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43,511</w:t>
            </w:r>
          </w:p>
        </w:tc>
        <w:tc>
          <w:tcPr>
            <w:tcW w:w="80" w:type="dxa"/>
            <w:vAlign w:val="bottom"/>
          </w:tcPr>
          <w:p>
            <w:pPr>
              <w:spacing w:after="0"/>
              <w:rPr>
                <w:sz w:val="18"/>
                <w:szCs w:val="18"/>
                <w:color w:val="auto"/>
              </w:rPr>
            </w:pPr>
          </w:p>
        </w:tc>
      </w:tr>
      <w:tr>
        <w:trPr>
          <w:trHeight w:val="216"/>
        </w:trPr>
        <w:tc>
          <w:tcPr>
            <w:tcW w:w="72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 Revolving Credit Loan</w:t>
            </w:r>
          </w:p>
        </w:tc>
        <w:tc>
          <w:tcPr>
            <w:tcW w:w="26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32,600</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7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outstanding borrowings under the Credit Facility</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75,561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65,511</w:t>
            </w:r>
          </w:p>
        </w:tc>
        <w:tc>
          <w:tcPr>
            <w:tcW w:w="80" w:type="dxa"/>
            <w:vAlign w:val="bottom"/>
          </w:tcPr>
          <w:p>
            <w:pPr>
              <w:spacing w:after="0"/>
              <w:rPr>
                <w:sz w:val="18"/>
                <w:szCs w:val="18"/>
                <w:color w:val="auto"/>
              </w:rPr>
            </w:pPr>
          </w:p>
        </w:tc>
      </w:tr>
      <w:tr>
        <w:trPr>
          <w:trHeight w:val="216"/>
        </w:trPr>
        <w:tc>
          <w:tcPr>
            <w:tcW w:w="7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Outstanding borrowings under the joint venture term debt</w:t>
            </w: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26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(1,767 )</w:t>
            </w:r>
          </w:p>
        </w:tc>
        <w:tc>
          <w:tcPr>
            <w:tcW w:w="22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(1,731 )</w:t>
            </w:r>
          </w:p>
        </w:tc>
      </w:tr>
      <w:tr>
        <w:trPr>
          <w:trHeight w:val="209"/>
        </w:trPr>
        <w:tc>
          <w:tcPr>
            <w:tcW w:w="7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outstanding borrowings</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84,704</w:t>
            </w: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63,780</w:t>
            </w:r>
          </w:p>
        </w:tc>
        <w:tc>
          <w:tcPr>
            <w:tcW w:w="80" w:type="dxa"/>
            <w:vAlign w:val="bottom"/>
            <w:shd w:val="clear" w:color="auto" w:fill="CFF0FC"/>
          </w:tcPr>
          <w:p>
            <w:pPr>
              <w:spacing w:after="0"/>
              <w:rPr>
                <w:sz w:val="18"/>
                <w:szCs w:val="18"/>
                <w:color w:val="auto"/>
              </w:rPr>
            </w:pPr>
          </w:p>
        </w:tc>
      </w:tr>
      <w:tr>
        <w:trPr>
          <w:trHeight w:val="216"/>
        </w:trPr>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current portion</w:t>
            </w:r>
          </w:p>
        </w:tc>
        <w:tc>
          <w:tcPr>
            <w:tcW w:w="26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(3,303 )</w:t>
            </w:r>
          </w:p>
        </w:tc>
        <w:tc>
          <w:tcPr>
            <w:tcW w:w="22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(2,203 )</w:t>
            </w:r>
          </w:p>
        </w:tc>
      </w:tr>
      <w:tr>
        <w:trPr>
          <w:trHeight w:val="250"/>
        </w:trPr>
        <w:tc>
          <w:tcPr>
            <w:tcW w:w="72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debt, less current portion</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81,401</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-873760</wp:posOffset>
            </wp:positionV>
            <wp:extent cx="514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-873760</wp:posOffset>
            </wp:positionV>
            <wp:extent cx="514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-24765</wp:posOffset>
            </wp:positionV>
            <wp:extent cx="514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514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Facility</w:t>
      </w:r>
    </w:p>
    <w:p>
      <w:pPr>
        <w:spacing w:after="0" w:line="21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Company’s outstanding borrowings in the United States consist of senior secured term loan and a senior secured revolver loan with sub-facilities for letters of credit, swing-line loans and multi-currency loans (collectively, the “Credit Facility”). As of March 31, 2022 and December 31, 2021, the Company was in compliance with all related financial and other restrictive covenants under the Credit Facility.</w:t>
      </w:r>
    </w:p>
    <w:p>
      <w:pPr>
        <w:spacing w:after="0" w:line="16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See Note 7 to the unaudited condensed consolidated financial statements within Item 1 of this Quarterly Report on Form 10-Q for further information on the Company’s debt facilities.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unused credit availability under our existing Credit Facility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Pr>
          <w:p>
            <w:pPr>
              <w:spacing w:after="0"/>
              <w:rPr>
                <w:sz w:val="16"/>
                <w:szCs w:val="16"/>
                <w:color w:val="auto"/>
              </w:rPr>
            </w:pPr>
          </w:p>
        </w:tc>
        <w:tc>
          <w:tcPr>
            <w:tcW w:w="1800" w:type="dxa"/>
            <w:vAlign w:val="bottom"/>
            <w:gridSpan w:val="2"/>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20" w:type="dxa"/>
            <w:vAlign w:val="bottom"/>
          </w:tcPr>
          <w:p>
            <w:pPr>
              <w:spacing w:after="0"/>
              <w:rPr>
                <w:sz w:val="16"/>
                <w:szCs w:val="16"/>
                <w:color w:val="auto"/>
              </w:rPr>
            </w:pPr>
          </w:p>
        </w:tc>
        <w:tc>
          <w:tcPr>
            <w:tcW w:w="16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10"/>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Credit Facility, revolving loans</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Draw down</w:t>
            </w:r>
          </w:p>
        </w:tc>
        <w:tc>
          <w:tcPr>
            <w:tcW w:w="260" w:type="dxa"/>
            <w:vAlign w:val="bottom"/>
          </w:tcPr>
          <w:p>
            <w:pPr>
              <w:spacing w:after="0"/>
              <w:rPr>
                <w:sz w:val="18"/>
                <w:szCs w:val="18"/>
                <w:color w:val="auto"/>
              </w:rPr>
            </w:pPr>
          </w:p>
        </w:tc>
        <w:tc>
          <w:tcPr>
            <w:tcW w:w="18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(32.6 )</w:t>
            </w:r>
          </w:p>
        </w:tc>
        <w:tc>
          <w:tcPr>
            <w:tcW w:w="22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(22.0 )</w:t>
            </w:r>
          </w:p>
        </w:tc>
      </w:tr>
      <w:tr>
        <w:trPr>
          <w:trHeight w:val="216"/>
        </w:trPr>
        <w:tc>
          <w:tcPr>
            <w:tcW w:w="7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Letters of credit open</w:t>
            </w:r>
          </w:p>
        </w:tc>
        <w:tc>
          <w:tcPr>
            <w:tcW w:w="26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(17.3 )</w:t>
            </w:r>
          </w:p>
        </w:tc>
        <w:tc>
          <w:tcPr>
            <w:tcW w:w="2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(14.5 )</w:t>
            </w:r>
          </w:p>
        </w:tc>
      </w:tr>
      <w:tr>
        <w:trPr>
          <w:trHeight w:val="210"/>
        </w:trPr>
        <w:tc>
          <w:tcPr>
            <w:tcW w:w="72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unused credit availability</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26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Borders>
              <w:top w:val="single" w:sz="8" w:color="CFF0FC"/>
            </w:tcBorders>
          </w:tcPr>
          <w:p>
            <w:pPr>
              <w:spacing w:after="0"/>
              <w:rPr>
                <w:sz w:val="18"/>
                <w:szCs w:val="18"/>
                <w:color w:val="auto"/>
              </w:rPr>
            </w:pPr>
          </w:p>
        </w:tc>
      </w:tr>
      <w:tr>
        <w:trPr>
          <w:trHeight w:val="20"/>
        </w:trPr>
        <w:tc>
          <w:tcPr>
            <w:tcW w:w="7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28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Amount available based on borrowing limitations</w:t>
            </w: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59.9</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45.9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305"/>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Overview of Cash Flows and Liquidity</w:t>
            </w: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5"/>
        </w:trPr>
        <w:tc>
          <w:tcPr>
            <w:tcW w:w="7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0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 xml:space="preserve">For the </w:t>
            </w:r>
            <w:r>
              <w:rPr>
                <w:rFonts w:ascii="Calibri" w:cs="Calibri" w:eastAsia="Calibri" w:hAnsi="Calibri"/>
                <w:sz w:val="14"/>
                <w:szCs w:val="14"/>
                <w:b w:val="1"/>
                <w:bCs w:val="1"/>
                <w:color w:val="auto"/>
              </w:rPr>
              <w:t>three</w:t>
            </w:r>
            <w:r>
              <w:rPr>
                <w:rFonts w:ascii="Times New Roman" w:cs="Times New Roman" w:eastAsia="Times New Roman" w:hAnsi="Times New Roman"/>
                <w:sz w:val="14"/>
                <w:szCs w:val="14"/>
                <w:b w:val="1"/>
                <w:bCs w:val="1"/>
                <w:color w:val="auto"/>
              </w:rPr>
              <w:t xml:space="preserve"> months ended </w:t>
            </w:r>
            <w:r>
              <w:rPr>
                <w:rFonts w:ascii="Calibri" w:cs="Calibri" w:eastAsia="Calibri" w:hAnsi="Calibri"/>
                <w:sz w:val="14"/>
                <w:szCs w:val="14"/>
                <w:b w:val="1"/>
                <w:bCs w:val="1"/>
                <w:color w:val="auto"/>
              </w:rPr>
              <w:t>March 31</w:t>
            </w:r>
            <w:r>
              <w:rPr>
                <w:rFonts w:ascii="Times New Roman" w:cs="Times New Roman" w:eastAsia="Times New Roman" w:hAnsi="Times New Roman"/>
                <w:sz w:val="14"/>
                <w:szCs w:val="14"/>
                <w:b w:val="1"/>
                <w:bCs w:val="1"/>
                <w:color w:val="auto"/>
              </w:rPr>
              <w:t>,</w:t>
            </w:r>
          </w:p>
        </w:tc>
      </w:tr>
      <w:tr>
        <w:trPr>
          <w:trHeight w:val="175"/>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Borders>
              <w:top w:val="single" w:sz="8" w:color="auto"/>
              <w:bottom w:val="single" w:sz="8" w:color="auto"/>
            </w:tcBorders>
          </w:tcPr>
          <w:p>
            <w:pPr>
              <w:spacing w:after="0"/>
              <w:rPr>
                <w:sz w:val="15"/>
                <w:szCs w:val="15"/>
                <w:color w:val="auto"/>
              </w:rPr>
            </w:pPr>
          </w:p>
        </w:tc>
        <w:tc>
          <w:tcPr>
            <w:tcW w:w="1540" w:type="dxa"/>
            <w:vAlign w:val="bottom"/>
            <w:tcBorders>
              <w:top w:val="single" w:sz="8" w:color="auto"/>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580" w:type="dxa"/>
            <w:vAlign w:val="bottom"/>
            <w:tcBorders>
              <w:top w:val="single" w:sz="8" w:color="auto"/>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210"/>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9,908</w:t>
            </w: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60" w:type="dxa"/>
            <w:vAlign w:val="bottom"/>
          </w:tcPr>
          <w:p>
            <w:pPr>
              <w:spacing w:after="0"/>
              <w:rPr>
                <w:sz w:val="18"/>
                <w:szCs w:val="18"/>
                <w:color w:val="auto"/>
              </w:rPr>
            </w:pPr>
          </w:p>
        </w:tc>
        <w:tc>
          <w:tcPr>
            <w:tcW w:w="18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(20,241 )</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r>
      <w:tr>
        <w:trPr>
          <w:trHeight w:val="216"/>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19,859</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(4,155 )</w:t>
            </w:r>
          </w:p>
        </w:tc>
      </w:tr>
      <w:tr>
        <w:trPr>
          <w:trHeight w:val="216"/>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60" w:type="dxa"/>
            <w:vAlign w:val="bottom"/>
          </w:tcPr>
          <w:p>
            <w:pPr>
              <w:spacing w:after="0"/>
              <w:rPr>
                <w:sz w:val="18"/>
                <w:szCs w:val="18"/>
                <w:color w:val="auto"/>
              </w:rPr>
            </w:pPr>
          </w:p>
        </w:tc>
        <w:tc>
          <w:tcPr>
            <w:tcW w:w="18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(1,111 )</w:t>
            </w:r>
          </w:p>
        </w:tc>
        <w:tc>
          <w:tcPr>
            <w:tcW w:w="22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(356 )</w:t>
            </w:r>
          </w:p>
        </w:tc>
      </w:tr>
      <w:tr>
        <w:trPr>
          <w:trHeight w:val="250"/>
        </w:trPr>
        <w:tc>
          <w:tcPr>
            <w:tcW w:w="7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-1636395</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-1636395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-1327785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-1310640</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-1327785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-24765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21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For the three-months ended March 31, 2022, $0.2 million of cash was used by operating activities compared with $9.9 million provided by operating activities in the prior year period, a $10.1 million decrease. Cash flow from operating activities in the first quarter of 2022 had an unfavorable impact year-over-year primarily due to certain decreases in net working capital, partially offset by increases in net earnings.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the three-months ended March 31, 2022, net cash used in investing activities was $20.2 million, which was primarily attributed to the net cash paid for the acquisition of GRC of $19.6 million and $0.7 million in acquisitions of property and equipment, compared with $42,000 in the prior year period.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the three-months ended March 31, 2022, net cash provided by financing activities was $19.9 million, which was primarily attributable to net borrowings on term debt and revolving credit lines of $21.0 million, which was used to fund the acquisition of General Rubber, LLC and related acquisition and integration expenses. This was partially offset by a noncontrolling interest distribution of $0.9 million.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16"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8"/>
          <w:szCs w:val="18"/>
          <w:color w:val="auto"/>
        </w:rPr>
        <w:t>Management’s discussion and analysis of the Company’s financial condition and results of operations are based upon the Company’s condensed consolidated financial statements. The preparation of these financial statements requires management to make estimates and assumptions about future events. These estimates and the underlying assumptions affect the amounts of assets and liabilities reported, disclosures about contingent assets and liabilities and reported amounts of revenues and expenses. Such estimates include revenue recognition, the valuation of trade receivables, inventories, goodwill, intangible assets, other long-lived assets, legal contingencies, guarantee obligations and assumptions used in the calculation of income taxes, assumptions used in business combination accounting and related balances, and pension and post-retirement benefits, among others. These estimates and assumptions are based on management’s best estimates and judgment. Management evaluates its estimates and assumptions on an ongoing basis using historical experience and other factors. Management monitors economic conditions and other factors and will adjust such estimates and assumptions when facts and circumstances dictate. As future events and their effects cannot be determined with precision, actual results could differ significantly from these estimates.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16"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within the meaning of the Securities Act of 1933 and the Securities Exchange Act of 1934 which are intended to be covered by the safe harbor for “forward-looking statements” provided by the Private Securities Litigation Reform Act of 1995. Any statements contained in this Quarterly Report on Form 10-Q, other than statements of historical fact, including statements about management’s beliefs and expectations, are forward-looking statements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Item 1A. Risk Factors” of the Company’s Annual Report on Form 10-K for the fiscal year ended December 31, 2021, and include, but are not limited to:</w:t>
      </w:r>
    </w:p>
    <w:p>
      <w:pPr>
        <w:spacing w:after="0" w:line="191" w:lineRule="exact"/>
        <w:rPr>
          <w:sz w:val="20"/>
          <w:szCs w:val="20"/>
          <w:color w:val="auto"/>
        </w:rPr>
      </w:pPr>
    </w:p>
    <w:p>
      <w:pPr>
        <w:ind w:left="1020" w:hanging="503"/>
        <w:spacing w:after="0"/>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sensitivity of our business to economic and financial market conditions generally and economic conditions in CECO’s service areas;</w:t>
      </w:r>
    </w:p>
    <w:p>
      <w:pPr>
        <w:spacing w:after="0" w:line="10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fixed price contracts and the risks associated therewith, including actual costs exceeding estimates and method of accounting for revenue;</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growth on CECO’s infrastructure, resources and existing sales;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expand operations in both new and existing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contract delay or cancellation as a result of on-going or worsening supply chain challenges;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arising from faulty services or products that could result in significant professional or product liability, warranty or other claims;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developments with respect to any litigation or investigation;</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timely completion or performance standards that could result in higher cost and reduced profits or, in some cases, losses on projects;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fluctuations in prices for manufactured components and raw materials, including as a result of tariffs and surcharges;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 amount of debt incurred in connection with our strategic transactions and our ability to repay or refinance it or incur additional debt in the future;</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federal, state or local government regulations;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3" w:name="page24"/>
    <w:bookmarkEnd w:id="23"/>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repurchase shares of our common stock and the amounts and timing of repurchases, if 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political conditions generally;</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realize the expected benefits of our restructuring program;</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acquired businesses and realize the synergies from strategic transactions; and</w:t>
      </w:r>
    </w:p>
    <w:p>
      <w:pPr>
        <w:spacing w:after="0" w:line="117" w:lineRule="exact"/>
        <w:rPr>
          <w:rFonts w:ascii="Times New Roman" w:cs="Times New Roman" w:eastAsia="Times New Roman" w:hAnsi="Times New Roman"/>
          <w:sz w:val="18"/>
          <w:szCs w:val="18"/>
          <w:color w:val="auto"/>
        </w:rPr>
      </w:pPr>
    </w:p>
    <w:p>
      <w:pPr>
        <w:jc w:val="both"/>
        <w:ind w:left="1020" w:right="460" w:hanging="503"/>
        <w:spacing w:after="0" w:line="250"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unpredictability and severity of catastrophic events, including cybersecurity threats, acts of terrorism or outbreak of war or hostilities or public health crises, such as uncertainties regarding the extent and duration of impacts of matters associated with the novel coronavirus (“COVID-19”), as well as management’s response to any of the aforementioned factors.</w:t>
      </w:r>
    </w:p>
    <w:p>
      <w:pPr>
        <w:spacing w:after="0" w:line="190"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color w:val="auto"/>
        </w:rPr>
        <w:t>Many of these risks are beyond management’s ability to control or predict. Should one or more of these risks or uncertainties materialize, or should any related assumptions prove incorrect, actual results may vary in material aspects from those currently anticipated. Investors are cautioned not to place undue reliance on such forward-looking statements as they speak only to our views as of the date the statement is made. Furthermore, the forward-looking statements speak only as of the date they are made. Except as required under the federal securities laws or the rules and regulations of the Securities and Exchange Commission (the “SEC”), we undertake no obligation to update or review any forward-looking statements, whether as a result of new information, future events or otherwise.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We are exposed to certain market risks, primarily changes in interest rates. Market risk is the potential loss arising from adverse changes in market rates and prices, such as foreign currency exchange and interest rates. For the Company, these exposures are primarily related to changes in interest rates. We do not currently hold any derivatives or other financial instruments purely for trading or speculative purposes.</w:t>
      </w:r>
    </w:p>
    <w:p>
      <w:pPr>
        <w:spacing w:after="0" w:line="190"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carrying value of the Company’s total long-term debt and current maturities of long-term debt at March 31, 2022 was $86.5 million. Market risk was estimated as the potential decrease (increase) in future earnings and cash flows resulting from a hypothetical 10% increase (decrease) in the Company’s estimated weighted average borrowing rate at March 31, 2022. Most of the interest on the Company’s debt is indexed to SOFR market rates. The estimated annual impact of a hypothetical 10% change in the estimated weighted average borrowing rate at March 31, 2022 is $0.3 million.</w:t>
      </w:r>
    </w:p>
    <w:p>
      <w:pPr>
        <w:spacing w:after="0" w:line="177"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The Company has wholly-owned subsidiaries in several countries, including in the Netherlands, Canada, the People’s Republic of China, Mexico, United Kingdom, Singapore, Shanghai, Pune India, Dubai and Chile. In the past, we have not hedged our foreign currency exposure. Future changes in exchange rates may positively or negatively impact our revenues, operating expenses and earnings. Since most of our foreign sales are denominated in the local currency, we do not anticipate that exposure to foreign currency rate fluctuations will be material in 2022.</w:t>
      </w:r>
    </w:p>
    <w:p>
      <w:pPr>
        <w:spacing w:after="0" w:line="17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in Rule 13a-15(e) of the Securities Exchange Act of 1934 (the “Exchange Act”)) that are designed to ensure that information required to be disclosed by the Company in reports that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w:t>
      </w:r>
    </w:p>
    <w:p>
      <w:pPr>
        <w:spacing w:after="0" w:line="18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evaluated the effectiveness of the Company’s disclosure controls and procedures as of the end of the period covered by this Quarterly Report on Form 10-Q. Based on that evaluation, our management, including our Chief Executive Officer and Chief Financial Officer, concluded that our disclosure controls and procedures were effective as of March 31, 2022. Management believes that the condensed consolidated financial statements included in this report fairly present in all material respects the Company’s financial condition, results of operations and cash flows for each of the periods presented in this report.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There were no changes in the Company’s internal control over financial reporting (as defined in Rule 13a-15(f) of the Exchange Act) during the first three months ended March 31, 2022 that materially affected, or are reasonably likely to materially affect, the Company’s internal control over financial reporting.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229"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Because of the inherent limitations in a cost-effective control system, misstatements due to error or fraud may occur and not be detected. The Company conducts periodic evaluations of its internal controls to enhance, where necessary, its procedures and controls.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16" w:lineRule="exact"/>
        <w:rPr>
          <w:sz w:val="20"/>
          <w:szCs w:val="20"/>
          <w:color w:val="auto"/>
        </w:rPr>
      </w:pPr>
    </w:p>
    <w:p>
      <w:pPr>
        <w:ind w:right="720"/>
        <w:spacing w:after="0" w:line="266" w:lineRule="auto"/>
        <w:rPr>
          <w:sz w:val="20"/>
          <w:szCs w:val="20"/>
          <w:color w:val="auto"/>
        </w:rPr>
      </w:pPr>
      <w:r>
        <w:rPr>
          <w:rFonts w:ascii="Times New Roman" w:cs="Times New Roman" w:eastAsia="Times New Roman" w:hAnsi="Times New Roman"/>
          <w:sz w:val="18"/>
          <w:szCs w:val="18"/>
          <w:color w:val="auto"/>
        </w:rPr>
        <w:t>See Note 13 to the unaudited Condensed Consolidated Financial Statements contained in Part I, Item 1 of this Quarterly Report on Form 10-Q for information regarding legal proceedings in which we are involved.</w:t>
      </w:r>
    </w:p>
    <w:p>
      <w:pPr>
        <w:spacing w:after="0" w:line="17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1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the Company’s risk factors that we disclosed in “Part I – Item 1A. Risk Factors” of our Annual Report on Form 10-K for the year ended December 31,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31.1</w:t>
            </w:r>
          </w:p>
        </w:tc>
        <w:tc>
          <w:tcPr>
            <w:tcW w:w="44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Rule 13(a)/15d-14(a) Certification by Chief Executive Officer</w:t>
            </w:r>
          </w:p>
        </w:tc>
        <w:tc>
          <w:tcPr>
            <w:tcW w:w="5700" w:type="dxa"/>
            <w:vAlign w:val="bottom"/>
            <w:gridSpan w:val="3"/>
          </w:tcPr>
          <w:p>
            <w:pPr>
              <w:spacing w:after="0"/>
              <w:rPr>
                <w:sz w:val="17"/>
                <w:szCs w:val="17"/>
                <w:color w:val="auto"/>
              </w:rPr>
            </w:pPr>
          </w:p>
        </w:tc>
      </w:tr>
      <w:tr>
        <w:trPr>
          <w:trHeight w:val="331"/>
        </w:trPr>
        <w:tc>
          <w:tcPr>
            <w:tcW w:w="1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31.2</w:t>
            </w: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Rule 13(a)/15d-14(a) Certification by Chief Financial Officer</w:t>
            </w:r>
          </w:p>
        </w:tc>
      </w:tr>
      <w:tr>
        <w:trPr>
          <w:trHeight w:val="20"/>
        </w:trPr>
        <w:tc>
          <w:tcPr>
            <w:tcW w:w="1060" w:type="dxa"/>
            <w:vAlign w:val="bottom"/>
          </w:tcPr>
          <w:p>
            <w:pPr>
              <w:spacing w:after="0" w:line="20" w:lineRule="exact"/>
              <w:rPr>
                <w:sz w:val="1"/>
                <w:szCs w:val="1"/>
                <w:color w:val="auto"/>
              </w:rPr>
            </w:pPr>
          </w:p>
        </w:tc>
        <w:tc>
          <w:tcPr>
            <w:tcW w:w="44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r>
      <w:tr>
        <w:trPr>
          <w:trHeight w:val="331"/>
        </w:trPr>
        <w:tc>
          <w:tcPr>
            <w:tcW w:w="1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32.1</w:t>
            </w:r>
          </w:p>
        </w:tc>
        <w:tc>
          <w:tcPr>
            <w:tcW w:w="45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(18 U.S. Section 1350)</w:t>
            </w:r>
          </w:p>
        </w:tc>
        <w:tc>
          <w:tcPr>
            <w:tcW w:w="5600" w:type="dxa"/>
            <w:vAlign w:val="bottom"/>
          </w:tcPr>
          <w:p>
            <w:pPr>
              <w:spacing w:after="0"/>
              <w:rPr>
                <w:sz w:val="24"/>
                <w:szCs w:val="24"/>
                <w:color w:val="auto"/>
              </w:rPr>
            </w:pPr>
          </w:p>
        </w:tc>
      </w:tr>
      <w:tr>
        <w:trPr>
          <w:trHeight w:val="331"/>
        </w:trPr>
        <w:tc>
          <w:tcPr>
            <w:tcW w:w="1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32.2</w:t>
            </w: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(18 U.S. Section 1350)</w:t>
            </w:r>
          </w:p>
        </w:tc>
      </w:tr>
      <w:tr>
        <w:trPr>
          <w:trHeight w:val="588"/>
        </w:trPr>
        <w:tc>
          <w:tcPr>
            <w:tcW w:w="1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101.INS</w:t>
            </w:r>
          </w:p>
        </w:tc>
        <w:tc>
          <w:tcPr>
            <w:tcW w:w="45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5660" w:type="dxa"/>
            <w:vAlign w:val="bottom"/>
            <w:gridSpan w:val="2"/>
          </w:tcPr>
          <w:p>
            <w:pPr>
              <w:spacing w:after="0"/>
              <w:rPr>
                <w:sz w:val="24"/>
                <w:szCs w:val="24"/>
                <w:color w:val="auto"/>
              </w:rPr>
            </w:pPr>
          </w:p>
        </w:tc>
      </w:tr>
      <w:tr>
        <w:trPr>
          <w:trHeight w:val="351"/>
        </w:trPr>
        <w:tc>
          <w:tcPr>
            <w:tcW w:w="1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101.SCH</w:t>
            </w: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51"/>
        </w:trPr>
        <w:tc>
          <w:tcPr>
            <w:tcW w:w="1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101.CAL</w:t>
            </w: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51"/>
        </w:trPr>
        <w:tc>
          <w:tcPr>
            <w:tcW w:w="1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101.DEF</w:t>
            </w: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51"/>
        </w:trPr>
        <w:tc>
          <w:tcPr>
            <w:tcW w:w="1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101.LAB</w:t>
            </w: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51"/>
        </w:trPr>
        <w:tc>
          <w:tcPr>
            <w:tcW w:w="1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101.PRE</w:t>
            </w: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635"/>
        </w:trPr>
        <w:tc>
          <w:tcPr>
            <w:tcW w:w="1060" w:type="dxa"/>
            <w:vAlign w:val="bottom"/>
          </w:tcPr>
          <w:p>
            <w:pPr>
              <w:spacing w:after="0"/>
              <w:rPr>
                <w:sz w:val="24"/>
                <w:szCs w:val="24"/>
                <w:color w:val="auto"/>
              </w:rPr>
            </w:pPr>
          </w:p>
        </w:tc>
        <w:tc>
          <w:tcPr>
            <w:tcW w:w="10180" w:type="dxa"/>
            <w:vAlign w:val="bottom"/>
            <w:gridSpan w:val="5"/>
          </w:tcPr>
          <w:p>
            <w:pPr>
              <w:ind w:left="4480"/>
              <w:spacing w:after="0"/>
              <w:rPr>
                <w:sz w:val="20"/>
                <w:szCs w:val="20"/>
                <w:color w:val="auto"/>
              </w:rPr>
            </w:pPr>
            <w:r>
              <w:rPr>
                <w:rFonts w:ascii="Times New Roman" w:cs="Times New Roman" w:eastAsia="Times New Roman" w:hAnsi="Times New Roman"/>
                <w:sz w:val="18"/>
                <w:szCs w:val="18"/>
                <w:color w:val="auto"/>
              </w:rPr>
              <w:t>26</w:t>
            </w:r>
          </w:p>
        </w:tc>
      </w:tr>
      <w:tr>
        <w:trPr>
          <w:trHeight w:val="115"/>
        </w:trPr>
        <w:tc>
          <w:tcPr>
            <w:tcW w:w="1060" w:type="dxa"/>
            <w:vAlign w:val="bottom"/>
            <w:tcBorders>
              <w:bottom w:val="single" w:sz="8" w:color="9A9A9A"/>
            </w:tcBorders>
          </w:tcPr>
          <w:p>
            <w:pPr>
              <w:spacing w:after="0"/>
              <w:rPr>
                <w:sz w:val="10"/>
                <w:szCs w:val="10"/>
                <w:color w:val="auto"/>
              </w:rPr>
            </w:pPr>
          </w:p>
        </w:tc>
        <w:tc>
          <w:tcPr>
            <w:tcW w:w="4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6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7" w:name="page28"/>
    <w:bookmarkEnd w:id="2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CECO Environmental Corp.</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220"/>
        <w:spacing w:after="0"/>
        <w:tabs>
          <w:tab w:leader="none" w:pos="8680" w:val="left"/>
          <w:tab w:leader="none" w:pos="9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17145</wp:posOffset>
            </wp:positionV>
            <wp:extent cx="236601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1" w:lineRule="exact"/>
        <w:rPr>
          <w:sz w:val="20"/>
          <w:szCs w:val="20"/>
          <w:color w:val="auto"/>
        </w:rPr>
      </w:pPr>
    </w:p>
    <w:p>
      <w:pPr>
        <w:jc w:val="center"/>
        <w:ind w:left="7480"/>
        <w:spacing w:after="0"/>
        <w:rPr>
          <w:sz w:val="20"/>
          <w:szCs w:val="20"/>
          <w:color w:val="auto"/>
        </w:rPr>
      </w:pPr>
      <w:r>
        <w:rPr>
          <w:rFonts w:ascii="Times New Roman" w:cs="Times New Roman" w:eastAsia="Times New Roman" w:hAnsi="Times New Roman"/>
          <w:sz w:val="18"/>
          <w:szCs w:val="18"/>
          <w:b w:val="1"/>
          <w:bCs w:val="1"/>
          <w:color w:val="auto"/>
        </w:rPr>
        <w:t>Matthew Eckl</w:t>
      </w:r>
    </w:p>
    <w:p>
      <w:pPr>
        <w:spacing w:after="0" w:line="23" w:lineRule="exact"/>
        <w:rPr>
          <w:sz w:val="20"/>
          <w:szCs w:val="20"/>
          <w:color w:val="auto"/>
        </w:rPr>
      </w:pPr>
    </w:p>
    <w:p>
      <w:pPr>
        <w:jc w:val="center"/>
        <w:ind w:left="74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2022</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Todd Gleason, certify that:</w:t>
      </w:r>
    </w:p>
    <w:p>
      <w:pPr>
        <w:spacing w:after="0" w:line="104"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CECO Environmental Corp.;</w:t>
      </w:r>
    </w:p>
    <w:p>
      <w:pPr>
        <w:spacing w:after="0" w:line="117" w:lineRule="exact"/>
        <w:rPr>
          <w:rFonts w:ascii="Times New Roman" w:cs="Times New Roman" w:eastAsia="Times New Roman" w:hAnsi="Times New Roman"/>
          <w:sz w:val="18"/>
          <w:szCs w:val="18"/>
          <w:color w:val="auto"/>
        </w:rPr>
      </w:pPr>
    </w:p>
    <w:p>
      <w:pPr>
        <w:ind w:left="520" w:right="280" w:hanging="512"/>
        <w:spacing w:after="0" w:line="250" w:lineRule="auto"/>
        <w:tabs>
          <w:tab w:leader="none" w:pos="37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8"/>
          <w:szCs w:val="18"/>
          <w:color w:val="auto"/>
        </w:rPr>
      </w:pPr>
    </w:p>
    <w:p>
      <w:pPr>
        <w:ind w:left="520" w:right="360" w:hanging="512"/>
        <w:spacing w:after="0" w:line="266" w:lineRule="auto"/>
        <w:tabs>
          <w:tab w:leader="none" w:pos="37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520" w:right="260" w:hanging="512"/>
        <w:spacing w:after="0" w:line="258" w:lineRule="auto"/>
        <w:tabs>
          <w:tab w:leader="none" w:pos="37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1020" w:right="80" w:hanging="479"/>
        <w:spacing w:after="0" w:line="258" w:lineRule="auto"/>
        <w:tabs>
          <w:tab w:leader="none" w:pos="89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1020" w:right="320" w:hanging="479"/>
        <w:spacing w:after="0" w:line="258" w:lineRule="auto"/>
        <w:tabs>
          <w:tab w:leader="none" w:pos="89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ind w:left="1020" w:right="480" w:hanging="479"/>
        <w:spacing w:after="0" w:line="266" w:lineRule="auto"/>
        <w:tabs>
          <w:tab w:leader="none" w:pos="89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020" w:right="120" w:hanging="479"/>
        <w:spacing w:after="0" w:line="250" w:lineRule="auto"/>
        <w:tabs>
          <w:tab w:leader="none" w:pos="89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8"/>
          <w:szCs w:val="18"/>
          <w:color w:val="auto"/>
        </w:rPr>
      </w:pPr>
    </w:p>
    <w:p>
      <w:pPr>
        <w:ind w:left="520" w:right="300" w:hanging="512"/>
        <w:spacing w:after="0" w:line="266" w:lineRule="auto"/>
        <w:tabs>
          <w:tab w:leader="none" w:pos="37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020" w:right="540" w:hanging="479"/>
        <w:spacing w:after="0" w:line="266" w:lineRule="auto"/>
        <w:tabs>
          <w:tab w:leader="none" w:pos="89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Todd Gleason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Eckl, certify that:</w:t>
      </w:r>
    </w:p>
    <w:p>
      <w:pPr>
        <w:spacing w:after="0" w:line="104"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CECO Environmental Corp.;</w:t>
      </w:r>
    </w:p>
    <w:p>
      <w:pPr>
        <w:spacing w:after="0" w:line="117" w:lineRule="exact"/>
        <w:rPr>
          <w:rFonts w:ascii="Times New Roman" w:cs="Times New Roman" w:eastAsia="Times New Roman" w:hAnsi="Times New Roman"/>
          <w:sz w:val="18"/>
          <w:szCs w:val="18"/>
          <w:color w:val="auto"/>
        </w:rPr>
      </w:pPr>
    </w:p>
    <w:p>
      <w:pPr>
        <w:ind w:left="520" w:right="280" w:hanging="512"/>
        <w:spacing w:after="0" w:line="250" w:lineRule="auto"/>
        <w:tabs>
          <w:tab w:leader="none" w:pos="37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8"/>
          <w:szCs w:val="18"/>
          <w:color w:val="auto"/>
        </w:rPr>
      </w:pPr>
    </w:p>
    <w:p>
      <w:pPr>
        <w:ind w:left="520" w:right="360" w:hanging="512"/>
        <w:spacing w:after="0" w:line="266" w:lineRule="auto"/>
        <w:tabs>
          <w:tab w:leader="none" w:pos="37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520" w:right="260" w:hanging="512"/>
        <w:spacing w:after="0" w:line="258" w:lineRule="auto"/>
        <w:tabs>
          <w:tab w:leader="none" w:pos="37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1020" w:right="80" w:hanging="479"/>
        <w:spacing w:after="0" w:line="258" w:lineRule="auto"/>
        <w:tabs>
          <w:tab w:leader="none" w:pos="89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1020" w:right="320" w:hanging="479"/>
        <w:spacing w:after="0" w:line="258" w:lineRule="auto"/>
        <w:tabs>
          <w:tab w:leader="none" w:pos="89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ind w:left="1020" w:right="480" w:hanging="479"/>
        <w:spacing w:after="0" w:line="266" w:lineRule="auto"/>
        <w:tabs>
          <w:tab w:leader="none" w:pos="89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020" w:right="120" w:hanging="479"/>
        <w:spacing w:after="0" w:line="250" w:lineRule="auto"/>
        <w:tabs>
          <w:tab w:leader="none" w:pos="89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8"/>
          <w:szCs w:val="18"/>
          <w:color w:val="auto"/>
        </w:rPr>
      </w:pPr>
    </w:p>
    <w:p>
      <w:pPr>
        <w:ind w:left="520" w:right="300" w:hanging="512"/>
        <w:spacing w:after="0" w:line="266" w:lineRule="auto"/>
        <w:tabs>
          <w:tab w:leader="none" w:pos="37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020" w:right="540" w:hanging="479"/>
        <w:spacing w:after="0" w:line="266" w:lineRule="auto"/>
        <w:tabs>
          <w:tab w:leader="none" w:pos="89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Matthew Eckl</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1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18 U.S.C. SECTION 1350,</w:t>
      </w:r>
    </w:p>
    <w:p>
      <w:pPr>
        <w:jc w:val="center"/>
        <w:spacing w:after="0" w:line="234" w:lineRule="auto"/>
        <w:rPr>
          <w:sz w:val="20"/>
          <w:szCs w:val="20"/>
          <w:color w:val="auto"/>
        </w:rPr>
      </w:pPr>
      <w:r>
        <w:rPr>
          <w:rFonts w:ascii="Times New Roman" w:cs="Times New Roman" w:eastAsia="Times New Roman" w:hAnsi="Times New Roman"/>
          <w:sz w:val="18"/>
          <w:szCs w:val="18"/>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5"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CECO Environmental Corp. (the “Company”) on Form 10-Q for the three-month period ended March 31, 2022 as filed with the Securities and Exchange Commission on the date hereof (the “Report”), I, Todd Gleason, Chief Executive Officer of the Company, certify, pursuant to 18 U.S.C. § 1350, as adopted pursuant to § 906 of the Sarbanes-Oxley Act of 2002, to the best of my knowledge and belief, that:</w:t>
      </w:r>
    </w:p>
    <w:p>
      <w:pPr>
        <w:spacing w:after="0" w:line="82" w:lineRule="exact"/>
        <w:rPr>
          <w:sz w:val="20"/>
          <w:szCs w:val="20"/>
          <w:color w:val="auto"/>
        </w:rPr>
      </w:pPr>
    </w:p>
    <w:p>
      <w:pPr>
        <w:ind w:left="900" w:hanging="359"/>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03" w:lineRule="exact"/>
        <w:rPr>
          <w:rFonts w:ascii="Times New Roman" w:cs="Times New Roman" w:eastAsia="Times New Roman" w:hAnsi="Times New Roman"/>
          <w:sz w:val="18"/>
          <w:szCs w:val="18"/>
          <w:color w:val="auto"/>
        </w:rPr>
      </w:pPr>
    </w:p>
    <w:p>
      <w:pPr>
        <w:ind w:left="1020" w:right="680" w:hanging="479"/>
        <w:spacing w:after="0" w:line="266"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Todd Gleason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1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18 U.S.C. SECTION 1350,</w:t>
      </w:r>
    </w:p>
    <w:p>
      <w:pPr>
        <w:jc w:val="center"/>
        <w:spacing w:after="0" w:line="234" w:lineRule="auto"/>
        <w:rPr>
          <w:sz w:val="20"/>
          <w:szCs w:val="20"/>
          <w:color w:val="auto"/>
        </w:rPr>
      </w:pPr>
      <w:r>
        <w:rPr>
          <w:rFonts w:ascii="Times New Roman" w:cs="Times New Roman" w:eastAsia="Times New Roman" w:hAnsi="Times New Roman"/>
          <w:sz w:val="18"/>
          <w:szCs w:val="18"/>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5" w:lineRule="exact"/>
        <w:rPr>
          <w:sz w:val="20"/>
          <w:szCs w:val="20"/>
          <w:color w:val="auto"/>
        </w:rPr>
      </w:pPr>
    </w:p>
    <w:p>
      <w:pPr>
        <w:jc w:val="both"/>
        <w:ind w:right="80"/>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CECO Environmental Corp. (the “Company”) on Form 10-Q for the three-month period ended March 31, 2022 as filed with the Securities and Exchange Commission on the date hereof (the “Report”), I, Matthew Eckl, Chief Financial Officer of the Company, certify, pursuant to 18 U.S.C. § 1350, as adopted pursuant to § 906 of the Sarbanes-Oxley Act of 2002, to the best of my knowledge and belief, that:</w:t>
      </w:r>
    </w:p>
    <w:p>
      <w:pPr>
        <w:spacing w:after="0" w:line="82" w:lineRule="exact"/>
        <w:rPr>
          <w:sz w:val="20"/>
          <w:szCs w:val="20"/>
          <w:color w:val="auto"/>
        </w:rPr>
      </w:pPr>
    </w:p>
    <w:p>
      <w:pPr>
        <w:ind w:left="900" w:hanging="359"/>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03" w:lineRule="exact"/>
        <w:rPr>
          <w:rFonts w:ascii="Times New Roman" w:cs="Times New Roman" w:eastAsia="Times New Roman" w:hAnsi="Times New Roman"/>
          <w:sz w:val="18"/>
          <w:szCs w:val="18"/>
          <w:color w:val="auto"/>
        </w:rPr>
      </w:pPr>
    </w:p>
    <w:p>
      <w:pPr>
        <w:ind w:left="1020" w:right="680" w:hanging="479"/>
        <w:spacing w:after="0" w:line="266"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Matthew Eckl</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2"/>
    </w:lvl>
  </w:abstractNum>
  <w:abstractNum w:abstractNumId="4">
    <w:nsid w:val="5BD062C2"/>
    <w:multiLevelType w:val="hybridMultilevel"/>
    <w:lvl w:ilvl="0">
      <w:lvlJc w:val="left"/>
      <w:lvlText w:val="%1."/>
      <w:numFmt w:val="decimal"/>
      <w:start w:val="8"/>
    </w:lvl>
  </w:abstractNum>
  <w:abstractNum w:abstractNumId="5">
    <w:nsid w:val="12200854"/>
    <w:multiLevelType w:val="hybridMultilevel"/>
    <w:lvl w:ilvl="0">
      <w:lvlJc w:val="left"/>
      <w:lvlText w:val="%1."/>
      <w:numFmt w:val="decimal"/>
      <w:start w:val="9"/>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endash "/>
      <w:numFmt w:val="bullet"/>
      <w:start w:val="1"/>
    </w:lvl>
    <w:lvl w:ilvl="1">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2022-05-10T06:34:23Z</dcterms:created>
  <dcterms:modified xsi:type="dcterms:W3CDTF">2022-05-10T06:34:23Z</dcterms:modified>
</cp:coreProperties>
</file>