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40"/>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151765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(Date of earliest event reported): November 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139700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CECO ENVIRONMENTAL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tbl>
      <w:tblPr>
        <w:tblLayout w:type="fixed"/>
        <w:tblInd w:w="980" w:type="dxa"/>
        <w:tblCellMar>
          <w:top w:w="0" w:type="dxa"/>
          <w:left w:w="0" w:type="dxa"/>
          <w:bottom w:w="0" w:type="dxa"/>
          <w:right w:w="0" w:type="dxa"/>
        </w:tblCellMar>
      </w:tblPr>
      <w:tr>
        <w:trPr>
          <w:trHeight w:val="210"/>
        </w:trPr>
        <w:tc>
          <w:tcPr>
            <w:tcW w:w="3600" w:type="dxa"/>
            <w:vAlign w:val="bottom"/>
          </w:tcPr>
          <w:p>
            <w:pPr>
              <w:jc w:val="center"/>
              <w:ind w:right="1863"/>
              <w:spacing w:after="0"/>
              <w:rPr>
                <w:sz w:val="20"/>
                <w:szCs w:val="20"/>
                <w:color w:val="auto"/>
              </w:rPr>
            </w:pPr>
            <w:r>
              <w:rPr>
                <w:rFonts w:ascii="Arial" w:cs="Arial" w:eastAsia="Arial" w:hAnsi="Arial"/>
                <w:sz w:val="16"/>
                <w:szCs w:val="16"/>
                <w:b w:val="1"/>
                <w:bCs w:val="1"/>
                <w:color w:val="auto"/>
                <w:w w:val="93"/>
              </w:rPr>
              <w:t>Delaware</w:t>
            </w:r>
          </w:p>
        </w:tc>
        <w:tc>
          <w:tcPr>
            <w:tcW w:w="2520" w:type="dxa"/>
            <w:vAlign w:val="bottom"/>
          </w:tcPr>
          <w:p>
            <w:pPr>
              <w:jc w:val="center"/>
              <w:ind w:right="345"/>
              <w:spacing w:after="0"/>
              <w:rPr>
                <w:sz w:val="20"/>
                <w:szCs w:val="20"/>
                <w:color w:val="auto"/>
              </w:rPr>
            </w:pPr>
            <w:r>
              <w:rPr>
                <w:rFonts w:ascii="Arial" w:cs="Arial" w:eastAsia="Arial" w:hAnsi="Arial"/>
                <w:sz w:val="16"/>
                <w:szCs w:val="16"/>
                <w:b w:val="1"/>
                <w:bCs w:val="1"/>
                <w:color w:val="auto"/>
                <w:w w:val="91"/>
              </w:rPr>
              <w:t>000-7099</w:t>
            </w:r>
          </w:p>
        </w:tc>
        <w:tc>
          <w:tcPr>
            <w:tcW w:w="2900" w:type="dxa"/>
            <w:vAlign w:val="bottom"/>
          </w:tcPr>
          <w:p>
            <w:pPr>
              <w:jc w:val="center"/>
              <w:ind w:left="1724"/>
              <w:spacing w:after="0"/>
              <w:rPr>
                <w:sz w:val="20"/>
                <w:szCs w:val="20"/>
                <w:color w:val="auto"/>
              </w:rPr>
            </w:pPr>
            <w:r>
              <w:rPr>
                <w:rFonts w:ascii="Arial" w:cs="Arial" w:eastAsia="Arial" w:hAnsi="Arial"/>
                <w:sz w:val="16"/>
                <w:szCs w:val="16"/>
                <w:b w:val="1"/>
                <w:bCs w:val="1"/>
                <w:color w:val="auto"/>
                <w:w w:val="91"/>
              </w:rPr>
              <w:t>13-2566064</w:t>
            </w:r>
          </w:p>
        </w:tc>
      </w:tr>
      <w:tr>
        <w:trPr>
          <w:trHeight w:val="159"/>
        </w:trPr>
        <w:tc>
          <w:tcPr>
            <w:tcW w:w="3600" w:type="dxa"/>
            <w:vAlign w:val="bottom"/>
          </w:tcPr>
          <w:p>
            <w:pPr>
              <w:jc w:val="center"/>
              <w:ind w:right="1863"/>
              <w:spacing w:after="0" w:line="159" w:lineRule="exact"/>
              <w:rPr>
                <w:sz w:val="20"/>
                <w:szCs w:val="20"/>
                <w:color w:val="auto"/>
              </w:rPr>
            </w:pPr>
            <w:r>
              <w:rPr>
                <w:rFonts w:ascii="Arial" w:cs="Arial" w:eastAsia="Arial" w:hAnsi="Arial"/>
                <w:sz w:val="14"/>
                <w:szCs w:val="14"/>
                <w:b w:val="1"/>
                <w:bCs w:val="1"/>
                <w:color w:val="auto"/>
                <w:w w:val="94"/>
              </w:rPr>
              <w:t>(State or other jurisdiction</w:t>
            </w:r>
          </w:p>
        </w:tc>
        <w:tc>
          <w:tcPr>
            <w:tcW w:w="2520" w:type="dxa"/>
            <w:vAlign w:val="bottom"/>
          </w:tcPr>
          <w:p>
            <w:pPr>
              <w:jc w:val="center"/>
              <w:ind w:right="325"/>
              <w:spacing w:after="0" w:line="159" w:lineRule="exact"/>
              <w:rPr>
                <w:sz w:val="20"/>
                <w:szCs w:val="20"/>
                <w:color w:val="auto"/>
              </w:rPr>
            </w:pPr>
            <w:r>
              <w:rPr>
                <w:rFonts w:ascii="Arial" w:cs="Arial" w:eastAsia="Arial" w:hAnsi="Arial"/>
                <w:sz w:val="14"/>
                <w:szCs w:val="14"/>
                <w:b w:val="1"/>
                <w:bCs w:val="1"/>
                <w:color w:val="auto"/>
                <w:w w:val="90"/>
              </w:rPr>
              <w:t>(Commission</w:t>
            </w:r>
          </w:p>
        </w:tc>
        <w:tc>
          <w:tcPr>
            <w:tcW w:w="2900" w:type="dxa"/>
            <w:vAlign w:val="bottom"/>
          </w:tcPr>
          <w:p>
            <w:pPr>
              <w:jc w:val="center"/>
              <w:ind w:left="1724"/>
              <w:spacing w:after="0" w:line="15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600" w:type="dxa"/>
            <w:vAlign w:val="bottom"/>
          </w:tcPr>
          <w:p>
            <w:pPr>
              <w:jc w:val="center"/>
              <w:ind w:right="1863"/>
              <w:spacing w:after="0"/>
              <w:rPr>
                <w:sz w:val="20"/>
                <w:szCs w:val="20"/>
                <w:color w:val="auto"/>
              </w:rPr>
            </w:pPr>
            <w:r>
              <w:rPr>
                <w:rFonts w:ascii="Arial" w:cs="Arial" w:eastAsia="Arial" w:hAnsi="Arial"/>
                <w:sz w:val="14"/>
                <w:szCs w:val="14"/>
                <w:b w:val="1"/>
                <w:bCs w:val="1"/>
                <w:color w:val="auto"/>
                <w:w w:val="94"/>
              </w:rPr>
              <w:t>of incorporation)</w:t>
            </w:r>
          </w:p>
        </w:tc>
        <w:tc>
          <w:tcPr>
            <w:tcW w:w="2520" w:type="dxa"/>
            <w:vAlign w:val="bottom"/>
          </w:tcPr>
          <w:p>
            <w:pPr>
              <w:jc w:val="center"/>
              <w:ind w:right="325"/>
              <w:spacing w:after="0"/>
              <w:rPr>
                <w:sz w:val="20"/>
                <w:szCs w:val="20"/>
                <w:color w:val="auto"/>
              </w:rPr>
            </w:pPr>
            <w:r>
              <w:rPr>
                <w:rFonts w:ascii="Arial" w:cs="Arial" w:eastAsia="Arial" w:hAnsi="Arial"/>
                <w:sz w:val="14"/>
                <w:szCs w:val="14"/>
                <w:b w:val="1"/>
                <w:bCs w:val="1"/>
                <w:color w:val="auto"/>
                <w:w w:val="98"/>
              </w:rPr>
              <w:t>File Number)</w:t>
            </w:r>
          </w:p>
        </w:tc>
        <w:tc>
          <w:tcPr>
            <w:tcW w:w="2900" w:type="dxa"/>
            <w:vAlign w:val="bottom"/>
          </w:tcPr>
          <w:p>
            <w:pPr>
              <w:jc w:val="center"/>
              <w:ind w:left="1704"/>
              <w:spacing w:after="0"/>
              <w:rPr>
                <w:sz w:val="20"/>
                <w:szCs w:val="20"/>
                <w:color w:val="auto"/>
              </w:rPr>
            </w:pPr>
            <w:r>
              <w:rPr>
                <w:rFonts w:ascii="Arial" w:cs="Arial" w:eastAsia="Arial" w:hAnsi="Arial"/>
                <w:sz w:val="14"/>
                <w:szCs w:val="14"/>
                <w:b w:val="1"/>
                <w:bCs w:val="1"/>
                <w:color w:val="auto"/>
                <w:w w:val="94"/>
              </w:rPr>
              <w:t>Identification No.)</w:t>
            </w:r>
          </w:p>
        </w:tc>
      </w:tr>
      <w:tr>
        <w:trPr>
          <w:trHeight w:val="417"/>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03"/>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1"/>
              </w:rPr>
              <w:t>Suite 500</w:t>
            </w:r>
          </w:p>
        </w:tc>
        <w:tc>
          <w:tcPr>
            <w:tcW w:w="2520" w:type="dxa"/>
            <w:vAlign w:val="bottom"/>
          </w:tcPr>
          <w:p>
            <w:pPr>
              <w:spacing w:after="0"/>
              <w:rPr>
                <w:sz w:val="17"/>
                <w:szCs w:val="17"/>
                <w:color w:val="auto"/>
              </w:rPr>
            </w:pPr>
          </w:p>
        </w:tc>
        <w:tc>
          <w:tcPr>
            <w:tcW w:w="2900" w:type="dxa"/>
            <w:vAlign w:val="bottom"/>
          </w:tcPr>
          <w:p>
            <w:pPr>
              <w:spacing w:after="0"/>
              <w:rPr>
                <w:sz w:val="17"/>
                <w:szCs w:val="17"/>
                <w:color w:val="auto"/>
              </w:rPr>
            </w:pPr>
          </w:p>
        </w:tc>
      </w:tr>
      <w:tr>
        <w:trPr>
          <w:trHeight w:val="224"/>
        </w:trPr>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4"/>
              </w:rPr>
              <w:t>Dallas, TX</w:t>
            </w:r>
          </w:p>
        </w:tc>
        <w:tc>
          <w:tcPr>
            <w:tcW w:w="2520" w:type="dxa"/>
            <w:vAlign w:val="bottom"/>
          </w:tcPr>
          <w:p>
            <w:pPr>
              <w:spacing w:after="0"/>
              <w:rPr>
                <w:sz w:val="19"/>
                <w:szCs w:val="19"/>
                <w:color w:val="auto"/>
              </w:rPr>
            </w:pPr>
          </w:p>
        </w:tc>
        <w:tc>
          <w:tcPr>
            <w:tcW w:w="2900" w:type="dxa"/>
            <w:vAlign w:val="bottom"/>
          </w:tcPr>
          <w:p>
            <w:pPr>
              <w:jc w:val="right"/>
              <w:ind w:right="1224"/>
              <w:spacing w:after="0"/>
              <w:rPr>
                <w:sz w:val="20"/>
                <w:szCs w:val="20"/>
                <w:color w:val="auto"/>
              </w:rPr>
            </w:pPr>
            <w:r>
              <w:rPr>
                <w:rFonts w:ascii="Arial" w:cs="Arial" w:eastAsia="Arial" w:hAnsi="Arial"/>
                <w:sz w:val="16"/>
                <w:szCs w:val="16"/>
                <w:b w:val="1"/>
                <w:bCs w:val="1"/>
                <w:color w:val="auto"/>
              </w:rPr>
              <w:t>75254</w:t>
            </w:r>
          </w:p>
        </w:tc>
      </w:tr>
      <w:tr>
        <w:trPr>
          <w:trHeight w:val="196"/>
        </w:trPr>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spacing w:after="0"/>
              <w:rPr>
                <w:sz w:val="17"/>
                <w:szCs w:val="17"/>
                <w:color w:val="auto"/>
              </w:rPr>
            </w:pPr>
          </w:p>
        </w:tc>
        <w:tc>
          <w:tcPr>
            <w:tcW w:w="290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760" w:right="3620" w:hanging="3752"/>
        <w:spacing w:after="0" w:line="467" w:lineRule="auto"/>
        <w:tabs>
          <w:tab w:leader="none" w:pos="335"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tbl>
      <w:tblPr>
        <w:tblLayout w:type="fixed"/>
        <w:tblInd w:w="350" w:type="dxa"/>
        <w:tblCellMar>
          <w:top w:w="0" w:type="dxa"/>
          <w:left w:w="0" w:type="dxa"/>
          <w:bottom w:w="0" w:type="dxa"/>
          <w:right w:w="0" w:type="dxa"/>
        </w:tblCellMar>
      </w:tblPr>
      <w:tr>
        <w:trPr>
          <w:trHeight w:val="183"/>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61"/>
        </w:trPr>
        <w:tc>
          <w:tcPr>
            <w:tcW w:w="3960" w:type="dxa"/>
            <w:vAlign w:val="bottom"/>
            <w:tcBorders>
              <w:left w:val="single" w:sz="8" w:color="auto"/>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c>
          <w:tcPr>
            <w:tcW w:w="4520" w:type="dxa"/>
            <w:vAlign w:val="bottom"/>
            <w:tcBorders>
              <w:bottom w:val="single" w:sz="8" w:color="auto"/>
              <w:right w:val="single" w:sz="8" w:color="auto"/>
            </w:tcBorders>
          </w:tcPr>
          <w:p>
            <w:pPr>
              <w:spacing w:after="0"/>
              <w:rPr>
                <w:sz w:val="5"/>
                <w:szCs w:val="5"/>
                <w:color w:val="auto"/>
              </w:rPr>
            </w:pPr>
          </w:p>
        </w:tc>
      </w:tr>
      <w:tr>
        <w:trPr>
          <w:trHeight w:val="162"/>
        </w:trPr>
        <w:tc>
          <w:tcPr>
            <w:tcW w:w="3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CECO</w:t>
            </w:r>
          </w:p>
        </w:tc>
        <w:tc>
          <w:tcPr>
            <w:tcW w:w="45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7"/>
              </w:rPr>
              <w:t>The NASDAQ Stock Market LLC</w:t>
            </w:r>
          </w:p>
        </w:tc>
      </w:tr>
      <w:tr>
        <w:trPr>
          <w:trHeight w:val="31"/>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52"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67" w:lineRule="exact"/>
        <w:rPr>
          <w:sz w:val="24"/>
          <w:szCs w:val="24"/>
          <w:color w:val="auto"/>
        </w:rPr>
      </w:pPr>
    </w:p>
    <w:p>
      <w:pPr>
        <w:ind w:right="54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215265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91"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On November 7, 2023, CECO Environmental Corp. (the “Company”) issued a press release announcing its financial results for the third quarter ended September 30, 2023. A copy of the press release is furnished as Exhibit 99.1 to this report and is incorporated herein by reference.</w:t>
      </w:r>
    </w:p>
    <w:p>
      <w:pPr>
        <w:spacing w:after="0" w:line="146"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Number</w:t>
            </w:r>
          </w:p>
        </w:tc>
        <w:tc>
          <w:tcPr>
            <w:tcW w:w="120" w:type="dxa"/>
            <w:vAlign w:val="bottom"/>
          </w:tcPr>
          <w:p>
            <w:pPr>
              <w:spacing w:after="0"/>
              <w:rPr>
                <w:sz w:val="16"/>
                <w:szCs w:val="16"/>
                <w:color w:val="auto"/>
              </w:rPr>
            </w:pPr>
          </w:p>
        </w:tc>
        <w:tc>
          <w:tcPr>
            <w:tcW w:w="9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Title</w:t>
            </w:r>
          </w:p>
        </w:tc>
      </w:tr>
      <w:tr>
        <w:trPr>
          <w:trHeight w:val="290"/>
        </w:trPr>
        <w:tc>
          <w:tcPr>
            <w:tcW w:w="1580" w:type="dxa"/>
            <w:vAlign w:val="bottom"/>
          </w:tcPr>
          <w:p>
            <w:pPr>
              <w:ind w:left="20"/>
              <w:spacing w:after="0"/>
              <w:rPr>
                <w:sz w:val="20"/>
                <w:szCs w:val="20"/>
                <w:color w:val="auto"/>
              </w:rPr>
            </w:pPr>
            <w:r>
              <w:rPr>
                <w:rFonts w:ascii="Arial" w:cs="Arial" w:eastAsia="Arial" w:hAnsi="Arial"/>
                <w:sz w:val="18"/>
                <w:szCs w:val="18"/>
                <w:color w:val="auto"/>
              </w:rPr>
              <w:t>99.1</w:t>
            </w:r>
          </w:p>
        </w:tc>
        <w:tc>
          <w:tcPr>
            <w:tcW w:w="1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0000FF"/>
              </w:rPr>
              <w:t>Press Release, CECO Environmental Reports Third Quarter 2023 Results</w:t>
            </w:r>
          </w:p>
        </w:tc>
      </w:tr>
      <w:tr>
        <w:trPr>
          <w:trHeight w:val="20"/>
        </w:trPr>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tcBorders>
              <w:right w:val="single" w:sz="8" w:color="0000EE"/>
            </w:tcBorders>
            <w:shd w:val="clear" w:color="auto" w:fill="0000FF"/>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453"/>
        </w:trPr>
        <w:tc>
          <w:tcPr>
            <w:tcW w:w="15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208"/>
        </w:trPr>
        <w:tc>
          <w:tcPr>
            <w:tcW w:w="15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0"/>
        <w:spacing w:after="0"/>
        <w:tabs>
          <w:tab w:leader="none" w:pos="6640" w:val="left"/>
        </w:tabs>
        <w:rPr>
          <w:sz w:val="20"/>
          <w:szCs w:val="20"/>
          <w:color w:val="auto"/>
        </w:rPr>
      </w:pPr>
      <w:r>
        <w:rPr>
          <w:rFonts w:ascii="Arial" w:cs="Arial" w:eastAsia="Arial" w:hAnsi="Arial"/>
          <w:sz w:val="18"/>
          <w:szCs w:val="18"/>
          <w:color w:val="auto"/>
        </w:rPr>
        <w:t>Date: November 7, 2023</w:t>
      </w:r>
      <w:r>
        <w:rPr>
          <w:sz w:val="20"/>
          <w:szCs w:val="20"/>
          <w:color w:val="auto"/>
        </w:rPr>
        <w:tab/>
      </w:r>
      <w:r>
        <w:rPr>
          <w:rFonts w:ascii="Arial" w:cs="Arial" w:eastAsia="Arial" w:hAnsi="Arial"/>
          <w:sz w:val="16"/>
          <w:szCs w:val="16"/>
          <w:color w:val="auto"/>
        </w:rPr>
        <w:t>CECO Environmental Corp.</w:t>
      </w:r>
    </w:p>
    <w:p>
      <w:pPr>
        <w:spacing w:after="0" w:line="279" w:lineRule="exact"/>
        <w:rPr>
          <w:sz w:val="20"/>
          <w:szCs w:val="20"/>
          <w:color w:val="auto"/>
        </w:rPr>
      </w:pPr>
    </w:p>
    <w:p>
      <w:pPr>
        <w:ind w:left="66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23495</wp:posOffset>
            </wp:positionV>
            <wp:extent cx="25628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Kiril Kovachev</w:t>
      </w:r>
    </w:p>
    <w:p>
      <w:pPr>
        <w:spacing w:after="0" w:line="3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ind w:left="2640"/>
        <w:spacing w:after="0"/>
        <w:rPr>
          <w:sz w:val="20"/>
          <w:szCs w:val="20"/>
          <w:color w:val="auto"/>
        </w:rPr>
      </w:pPr>
      <w:r>
        <w:rPr>
          <w:rFonts w:ascii="Arial" w:cs="Arial" w:eastAsia="Arial" w:hAnsi="Arial"/>
          <w:sz w:val="18"/>
          <w:szCs w:val="18"/>
          <w:b w:val="1"/>
          <w:bCs w:val="1"/>
          <w:color w:val="auto"/>
        </w:rPr>
        <w:t>CECO ENVIRONMENTAL REPORTS THIRD QUARTER 2023 RESULTS</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i w:val="1"/>
          <w:iCs w:val="1"/>
          <w:color w:val="auto"/>
        </w:rPr>
        <w:t>Record Revenue, Backlog, Gross Profit and Cash Flow Dollars</w:t>
      </w:r>
    </w:p>
    <w:p>
      <w:pPr>
        <w:spacing w:after="0" w:line="9" w:lineRule="exact"/>
        <w:rPr>
          <w:sz w:val="20"/>
          <w:szCs w:val="20"/>
          <w:color w:val="auto"/>
        </w:rPr>
      </w:pPr>
    </w:p>
    <w:p>
      <w:pPr>
        <w:ind w:left="3020"/>
        <w:spacing w:after="0"/>
        <w:rPr>
          <w:sz w:val="20"/>
          <w:szCs w:val="20"/>
          <w:color w:val="auto"/>
        </w:rPr>
      </w:pPr>
      <w:r>
        <w:rPr>
          <w:rFonts w:ascii="Arial" w:cs="Arial" w:eastAsia="Arial" w:hAnsi="Arial"/>
          <w:sz w:val="18"/>
          <w:szCs w:val="18"/>
          <w:i w:val="1"/>
          <w:iCs w:val="1"/>
          <w:color w:val="auto"/>
        </w:rPr>
        <w:t>Company Raises Full Year 2023 Outlook and Introduces 2024 Guidance</w:t>
      </w:r>
    </w:p>
    <w:p>
      <w:pPr>
        <w:spacing w:after="0" w:line="207"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b w:val="1"/>
          <w:bCs w:val="1"/>
          <w:color w:val="auto"/>
        </w:rPr>
        <w:t>DALLAS (November 7, 2023) -- CECO Environmental Corp. (Nasdaq: CECO) ("CECO")</w:t>
      </w:r>
      <w:r>
        <w:rPr>
          <w:rFonts w:ascii="Arial" w:cs="Arial" w:eastAsia="Arial" w:hAnsi="Arial"/>
          <w:sz w:val="17"/>
          <w:szCs w:val="17"/>
          <w:color w:val="auto"/>
        </w:rPr>
        <w:t>, a leading environmentally focused, diversified industrial</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whose solutions protect people, the environment, and industrial equipment, today reported its financial results for the third quarter of 2023.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Highlights for the Quarter</w:t>
      </w:r>
      <w:r>
        <w:rPr>
          <w:rFonts w:ascii="Arial" w:cs="Arial" w:eastAsia="Arial" w:hAnsi="Arial"/>
          <w:sz w:val="24"/>
          <w:szCs w:val="24"/>
          <w:b w:val="1"/>
          <w:bCs w:val="1"/>
          <w:color w:val="auto"/>
          <w:vertAlign w:val="superscript"/>
        </w:rPr>
        <w:t>(1)</w:t>
      </w:r>
    </w:p>
    <w:p>
      <w:pPr>
        <w:spacing w:after="0" w:line="61" w:lineRule="exact"/>
        <w:rPr>
          <w:sz w:val="20"/>
          <w:szCs w:val="20"/>
          <w:color w:val="auto"/>
        </w:rPr>
      </w:pPr>
    </w:p>
    <w:p>
      <w:pPr>
        <w:ind w:left="1020" w:hanging="503"/>
        <w:spacing w:after="0"/>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Orders of $145.5 million, up 43 percent; Record backlog of $394.0 million, up 42 percent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
        </w:numPr>
        <w:rPr>
          <w:rFonts w:ascii="Arial" w:cs="Arial" w:eastAsia="Arial" w:hAnsi="Arial"/>
          <w:sz w:val="16"/>
          <w:szCs w:val="16"/>
          <w:color w:val="auto"/>
        </w:rPr>
      </w:pPr>
      <w:r>
        <w:rPr>
          <w:rFonts w:ascii="Arial" w:cs="Arial" w:eastAsia="Arial" w:hAnsi="Arial"/>
          <w:sz w:val="16"/>
          <w:szCs w:val="16"/>
          <w:color w:val="auto"/>
        </w:rPr>
        <w:t>Revenue of $149.4 million, up 38 percent; Net income of $3.3 million, up 74 percent; Non-GAAP net income of $7.6 million, up 7 percent</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Gross profit of $43.1 million, up 33 percent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Adjusted EBITDA of $15.1 million, up 64 percent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1"/>
          <w:numId w:val="2"/>
        </w:numPr>
        <w:rPr>
          <w:rFonts w:ascii="Arial" w:cs="Arial" w:eastAsia="Arial" w:hAnsi="Arial"/>
          <w:sz w:val="18"/>
          <w:szCs w:val="18"/>
          <w:color w:val="auto"/>
        </w:rPr>
      </w:pPr>
      <w:r>
        <w:rPr>
          <w:rFonts w:ascii="Arial" w:cs="Arial" w:eastAsia="Arial" w:hAnsi="Arial"/>
          <w:sz w:val="18"/>
          <w:szCs w:val="18"/>
          <w:color w:val="auto"/>
        </w:rPr>
        <w:t>GAAP EPS (diluted) of $0.09, compared to $0.06; Non-GAAP EPS (diluted) of $0.22, compared to $0.20</w:t>
      </w:r>
    </w:p>
    <w:p>
      <w:pPr>
        <w:spacing w:after="0" w:line="201" w:lineRule="exact"/>
        <w:rPr>
          <w:rFonts w:ascii="Arial" w:cs="Arial" w:eastAsia="Arial" w:hAnsi="Arial"/>
          <w:sz w:val="18"/>
          <w:szCs w:val="18"/>
          <w:color w:val="auto"/>
        </w:rPr>
      </w:pPr>
    </w:p>
    <w:p>
      <w:pPr>
        <w:ind w:left="160" w:hanging="152"/>
        <w:spacing w:after="0"/>
        <w:tabs>
          <w:tab w:leader="none" w:pos="160" w:val="left"/>
        </w:tabs>
        <w:numPr>
          <w:ilvl w:val="0"/>
          <w:numId w:val="2"/>
        </w:numPr>
        <w:rPr>
          <w:rFonts w:ascii="Arial" w:cs="Arial" w:eastAsia="Arial" w:hAnsi="Arial"/>
          <w:sz w:val="18"/>
          <w:szCs w:val="18"/>
          <w:color w:val="auto"/>
          <w:vertAlign w:val="superscript"/>
        </w:rPr>
      </w:pPr>
      <w:r>
        <w:rPr>
          <w:rFonts w:ascii="Arial" w:cs="Arial" w:eastAsia="Arial" w:hAnsi="Arial"/>
          <w:sz w:val="14"/>
          <w:szCs w:val="14"/>
          <w:color w:val="auto"/>
        </w:rPr>
        <w:t>All comparisons are versus the comparable prior year period, unless otherwise stated.</w:t>
      </w:r>
    </w:p>
    <w:p>
      <w:pPr>
        <w:spacing w:after="0"/>
        <w:rPr>
          <w:sz w:val="20"/>
          <w:szCs w:val="20"/>
          <w:color w:val="auto"/>
        </w:rPr>
      </w:pPr>
      <w:r>
        <w:rPr>
          <w:rFonts w:ascii="Arial" w:cs="Arial" w:eastAsia="Arial" w:hAnsi="Arial"/>
          <w:sz w:val="14"/>
          <w:szCs w:val="14"/>
          <w:color w:val="auto"/>
        </w:rPr>
        <w:t>Reconciliations of GAAP (reported) to non-GAAP measures are in the attached financial tables.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third quarter results reflect the strong execution our global teams continue to demonstrate as we solve our diverse customers’ critical needs in industrial air, industrial water, and the energy transition. We delivered several impressive records including the highest revenue, gross profit, and cash flow dollars of any quarter in the company’s history. I want to thank the team for successfully completing the acquisition of Kemco Systems in the quarter, which is an excellent addition to the leadership position we continue to build in the industrial water markets,” said CECO’s Chief Executive Officer, Todd Gleason. “Our teams continue to work through supply chain challenges and negative mix, which impacted our gross margins in the quarter, but adjusted EBITDA margin expansion was up over 150 basis points versus the prior year. We closed the quarter with a record $394 million in backlog, setting us up for a strong finish to 2023 and a great start to 2024.”</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Third quarter operating income was $7.9 million, up $5.1 million compared to $2.8 million in the third quarter of 2022. On an adjusted basis, non-GAAP operating income was $12.8 million, up $5.5 million versus $7.3 million in the third quarter of 2022. Net income was $3.3 million in the quarter, up $1.4 million compared to $1.9 million in the third quarter of 2022. Non-GAAP net income was $7.6 million, up $0.5 million compared to $7.1 million in the third quarter of 2022. Adjusted EBITDA of $15.1 million was up $5.9 million versus $9.2 million in the third quarter of 2022. Free cash flow in the quarter was $28.5 million, up $28.4 million compared to $0.1 million in the third quarter of 2022.</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“Record third quarter results were a continuation of our strong recurring performance for well over a year now. On a trailing-twelve-month basis (“TTM”), our revenues are up 27 percent and Adjusted EBITDA is up 33 percent when compared to the year-over-year TTM basis. And, with a TTM book-to-bill ratio of 1.2, we have been building our backlog for sustainable growth,” added Gleason.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Financial Outlook: Raises 2023 Full Year and Introduces Full Year 2024</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updated its full year 2023 guidance to reflect revenue between $525 and $550 million, up approximately 25% year over year, and adjusted EBITDA between $55 and $57 million, up approximately 33% year over year. The updated expected full year revenue and adjusted EBITDA guidance are compared to the previous outlook, provided in September, for revenues to exceed $525 million and adjusted EBITDA to exceed $55 million.</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introduced its full year 2024 guidance of $575 to $600 million in revenue, up 10% year over year, at the midpoint; and its expected adjusted EBITDA to be $65 to $70 million, up approximately 21% year over year, at the midpoint. Free cash flow is expected to be 50% to 70% of the full year adjusted EBITDA guidance range.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increasing our 2023 guidance, for the fourth quarter and full year, which reflects the confidence we have in our visibility including our record backlog, our strong sales pipeline, and our team’s outstanding execution driving performance across each of our acquisitions. We are also pleased to be able to share our current expectations for the upcoming year 2024 – which highlight sustainable double-digit top-line and continued bottom-line growth,”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252095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EARNINGS CONFERENCE CALL</w:t>
      </w:r>
    </w:p>
    <w:p>
      <w:pPr>
        <w:spacing w:after="0" w:line="3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conference call is scheduled for today at 8:30 a.m. ET to discuss the third quarter 2023 financial results. Please visit the Investor Relations portion of the website (https://investors.cecoenviro.com) to listen to the call via webcast. The conference call may also be accessed by dialing 888-346-4547 (Toll-Free) within the U.S., or +1-412-317-5251 (Toll-Required) outside the U.S.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replay of the conference call will be available on the Company’s website for a period of one year. The replay may also be accessed by dialing 877-344-7529 (Toll-Free) within the U.S., or +1-412-317-0088 (Toll-Required) outside the U.S. and entering access code 9439376.</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CECO Environmental is a leading environmentally focused, diversified industrial company, serving the broad landscape of industrial air, industrial water and energy transition markets globally by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Dallas, Texas. For more information, please visit www.cecoenviro.com.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Company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Peter Johansson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888-990-6670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investor.relations@onececo.com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214-872-2710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investor.relations@onececo.com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News 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Kimberly Plaskett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CECO-Communications@OneCECO.com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992505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6"/>
                <w:szCs w:val="16"/>
                <w:color w:val="auto"/>
              </w:rPr>
            </w:pPr>
          </w:p>
        </w:tc>
        <w:tc>
          <w:tcPr>
            <w:tcW w:w="18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September 30, 2023</w:t>
            </w:r>
          </w:p>
        </w:tc>
        <w:tc>
          <w:tcPr>
            <w:tcW w:w="18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2022</w:t>
            </w:r>
          </w:p>
        </w:tc>
      </w:tr>
      <w:tr>
        <w:trPr>
          <w:trHeight w:val="237"/>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5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47,583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45,522</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753</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112,433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83,086</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64,856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71,016</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net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37,911</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26,526</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15,266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12,174</w:t>
            </w: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Prepaid income taxes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285,385</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240,658</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Right-of-use assets from operating leases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13,849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209,825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183,197</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Intangible assets – finite life, net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52,340</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35,251</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Intangible assets – indefinite life</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9,508</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Deferred charges and other assets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600,057</w:t>
            </w:r>
          </w:p>
        </w:tc>
        <w:tc>
          <w:tcPr>
            <w:tcW w:w="2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504,721</w:t>
            </w:r>
          </w:p>
        </w:tc>
        <w:tc>
          <w:tcPr>
            <w:tcW w:w="100" w:type="dxa"/>
            <w:vAlign w:val="bottom"/>
          </w:tcPr>
          <w:p>
            <w:pPr>
              <w:spacing w:after="0"/>
              <w:rPr>
                <w:sz w:val="20"/>
                <w:szCs w:val="20"/>
                <w:color w:val="auto"/>
              </w:rPr>
            </w:pP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debt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94,236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73,407</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44,154</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33,791</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54,209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32,716</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3,207</w:t>
            </w:r>
          </w:p>
        </w:tc>
        <w:tc>
          <w:tcPr>
            <w:tcW w:w="100" w:type="dxa"/>
            <w:vAlign w:val="bottom"/>
          </w:tcPr>
          <w:p>
            <w:pPr>
              <w:spacing w:after="0"/>
              <w:rPr>
                <w:sz w:val="20"/>
                <w:szCs w:val="20"/>
                <w:color w:val="auto"/>
              </w:rPr>
            </w:pPr>
          </w:p>
        </w:tc>
      </w:tr>
      <w:tr>
        <w:trPr>
          <w:trHeight w:val="243"/>
        </w:trPr>
        <w:tc>
          <w:tcPr>
            <w:tcW w:w="74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203,298</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146,700</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14,652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15,129</w:t>
            </w: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less current portion</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135,273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107,625</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Deferred income tax liability, net</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7,591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8,666</w:t>
            </w:r>
          </w:p>
        </w:tc>
        <w:tc>
          <w:tcPr>
            <w:tcW w:w="100" w:type="dxa"/>
            <w:vAlign w:val="bottom"/>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9,101</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4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369,915</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286,573</w:t>
            </w:r>
          </w:p>
        </w:tc>
        <w:tc>
          <w:tcPr>
            <w:tcW w:w="100" w:type="dxa"/>
            <w:vAlign w:val="bottom"/>
          </w:tcPr>
          <w:p>
            <w:pPr>
              <w:spacing w:after="0"/>
              <w:rPr>
                <w:sz w:val="20"/>
                <w:szCs w:val="20"/>
                <w:color w:val="auto"/>
              </w:rPr>
            </w:pPr>
          </w:p>
        </w:tc>
      </w:tr>
      <w:tr>
        <w:trPr>
          <w:trHeight w:val="243"/>
        </w:trPr>
        <w:tc>
          <w:tcPr>
            <w:tcW w:w="7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Preferred stock, $.01 par value; 10,000 shares authorized, none issued</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440" w:type="dxa"/>
            <w:vAlign w:val="bottom"/>
          </w:tcPr>
          <w:p>
            <w:pPr>
              <w:ind w:left="240"/>
              <w:spacing w:after="0"/>
              <w:rPr>
                <w:sz w:val="20"/>
                <w:szCs w:val="20"/>
                <w:color w:val="auto"/>
              </w:rPr>
            </w:pPr>
            <w:r>
              <w:rPr>
                <w:rFonts w:ascii="Arial" w:cs="Arial" w:eastAsia="Arial" w:hAnsi="Arial"/>
                <w:sz w:val="18"/>
                <w:szCs w:val="18"/>
                <w:color w:val="auto"/>
              </w:rPr>
              <w:t>Common stock, $.01 par value; 100,000,000 shares authorized, 34,811,077 and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tcPr>
          <w:p>
            <w:pPr>
              <w:ind w:left="200"/>
              <w:spacing w:after="0"/>
              <w:rPr>
                <w:sz w:val="20"/>
                <w:szCs w:val="20"/>
                <w:color w:val="auto"/>
              </w:rPr>
            </w:pPr>
            <w:r>
              <w:rPr>
                <w:rFonts w:ascii="Arial" w:cs="Arial" w:eastAsia="Arial" w:hAnsi="Arial"/>
                <w:sz w:val="18"/>
                <w:szCs w:val="18"/>
                <w:color w:val="auto"/>
                <w:w w:val="98"/>
              </w:rPr>
              <w:t>34,381,668 shares issued and outstanding at September 30, 2023 and December 31, 2022,</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r>
      <w:tr>
        <w:trPr>
          <w:trHeight w:val="250"/>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Capital in excess of par value</w:t>
            </w:r>
          </w:p>
        </w:tc>
        <w:tc>
          <w:tcPr>
            <w:tcW w:w="18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253,613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250,174</w:t>
            </w:r>
          </w:p>
        </w:tc>
        <w:tc>
          <w:tcPr>
            <w:tcW w:w="100" w:type="dxa"/>
            <w:vAlign w:val="bottom"/>
            <w:shd w:val="clear" w:color="auto" w:fill="CFF0FC"/>
          </w:tcPr>
          <w:p>
            <w:pPr>
              <w:spacing w:after="0"/>
              <w:rPr>
                <w:sz w:val="21"/>
                <w:szCs w:val="21"/>
                <w:color w:val="auto"/>
              </w:rPr>
            </w:pPr>
          </w:p>
        </w:tc>
      </w:tr>
      <w:tr>
        <w:trPr>
          <w:trHeight w:val="237"/>
        </w:trPr>
        <w:tc>
          <w:tcPr>
            <w:tcW w:w="7440" w:type="dxa"/>
            <w:vAlign w:val="bottom"/>
          </w:tcPr>
          <w:p>
            <w:pPr>
              <w:ind w:left="200"/>
              <w:spacing w:after="0"/>
              <w:rPr>
                <w:sz w:val="20"/>
                <w:szCs w:val="20"/>
                <w:color w:val="auto"/>
              </w:rPr>
            </w:pPr>
            <w:r>
              <w:rPr>
                <w:rFonts w:ascii="Arial" w:cs="Arial" w:eastAsia="Arial" w:hAnsi="Arial"/>
                <w:sz w:val="18"/>
                <w:szCs w:val="18"/>
                <w:color w:val="auto"/>
              </w:rPr>
              <w:t>Accumulated loss</w:t>
            </w:r>
          </w:p>
        </w:tc>
        <w:tc>
          <w:tcPr>
            <w:tcW w:w="180" w:type="dxa"/>
            <w:vAlign w:val="bottom"/>
          </w:tcPr>
          <w:p>
            <w:pPr>
              <w:spacing w:after="0"/>
              <w:rPr>
                <w:sz w:val="20"/>
                <w:szCs w:val="20"/>
                <w:color w:val="auto"/>
              </w:rPr>
            </w:pPr>
          </w:p>
        </w:tc>
        <w:tc>
          <w:tcPr>
            <w:tcW w:w="1820" w:type="dxa"/>
            <w:vAlign w:val="bottom"/>
            <w:gridSpan w:val="2"/>
          </w:tcPr>
          <w:p>
            <w:pPr>
              <w:jc w:val="right"/>
              <w:ind w:right="200"/>
              <w:spacing w:after="0"/>
              <w:rPr>
                <w:sz w:val="20"/>
                <w:szCs w:val="20"/>
                <w:color w:val="auto"/>
              </w:rPr>
            </w:pPr>
            <w:r>
              <w:rPr>
                <w:rFonts w:ascii="Arial" w:cs="Arial" w:eastAsia="Arial" w:hAnsi="Arial"/>
                <w:sz w:val="18"/>
                <w:szCs w:val="18"/>
                <w:color w:val="auto"/>
              </w:rPr>
              <w:t>(10,266 )</w:t>
            </w:r>
          </w:p>
        </w:tc>
        <w:tc>
          <w:tcPr>
            <w:tcW w:w="180" w:type="dxa"/>
            <w:vAlign w:val="bottom"/>
          </w:tcPr>
          <w:p>
            <w:pPr>
              <w:spacing w:after="0"/>
              <w:rPr>
                <w:sz w:val="20"/>
                <w:szCs w:val="20"/>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(19,298 )</w:t>
            </w:r>
          </w:p>
        </w:tc>
      </w:tr>
      <w:tr>
        <w:trPr>
          <w:trHeight w:val="243"/>
        </w:trPr>
        <w:tc>
          <w:tcPr>
            <w:tcW w:w="74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(18,251 )</w:t>
            </w:r>
          </w:p>
        </w:tc>
        <w:tc>
          <w:tcPr>
            <w:tcW w:w="1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(17,996 )</w:t>
            </w:r>
          </w:p>
        </w:tc>
      </w:tr>
      <w:tr>
        <w:trPr>
          <w:trHeight w:val="237"/>
        </w:trPr>
        <w:tc>
          <w:tcPr>
            <w:tcW w:w="744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CECO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225,443</w:t>
            </w:r>
          </w:p>
        </w:tc>
        <w:tc>
          <w:tcPr>
            <w:tcW w:w="28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213,224</w:t>
            </w:r>
          </w:p>
        </w:tc>
        <w:tc>
          <w:tcPr>
            <w:tcW w:w="100" w:type="dxa"/>
            <w:vAlign w:val="bottom"/>
            <w:tcBorders>
              <w:top w:val="single" w:sz="8" w:color="CFF0FC"/>
            </w:tcBorders>
          </w:tcPr>
          <w:p>
            <w:pPr>
              <w:spacing w:after="0"/>
              <w:rPr>
                <w:sz w:val="20"/>
                <w:szCs w:val="20"/>
                <w:color w:val="auto"/>
              </w:rPr>
            </w:pPr>
          </w:p>
        </w:tc>
      </w:tr>
      <w:tr>
        <w:trPr>
          <w:trHeight w:val="243"/>
        </w:trPr>
        <w:tc>
          <w:tcPr>
            <w:tcW w:w="74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4,699</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440" w:type="dxa"/>
            <w:vAlign w:val="bottom"/>
          </w:tcPr>
          <w:p>
            <w:pPr>
              <w:ind w:left="38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230,142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218,148</w:t>
            </w:r>
          </w:p>
        </w:tc>
        <w:tc>
          <w:tcPr>
            <w:tcW w:w="100" w:type="dxa"/>
            <w:vAlign w:val="bottom"/>
          </w:tcPr>
          <w:p>
            <w:pPr>
              <w:spacing w:after="0"/>
              <w:rPr>
                <w:sz w:val="20"/>
                <w:szCs w:val="20"/>
                <w:color w:val="auto"/>
              </w:rPr>
            </w:pPr>
          </w:p>
        </w:tc>
      </w:tr>
      <w:tr>
        <w:trPr>
          <w:trHeight w:val="276"/>
        </w:trPr>
        <w:tc>
          <w:tcPr>
            <w:tcW w:w="74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600,057</w:t>
            </w:r>
          </w:p>
        </w:tc>
        <w:tc>
          <w:tcPr>
            <w:tcW w:w="2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504,721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04"/>
        </w:trPr>
        <w:tc>
          <w:tcPr>
            <w:tcW w:w="7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-6171565</wp:posOffset>
            </wp:positionV>
            <wp:extent cx="7683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-6171565</wp:posOffset>
            </wp:positionV>
            <wp:extent cx="6858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-4928870</wp:posOffset>
            </wp:positionV>
            <wp:extent cx="76835"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-4928870</wp:posOffset>
            </wp:positionV>
            <wp:extent cx="6858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-2725420</wp:posOffset>
            </wp:positionV>
            <wp:extent cx="7683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-1199515</wp:posOffset>
            </wp:positionV>
            <wp:extent cx="76835" cy="162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-882015</wp:posOffset>
            </wp:positionV>
            <wp:extent cx="7683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-556895</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-539750</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-539750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6"/>
                <w:szCs w:val="16"/>
                <w:color w:val="auto"/>
              </w:rPr>
            </w:pPr>
          </w:p>
        </w:tc>
        <w:tc>
          <w:tcPr>
            <w:tcW w:w="26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data)</w:t>
            </w: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149,390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108,414</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391,134</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306,225</w:t>
            </w:r>
          </w:p>
        </w:tc>
        <w:tc>
          <w:tcPr>
            <w:tcW w:w="100" w:type="dxa"/>
            <w:vAlign w:val="bottom"/>
            <w:shd w:val="clear" w:color="auto" w:fill="CFF0FC"/>
          </w:tcPr>
          <w:p>
            <w:pPr>
              <w:spacing w:after="0"/>
              <w:rPr>
                <w:sz w:val="20"/>
                <w:szCs w:val="20"/>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106,269</w:t>
            </w:r>
          </w:p>
        </w:tc>
        <w:tc>
          <w:tcPr>
            <w:tcW w:w="2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75,988</w:t>
            </w:r>
          </w:p>
        </w:tc>
        <w:tc>
          <w:tcPr>
            <w:tcW w:w="2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273,303</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215,696</w:t>
            </w:r>
          </w:p>
        </w:tc>
        <w:tc>
          <w:tcPr>
            <w:tcW w:w="100" w:type="dxa"/>
            <w:vAlign w:val="bottom"/>
          </w:tcPr>
          <w:p>
            <w:pPr>
              <w:spacing w:after="0"/>
              <w:rPr>
                <w:sz w:val="21"/>
                <w:szCs w:val="21"/>
                <w:color w:val="auto"/>
              </w:rPr>
            </w:pPr>
          </w:p>
        </w:tc>
      </w:tr>
      <w:tr>
        <w:trPr>
          <w:trHeight w:val="237"/>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43,121</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32,426</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117,831</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90,529</w:t>
            </w:r>
          </w:p>
        </w:tc>
        <w:tc>
          <w:tcPr>
            <w:tcW w:w="100" w:type="dxa"/>
            <w:vAlign w:val="bottom"/>
            <w:shd w:val="clear" w:color="auto" w:fill="CFF0FC"/>
          </w:tcPr>
          <w:p>
            <w:pPr>
              <w:spacing w:after="0"/>
              <w:rPr>
                <w:sz w:val="20"/>
                <w:szCs w:val="20"/>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30,439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25,166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86,082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66,806</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and earnout expenses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4,939</w:t>
            </w:r>
          </w:p>
        </w:tc>
        <w:tc>
          <w:tcPr>
            <w:tcW w:w="100" w:type="dxa"/>
            <w:vAlign w:val="bottom"/>
            <w:shd w:val="clear" w:color="auto" w:fill="CFF0FC"/>
          </w:tcPr>
          <w:p>
            <w:pPr>
              <w:spacing w:after="0"/>
              <w:rPr>
                <w:sz w:val="21"/>
                <w:szCs w:val="2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Acquisition and integration expenses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2,210</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3,827</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Executive transition expenses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FF0FC"/>
          </w:tcPr>
          <w:p>
            <w:pPr>
              <w:spacing w:after="0"/>
              <w:rPr>
                <w:sz w:val="21"/>
                <w:szCs w:val="21"/>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r>
      <w:tr>
        <w:trPr>
          <w:trHeight w:val="236"/>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7,853</w:t>
            </w:r>
          </w:p>
        </w:tc>
        <w:tc>
          <w:tcPr>
            <w:tcW w:w="2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2,773</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21,917</w:t>
            </w:r>
          </w:p>
        </w:tc>
        <w:tc>
          <w:tcPr>
            <w:tcW w:w="24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13,723</w:t>
            </w:r>
          </w:p>
        </w:tc>
        <w:tc>
          <w:tcPr>
            <w:tcW w:w="100" w:type="dxa"/>
            <w:vAlign w:val="bottom"/>
            <w:shd w:val="clear" w:color="auto" w:fill="CFF0FC"/>
          </w:tcPr>
          <w:p>
            <w:pPr>
              <w:spacing w:after="0"/>
              <w:rPr>
                <w:sz w:val="20"/>
                <w:szCs w:val="20"/>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(216 )</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(670 )</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20"/>
                <w:szCs w:val="20"/>
                <w:color w:val="auto"/>
              </w:rPr>
            </w:pPr>
          </w:p>
        </w:tc>
      </w:tr>
      <w:tr>
        <w:trPr>
          <w:trHeight w:val="249"/>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(3,340 )</w:t>
            </w:r>
          </w:p>
        </w:tc>
        <w:tc>
          <w:tcPr>
            <w:tcW w:w="2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(1,569 )</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(9,498 )</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(3,489 )</w:t>
            </w:r>
          </w:p>
        </w:tc>
      </w:tr>
      <w:tr>
        <w:trPr>
          <w:trHeight w:val="230"/>
        </w:trPr>
        <w:tc>
          <w:tcPr>
            <w:tcW w:w="53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w:t>
            </w:r>
          </w:p>
        </w:tc>
        <w:tc>
          <w:tcPr>
            <w:tcW w:w="26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w:t>
            </w: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11,749</w:t>
            </w: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12,988</w:t>
            </w:r>
          </w:p>
        </w:tc>
        <w:tc>
          <w:tcPr>
            <w:tcW w:w="100" w:type="dxa"/>
            <w:vAlign w:val="bottom"/>
            <w:tcBorders>
              <w:top w:val="single" w:sz="8" w:color="CFF0FC"/>
            </w:tcBorders>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585</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1,577</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2,166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Pr>
          <w:p>
            <w:pPr>
              <w:spacing w:after="0"/>
              <w:rPr>
                <w:sz w:val="20"/>
                <w:szCs w:val="20"/>
                <w:color w:val="auto"/>
              </w:rPr>
            </w:pPr>
          </w:p>
        </w:tc>
      </w:tr>
      <w:tr>
        <w:trPr>
          <w:trHeight w:val="249"/>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w:t>
            </w:r>
          </w:p>
        </w:tc>
        <w:tc>
          <w:tcPr>
            <w:tcW w:w="2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360" w:type="dxa"/>
            <w:vAlign w:val="bottom"/>
          </w:tcPr>
          <w:p>
            <w:pPr>
              <w:ind w:left="200"/>
              <w:spacing w:after="0"/>
              <w:rPr>
                <w:sz w:val="20"/>
                <w:szCs w:val="20"/>
                <w:color w:val="auto"/>
              </w:rPr>
            </w:pPr>
            <w:r>
              <w:rPr>
                <w:rFonts w:ascii="Arial" w:cs="Arial" w:eastAsia="Arial" w:hAnsi="Arial"/>
                <w:sz w:val="18"/>
                <w:szCs w:val="18"/>
                <w:color w:val="auto"/>
              </w:rPr>
              <w:t>Net income attributable to CECO Environmental Corp.</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w:t>
            </w:r>
          </w:p>
        </w:tc>
        <w:tc>
          <w:tcPr>
            <w:tcW w:w="26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9,032</w:t>
            </w:r>
          </w:p>
        </w:tc>
        <w:tc>
          <w:tcPr>
            <w:tcW w:w="2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9,122</w:t>
            </w:r>
          </w:p>
        </w:tc>
        <w:tc>
          <w:tcPr>
            <w:tcW w:w="100" w:type="dxa"/>
            <w:vAlign w:val="bottom"/>
          </w:tcPr>
          <w:p>
            <w:pPr>
              <w:spacing w:after="0"/>
              <w:rPr>
                <w:sz w:val="20"/>
                <w:szCs w:val="20"/>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536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5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7"/>
        </w:trPr>
        <w:tc>
          <w:tcPr>
            <w:tcW w:w="53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34,771,742</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34,455,657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34,612,163</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34,791,129</w:t>
            </w:r>
          </w:p>
        </w:tc>
        <w:tc>
          <w:tcPr>
            <w:tcW w:w="100" w:type="dxa"/>
            <w:vAlign w:val="bottom"/>
            <w:shd w:val="clear" w:color="auto" w:fill="CFF0FC"/>
          </w:tcPr>
          <w:p>
            <w:pPr>
              <w:spacing w:after="0"/>
              <w:rPr>
                <w:sz w:val="21"/>
                <w:szCs w:val="21"/>
                <w:color w:val="auto"/>
              </w:rPr>
            </w:pPr>
          </w:p>
        </w:tc>
      </w:tr>
      <w:tr>
        <w:trPr>
          <w:trHeight w:val="230"/>
        </w:trPr>
        <w:tc>
          <w:tcPr>
            <w:tcW w:w="5360" w:type="dxa"/>
            <w:vAlign w:val="bottom"/>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35,301,429</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34,871,313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35,215,843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35,035,041</w:t>
            </w:r>
          </w:p>
        </w:tc>
        <w:tc>
          <w:tcPr>
            <w:tcW w:w="100" w:type="dxa"/>
            <w:vAlign w:val="bottom"/>
          </w:tcPr>
          <w:p>
            <w:pPr>
              <w:spacing w:after="0"/>
              <w:rPr>
                <w:sz w:val="20"/>
                <w:szCs w:val="20"/>
                <w:color w:val="auto"/>
              </w:rPr>
            </w:pPr>
          </w:p>
        </w:tc>
      </w:tr>
      <w:tr>
        <w:trPr>
          <w:trHeight w:val="803"/>
        </w:trPr>
        <w:tc>
          <w:tcPr>
            <w:tcW w:w="5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-2296795</wp:posOffset>
            </wp:positionV>
            <wp:extent cx="76835"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-2296795</wp:posOffset>
            </wp:positionV>
            <wp:extent cx="6858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-2296795</wp:posOffset>
            </wp:positionV>
            <wp:extent cx="6858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-2296795</wp:posOffset>
            </wp:positionV>
            <wp:extent cx="6858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-1979295</wp:posOffset>
            </wp:positionV>
            <wp:extent cx="76835" cy="163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-1979295</wp:posOffset>
            </wp:positionV>
            <wp:extent cx="68580" cy="1631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-1979295</wp:posOffset>
            </wp:positionV>
            <wp:extent cx="68580" cy="1631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-1662430</wp:posOffset>
            </wp:positionV>
            <wp:extent cx="7683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17145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-1662430</wp:posOffset>
            </wp:positionV>
            <wp:extent cx="6858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-1662430</wp:posOffset>
            </wp:positionV>
            <wp:extent cx="6858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-1002030</wp:posOffset>
            </wp:positionV>
            <wp:extent cx="2914650" cy="1797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14650" cy="1797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Nine months ended September 30,</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tcPr>
          <w:p>
            <w:pPr>
              <w:ind w:left="20"/>
              <w:spacing w:after="0"/>
              <w:rPr>
                <w:sz w:val="20"/>
                <w:szCs w:val="20"/>
                <w:color w:val="auto"/>
              </w:rPr>
            </w:pPr>
            <w:r>
              <w:rPr>
                <w:rFonts w:ascii="Arial" w:cs="Arial" w:eastAsia="Arial" w:hAnsi="Arial"/>
                <w:sz w:val="13"/>
                <w:szCs w:val="13"/>
                <w:b w:val="1"/>
                <w:bCs w:val="1"/>
                <w:color w:val="auto"/>
              </w:rPr>
              <w:t>(in thousands)</w:t>
            </w: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operating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10,172</w:t>
            </w:r>
          </w:p>
        </w:tc>
        <w:tc>
          <w:tcPr>
            <w:tcW w:w="26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9,701</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8,769</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7,609</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Unrealized foreign currency (loss) gain</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(138 )</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2,525</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Fair value adjustment to earnout liabilities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Earnout payments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(1,007 )</w:t>
            </w: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Gain (loss) on sale of property and equipment</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(7 )</w:t>
            </w:r>
          </w:p>
        </w:tc>
      </w:tr>
      <w:tr>
        <w:trPr>
          <w:trHeight w:val="239"/>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Debt discount amortization</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271</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Share-based compensation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3,096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2,859</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Bad debt expense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823</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380"/>
              <w:spacing w:after="0"/>
              <w:rPr>
                <w:sz w:val="20"/>
                <w:szCs w:val="20"/>
                <w:color w:val="auto"/>
              </w:rPr>
            </w:pPr>
            <w:r>
              <w:rPr>
                <w:rFonts w:ascii="Arial" w:cs="Arial" w:eastAsia="Arial" w:hAnsi="Arial"/>
                <w:sz w:val="16"/>
                <w:szCs w:val="16"/>
                <w:color w:val="auto"/>
              </w:rPr>
              <w:t>Inventory reserve expense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526</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Changes in operating assets and liabilities, net of acquisitions: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(25,961 )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(15,772 )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Costs and estimated earnings in excess of billings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6,006</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(4,846 )</w:t>
            </w: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(10,395 )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(4,620 )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Prepaid expense and other current assets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(8,228 )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(1,900 )</w:t>
            </w: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Deferred charges and other assets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(268 )</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2,311</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21,162</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13,050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Accrued expenses</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7,868</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Billings in excess of costs and estimated earnings on uncompleted contracts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19,330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6,567</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Income taxes payable</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261</w:t>
            </w: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(51 )</w:t>
            </w:r>
          </w:p>
        </w:tc>
      </w:tr>
      <w:tr>
        <w:trPr>
          <w:trHeight w:val="233"/>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liabilities, net</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(3,473 )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(2,538 )</w:t>
            </w:r>
          </w:p>
        </w:tc>
      </w:tr>
      <w:tr>
        <w:trPr>
          <w:trHeight w:val="223"/>
        </w:trPr>
        <w:tc>
          <w:tcPr>
            <w:tcW w:w="732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29,491</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19,696</w:t>
            </w:r>
          </w:p>
        </w:tc>
        <w:tc>
          <w:tcPr>
            <w:tcW w:w="100" w:type="dxa"/>
            <w:vAlign w:val="bottom"/>
            <w:tcBorders>
              <w:top w:val="single" w:sz="8" w:color="CFF0FC"/>
            </w:tcBorders>
          </w:tcPr>
          <w:p>
            <w:pPr>
              <w:spacing w:after="0"/>
              <w:rPr>
                <w:sz w:val="19"/>
                <w:szCs w:val="19"/>
                <w:color w:val="auto"/>
              </w:rPr>
            </w:pPr>
          </w:p>
        </w:tc>
      </w:tr>
      <w:tr>
        <w:trPr>
          <w:trHeight w:val="229"/>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flows from investing activities:</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Acquisitions of property and equipment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(5,511 )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(2,367 )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proceeds from sale of assets</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Net cash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(48,102 )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(44,900 )</w:t>
            </w:r>
          </w:p>
        </w:tc>
      </w:tr>
      <w:tr>
        <w:trPr>
          <w:trHeight w:val="23"/>
        </w:trPr>
        <w:tc>
          <w:tcPr>
            <w:tcW w:w="7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7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(53,613 )</w:t>
            </w: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(47,260 )</w:t>
            </w:r>
          </w:p>
        </w:tc>
      </w:tr>
      <w:tr>
        <w:trPr>
          <w:trHeight w:val="220"/>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Cash flows from financing activities:</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Borrowings on revolving credit lines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94,200</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73,600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Repayments on revolving credit lines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(63,200 )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(35,900 )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Borrowing on long-term debt</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11,000</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Repayments of long-term debt</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(2,478 )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(2,294 )</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financing fees paid</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(130 )</w:t>
            </w: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Deferred consideration paid for acquisitions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(1,247 )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Payments on finance leases and financing liability</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(680 )</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(444 )</w:t>
            </w: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Earnout payments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(1,496 )</w:t>
            </w:r>
          </w:p>
        </w:tc>
        <w:tc>
          <w:tcPr>
            <w:tcW w:w="42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39"/>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Proceeds from employee stock purchase plan and exercise of stock options</w:t>
            </w: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1,435</w:t>
            </w: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FF0FC"/>
          </w:tcPr>
          <w:p>
            <w:pPr>
              <w:spacing w:after="0"/>
              <w:rPr>
                <w:sz w:val="20"/>
                <w:szCs w:val="20"/>
                <w:color w:val="auto"/>
              </w:rPr>
            </w:pPr>
          </w:p>
        </w:tc>
      </w:tr>
      <w:tr>
        <w:trPr>
          <w:trHeight w:val="220"/>
        </w:trPr>
        <w:tc>
          <w:tcPr>
            <w:tcW w:w="7320" w:type="dxa"/>
            <w:vAlign w:val="bottom"/>
          </w:tcPr>
          <w:p>
            <w:pPr>
              <w:ind w:left="200"/>
              <w:spacing w:after="0"/>
              <w:rPr>
                <w:sz w:val="20"/>
                <w:szCs w:val="20"/>
                <w:color w:val="auto"/>
              </w:rPr>
            </w:pPr>
            <w:r>
              <w:rPr>
                <w:rFonts w:ascii="Arial" w:cs="Arial" w:eastAsia="Arial" w:hAnsi="Arial"/>
                <w:sz w:val="16"/>
                <w:szCs w:val="16"/>
                <w:color w:val="auto"/>
              </w:rPr>
              <w:t>Noncontrolling interest distributions</w:t>
            </w:r>
          </w:p>
        </w:tc>
        <w:tc>
          <w:tcPr>
            <w:tcW w:w="42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6"/>
                <w:szCs w:val="16"/>
                <w:color w:val="auto"/>
              </w:rPr>
              <w:t>(1,364 )</w:t>
            </w:r>
          </w:p>
        </w:tc>
        <w:tc>
          <w:tcPr>
            <w:tcW w:w="420" w:type="dxa"/>
            <w:vAlign w:val="bottom"/>
          </w:tcPr>
          <w:p>
            <w:pPr>
              <w:spacing w:after="0"/>
              <w:rPr>
                <w:sz w:val="19"/>
                <w:szCs w:val="19"/>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(1,201 )</w:t>
            </w:r>
          </w:p>
        </w:tc>
      </w:tr>
      <w:tr>
        <w:trPr>
          <w:trHeight w:val="233"/>
        </w:trPr>
        <w:tc>
          <w:tcPr>
            <w:tcW w:w="7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Common stock repurchased</w:t>
            </w:r>
          </w:p>
        </w:tc>
        <w:tc>
          <w:tcPr>
            <w:tcW w:w="4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(6,558 )</w:t>
            </w:r>
          </w:p>
        </w:tc>
      </w:tr>
      <w:tr>
        <w:trPr>
          <w:trHeight w:val="223"/>
        </w:trPr>
        <w:tc>
          <w:tcPr>
            <w:tcW w:w="7320" w:type="dxa"/>
            <w:vAlign w:val="bottom"/>
            <w:tcBorders>
              <w:top w:val="single" w:sz="8" w:color="CFF0FC"/>
            </w:tcBorders>
          </w:tcPr>
          <w:p>
            <w:pPr>
              <w:ind w:left="380"/>
              <w:spacing w:after="0"/>
              <w:rPr>
                <w:sz w:val="20"/>
                <w:szCs w:val="20"/>
                <w:color w:val="auto"/>
              </w:rPr>
            </w:pPr>
            <w:r>
              <w:rPr>
                <w:rFonts w:ascii="Arial" w:cs="Arial" w:eastAsia="Arial" w:hAnsi="Arial"/>
                <w:sz w:val="16"/>
                <w:szCs w:val="16"/>
                <w:color w:val="auto"/>
              </w:rPr>
              <w:t>Net cash provided by financing activities</w:t>
            </w: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25,170</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38,242</w:t>
            </w:r>
          </w:p>
        </w:tc>
        <w:tc>
          <w:tcPr>
            <w:tcW w:w="100" w:type="dxa"/>
            <w:vAlign w:val="bottom"/>
            <w:tcBorders>
              <w:top w:val="single" w:sz="8" w:color="CFF0FC"/>
            </w:tcBorders>
          </w:tcPr>
          <w:p>
            <w:pPr>
              <w:spacing w:after="0"/>
              <w:rPr>
                <w:sz w:val="19"/>
                <w:szCs w:val="19"/>
                <w:color w:val="auto"/>
              </w:rPr>
            </w:pPr>
          </w:p>
        </w:tc>
      </w:tr>
      <w:tr>
        <w:trPr>
          <w:trHeight w:val="223"/>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4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(6,459 )</w:t>
            </w:r>
          </w:p>
        </w:tc>
      </w:tr>
      <w:tr>
        <w:trPr>
          <w:trHeight w:val="220"/>
        </w:trPr>
        <w:tc>
          <w:tcPr>
            <w:tcW w:w="7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1,751</w:t>
            </w:r>
          </w:p>
        </w:tc>
        <w:tc>
          <w:tcPr>
            <w:tcW w:w="260" w:type="dxa"/>
            <w:vAlign w:val="bottom"/>
            <w:tcBorders>
              <w:top w:val="single" w:sz="8" w:color="CFF0FC"/>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4,219</w:t>
            </w:r>
          </w:p>
        </w:tc>
        <w:tc>
          <w:tcPr>
            <w:tcW w:w="100" w:type="dxa"/>
            <w:vAlign w:val="bottom"/>
            <w:tcBorders>
              <w:top w:val="single" w:sz="8" w:color="CFF0FC"/>
            </w:tcBorders>
          </w:tcPr>
          <w:p>
            <w:pPr>
              <w:spacing w:after="0"/>
              <w:rPr>
                <w:sz w:val="19"/>
                <w:szCs w:val="19"/>
                <w:color w:val="auto"/>
              </w:rPr>
            </w:pPr>
          </w:p>
        </w:tc>
      </w:tr>
      <w:tr>
        <w:trPr>
          <w:trHeight w:val="233"/>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46,585</w:t>
            </w:r>
          </w:p>
        </w:tc>
        <w:tc>
          <w:tcPr>
            <w:tcW w:w="2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31,995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48,336</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36,214</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Cash paid during the period for:</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23"/>
        </w:trPr>
        <w:tc>
          <w:tcPr>
            <w:tcW w:w="7320" w:type="dxa"/>
            <w:vAlign w:val="bottom"/>
          </w:tcPr>
          <w:p>
            <w:pPr>
              <w:ind w:left="200"/>
              <w:spacing w:after="0"/>
              <w:rPr>
                <w:sz w:val="20"/>
                <w:szCs w:val="20"/>
                <w:color w:val="auto"/>
              </w:rPr>
            </w:pPr>
            <w:r>
              <w:rPr>
                <w:rFonts w:ascii="Arial" w:cs="Arial" w:eastAsia="Arial" w:hAnsi="Arial"/>
                <w:sz w:val="16"/>
                <w:szCs w:val="16"/>
                <w:color w:val="auto"/>
              </w:rPr>
              <w:t>Interest</w:t>
            </w:r>
          </w:p>
        </w:tc>
        <w:tc>
          <w:tcPr>
            <w:tcW w:w="42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8,531</w:t>
            </w: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3,239</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taxes</w:t>
            </w:r>
          </w:p>
        </w:tc>
        <w:tc>
          <w:tcPr>
            <w:tcW w:w="42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8,633</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3,566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534"/>
        </w:trPr>
        <w:tc>
          <w:tcPr>
            <w:tcW w:w="7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-4302760</wp:posOffset>
            </wp:positionV>
            <wp:extent cx="6858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-4302760</wp:posOffset>
            </wp:positionV>
            <wp:extent cx="68580" cy="1631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-3402330</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-1645285</wp:posOffset>
            </wp:positionV>
            <wp:extent cx="68580" cy="1631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-1336675</wp:posOffset>
            </wp:positionV>
            <wp:extent cx="685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-1036320</wp:posOffset>
            </wp:positionV>
            <wp:extent cx="6858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1803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-710565</wp:posOffset>
            </wp:positionV>
            <wp:extent cx="6858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1803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8034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-385445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-367665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right="60"/>
        <w:spacing w:after="0"/>
        <w:rPr>
          <w:sz w:val="20"/>
          <w:szCs w:val="20"/>
          <w:color w:val="auto"/>
        </w:rPr>
      </w:pPr>
      <w:r>
        <w:rPr>
          <w:rFonts w:ascii="Arial" w:cs="Arial" w:eastAsia="Arial" w:hAnsi="Arial"/>
          <w:sz w:val="18"/>
          <w:szCs w:val="18"/>
          <w:b w:val="1"/>
          <w:bCs w:val="1"/>
          <w:color w:val="auto"/>
        </w:rPr>
        <w:t>CECO ENVIRONMENTAL CORP. AND SUBSIDIARIES</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8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6"/>
              </w:rPr>
              <w:t>Three months ended September 30,</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69"/>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ratios)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7"/>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as reported in accordance with GAAP</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ind w:right="4"/>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320" w:type="dxa"/>
            <w:vAlign w:val="bottom"/>
          </w:tcPr>
          <w:p>
            <w:pPr>
              <w:ind w:left="200"/>
              <w:spacing w:after="0"/>
              <w:rPr>
                <w:sz w:val="20"/>
                <w:szCs w:val="20"/>
                <w:color w:val="auto"/>
              </w:rPr>
            </w:pPr>
            <w:r>
              <w:rPr>
                <w:rFonts w:ascii="Arial" w:cs="Arial" w:eastAsia="Arial" w:hAnsi="Arial"/>
                <w:sz w:val="18"/>
                <w:szCs w:val="18"/>
                <w:i w:val="1"/>
                <w:iCs w:val="1"/>
                <w:color w:val="auto"/>
              </w:rPr>
              <w:t>Operating margin in accordance with GAAP</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5.3 %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i w:val="1"/>
                <w:iCs w:val="1"/>
                <w:color w:val="auto"/>
              </w:rPr>
              <w:t>2.6 %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5.6 %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i w:val="1"/>
                <w:iCs w:val="1"/>
                <w:color w:val="auto"/>
              </w:rPr>
              <w:t>4.5 %</w:t>
            </w:r>
          </w:p>
        </w:tc>
      </w:tr>
      <w:tr>
        <w:trPr>
          <w:trHeight w:val="249"/>
        </w:trPr>
        <w:tc>
          <w:tcPr>
            <w:tcW w:w="5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and earnout expenses</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320" w:type="dxa"/>
            <w:vAlign w:val="bottom"/>
          </w:tcPr>
          <w:p>
            <w:pPr>
              <w:ind w:left="380"/>
              <w:spacing w:after="0"/>
              <w:rPr>
                <w:sz w:val="20"/>
                <w:szCs w:val="20"/>
                <w:color w:val="auto"/>
              </w:rPr>
            </w:pPr>
            <w:r>
              <w:rPr>
                <w:rFonts w:ascii="Arial" w:cs="Arial" w:eastAsia="Arial" w:hAnsi="Arial"/>
                <w:sz w:val="18"/>
                <w:szCs w:val="18"/>
                <w:color w:val="auto"/>
              </w:rPr>
              <w:t>Acquisition and integration expenses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Executive transition expenses</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5320" w:type="dxa"/>
            <w:vAlign w:val="bottom"/>
          </w:tcPr>
          <w:p>
            <w:pPr>
              <w:ind w:left="380"/>
              <w:spacing w:after="0"/>
              <w:rPr>
                <w:sz w:val="20"/>
                <w:szCs w:val="20"/>
                <w:color w:val="auto"/>
              </w:rPr>
            </w:pPr>
            <w:r>
              <w:rPr>
                <w:rFonts w:ascii="Arial" w:cs="Arial" w:eastAsia="Arial" w:hAnsi="Arial"/>
                <w:sz w:val="18"/>
                <w:szCs w:val="18"/>
                <w:color w:val="auto"/>
              </w:rPr>
              <w:t>Restructuring expenses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Non-GAAP operating income</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tcBorders>
              <w:top w:val="single" w:sz="8" w:color="auto"/>
            </w:tcBorders>
            <w:gridSpan w:val="2"/>
            <w:shd w:val="clear" w:color="auto" w:fill="CFF0FC"/>
          </w:tcPr>
          <w:p>
            <w:pPr>
              <w:jc w:val="right"/>
              <w:ind w:right="4"/>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5320" w:type="dxa"/>
            <w:vAlign w:val="bottom"/>
          </w:tcPr>
          <w:p>
            <w:pPr>
              <w:ind w:left="200"/>
              <w:spacing w:after="0"/>
              <w:rPr>
                <w:sz w:val="20"/>
                <w:szCs w:val="20"/>
                <w:color w:val="auto"/>
              </w:rPr>
            </w:pPr>
            <w:r>
              <w:rPr>
                <w:rFonts w:ascii="Arial" w:cs="Arial" w:eastAsia="Arial" w:hAnsi="Arial"/>
                <w:sz w:val="18"/>
                <w:szCs w:val="18"/>
                <w:i w:val="1"/>
                <w:iCs w:val="1"/>
                <w:color w:val="auto"/>
              </w:rPr>
              <w:t>Non-GAAP operating margin</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8"/>
                <w:szCs w:val="18"/>
                <w:i w:val="1"/>
                <w:iCs w:val="1"/>
                <w:color w:val="auto"/>
              </w:rPr>
              <w:t>8.6 %</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i w:val="1"/>
                <w:iCs w:val="1"/>
                <w:color w:val="auto"/>
              </w:rPr>
              <w:t>6.7 %</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i w:val="1"/>
                <w:iCs w:val="1"/>
                <w:color w:val="auto"/>
              </w:rPr>
              <w:t>8.1 %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i w:val="1"/>
                <w:iCs w:val="1"/>
                <w:color w:val="auto"/>
              </w:rPr>
              <w:t>7.7 %</w:t>
            </w:r>
          </w:p>
        </w:tc>
      </w:tr>
      <w:tr>
        <w:trPr>
          <w:trHeight w:val="661"/>
        </w:trPr>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09"/>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data)</w:t>
            </w: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 as reported in accordance with GAAP</w:t>
            </w:r>
          </w:p>
        </w:tc>
        <w:tc>
          <w:tcPr>
            <w:tcW w:w="260" w:type="dxa"/>
            <w:vAlign w:val="bottom"/>
            <w:gridSpan w:val="3"/>
            <w:shd w:val="clear" w:color="auto" w:fill="CFF0FC"/>
          </w:tcPr>
          <w:p>
            <w:pPr>
              <w:jc w:val="right"/>
              <w:ind w:right="3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33"/>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9.1</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320" w:type="dxa"/>
            <w:vAlign w:val="bottom"/>
          </w:tcPr>
          <w:p>
            <w:pPr>
              <w:ind w:left="380"/>
              <w:spacing w:after="0"/>
              <w:rPr>
                <w:sz w:val="20"/>
                <w:szCs w:val="20"/>
                <w:color w:val="auto"/>
              </w:rPr>
            </w:pPr>
            <w:r>
              <w:rPr>
                <w:rFonts w:ascii="Arial" w:cs="Arial" w:eastAsia="Arial" w:hAnsi="Arial"/>
                <w:sz w:val="16"/>
                <w:szCs w:val="16"/>
                <w:color w:val="auto"/>
              </w:rPr>
              <w:t>Amortization and earnout expenses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Acquisition and integration expenses</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320" w:type="dxa"/>
            <w:vAlign w:val="bottom"/>
          </w:tcPr>
          <w:p>
            <w:pPr>
              <w:ind w:left="380"/>
              <w:spacing w:after="0"/>
              <w:rPr>
                <w:sz w:val="20"/>
                <w:szCs w:val="20"/>
                <w:color w:val="auto"/>
              </w:rPr>
            </w:pPr>
            <w:r>
              <w:rPr>
                <w:rFonts w:ascii="Arial" w:cs="Arial" w:eastAsia="Arial" w:hAnsi="Arial"/>
                <w:sz w:val="16"/>
                <w:szCs w:val="16"/>
                <w:color w:val="auto"/>
              </w:rPr>
              <w:t>Executive transition expenses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Restructuring expenses</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80" w:type="dxa"/>
            <w:vAlign w:val="bottom"/>
            <w:gridSpan w:val="4"/>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5320" w:type="dxa"/>
            <w:vAlign w:val="bottom"/>
          </w:tcPr>
          <w:p>
            <w:pPr>
              <w:ind w:left="380"/>
              <w:spacing w:after="0"/>
              <w:rPr>
                <w:sz w:val="20"/>
                <w:szCs w:val="20"/>
                <w:color w:val="auto"/>
              </w:rPr>
            </w:pPr>
            <w:r>
              <w:rPr>
                <w:rFonts w:ascii="Arial" w:cs="Arial" w:eastAsia="Arial" w:hAnsi="Arial"/>
                <w:sz w:val="16"/>
                <w:szCs w:val="16"/>
                <w:color w:val="auto"/>
              </w:rPr>
              <w:t>Foreign currency remeasurement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6"/>
                <w:szCs w:val="16"/>
                <w:color w:val="auto"/>
              </w:rPr>
              <w:t>(0.1 )</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 benefit expense of adjustments</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(1.4 )</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(1.8 )</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(2.4 )</w:t>
            </w: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(3.1 )</w:t>
            </w:r>
          </w:p>
        </w:tc>
        <w:tc>
          <w:tcPr>
            <w:tcW w:w="60" w:type="dxa"/>
            <w:vAlign w:val="bottom"/>
          </w:tcPr>
          <w:p>
            <w:pPr>
              <w:spacing w:after="0"/>
              <w:rPr>
                <w:sz w:val="20"/>
                <w:szCs w:val="20"/>
                <w:color w:val="auto"/>
              </w:rPr>
            </w:pPr>
          </w:p>
        </w:tc>
      </w:tr>
      <w:tr>
        <w:trPr>
          <w:trHeight w:val="220"/>
        </w:trPr>
        <w:tc>
          <w:tcPr>
            <w:tcW w:w="5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Non-GAAP net income</w:t>
            </w:r>
          </w:p>
        </w:tc>
        <w:tc>
          <w:tcPr>
            <w:tcW w:w="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7.6</w:t>
            </w:r>
          </w:p>
        </w:tc>
        <w:tc>
          <w:tcPr>
            <w:tcW w:w="24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gridSpan w:val="2"/>
          </w:tcPr>
          <w:p>
            <w:pPr>
              <w:jc w:val="right"/>
              <w:ind w:right="133"/>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18.5</w:t>
            </w: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53"/>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Depreciation</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0.9</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5320" w:type="dxa"/>
            <w:vAlign w:val="bottom"/>
          </w:tcPr>
          <w:p>
            <w:pPr>
              <w:ind w:left="380"/>
              <w:spacing w:after="0"/>
              <w:rPr>
                <w:sz w:val="20"/>
                <w:szCs w:val="20"/>
                <w:color w:val="auto"/>
              </w:rPr>
            </w:pPr>
            <w:r>
              <w:rPr>
                <w:rFonts w:ascii="Arial" w:cs="Arial" w:eastAsia="Arial" w:hAnsi="Arial"/>
                <w:sz w:val="16"/>
                <w:szCs w:val="16"/>
                <w:color w:val="auto"/>
              </w:rPr>
              <w:t>Non-cash stock compensation</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(income) expense</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(0.6 )</w:t>
            </w: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(3.8 )</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(5.3 )</w:t>
            </w:r>
          </w:p>
        </w:tc>
        <w:tc>
          <w:tcPr>
            <w:tcW w:w="60" w:type="dxa"/>
            <w:vAlign w:val="bottom"/>
          </w:tcPr>
          <w:p>
            <w:pPr>
              <w:spacing w:after="0"/>
              <w:rPr>
                <w:sz w:val="20"/>
                <w:szCs w:val="20"/>
                <w:color w:val="auto"/>
              </w:rPr>
            </w:pPr>
          </w:p>
        </w:tc>
      </w:tr>
      <w:tr>
        <w:trPr>
          <w:trHeight w:val="220"/>
        </w:trPr>
        <w:tc>
          <w:tcPr>
            <w:tcW w:w="532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 expense</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5320" w:type="dxa"/>
            <w:vAlign w:val="bottom"/>
          </w:tcPr>
          <w:p>
            <w:pPr>
              <w:ind w:left="380"/>
              <w:spacing w:after="0"/>
              <w:rPr>
                <w:sz w:val="20"/>
                <w:szCs w:val="20"/>
                <w:color w:val="auto"/>
              </w:rPr>
            </w:pPr>
            <w:r>
              <w:rPr>
                <w:rFonts w:ascii="Arial" w:cs="Arial" w:eastAsia="Arial" w:hAnsi="Arial"/>
                <w:sz w:val="16"/>
                <w:szCs w:val="16"/>
                <w:color w:val="auto"/>
              </w:rPr>
              <w:t>Noncontrolling interest</w:t>
            </w: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0.4</w:t>
            </w:r>
          </w:p>
        </w:tc>
        <w:tc>
          <w:tcPr>
            <w:tcW w:w="2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Adjusted EBITDA</w:t>
            </w:r>
          </w:p>
        </w:tc>
        <w:tc>
          <w:tcPr>
            <w:tcW w:w="260" w:type="dxa"/>
            <w:vAlign w:val="bottom"/>
            <w:gridSpan w:val="3"/>
            <w:shd w:val="clear" w:color="auto" w:fill="CFF0FC"/>
          </w:tcPr>
          <w:p>
            <w:pPr>
              <w:jc w:val="right"/>
              <w:ind w:right="3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33"/>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share: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320" w:type="dxa"/>
            <w:vAlign w:val="bottom"/>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gridSpan w:val="3"/>
          </w:tcPr>
          <w:p>
            <w:pPr>
              <w:jc w:val="right"/>
              <w:ind w:right="3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0.10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0.06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0.26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tcPr>
          <w:p>
            <w:pPr>
              <w:jc w:val="right"/>
              <w:ind w:right="133"/>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gridSpan w:val="3"/>
            <w:shd w:val="clear" w:color="auto" w:fill="CFF0FC"/>
          </w:tcPr>
          <w:p>
            <w:pPr>
              <w:jc w:val="right"/>
              <w:ind w:right="3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0.09</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0.26</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33"/>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0.26</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5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Non-GAAP net income per share:</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320" w:type="dxa"/>
            <w:vAlign w:val="bottom"/>
          </w:tcPr>
          <w:p>
            <w:pPr>
              <w:ind w:left="380"/>
              <w:spacing w:after="0"/>
              <w:rPr>
                <w:sz w:val="20"/>
                <w:szCs w:val="20"/>
                <w:color w:val="auto"/>
              </w:rPr>
            </w:pPr>
            <w:r>
              <w:rPr>
                <w:rFonts w:ascii="Arial" w:cs="Arial" w:eastAsia="Arial" w:hAnsi="Arial"/>
                <w:sz w:val="16"/>
                <w:szCs w:val="16"/>
                <w:color w:val="auto"/>
              </w:rPr>
              <w:t>Basic</w:t>
            </w:r>
          </w:p>
        </w:tc>
        <w:tc>
          <w:tcPr>
            <w:tcW w:w="260" w:type="dxa"/>
            <w:vAlign w:val="bottom"/>
            <w:gridSpan w:val="3"/>
          </w:tcPr>
          <w:p>
            <w:pPr>
              <w:jc w:val="right"/>
              <w:ind w:right="3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0.22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gridSpan w:val="2"/>
          </w:tcPr>
          <w:p>
            <w:pPr>
              <w:jc w:val="right"/>
              <w:ind w:right="133"/>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9"/>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Diluted</w:t>
            </w:r>
          </w:p>
        </w:tc>
        <w:tc>
          <w:tcPr>
            <w:tcW w:w="260" w:type="dxa"/>
            <w:vAlign w:val="bottom"/>
            <w:gridSpan w:val="3"/>
            <w:shd w:val="clear" w:color="auto" w:fill="CFF0FC"/>
          </w:tcPr>
          <w:p>
            <w:pPr>
              <w:jc w:val="right"/>
              <w:ind w:right="3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0.22</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0.20</w:t>
            </w:r>
          </w:p>
        </w:tc>
        <w:tc>
          <w:tcPr>
            <w:tcW w:w="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0.46</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33"/>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648"/>
        </w:trPr>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10"/>
        </w:trPr>
        <w:tc>
          <w:tcPr>
            <w:tcW w:w="532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5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0"/>
        </w:trPr>
        <w:tc>
          <w:tcPr>
            <w:tcW w:w="5320" w:type="dxa"/>
            <w:vAlign w:val="bottom"/>
          </w:tcPr>
          <w:p>
            <w:pPr>
              <w:ind w:left="380"/>
              <w:spacing w:after="0"/>
              <w:rPr>
                <w:sz w:val="20"/>
                <w:szCs w:val="20"/>
                <w:color w:val="auto"/>
              </w:rPr>
            </w:pPr>
            <w:r>
              <w:rPr>
                <w:rFonts w:ascii="Arial" w:cs="Arial" w:eastAsia="Arial" w:hAnsi="Arial"/>
                <w:sz w:val="16"/>
                <w:szCs w:val="16"/>
                <w:color w:val="auto"/>
              </w:rPr>
              <w:t>Earnout payments (within operating activities)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4"/>
          </w:tcPr>
          <w:p>
            <w:pPr>
              <w:jc w:val="right"/>
              <w:ind w:right="3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180" w:type="dxa"/>
            <w:vAlign w:val="bottom"/>
            <w:gridSpan w:val="4"/>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53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Acquisitions of property and equipment</w:t>
            </w: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(1.6 )</w:t>
            </w:r>
          </w:p>
        </w:tc>
        <w:tc>
          <w:tcPr>
            <w:tcW w:w="2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(0.9 )</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(5.5 )</w:t>
            </w:r>
          </w:p>
        </w:tc>
        <w:tc>
          <w:tcPr>
            <w:tcW w:w="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32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Free cash flow</w:t>
            </w:r>
          </w:p>
        </w:tc>
        <w:tc>
          <w:tcPr>
            <w:tcW w:w="1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w:t>
            </w:r>
          </w:p>
        </w:tc>
        <w:tc>
          <w:tcPr>
            <w:tcW w:w="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350"/>
        </w:trPr>
        <w:tc>
          <w:tcPr>
            <w:tcW w:w="5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-3745230</wp:posOffset>
            </wp:positionV>
            <wp:extent cx="7747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-3745230</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-3745230</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-3745230</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-376555</wp:posOffset>
            </wp:positionV>
            <wp:extent cx="7747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-376555</wp:posOffset>
            </wp:positionV>
            <wp:extent cx="7747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-376555</wp:posOffset>
            </wp:positionV>
            <wp:extent cx="6858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-376555</wp:posOffset>
            </wp:positionV>
            <wp:extent cx="6858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1" w:right="2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NOTE REGARDING NON-GAAP FINANCIAL MEASURES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2022 and may be included in subsequently filed Quarterly Reports on Form 10-Q, and include, but are not limited to: the sensitivity of our business to economic and financial market conditions generally and economic conditions in our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our ability to successfully realize the expected benefits of our restructuring program; our ability to successfully integrate acquired businesses and realize the synergies from strategic transactions; the unpredictability and severity of catastrophic events, including cyber security threats, acts of terrorism or outbreak of war or hostilities or public health crises, as well as management’s response to any of the aforementioned factors; and our ability to remediate our material weaknesses, or any other material weakness that we may identify in the future that could result in material misstatements in our financial statements.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173990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2023-11-07T06:14:42Z</dcterms:created>
  <dcterms:modified xsi:type="dcterms:W3CDTF">2023-11-07T06:14:42Z</dcterms:modified>
</cp:coreProperties>
</file>