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reported): June 12,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159385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13-2566064</w:t>
      </w:r>
    </w:p>
    <w:p>
      <w:pPr>
        <w:spacing w:after="0" w:line="12" w:lineRule="exact"/>
        <w:rPr>
          <w:sz w:val="24"/>
          <w:szCs w:val="24"/>
          <w:color w:val="auto"/>
        </w:rPr>
      </w:pPr>
    </w:p>
    <w:p>
      <w:pPr>
        <w:sectPr>
          <w:pgSz w:w="11900" w:h="16838" w:orient="portrait"/>
          <w:cols w:equalWidth="0" w:num="3">
            <w:col w:w="4780" w:space="720"/>
            <w:col w:w="2940" w:space="720"/>
            <w:col w:w="2260"/>
          </w:cols>
          <w:pgMar w:left="240" w:top="362" w:right="23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20" w:space="720"/>
            <w:col w:w="2360"/>
          </w:cols>
          <w:pgMar w:left="240" w:top="362" w:right="239" w:bottom="1440" w:gutter="0" w:footer="0" w:header="0"/>
          <w:type w:val="continuous"/>
        </w:sectPr>
      </w:pPr>
    </w:p>
    <w:p>
      <w:pPr>
        <w:spacing w:after="0" w:line="15"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14651 North Dallas Parkway</w:t>
      </w:r>
    </w:p>
    <w:p>
      <w:pPr>
        <w:spacing w:after="0" w:line="31"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Dallas, Texas</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75254</w:t>
      </w:r>
    </w:p>
    <w:p>
      <w:pPr>
        <w:spacing w:after="0" w:line="42" w:lineRule="exact"/>
        <w:rPr>
          <w:sz w:val="24"/>
          <w:szCs w:val="24"/>
          <w:color w:val="auto"/>
        </w:rPr>
      </w:pPr>
    </w:p>
    <w:p>
      <w:pPr>
        <w:sectPr>
          <w:pgSz w:w="11900" w:h="16838" w:orient="portrait"/>
          <w:cols w:equalWidth="0" w:num="2">
            <w:col w:w="7680" w:space="720"/>
            <w:col w:w="3020"/>
          </w:cols>
          <w:pgMar w:left="240" w:top="362" w:right="239" w:bottom="1440" w:gutter="0" w:footer="0" w:header="0"/>
          <w:type w:val="continuous"/>
        </w:sectPr>
      </w:pPr>
    </w:p>
    <w:p>
      <w:pPr>
        <w:ind w:left="16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580" w:space="720"/>
            <w:col w:w="3120"/>
          </w:cols>
          <w:pgMar w:left="240" w:top="362" w:right="2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(513) 458-2600</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6"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2"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5.07 Submission of Matters to a Vote of Security Holders.</w:t>
      </w:r>
    </w:p>
    <w:p>
      <w:pPr>
        <w:spacing w:after="0" w:line="117" w:lineRule="exact"/>
        <w:rPr>
          <w:sz w:val="20"/>
          <w:szCs w:val="20"/>
          <w:color w:val="auto"/>
        </w:rPr>
      </w:pPr>
    </w:p>
    <w:p>
      <w:pPr>
        <w:ind w:right="280"/>
        <w:spacing w:after="0" w:line="262" w:lineRule="auto"/>
        <w:rPr>
          <w:sz w:val="20"/>
          <w:szCs w:val="20"/>
          <w:color w:val="auto"/>
        </w:rPr>
      </w:pPr>
      <w:r>
        <w:rPr>
          <w:rFonts w:ascii="Times New Roman" w:cs="Times New Roman" w:eastAsia="Times New Roman" w:hAnsi="Times New Roman"/>
          <w:sz w:val="18"/>
          <w:szCs w:val="18"/>
          <w:color w:val="auto"/>
        </w:rPr>
        <w:t>On June 12, 2018, CECO Environmental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2018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At the Annual Meeting, stockholders of the Company considered: 1) the election of the eight director nominees named in the proxy statement; 2) an advisory vote to approve the Company’s named executive officer compensation; and 3) the ratification of the Company’s independent registered public accounting firm for fiscal 2018. The voting results at the Annual Meeting with respect to each of the matters described above were as follows:</w:t>
      </w:r>
    </w:p>
    <w:p>
      <w:pPr>
        <w:spacing w:after="0" w:line="208"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eight director nominees named in the proxy statement and standing for election were elected based upon the following votes: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NOMINEE</w:t>
            </w: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10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0" w:type="dxa"/>
            <w:vAlign w:val="bottom"/>
          </w:tcPr>
          <w:p>
            <w:pPr>
              <w:spacing w:after="0"/>
              <w:rPr>
                <w:sz w:val="1"/>
                <w:szCs w:val="1"/>
                <w:color w:val="auto"/>
              </w:rPr>
            </w:pPr>
          </w:p>
        </w:tc>
      </w:tr>
      <w:tr>
        <w:trPr>
          <w:trHeight w:val="173"/>
        </w:trPr>
        <w:tc>
          <w:tcPr>
            <w:tcW w:w="84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1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Jason DeZwirek</w:t>
            </w:r>
          </w:p>
        </w:tc>
        <w:tc>
          <w:tcPr>
            <w:tcW w:w="69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21,797,609</w:t>
            </w: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2,719,958</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Dennis Sadlowski</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23,575,686</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941,881</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M. Goldberg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24,140,840</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376,727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Liner</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22,748,139</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1,769,428</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Claudio A. Mannarino</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24,144,548</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373,019</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Pollack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21,569,283</w:t>
            </w:r>
          </w:p>
        </w:tc>
        <w:tc>
          <w:tcPr>
            <w:tcW w:w="2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2,948,284</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Munish Nanda</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24,220,542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297,025</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r>
        <w:trPr>
          <w:trHeight w:val="234"/>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Valerie Gentile Sachs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23,914,511</w:t>
            </w:r>
          </w:p>
        </w:tc>
        <w:tc>
          <w:tcPr>
            <w:tcW w:w="2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603,056</w:t>
            </w: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5,715,636</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named executive officer compensation was approved on an advisory basis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2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10"/>
        </w:trPr>
        <w:tc>
          <w:tcPr>
            <w:tcW w:w="298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23,990,800</w:t>
            </w:r>
          </w:p>
        </w:tc>
        <w:tc>
          <w:tcPr>
            <w:tcW w:w="22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481,611</w:t>
            </w:r>
          </w:p>
        </w:tc>
        <w:tc>
          <w:tcPr>
            <w:tcW w:w="24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45,155</w:t>
            </w:r>
          </w:p>
        </w:tc>
        <w:tc>
          <w:tcPr>
            <w:tcW w:w="22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5,715,636</w:t>
            </w:r>
          </w:p>
        </w:tc>
      </w:tr>
    </w:tbl>
    <w:p>
      <w:pPr>
        <w:spacing w:after="0" w:line="225"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BDO USA, LLP as the Company’s independent registered public accounting firm for fiscal 2018 was ratified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w:t>
            </w:r>
          </w:p>
        </w:tc>
        <w:tc>
          <w:tcPr>
            <w:tcW w:w="3760" w:type="dxa"/>
            <w:vAlign w:val="bottom"/>
            <w:gridSpan w:val="2"/>
          </w:tcPr>
          <w:p>
            <w:pPr>
              <w:ind w:left="144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3420" w:type="dxa"/>
            <w:vAlign w:val="bottom"/>
          </w:tcPr>
          <w:p>
            <w:pPr>
              <w:ind w:left="1400"/>
              <w:spacing w:after="0"/>
              <w:rPr>
                <w:sz w:val="20"/>
                <w:szCs w:val="20"/>
                <w:color w:val="auto"/>
              </w:rPr>
            </w:pPr>
            <w:r>
              <w:rPr>
                <w:rFonts w:ascii="Times New Roman" w:cs="Times New Roman" w:eastAsia="Times New Roman" w:hAnsi="Times New Roman"/>
                <w:sz w:val="14"/>
                <w:szCs w:val="14"/>
                <w:b w:val="1"/>
                <w:bCs w:val="1"/>
                <w:color w:val="auto"/>
              </w:rPr>
              <w:t>ABSTAIN</w:t>
            </w:r>
          </w:p>
        </w:tc>
      </w:tr>
      <w:tr>
        <w:trPr>
          <w:trHeight w:val="210"/>
        </w:trPr>
        <w:tc>
          <w:tcPr>
            <w:tcW w:w="4000" w:type="dxa"/>
            <w:vAlign w:val="bottom"/>
            <w:tcBorders>
              <w:top w:val="single" w:sz="8" w:color="auto"/>
            </w:tcBorders>
            <w:shd w:val="clear" w:color="auto" w:fill="CCEEFF"/>
          </w:tcPr>
          <w:p>
            <w:pPr>
              <w:jc w:val="right"/>
              <w:ind w:right="1499"/>
              <w:spacing w:after="0"/>
              <w:rPr>
                <w:sz w:val="20"/>
                <w:szCs w:val="20"/>
                <w:color w:val="auto"/>
              </w:rPr>
            </w:pPr>
            <w:r>
              <w:rPr>
                <w:rFonts w:ascii="Times New Roman" w:cs="Times New Roman" w:eastAsia="Times New Roman" w:hAnsi="Times New Roman"/>
                <w:sz w:val="18"/>
                <w:szCs w:val="18"/>
                <w:color w:val="auto"/>
              </w:rPr>
              <w:t>29,419,166</w:t>
            </w:r>
          </w:p>
        </w:tc>
        <w:tc>
          <w:tcPr>
            <w:tcW w:w="24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8"/>
                <w:szCs w:val="18"/>
                <w:color w:val="auto"/>
              </w:rPr>
              <w:t>712,497</w:t>
            </w:r>
          </w:p>
        </w:tc>
        <w:tc>
          <w:tcPr>
            <w:tcW w:w="220" w:type="dxa"/>
            <w:vAlign w:val="bottom"/>
            <w:tcBorders>
              <w:top w:val="single" w:sz="8" w:color="CCEEFF"/>
            </w:tcBorders>
            <w:shd w:val="clear" w:color="auto" w:fill="CCEEFF"/>
          </w:tcPr>
          <w:p>
            <w:pPr>
              <w:spacing w:after="0"/>
              <w:rPr>
                <w:sz w:val="18"/>
                <w:szCs w:val="18"/>
                <w:color w:val="auto"/>
              </w:rPr>
            </w:pPr>
          </w:p>
        </w:tc>
        <w:tc>
          <w:tcPr>
            <w:tcW w:w="342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101,539</w:t>
            </w:r>
          </w:p>
        </w:tc>
      </w:tr>
      <w:tr>
        <w:trPr>
          <w:trHeight w:val="365"/>
        </w:trPr>
        <w:tc>
          <w:tcPr>
            <w:tcW w:w="4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4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3420" w:type="dxa"/>
            <w:vAlign w:val="bottom"/>
          </w:tcPr>
          <w:p>
            <w:pPr>
              <w:spacing w:after="0"/>
              <w:rPr>
                <w:sz w:val="24"/>
                <w:szCs w:val="24"/>
                <w:color w:val="auto"/>
              </w:rPr>
            </w:pPr>
          </w:p>
        </w:tc>
      </w:tr>
    </w:tbl>
    <w:p>
      <w:pPr>
        <w:sectPr>
          <w:pgSz w:w="11900" w:h="16838" w:orient="portrait"/>
          <w:cols w:equalWidth="0" w:num="1">
            <w:col w:w="11420"/>
          </w:cols>
          <w:pgMar w:left="240" w:top="266" w:right="239" w:bottom="1440" w:gutter="0" w:footer="0" w:header="0"/>
        </w:sectPr>
      </w:pPr>
    </w:p>
    <w:bookmarkStart w:id="2" w:name="page3"/>
    <w:bookmarkEnd w:id="2"/>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tabs>
          <w:tab w:leader="none" w:pos="5880" w:val="left"/>
        </w:tabs>
        <w:rPr>
          <w:sz w:val="20"/>
          <w:szCs w:val="20"/>
          <w:color w:val="auto"/>
        </w:rPr>
      </w:pPr>
      <w:r>
        <w:rPr>
          <w:rFonts w:ascii="Times New Roman" w:cs="Times New Roman" w:eastAsia="Times New Roman" w:hAnsi="Times New Roman"/>
          <w:sz w:val="18"/>
          <w:szCs w:val="18"/>
          <w:color w:val="auto"/>
        </w:rPr>
        <w:t>Date: June 13, 2018</w:t>
      </w:r>
      <w:r>
        <w:rPr>
          <w:sz w:val="20"/>
          <w:szCs w:val="20"/>
          <w:color w:val="auto"/>
        </w:rPr>
        <w:tab/>
      </w:r>
      <w:r>
        <w:rPr>
          <w:rFonts w:ascii="Times New Roman" w:cs="Times New Roman" w:eastAsia="Times New Roman" w:hAnsi="Times New Roman"/>
          <w:sz w:val="18"/>
          <w:szCs w:val="18"/>
          <w:color w:val="auto"/>
        </w:rPr>
        <w:t>CECO Environmental Corp.</w:t>
      </w:r>
    </w:p>
    <w:p>
      <w:pPr>
        <w:spacing w:after="0" w:line="22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/s/ Matthew Eckl</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0740"/>
      </w:cols>
      <w:pgMar w:left="240" w:top="266"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2020-01-15T17:13:33Z</dcterms:created>
  <dcterms:modified xsi:type="dcterms:W3CDTF">2020-01-15T17:13:33Z</dcterms:modified>
</cp:coreProperties>
</file>