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 S. SECURITIES AND EXCHANGE COMMISSION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122555</wp:posOffset>
            </wp:positionV>
            <wp:extent cx="13976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580" w:right="68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 for the fiscal year ended December 31, 2006</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0-7099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135255</wp:posOffset>
            </wp:positionV>
            <wp:extent cx="1397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CECO ENVIRONMENTAL CORP.</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54"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4160" w:type="dxa"/>
            <w:vAlign w:val="bottom"/>
          </w:tcPr>
          <w:p>
            <w:pPr>
              <w:jc w:val="center"/>
              <w:ind w:left="579"/>
              <w:spacing w:after="0"/>
              <w:rPr>
                <w:sz w:val="20"/>
                <w:szCs w:val="20"/>
                <w:color w:val="auto"/>
              </w:rPr>
            </w:pPr>
            <w:r>
              <w:rPr>
                <w:rFonts w:ascii="Arial" w:cs="Arial" w:eastAsia="Arial" w:hAnsi="Arial"/>
                <w:sz w:val="18"/>
                <w:szCs w:val="18"/>
                <w:b w:val="1"/>
                <w:bCs w:val="1"/>
                <w:color w:val="auto"/>
                <w:w w:val="88"/>
              </w:rPr>
              <w:t>Delaware</w:t>
            </w:r>
          </w:p>
        </w:tc>
        <w:tc>
          <w:tcPr>
            <w:tcW w:w="4600" w:type="dxa"/>
            <w:vAlign w:val="bottom"/>
            <w:gridSpan w:val="3"/>
          </w:tcPr>
          <w:p>
            <w:pPr>
              <w:jc w:val="right"/>
              <w:ind w:right="42"/>
              <w:spacing w:after="0"/>
              <w:rPr>
                <w:sz w:val="20"/>
                <w:szCs w:val="20"/>
                <w:color w:val="auto"/>
              </w:rPr>
            </w:pPr>
            <w:r>
              <w:rPr>
                <w:rFonts w:ascii="Arial" w:cs="Arial" w:eastAsia="Arial" w:hAnsi="Arial"/>
                <w:sz w:val="18"/>
                <w:szCs w:val="18"/>
                <w:b w:val="1"/>
                <w:bCs w:val="1"/>
                <w:color w:val="auto"/>
              </w:rPr>
              <w:t>13-2566064</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tcPr>
          <w:p>
            <w:pPr>
              <w:jc w:val="center"/>
              <w:ind w:left="559"/>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2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3"/>
          </w:tcPr>
          <w:p>
            <w:pPr>
              <w:jc w:val="center"/>
              <w:ind w:left="52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559"/>
              <w:spacing w:after="0"/>
              <w:rPr>
                <w:sz w:val="20"/>
                <w:szCs w:val="20"/>
                <w:color w:val="auto"/>
              </w:rPr>
            </w:pPr>
            <w:r>
              <w:rPr>
                <w:rFonts w:ascii="Arial" w:cs="Arial" w:eastAsia="Arial" w:hAnsi="Arial"/>
                <w:sz w:val="14"/>
                <w:szCs w:val="14"/>
                <w:b w:val="1"/>
                <w:bCs w:val="1"/>
                <w:color w:val="auto"/>
                <w:w w:val="89"/>
              </w:rPr>
              <w:t>of Incorporation or Organization)</w:t>
            </w: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6"/>
        </w:trPr>
        <w:tc>
          <w:tcPr>
            <w:tcW w:w="4160" w:type="dxa"/>
            <w:vAlign w:val="bottom"/>
          </w:tcPr>
          <w:p>
            <w:pPr>
              <w:jc w:val="center"/>
              <w:ind w:left="559"/>
              <w:spacing w:after="0"/>
              <w:rPr>
                <w:sz w:val="20"/>
                <w:szCs w:val="20"/>
                <w:color w:val="auto"/>
              </w:rPr>
            </w:pPr>
            <w:r>
              <w:rPr>
                <w:rFonts w:ascii="Arial" w:cs="Arial" w:eastAsia="Arial" w:hAnsi="Arial"/>
                <w:sz w:val="18"/>
                <w:szCs w:val="18"/>
                <w:b w:val="1"/>
                <w:bCs w:val="1"/>
                <w:color w:val="auto"/>
                <w:w w:val="90"/>
              </w:rPr>
              <w:t>3120 Forrer Street Cincinnati, Ohio</w:t>
            </w:r>
          </w:p>
        </w:tc>
        <w:tc>
          <w:tcPr>
            <w:tcW w:w="4600" w:type="dxa"/>
            <w:vAlign w:val="bottom"/>
            <w:gridSpan w:val="3"/>
          </w:tcPr>
          <w:p>
            <w:pPr>
              <w:jc w:val="right"/>
              <w:ind w:right="242"/>
              <w:spacing w:after="0"/>
              <w:rPr>
                <w:sz w:val="20"/>
                <w:szCs w:val="20"/>
                <w:color w:val="auto"/>
              </w:rPr>
            </w:pPr>
            <w:r>
              <w:rPr>
                <w:rFonts w:ascii="Arial" w:cs="Arial" w:eastAsia="Arial" w:hAnsi="Arial"/>
                <w:sz w:val="18"/>
                <w:szCs w:val="18"/>
                <w:b w:val="1"/>
                <w:bCs w:val="1"/>
                <w:color w:val="auto"/>
              </w:rPr>
              <w:t>45209</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579"/>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80" w:type="dxa"/>
            <w:vAlign w:val="bottom"/>
          </w:tcPr>
          <w:p>
            <w:pPr>
              <w:jc w:val="center"/>
              <w:ind w:left="1242"/>
              <w:spacing w:after="0"/>
              <w:rPr>
                <w:sz w:val="20"/>
                <w:szCs w:val="20"/>
                <w:color w:val="auto"/>
              </w:rPr>
            </w:pPr>
            <w:r>
              <w:rPr>
                <w:rFonts w:ascii="Arial" w:cs="Arial" w:eastAsia="Arial" w:hAnsi="Arial"/>
                <w:sz w:val="14"/>
                <w:szCs w:val="14"/>
                <w:b w:val="1"/>
                <w:bCs w:val="1"/>
                <w:color w:val="auto"/>
                <w:w w:val="89"/>
              </w:rPr>
              <w:t>(Zip Code)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416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(513) 458-2600</w:t>
            </w:r>
          </w:p>
        </w:tc>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760" w:type="dxa"/>
            <w:vAlign w:val="bottom"/>
            <w:gridSpan w:val="4"/>
          </w:tcPr>
          <w:p>
            <w:pPr>
              <w:jc w:val="center"/>
              <w:ind w:left="1659"/>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60" w:type="dxa"/>
            <w:vAlign w:val="bottom"/>
          </w:tcPr>
          <w:p>
            <w:pPr>
              <w:spacing w:after="0"/>
              <w:rPr>
                <w:sz w:val="15"/>
                <w:szCs w:val="15"/>
                <w:color w:val="auto"/>
              </w:rPr>
            </w:pPr>
          </w:p>
        </w:tc>
        <w:tc>
          <w:tcPr>
            <w:tcW w:w="22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6"/>
        </w:trPr>
        <w:tc>
          <w:tcPr>
            <w:tcW w:w="8760" w:type="dxa"/>
            <w:vAlign w:val="bottom"/>
            <w:gridSpan w:val="4"/>
          </w:tcPr>
          <w:p>
            <w:pPr>
              <w:jc w:val="center"/>
              <w:ind w:left="1659"/>
              <w:spacing w:after="0"/>
              <w:rPr>
                <w:sz w:val="20"/>
                <w:szCs w:val="20"/>
                <w:color w:val="auto"/>
              </w:rPr>
            </w:pPr>
            <w:r>
              <w:rPr>
                <w:rFonts w:ascii="Arial" w:cs="Arial" w:eastAsia="Arial" w:hAnsi="Arial"/>
                <w:sz w:val="18"/>
                <w:szCs w:val="18"/>
                <w:b w:val="1"/>
                <w:bCs w:val="1"/>
                <w:color w:val="auto"/>
                <w:w w:val="86"/>
              </w:rPr>
              <w:t>Securities registered under Section 12(b) of the Act: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4160" w:type="dxa"/>
            <w:vAlign w:val="bottom"/>
          </w:tcPr>
          <w:p>
            <w:pPr>
              <w:jc w:val="center"/>
              <w:ind w:left="559"/>
              <w:spacing w:after="0"/>
              <w:rPr>
                <w:sz w:val="20"/>
                <w:szCs w:val="20"/>
                <w:color w:val="auto"/>
              </w:rPr>
            </w:pPr>
            <w:r>
              <w:rPr>
                <w:rFonts w:ascii="Arial" w:cs="Arial" w:eastAsia="Arial" w:hAnsi="Arial"/>
                <w:sz w:val="18"/>
                <w:szCs w:val="18"/>
                <w:b w:val="1"/>
                <w:bCs w:val="1"/>
                <w:color w:val="auto"/>
                <w:w w:val="87"/>
              </w:rPr>
              <w:t>Title of Each Class</w:t>
            </w:r>
          </w:p>
        </w:tc>
        <w:tc>
          <w:tcPr>
            <w:tcW w:w="2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4"/>
          </w:tcPr>
          <w:p>
            <w:pPr>
              <w:jc w:val="center"/>
              <w:ind w:left="42"/>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228"/>
        </w:trPr>
        <w:tc>
          <w:tcPr>
            <w:tcW w:w="4160" w:type="dxa"/>
            <w:vAlign w:val="bottom"/>
          </w:tcPr>
          <w:p>
            <w:pPr>
              <w:jc w:val="center"/>
              <w:ind w:left="579"/>
              <w:spacing w:after="0"/>
              <w:rPr>
                <w:sz w:val="20"/>
                <w:szCs w:val="20"/>
                <w:color w:val="auto"/>
              </w:rPr>
            </w:pPr>
            <w:r>
              <w:rPr>
                <w:rFonts w:ascii="Arial" w:cs="Arial" w:eastAsia="Arial" w:hAnsi="Arial"/>
                <w:sz w:val="18"/>
                <w:szCs w:val="18"/>
                <w:b w:val="1"/>
                <w:bCs w:val="1"/>
                <w:color w:val="auto"/>
                <w:w w:val="87"/>
              </w:rPr>
              <w:t>Common Stock, $0.01 par value per share</w:t>
            </w:r>
          </w:p>
        </w:tc>
        <w:tc>
          <w:tcPr>
            <w:tcW w:w="2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60" w:type="dxa"/>
            <w:vAlign w:val="bottom"/>
            <w:gridSpan w:val="4"/>
          </w:tcPr>
          <w:p>
            <w:pPr>
              <w:jc w:val="center"/>
              <w:ind w:left="42"/>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378"/>
        </w:trPr>
        <w:tc>
          <w:tcPr>
            <w:tcW w:w="8760" w:type="dxa"/>
            <w:vAlign w:val="bottom"/>
            <w:gridSpan w:val="4"/>
          </w:tcPr>
          <w:p>
            <w:pPr>
              <w:jc w:val="center"/>
              <w:ind w:left="1659"/>
              <w:spacing w:after="0"/>
              <w:rPr>
                <w:sz w:val="20"/>
                <w:szCs w:val="20"/>
                <w:color w:val="auto"/>
              </w:rPr>
            </w:pPr>
            <w:r>
              <w:rPr>
                <w:rFonts w:ascii="Arial" w:cs="Arial" w:eastAsia="Arial" w:hAnsi="Arial"/>
                <w:sz w:val="18"/>
                <w:szCs w:val="18"/>
                <w:b w:val="1"/>
                <w:bCs w:val="1"/>
                <w:color w:val="auto"/>
                <w:w w:val="88"/>
              </w:rPr>
              <w:t>Securities registered under Section 12(g) of the Act:  None</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160" w:type="dxa"/>
            <w:vAlign w:val="bottom"/>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2400" w:type="dxa"/>
            <w:vAlign w:val="bottom"/>
            <w:gridSpan w:val="2"/>
          </w:tcPr>
          <w:p>
            <w:pPr>
              <w:spacing w:after="0"/>
              <w:rPr>
                <w:sz w:val="16"/>
                <w:szCs w:val="16"/>
                <w:color w:val="auto"/>
              </w:rPr>
            </w:pPr>
          </w:p>
        </w:tc>
        <w:tc>
          <w:tcPr>
            <w:tcW w:w="3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16"/>
                <w:szCs w:val="16"/>
                <w:color w:val="auto"/>
              </w:rPr>
            </w:pPr>
          </w:p>
        </w:tc>
        <w:tc>
          <w:tcPr>
            <w:tcW w:w="46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36"/>
        </w:trPr>
        <w:tc>
          <w:tcPr>
            <w:tcW w:w="876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 Yes</w:t>
            </w:r>
          </w:p>
        </w:tc>
        <w:tc>
          <w:tcPr>
            <w:tcW w:w="320" w:type="dxa"/>
            <w:vAlign w:val="bottom"/>
            <w:vMerge w:val="continue"/>
          </w:tcPr>
          <w:p>
            <w:pPr>
              <w:spacing w:after="0"/>
              <w:rPr>
                <w:sz w:val="24"/>
                <w:szCs w:val="24"/>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No</w:t>
            </w: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6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 Yes</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c>
          <w:tcPr>
            <w:tcW w:w="400" w:type="dxa"/>
            <w:vAlign w:val="bottom"/>
          </w:tcPr>
          <w:p>
            <w:pPr>
              <w:ind w:left="180"/>
              <w:spacing w:after="0"/>
              <w:rPr>
                <w:sz w:val="20"/>
                <w:szCs w:val="20"/>
                <w:color w:val="auto"/>
              </w:rPr>
            </w:pPr>
            <w:r>
              <w:rPr>
                <w:rFonts w:ascii="Arial" w:cs="Arial" w:eastAsia="Arial" w:hAnsi="Arial"/>
                <w:sz w:val="18"/>
                <w:szCs w:val="18"/>
                <w:color w:val="auto"/>
                <w:w w:val="86"/>
              </w:rPr>
              <w:t>No</w:t>
            </w:r>
          </w:p>
        </w:tc>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00"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Act).</w:t>
      </w:r>
    </w:p>
    <w:p>
      <w:pPr>
        <w:spacing w:after="0" w:line="51" w:lineRule="exact"/>
        <w:rPr>
          <w:sz w:val="24"/>
          <w:szCs w:val="24"/>
          <w:color w:val="auto"/>
        </w:rPr>
      </w:pPr>
    </w:p>
    <w:p>
      <w:pPr>
        <w:ind w:left="460" w:right="920" w:firstLine="532"/>
        <w:spacing w:after="0" w:line="286"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6" w:lineRule="exact"/>
        <w:rPr>
          <w:sz w:val="24"/>
          <w:szCs w:val="24"/>
          <w:color w:val="auto"/>
        </w:rPr>
      </w:pPr>
    </w:p>
    <w:p>
      <w:pPr>
        <w:ind w:right="540" w:firstLine="456"/>
        <w:spacing w:after="0" w:line="268" w:lineRule="auto"/>
        <w:rPr>
          <w:sz w:val="20"/>
          <w:szCs w:val="20"/>
          <w:color w:val="auto"/>
        </w:rPr>
      </w:pPr>
      <w:r>
        <w:rPr>
          <w:rFonts w:ascii="Arial" w:cs="Arial" w:eastAsia="Arial" w:hAnsi="Arial"/>
          <w:sz w:val="18"/>
          <w:szCs w:val="18"/>
          <w:color w:val="auto"/>
        </w:rPr>
        <w:t>Aggregate market value of common stock held by non-affiliates of Registrant computed based on the closing sale price as of the last business day of Registrant’s most recently completed second fiscal quarter (June 30, 2006): $33,960,616</w:t>
      </w:r>
    </w:p>
    <w:p>
      <w:pPr>
        <w:spacing w:after="0" w:line="51" w:lineRule="exact"/>
        <w:rPr>
          <w:sz w:val="24"/>
          <w:szCs w:val="24"/>
          <w:color w:val="auto"/>
        </w:rPr>
      </w:pPr>
    </w:p>
    <w:p>
      <w:pPr>
        <w:ind w:right="120" w:firstLine="456"/>
        <w:spacing w:after="0" w:line="268" w:lineRule="auto"/>
        <w:rPr>
          <w:sz w:val="20"/>
          <w:szCs w:val="20"/>
          <w:color w:val="auto"/>
        </w:rPr>
      </w:pPr>
      <w:r>
        <w:rPr>
          <w:rFonts w:ascii="Arial" w:cs="Arial" w:eastAsia="Arial" w:hAnsi="Arial"/>
          <w:sz w:val="18"/>
          <w:szCs w:val="18"/>
          <w:color w:val="auto"/>
        </w:rPr>
        <w:t>The number of shares outstanding of each of the issuer’s classes of common equity, as of the latest practical date: 11,497,309 shares of common stock, par value $0.01 per share, as of March 10</w:t>
      </w:r>
      <w:r>
        <w:rPr>
          <w:rFonts w:ascii="Arial" w:cs="Arial" w:eastAsia="Arial" w:hAnsi="Arial"/>
          <w:sz w:val="18"/>
          <w:szCs w:val="18"/>
          <w:i w:val="1"/>
          <w:iCs w:val="1"/>
          <w:color w:val="auto"/>
        </w:rPr>
        <w:t>,</w:t>
      </w:r>
      <w:r>
        <w:rPr>
          <w:rFonts w:ascii="Arial" w:cs="Arial" w:eastAsia="Arial" w:hAnsi="Arial"/>
          <w:sz w:val="18"/>
          <w:szCs w:val="18"/>
          <w:color w:val="auto"/>
        </w:rPr>
        <w:t xml:space="preserve"> 2007.</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90" w:lineRule="exact"/>
        <w:rPr>
          <w:sz w:val="24"/>
          <w:szCs w:val="24"/>
          <w:color w:val="auto"/>
        </w:rPr>
      </w:pPr>
    </w:p>
    <w:p>
      <w:pPr>
        <w:ind w:right="260" w:firstLine="456"/>
        <w:spacing w:after="0" w:line="268" w:lineRule="auto"/>
        <w:rPr>
          <w:sz w:val="20"/>
          <w:szCs w:val="20"/>
          <w:color w:val="auto"/>
        </w:rPr>
      </w:pPr>
      <w:r>
        <w:rPr>
          <w:rFonts w:ascii="Arial" w:cs="Arial" w:eastAsia="Arial" w:hAnsi="Arial"/>
          <w:sz w:val="18"/>
          <w:szCs w:val="18"/>
          <w:color w:val="auto"/>
        </w:rPr>
        <w:t>Portions of the definitive Proxy Statement to be delivered to stockholders in connection with the Annual Meeting of Shareholders to be held on May 23, 2007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0" w:type="dxa"/>
            <w:vAlign w:val="bottom"/>
            <w:gridSpan w:val="7"/>
          </w:tcPr>
          <w:p>
            <w:pPr>
              <w:jc w:val="center"/>
              <w:ind w:right="4620"/>
              <w:spacing w:after="0"/>
              <w:rPr>
                <w:sz w:val="20"/>
                <w:szCs w:val="20"/>
                <w:color w:val="auto"/>
              </w:rPr>
            </w:pPr>
            <w:r>
              <w:rPr>
                <w:rFonts w:ascii="Arial" w:cs="Arial" w:eastAsia="Arial" w:hAnsi="Arial"/>
                <w:sz w:val="18"/>
                <w:szCs w:val="18"/>
                <w:b w:val="1"/>
                <w:bCs w:val="1"/>
                <w:color w:val="auto"/>
                <w:w w:val="96"/>
              </w:rPr>
              <w:t>FORM 10-K</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97"/>
        </w:trPr>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540" w:type="dxa"/>
            <w:vAlign w:val="bottom"/>
            <w:gridSpan w:val="9"/>
          </w:tcPr>
          <w:p>
            <w:pPr>
              <w:jc w:val="center"/>
              <w:ind w:right="3860"/>
              <w:spacing w:after="0"/>
              <w:rPr>
                <w:sz w:val="20"/>
                <w:szCs w:val="20"/>
                <w:color w:val="auto"/>
              </w:rPr>
            </w:pPr>
            <w:r>
              <w:rPr>
                <w:rFonts w:ascii="Arial" w:cs="Arial" w:eastAsia="Arial" w:hAnsi="Arial"/>
                <w:sz w:val="18"/>
                <w:szCs w:val="18"/>
                <w:b w:val="1"/>
                <w:bCs w:val="1"/>
                <w:color w:val="auto"/>
                <w:w w:val="96"/>
              </w:rPr>
              <w:t>TABLE OF CONTENTS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Item</w:t>
            </w:r>
          </w:p>
        </w:tc>
        <w:tc>
          <w:tcPr>
            <w:tcW w:w="320" w:type="dxa"/>
            <w:vAlign w:val="bottom"/>
          </w:tcPr>
          <w:p>
            <w:pPr>
              <w:spacing w:after="0"/>
              <w:rPr>
                <w:sz w:val="24"/>
                <w:szCs w:val="24"/>
                <w:color w:val="auto"/>
              </w:rPr>
            </w:pPr>
          </w:p>
        </w:tc>
        <w:tc>
          <w:tcPr>
            <w:tcW w:w="980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r>
      <w:tr>
        <w:trPr>
          <w:trHeight w:val="163"/>
        </w:trPr>
        <w:tc>
          <w:tcPr>
            <w:tcW w:w="800" w:type="dxa"/>
            <w:vAlign w:val="bottom"/>
            <w:gridSpan w:val="2"/>
          </w:tcPr>
          <w:p>
            <w:pPr>
              <w:spacing w:after="0" w:line="163" w:lineRule="exact"/>
              <w:rPr>
                <w:sz w:val="20"/>
                <w:szCs w:val="20"/>
                <w:color w:val="auto"/>
              </w:rPr>
            </w:pPr>
            <w:r>
              <w:rPr>
                <w:rFonts w:ascii="Arial" w:cs="Arial" w:eastAsia="Arial" w:hAnsi="Arial"/>
                <w:sz w:val="18"/>
                <w:szCs w:val="18"/>
                <w:color w:val="auto"/>
              </w:rPr>
              <w:t>Item 1.</w:t>
            </w:r>
          </w:p>
        </w:tc>
        <w:tc>
          <w:tcPr>
            <w:tcW w:w="320" w:type="dxa"/>
            <w:vAlign w:val="bottom"/>
          </w:tcPr>
          <w:p>
            <w:pPr>
              <w:spacing w:after="0"/>
              <w:rPr>
                <w:sz w:val="14"/>
                <w:szCs w:val="14"/>
                <w:color w:val="auto"/>
              </w:rPr>
            </w:pPr>
          </w:p>
        </w:tc>
        <w:tc>
          <w:tcPr>
            <w:tcW w:w="640" w:type="dxa"/>
            <w:vAlign w:val="bottom"/>
            <w:tcBorders>
              <w:bottom w:val="single" w:sz="8" w:color="0000EE"/>
            </w:tcBorders>
          </w:tcPr>
          <w:p>
            <w:pPr>
              <w:spacing w:after="0" w:line="163"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9160" w:type="dxa"/>
            <w:vAlign w:val="bottom"/>
            <w:gridSpan w:val="20"/>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jc w:val="right"/>
              <w:spacing w:after="0" w:line="163"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20" w:type="dxa"/>
            <w:vAlign w:val="bottom"/>
          </w:tcPr>
          <w:p>
            <w:pPr>
              <w:spacing w:after="0"/>
              <w:rPr>
                <w:sz w:val="24"/>
                <w:szCs w:val="24"/>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Risk Factors</w:t>
              </w:r>
            </w:hyperlink>
          </w:p>
        </w:tc>
        <w:tc>
          <w:tcPr>
            <w:tcW w:w="8900" w:type="dxa"/>
            <w:vAlign w:val="bottom"/>
            <w:gridSpan w:val="18"/>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320" w:type="dxa"/>
            <w:vAlign w:val="bottom"/>
          </w:tcPr>
          <w:p>
            <w:pPr>
              <w:spacing w:after="0"/>
              <w:rPr>
                <w:sz w:val="24"/>
                <w:szCs w:val="24"/>
                <w:color w:val="auto"/>
              </w:rPr>
            </w:pP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7800" w:type="dxa"/>
            <w:vAlign w:val="bottom"/>
            <w:gridSpan w:val="12"/>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32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Legal Proceedings</w:t>
              </w:r>
            </w:hyperlink>
          </w:p>
        </w:tc>
        <w:tc>
          <w:tcPr>
            <w:tcW w:w="8480" w:type="dxa"/>
            <w:vAlign w:val="bottom"/>
            <w:gridSpan w:val="16"/>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Submission of Matters to a Vote of Security Holders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27</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Market for the Registrant’s Common Equity, Related Shareholder Matters and Issuer Purchases of Equity Securities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28</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32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Selected Financial Data</w:t>
              </w:r>
            </w:hyperlink>
          </w:p>
        </w:tc>
        <w:tc>
          <w:tcPr>
            <w:tcW w:w="6460" w:type="dxa"/>
            <w:vAlign w:val="bottom"/>
            <w:tcBorders>
              <w:top w:val="single" w:sz="8" w:color="0000EE"/>
            </w:tcBorders>
            <w:gridSpan w:val="14"/>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32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00" w:type="dxa"/>
            <w:vAlign w:val="bottom"/>
            <w:gridSpan w:val="4"/>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44</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20" w:type="dxa"/>
            <w:vAlign w:val="bottom"/>
          </w:tcPr>
          <w:p>
            <w:pPr>
              <w:spacing w:after="0"/>
              <w:rPr>
                <w:sz w:val="24"/>
                <w:szCs w:val="24"/>
                <w:color w:val="auto"/>
              </w:rPr>
            </w:pPr>
          </w:p>
        </w:tc>
        <w:tc>
          <w:tcPr>
            <w:tcW w:w="326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47">
              <w:r>
                <w:rPr>
                  <w:rFonts w:ascii="Arial" w:cs="Arial" w:eastAsia="Arial" w:hAnsi="Arial"/>
                  <w:sz w:val="18"/>
                  <w:szCs w:val="18"/>
                  <w:color w:val="0000EE"/>
                  <w:w w:val="87"/>
                </w:rPr>
                <w:t>Financial Statements and Supplementary Data</w:t>
              </w:r>
            </w:hyperlink>
          </w:p>
        </w:tc>
        <w:tc>
          <w:tcPr>
            <w:tcW w:w="6540" w:type="dxa"/>
            <w:vAlign w:val="bottom"/>
            <w:gridSpan w:val="9"/>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320" w:type="dxa"/>
            <w:vAlign w:val="bottom"/>
          </w:tcPr>
          <w:p>
            <w:pPr>
              <w:spacing w:after="0"/>
              <w:rPr>
                <w:sz w:val="24"/>
                <w:szCs w:val="24"/>
                <w:color w:val="auto"/>
              </w:rPr>
            </w:pPr>
          </w:p>
        </w:tc>
        <w:tc>
          <w:tcPr>
            <w:tcW w:w="634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47">
              <w:r>
                <w:rPr>
                  <w:rFonts w:ascii="Arial" w:cs="Arial" w:eastAsia="Arial" w:hAnsi="Arial"/>
                  <w:sz w:val="18"/>
                  <w:szCs w:val="18"/>
                  <w:color w:val="0000EE"/>
                  <w:w w:val="88"/>
                </w:rPr>
                <w:t>Changes In and Disagreements with Accountants on Accounting and Financial Disclosure</w:t>
              </w:r>
            </w:hyperlink>
          </w:p>
        </w:tc>
        <w:tc>
          <w:tcPr>
            <w:tcW w:w="3460" w:type="dxa"/>
            <w:vAlign w:val="bottom"/>
            <w:gridSpan w:val="3"/>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320" w:type="dxa"/>
            <w:vAlign w:val="bottom"/>
          </w:tcPr>
          <w:p>
            <w:pPr>
              <w:spacing w:after="0"/>
              <w:rPr>
                <w:sz w:val="24"/>
                <w:szCs w:val="24"/>
                <w:color w:val="auto"/>
              </w:rPr>
            </w:pP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47">
              <w:r>
                <w:rPr>
                  <w:rFonts w:ascii="Arial" w:cs="Arial" w:eastAsia="Arial" w:hAnsi="Arial"/>
                  <w:sz w:val="18"/>
                  <w:szCs w:val="18"/>
                  <w:color w:val="0000EE"/>
                  <w:w w:val="86"/>
                </w:rPr>
                <w:t>Controls and Procedures</w:t>
              </w:r>
            </w:hyperlink>
          </w:p>
        </w:tc>
        <w:tc>
          <w:tcPr>
            <w:tcW w:w="8060" w:type="dxa"/>
            <w:vAlign w:val="bottom"/>
            <w:gridSpan w:val="14"/>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320" w:type="dxa"/>
            <w:vAlign w:val="bottom"/>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47">
              <w:r>
                <w:rPr>
                  <w:rFonts w:ascii="Arial" w:cs="Arial" w:eastAsia="Arial" w:hAnsi="Arial"/>
                  <w:sz w:val="18"/>
                  <w:szCs w:val="18"/>
                  <w:color w:val="0000EE"/>
                  <w:w w:val="91"/>
                </w:rPr>
                <w:t>Other Information</w:t>
              </w:r>
            </w:hyperlink>
          </w:p>
        </w:tc>
        <w:tc>
          <w:tcPr>
            <w:tcW w:w="8500" w:type="dxa"/>
            <w:vAlign w:val="bottom"/>
            <w:gridSpan w:val="17"/>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45</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Directors, Executive Officers and Corporate Governance</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320" w:type="dxa"/>
            <w:vAlign w:val="bottom"/>
          </w:tcPr>
          <w:p>
            <w:pPr>
              <w:spacing w:after="0"/>
              <w:rPr>
                <w:sz w:val="24"/>
                <w:szCs w:val="24"/>
                <w:color w:val="auto"/>
              </w:rPr>
            </w:pPr>
          </w:p>
        </w:tc>
        <w:tc>
          <w:tcPr>
            <w:tcW w:w="4000" w:type="dxa"/>
            <w:vAlign w:val="bottom"/>
            <w:tcBorders>
              <w:top w:val="single" w:sz="8" w:color="0000EE"/>
            </w:tcBorders>
            <w:gridSpan w:val="1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Executive Compensation</w:t>
              </w:r>
            </w:hyperlink>
          </w:p>
        </w:tc>
        <w:tc>
          <w:tcPr>
            <w:tcW w:w="5800" w:type="dxa"/>
            <w:vAlign w:val="bottom"/>
            <w:gridSpan w:val="7"/>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8"/>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5"/>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Security Ownership of Certain Beneficial Owners and Management and Related Stockholder Matters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46</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320" w:type="dxa"/>
            <w:vAlign w:val="bottom"/>
          </w:tcPr>
          <w:p>
            <w:pPr>
              <w:spacing w:after="0"/>
              <w:rPr>
                <w:sz w:val="24"/>
                <w:szCs w:val="24"/>
                <w:color w:val="auto"/>
              </w:rPr>
            </w:pPr>
          </w:p>
        </w:tc>
        <w:tc>
          <w:tcPr>
            <w:tcW w:w="7120" w:type="dxa"/>
            <w:vAlign w:val="bottom"/>
            <w:tcBorders>
              <w:top w:val="single" w:sz="8" w:color="0000EE"/>
            </w:tcBorders>
            <w:gridSpan w:val="19"/>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Certain Relationships and Related Transactions, and Director Independence</w:t>
              </w:r>
            </w:hyperlink>
          </w:p>
        </w:tc>
        <w:tc>
          <w:tcPr>
            <w:tcW w:w="2680" w:type="dxa"/>
            <w:vAlign w:val="bottom"/>
            <w:gridSpan w:val="2"/>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320" w:type="dxa"/>
            <w:vAlign w:val="bottom"/>
          </w:tcPr>
          <w:p>
            <w:pPr>
              <w:spacing w:after="0"/>
              <w:rPr>
                <w:sz w:val="24"/>
                <w:szCs w:val="24"/>
                <w:color w:val="auto"/>
              </w:rPr>
            </w:pPr>
          </w:p>
        </w:tc>
        <w:tc>
          <w:tcPr>
            <w:tcW w:w="5320" w:type="dxa"/>
            <w:vAlign w:val="bottom"/>
            <w:tcBorders>
              <w:top w:val="single" w:sz="8" w:color="0000EE"/>
            </w:tcBorders>
            <w:gridSpan w:val="1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Principal Accounting Fees and Services</w:t>
              </w:r>
            </w:hyperlink>
          </w:p>
        </w:tc>
        <w:tc>
          <w:tcPr>
            <w:tcW w:w="4480" w:type="dxa"/>
            <w:vAlign w:val="bottom"/>
            <w:gridSpan w:val="5"/>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0" w:type="dxa"/>
            <w:vAlign w:val="bottom"/>
            <w:gridSpan w:val="10"/>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960" w:type="dxa"/>
            <w:vAlign w:val="bottom"/>
            <w:gridSpan w:val="10"/>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r>
      <w:tr>
        <w:trPr>
          <w:trHeight w:val="304"/>
        </w:trPr>
        <w:tc>
          <w:tcPr>
            <w:tcW w:w="8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2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Exhibits, Financial Statement Schedules</w:t>
              </w:r>
            </w:hyperlink>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r>
      <w:tr>
        <w:trPr>
          <w:trHeight w:val="304"/>
        </w:trPr>
        <w:tc>
          <w:tcPr>
            <w:tcW w:w="800" w:type="dxa"/>
            <w:vAlign w:val="bottom"/>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Signatures</w:t>
              </w:r>
            </w:hyperlink>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includes forward-looking statements within the meaning of the Private Securities Litigation Reform Act of 1995. All statements other than statements of historical fact, including statements regarding industry prospects or future results of operations or financial position made in this Annual Report on Form 10-K are forward-looking. We use words such as believe, expect, anticipate, intends, estimate, forecast, project, should and similar expressions to identify forward-looking statements. Forward-looking statements are based on management’s current expectations of our near-term results, based on current information available pertaining to us and are inherently uncertain. We wish to caution investors that any forward-looking statements made by or on our behalf are subject to uncertainties and other factors that could cause actual results to differ materially from such statements. These uncertainties and other risk factors include, but are not limited to: changing economic and political conditions in the United States and in other countries, governmental laws and regulations surrounding various matters such as environmental remediation, contract pricing, international trading restrictions, customer product acceptance, and continued access to capital markets, and foreign currency risks. These risks and uncertainties, as well as other risks and uncertainties that could cause our actual results to differ significantly from management’s expectations, are described in greater detail in Item 1A, “Risk Factors,” which describes some, but not all, of the factors that could cause actual results to differ significantly from management’s expectations. New factors emerge from time to time and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CECO Environmental Corp. (“CECO”) was incorporated in New York State in 1966 and reincorporated in Delaware in January 2002. We operate as a provider of air pollution control products and services through four principal product groups: our Contracting Group, which produces air pollution control and industrial ventilation systems, our Equipment Group, which produces various types of air pollution control equipment, our Parts Group, which manufactures products used by us and other air pollution control companies and contractors, and our Engineering Group, which provides industrial ventilation engineering and source emission testing services. It is through combining the efforts of some or all of these groups that we are able to offer complete turnkey systems to our customers and leverage the synergy between our family of companies.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the context indicates otherwise, the terms “CECO”, “Company”, “we”, “us”, and “our”, as used herein refer to CECO Environmental Corp. and its subsidiaries.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business is characterized by the breadth and diversity of our product and service offerings, customer base, and end market applications. We market our products and services under multiple brands, including “Kirk &amp; Blum”, “kbd/Technic”, “CECO Filters”, “Busch International”, “CECO Abatement Systems”, “CECOaire”, “K&amp;B Duct”, “H.M. White”, and “Effox,” to multiple end markets, a broad group of customers and for a wide range of applications.</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created a family of companies, each playing a specialized role in the creation of clean air solutions. In December of 1999, we acquired Kirk &amp; Blum, one of the largest sheet metal fabricators in the country. This major acquisition significantly changed our focus and capabilities by transforming the Company from a manufacturing operation to a full-service product, engineering and design service provider of air pollution control solutions. We have built upon this end-to-end platform strategy by broadening our offerings through both acquisitions and the creation of new service offerings. Recent developments include the following:</w:t>
      </w:r>
    </w:p>
    <w:p>
      <w:pPr>
        <w:spacing w:after="0" w:line="62" w:lineRule="exact"/>
        <w:rPr>
          <w:sz w:val="20"/>
          <w:szCs w:val="20"/>
          <w:color w:val="auto"/>
        </w:rPr>
      </w:pPr>
    </w:p>
    <w:p>
      <w:pPr>
        <w:ind w:left="900" w:right="1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Entered into a transition agreement in February 2006 with H.M. White, LLC and H.M. White Holdings of Detroit, Michigan to jointly participate in the acquisition of new business in the areas of industrial ventilation systems and sheet metal and paint finishing construction.</w:t>
      </w:r>
    </w:p>
    <w:p>
      <w:pPr>
        <w:spacing w:after="0" w:line="4" w:lineRule="exact"/>
        <w:rPr>
          <w:rFonts w:ascii="Arial" w:cs="Arial" w:eastAsia="Arial" w:hAnsi="Arial"/>
          <w:sz w:val="16"/>
          <w:szCs w:val="16"/>
          <w:color w:val="auto"/>
        </w:rPr>
      </w:pPr>
    </w:p>
    <w:p>
      <w:pPr>
        <w:ind w:left="900" w:right="340" w:hanging="325"/>
        <w:spacing w:after="0" w:line="259"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Founded CECO Energy Management (this is a marketing group that secures business for Kirk &amp; Blum, H.M. White and kbd/Technic) in 2006 to assist customers in developing plant wide energy reduction strategies in addition to eliminating waste and raising the efficiency of ventilation systems.</w:t>
      </w:r>
    </w:p>
    <w:p>
      <w:pPr>
        <w:spacing w:after="0" w:line="59" w:lineRule="exact"/>
        <w:rPr>
          <w:rFonts w:ascii="Arial" w:cs="Arial" w:eastAsia="Arial" w:hAnsi="Arial"/>
          <w:sz w:val="18"/>
          <w:szCs w:val="18"/>
          <w:color w:val="auto"/>
        </w:rPr>
      </w:pPr>
    </w:p>
    <w:p>
      <w:pPr>
        <w:ind w:left="900" w:right="64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Acquired the assets of Effox, Inc., a leading producer of damper and expansion joints, on February 28, 2007 to continue the execution of our “horizontal integration” strategy, broadening our exposure to the multibillion-dollar energy, power and utility markets.</w:t>
      </w:r>
    </w:p>
    <w:p>
      <w:pPr>
        <w:spacing w:after="0" w:line="4" w:lineRule="exact"/>
        <w:rPr>
          <w:rFonts w:ascii="Arial" w:cs="Arial" w:eastAsia="Arial" w:hAnsi="Arial"/>
          <w:sz w:val="16"/>
          <w:szCs w:val="16"/>
          <w:color w:val="auto"/>
        </w:rPr>
      </w:pPr>
    </w:p>
    <w:p>
      <w:pPr>
        <w:ind w:left="90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Most importantly, we have successfully combined these individual businesses into a cohesive, integrated unit. Kirk &amp; Blum now produces the bulk of the other products supplied by our other family companies and captures margin that previously went to outside vendors.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Competitive Strengths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Leading Market Position as a Complete Solution Provider. </w:t>
      </w:r>
      <w:r>
        <w:rPr>
          <w:rFonts w:ascii="Arial" w:cs="Arial" w:eastAsia="Arial" w:hAnsi="Arial"/>
          <w:sz w:val="18"/>
          <w:szCs w:val="18"/>
          <w:color w:val="auto"/>
        </w:rPr>
        <w:t>We believe we are the leading provider of complete turnkey solutions to the air pollution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and industrial ventilation industry and one of the largest and most diversified turnkey solutions providers in North America. The multibillion-dollar global air pollution control market is highly fragmented with numerous small and regional contracting firms separately supplying engineering services, fabrication, installation, testing and monitoring, products and spare parts. Through the vertical integration of our family of companies we offer our customers a complete end-to-end solution from</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engineering and project management services to procurement and fabrication to construction and installation to aftermarket support and sale of consumables, which allows them to avoid dealing with multiple vendors when managing projects. We have serviced the environmental needs of the industrial workplace for nearly 100 years and we believe our extensive experience and expertise in providing a turnkey solution for the air pollution control and industrial ventilation industry further enhances our overall customer relationships and provides us a competitive advantage in our markets relative to other companies in the industry. We believe this is evidenced by our strong customer relationships with blue chip customers, many of which are greater than 20 years. We believe that no single competitor has the resources to offer a similar portfolio of product and service capabilities. Our family of companies offers the depth of a large organization while our lean organizational structure keeps us close to our customers and markets, allowing us to offer fast responses to each unique situation.</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Diversified End Markets and Customer Base. </w:t>
      </w:r>
      <w:r>
        <w:rPr>
          <w:rFonts w:ascii="Arial" w:cs="Arial" w:eastAsia="Arial" w:hAnsi="Arial"/>
          <w:sz w:val="16"/>
          <w:szCs w:val="16"/>
          <w:color w:val="auto"/>
        </w:rPr>
        <w:t>The diversity of our end markets and customer base provides us with multiple growth opportunities.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2006, we had a diversified customer base of more than 2,300 active customers across a range of industries. Our customers represent some of the largest aerospace, automotive, foundry, ethanol, power and metals companies in the U.S. Our blue-chip customer base includes General Electric, General Motors, Procter &amp; Gamble, Nissan, Honda, Boeing, Corning, Toyota, Babcock &amp; Wilcox and Alcoa. In addition, we believe that the diversity of our customers and end markets mitigates our risk of a potential fluctuation or downturn in demand from any individual industry or particular client. We believe we have the resources and capabilities to meet the operating needs of our customers as they upgrade and expand domestically as well as into new international markets. Once systems have been installed and a relationship has been established with the customer, we often win repetitive service and maintenance business as the customers’ processes change and modifications or additions to systems become necessary.</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Experienced Management and Engineering Team. </w:t>
      </w:r>
      <w:r>
        <w:rPr>
          <w:rFonts w:ascii="Arial" w:cs="Arial" w:eastAsia="Arial" w:hAnsi="Arial"/>
          <w:sz w:val="16"/>
          <w:szCs w:val="16"/>
          <w:color w:val="auto"/>
        </w:rPr>
        <w:t>Our senior management team has an average of approximately 20 years of experience in the air pollution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and industrial ventilation industry. The business experience of our management team creates a strong skill set for the successful execution of our strategy. Our senior management team is supported by a strong operating management team, which possesses extensive operational and managerial experience, averaging over 20 years of industry experience, most of which has been with CECO Environmental and our family of companies. Our workforce includes 96 engineers, designers, and project managers whose significant specialized industry experience and technical expertise enables them to have a deep understanding of the solutions that will best suit the needs of our customers. The experience and stability of our management, operating and engineering team has been crucial to our growth, developing and maintaining customer relationships and increasing our market share.</w:t>
      </w:r>
    </w:p>
    <w:p>
      <w:pPr>
        <w:spacing w:after="0" w:line="118"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 xml:space="preserve">Disciplined Acquisition Program with Successful Integration. </w:t>
      </w:r>
      <w:r>
        <w:rPr>
          <w:rFonts w:ascii="Arial" w:cs="Arial" w:eastAsia="Arial" w:hAnsi="Arial"/>
          <w:sz w:val="16"/>
          <w:szCs w:val="16"/>
          <w:color w:val="auto"/>
        </w:rPr>
        <w:t>We believe that we have demonstrated an ability to successfully acquire and integrate air</w:t>
      </w:r>
      <w:r>
        <w:rPr>
          <w:rFonts w:ascii="Arial" w:cs="Arial" w:eastAsia="Arial" w:hAnsi="Arial"/>
          <w:sz w:val="16"/>
          <w:szCs w:val="16"/>
          <w:i w:val="1"/>
          <w:iCs w:val="1"/>
          <w:color w:val="auto"/>
        </w:rPr>
        <w:t xml:space="preserve"> </w:t>
      </w:r>
      <w:r>
        <w:rPr>
          <w:rFonts w:ascii="Arial" w:cs="Arial" w:eastAsia="Arial" w:hAnsi="Arial"/>
          <w:sz w:val="16"/>
          <w:szCs w:val="16"/>
          <w:color w:val="auto"/>
        </w:rPr>
        <w:t>pollution control and industrial ventilation companies with complimentary product or service offerings into our family of companies. In February 2006, we integrated H.M. White, which provided us valuable access to the automotive market with a complete turnkey engineering, design, manufacturing and installation of air pollution control systems. More recently in February 2007, we acquired Effox, Inc., which we believe will grant us access to the multi-billion dollar energy, power and utility markets. We believe that the breadth and diversity of our products and services and our ability to deliver a turnkey solution to various end markets provides us with multiple sources of stable growth and a competitive advantage relative to other players in the industry. Our annual revenue has grown in each of the last four years and increased from $68.1 million in 2003 to $135.4 million in 2006, a compound annual growth rate of 25.7%. Over this same time frame our operating income has increased from $1.3 million to $6.0 million, a 64.3% compound annual growth rate, which we believe evidences the success of our horizontal and vertical integration strategy.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Industry Overview</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serve a large industry that has grown steadily over the last several years. The market for air pollution control and industrial ventilation products is a multi-billion dollar market that has grown rapidly and is highly fragmented. Today, more so than ever, people demand to live in a world of clean air and water and an environment that is free of industrial pollutants.</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believe growth for air pollution control and industrial ventilation products in the U.S. and abroad have recently and continue to be driven by several key factors:</w:t>
      </w:r>
    </w:p>
    <w:p>
      <w:pPr>
        <w:spacing w:after="0" w:line="51" w:lineRule="exact"/>
        <w:rPr>
          <w:sz w:val="20"/>
          <w:szCs w:val="20"/>
          <w:color w:val="auto"/>
        </w:rPr>
      </w:pPr>
    </w:p>
    <w:p>
      <w:pPr>
        <w:ind w:left="900" w:right="2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Favorable Regulatory Environment</w:t>
      </w:r>
      <w:r>
        <w:rPr>
          <w:rFonts w:ascii="Arial" w:cs="Arial" w:eastAsia="Arial" w:hAnsi="Arial"/>
          <w:sz w:val="16"/>
          <w:szCs w:val="16"/>
          <w:color w:val="auto"/>
        </w:rPr>
        <w:t>. The adoption of increasingly stringent environmental regulations in the U.S. and abroad forces businesses to pay</w:t>
      </w:r>
      <w:r>
        <w:rPr>
          <w:rFonts w:ascii="Arial" w:cs="Arial" w:eastAsia="Arial" w:hAnsi="Arial"/>
          <w:sz w:val="16"/>
          <w:szCs w:val="16"/>
          <w:i w:val="1"/>
          <w:iCs w:val="1"/>
          <w:color w:val="auto"/>
        </w:rPr>
        <w:t xml:space="preserve"> </w:t>
      </w:r>
      <w:r>
        <w:rPr>
          <w:rFonts w:ascii="Arial" w:cs="Arial" w:eastAsia="Arial" w:hAnsi="Arial"/>
          <w:sz w:val="16"/>
          <w:szCs w:val="16"/>
          <w:color w:val="auto"/>
        </w:rPr>
        <w:t>strict attention to environmental protection. Businesses and industries of all types – from aerospace, brick, cement, ceramics, and metalworking to ethanol, automobile, food, foundries, power plants, woodworking, printing, tobacco and pharmaceuticals – must comply with these various international, federal, state and local government environmental regulations or potentially face substantial fines or be forced to suspend production or alter their production processes. Regulations range from the air quality standards promulgated by the Environmental Protection Agency (“EPA”) to Occupational Safety and Health Administrative Agency (“OSHA”) standards regulating allowable contaminants in workplace environments.</w:t>
      </w:r>
    </w:p>
    <w:p>
      <w:pPr>
        <w:spacing w:after="0" w:line="39" w:lineRule="exact"/>
        <w:rPr>
          <w:sz w:val="20"/>
          <w:szCs w:val="20"/>
          <w:color w:val="auto"/>
        </w:rPr>
      </w:pPr>
    </w:p>
    <w:p>
      <w:pPr>
        <w:ind w:left="920" w:right="140"/>
        <w:spacing w:after="0" w:line="288" w:lineRule="auto"/>
        <w:rPr>
          <w:sz w:val="20"/>
          <w:szCs w:val="20"/>
          <w:color w:val="auto"/>
        </w:rPr>
      </w:pPr>
      <w:r>
        <w:rPr>
          <w:rFonts w:ascii="Arial" w:cs="Arial" w:eastAsia="Arial" w:hAnsi="Arial"/>
          <w:sz w:val="16"/>
          <w:szCs w:val="16"/>
          <w:color w:val="auto"/>
        </w:rPr>
        <w:t>Increasingly stringent air quality standards and the need for improved industrial workplace environments are chief among the factors that drive our business. Some of the underlying federal legislation that affects air quality standards is the Clean Air Act of 1970 and the Occupational Safety and Health Act of 1970. The EPA and OSHA, as well as other state and local agencies, administer air quality standards. Industrial air quality has been improving through EPA mandated Maximum Achievable Control Technology (“MACT”) standards and OSHA established Threshold Limit Values (“TLV”) for more than 1,000 industrial contaminants. Bio-terrorism threats have also increased awareness for improved industrial workplace air quality. Any of these factors, individually or collectively, tend to cause increases in industrial capital spending that are not directly impacted by general economic conditions, expansion or capacity increases. Favorable conditions in the economy generally lead to plant expansions and the construction of new industrial sites. Economic expansion provides us with the potential to increase and accelerate levels of growth. However, in a weak economy customers tend to lengthen the time from their initial inquiry to the purchase order or defer purchases.</w:t>
      </w:r>
    </w:p>
    <w:p>
      <w:pPr>
        <w:spacing w:after="0" w:line="39" w:lineRule="exact"/>
        <w:rPr>
          <w:sz w:val="20"/>
          <w:szCs w:val="20"/>
          <w:color w:val="auto"/>
        </w:rPr>
      </w:pPr>
    </w:p>
    <w:p>
      <w:pPr>
        <w:ind w:left="900" w:right="160" w:hanging="325"/>
        <w:spacing w:after="0" w:line="294"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Worldwide Industrialization</w:t>
      </w:r>
      <w:r>
        <w:rPr>
          <w:rFonts w:ascii="Arial" w:cs="Arial" w:eastAsia="Arial" w:hAnsi="Arial"/>
          <w:sz w:val="16"/>
          <w:szCs w:val="16"/>
          <w:color w:val="auto"/>
        </w:rPr>
        <w:t>. Global trade has increased significantly over the last couple of years driven by growth in emerging markets,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China and India as well as other developing nations in Asia and Latin America. Furthermore, as a result of globalization manufacturing that was historically performed domestically continues to migrate to lower cost countries. This movement of the manufacture of goods throughout the world increases demand for industrial ventilation products as new construction continues and we expect more rigorous environmental regulations will be introduced to create a cleaner and safer working environment and reduce environmental emissions as these economies evolve.</w:t>
      </w:r>
    </w:p>
    <w:p>
      <w:pPr>
        <w:spacing w:after="0" w:line="34" w:lineRule="exact"/>
        <w:rPr>
          <w:rFonts w:ascii="Arial" w:cs="Arial" w:eastAsia="Arial" w:hAnsi="Arial"/>
          <w:sz w:val="16"/>
          <w:szCs w:val="16"/>
          <w:color w:val="auto"/>
        </w:rPr>
      </w:pPr>
    </w:p>
    <w:p>
      <w:pPr>
        <w:ind w:left="900" w:hanging="325"/>
        <w:spacing w:after="0" w:line="290"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Strong Global Economic Growth and Rebound In Basic Industries</w:t>
      </w:r>
      <w:r>
        <w:rPr>
          <w:rFonts w:ascii="Arial" w:cs="Arial" w:eastAsia="Arial" w:hAnsi="Arial"/>
          <w:sz w:val="16"/>
          <w:szCs w:val="16"/>
          <w:color w:val="auto"/>
        </w:rPr>
        <w:t>. The global economy continues to grow at a brisk pace. According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Monetary Fund, world output growth was 4.9% in 2005 and is projected to be 5.1% in 2006 and 4.9% in 2007. We believe this growth is sustainable given the growth of several emerging markets and developing countries, including China, whose GDP growth has averaged 10.1% from 2004 – 2006 and is expected to grow 10% in 2007, and India, whose GDP growth has averaged 8.3% from 2004 – 2006 and is expected to grow 7.3% in 2007. We believe this strong global growth has absorbed spare manufacturing capacity and contributed, in part, to the rebound in basic industries by creating greater demand for certain commodities that drove up prices and enabled plant expansion, improved production efficiencies, and enhanced energy reduction efforts.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Strategy</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strategy utilizes all of our resource capabilities to help customers improve efficiencies and meet specific regulatory requirements within their business processes through optimal design and integration of turnkey contaminant and pollution control systems. Our unique engineering and design expertise in air quality management combined with our comprehensive suite of product and service offerings allows us to provide customers with a one-stop cost-effective solution to meet their integrated abatement needs. We intend to continue to grow our company, increase stockholder value and become a worldwide leader in the design, development, installation and supply of complete turnkey solution to the industrial ventilation and pollution control marketplace. Key elements of our strategy include:</w:t>
      </w:r>
    </w:p>
    <w:p>
      <w:pPr>
        <w:spacing w:after="0" w:line="144"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Expand Customer Base and Penetrate End Markets</w:t>
      </w:r>
      <w:r>
        <w:rPr>
          <w:rFonts w:ascii="Arial" w:cs="Arial" w:eastAsia="Arial" w:hAnsi="Arial"/>
          <w:sz w:val="16"/>
          <w:szCs w:val="16"/>
          <w:color w:val="auto"/>
        </w:rPr>
        <w:t>. We constantly look for opportunities to penetrate new customers, geographic locations and end</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with existing products and services or acquired new product or service opportunities. For example, we have successfully expanded our sales to new customers and entered new end markets through the formation of a CECO Energy Management Team, or CEMT, the strategic integration of H.M. White, Inc., in February 2006 and the strategic acquisition of Effox, Inc., or Effox, in February 2007. CEMT ties together all of the pollution control specialties of the CECO family of companies and offers customers a complete plant-wide energy reduction strategy, which allows us to cross-sell our complete solution of products and services to both existing and new customers and create synergies between our many specialties. Our strategic integration of H.M. White provided us valuable access to the automotive market with a complete turnkey engineering, design, manufacturing and installation of air pollution control systems. Meanwhile, we believe that our strategic acquisition of Effox will allow us to access the multibillion-dollar energy, power and utilities markets. We intend to continue to expand our sales force, customer base and end markets and have identified a number of attractive growth opportunities both domestically and abroad, including international projects in China, Mexico and India.</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Develop Innovative Solutions</w:t>
      </w:r>
      <w:r>
        <w:rPr>
          <w:rFonts w:ascii="Arial" w:cs="Arial" w:eastAsia="Arial" w:hAnsi="Arial"/>
          <w:sz w:val="16"/>
          <w:szCs w:val="16"/>
          <w:color w:val="auto"/>
        </w:rPr>
        <w:t>. We intend to continue to leverage our engineering and manufacturing expertise and strong customer relationships to develop</w:t>
      </w:r>
      <w:r>
        <w:rPr>
          <w:rFonts w:ascii="Arial" w:cs="Arial" w:eastAsia="Arial" w:hAnsi="Arial"/>
          <w:sz w:val="16"/>
          <w:szCs w:val="16"/>
          <w:i w:val="1"/>
          <w:iCs w:val="1"/>
          <w:color w:val="auto"/>
        </w:rPr>
        <w:t xml:space="preserve"> </w:t>
      </w:r>
      <w:r>
        <w:rPr>
          <w:rFonts w:ascii="Arial" w:cs="Arial" w:eastAsia="Arial" w:hAnsi="Arial"/>
          <w:sz w:val="16"/>
          <w:szCs w:val="16"/>
          <w:color w:val="auto"/>
        </w:rPr>
        <w:t>new customized products to address the identified needs of our customers or a particular end market. We thoroughly analyze new product opportunities by taking into account projected demand for the product or service, price point and expected operating costs, and only pursue those opportunities that we believe will contribute to earnings growth in the near-term. Recent examples of our new product development include our development of the CECO Abatement Regenerative Thermal Oxidizer, which is used for ethanol emission applications. According to BBI International, there are currently 100 ethanol plants operating and 42 under construction in the U.S. Of the plants under construction, CECO is providing pollution control equipment, stainless ducting, and dryers to 25 plants or approximately 60% of new-build activity. Growth in ethanol is expected to continue to increase along with other alternative energy solutions as a result of substantial government focus and legislative support, among other reasons. The USDA estimates 10-year capacity growth to 12.8-17.8 billion gallons annually from the estimated current capacity of approximately 5.3 billion gallons per year.</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Maintain Strong Customer Focus</w:t>
      </w:r>
      <w:r>
        <w:rPr>
          <w:rFonts w:ascii="Arial" w:cs="Arial" w:eastAsia="Arial" w:hAnsi="Arial"/>
          <w:sz w:val="18"/>
          <w:szCs w:val="18"/>
          <w:color w:val="auto"/>
        </w:rPr>
        <w:t>. We enjoy a diversified customer base of more than 2,300 active customers as of December 31, 2006, across a broad base</w:t>
      </w:r>
      <w:r>
        <w:rPr>
          <w:rFonts w:ascii="Arial" w:cs="Arial" w:eastAsia="Arial" w:hAnsi="Arial"/>
          <w:sz w:val="18"/>
          <w:szCs w:val="18"/>
          <w:i w:val="1"/>
          <w:iCs w:val="1"/>
          <w:color w:val="auto"/>
        </w:rPr>
        <w:t xml:space="preserve"> </w:t>
      </w:r>
      <w:r>
        <w:rPr>
          <w:rFonts w:ascii="Arial" w:cs="Arial" w:eastAsia="Arial" w:hAnsi="Arial"/>
          <w:sz w:val="18"/>
          <w:szCs w:val="18"/>
          <w:color w:val="auto"/>
        </w:rPr>
        <w:t>of industries, including aerospace, brick, cement, ceramics, metalworking, ethanol, printing, paper, food, foundries, power plants, metal plating, wood working, chemicals, tobacco, glass, automotive and pharmaceuticals. We believe that there are multiple opportunities for us to expand our penetration of existing markets and customers.</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i w:val="1"/>
          <w:iCs w:val="1"/>
          <w:color w:val="auto"/>
        </w:rPr>
        <w:t>Pursue Selective Acquisitions</w:t>
      </w:r>
      <w:r>
        <w:rPr>
          <w:rFonts w:ascii="Arial" w:cs="Arial" w:eastAsia="Arial" w:hAnsi="Arial"/>
          <w:sz w:val="18"/>
          <w:szCs w:val="18"/>
          <w:color w:val="auto"/>
        </w:rPr>
        <w:t>. We believe we currently offer an attractive turnkey solution to our customers with organic growth potential; however,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also continue to explore selective acquisition opportunities that:</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Further broaden the breadth of our product and service offering;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Allow us to enter new end markets or strengthen our presence in an existing end market;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Extend our industry leadership position.</w:t>
      </w:r>
    </w:p>
    <w:p>
      <w:pPr>
        <w:spacing w:after="0" w:line="17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air pollution control and industrial ventilation industry is highly fragmented, which may present acquisition opportunities, particularly companies that produce types of pollution control equipment that we do not currently manufacture or companies that have system expertise in a particular industry that we do not currently serve or feel that we under serve, or who, by integrating into our existing family of companies would make us a dominant player in that particular market. In short we are looking to expand into horizontal markets that will strategically broaden our product and service offering and gain access to new customers and end markets. We believe that there is an ongoing trend among customers to utilize fewer suppliers in order to simplify procurement, increase manufacturing efficiency and generally reduce costs. We believe our reputation as an established, reliable and responsible provider of complete turnkey solutions makes us an attractive acquirer.</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Products and Services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we are recognized as a leading provider in the air pollution control industry. We focus on engineering, designing, building, and installing systems that capture, clean and destroy airborne contaminants from industrial facilities as well as equipment that controls emissions from such facilities. We now market these turnkey pollution control services through all our companies with Kirk &amp; Blum providing project management. With a diversified base of more than 2,300 active customers, we provide services to a myriad of industries including aerospace, brick, cement, ceramics, metalworking, printing, paper, food, foundries, utilities, metal plating, woodworking, chemicals, glass, automotive, ethanol, pharmaceuticals, and chemicals. The table below illustrates how our family of companies are spread over this diversified customer base, providing a broad range of applications.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0" w:type="dxa"/>
            <w:vAlign w:val="bottom"/>
          </w:tcPr>
          <w:p>
            <w:pPr>
              <w:ind w:left="620"/>
              <w:spacing w:after="0"/>
              <w:rPr>
                <w:sz w:val="20"/>
                <w:szCs w:val="20"/>
                <w:color w:val="auto"/>
              </w:rPr>
            </w:pPr>
            <w:r>
              <w:rPr>
                <w:rFonts w:ascii="Arial" w:cs="Arial" w:eastAsia="Arial" w:hAnsi="Arial"/>
                <w:sz w:val="14"/>
                <w:szCs w:val="14"/>
                <w:b w:val="1"/>
                <w:bCs w:val="1"/>
                <w:color w:val="auto"/>
              </w:rPr>
              <w:t>Capabilities</w:t>
            </w: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620" w:type="dxa"/>
            <w:vAlign w:val="bottom"/>
            <w:gridSpan w:val="4"/>
          </w:tcPr>
          <w:p>
            <w:pPr>
              <w:spacing w:after="0"/>
              <w:rPr>
                <w:sz w:val="20"/>
                <w:szCs w:val="20"/>
                <w:color w:val="auto"/>
              </w:rPr>
            </w:pPr>
            <w:r>
              <w:rPr>
                <w:rFonts w:ascii="Arial" w:cs="Arial" w:eastAsia="Arial" w:hAnsi="Arial"/>
                <w:sz w:val="14"/>
                <w:szCs w:val="14"/>
                <w:b w:val="1"/>
                <w:bCs w:val="1"/>
                <w:color w:val="auto"/>
              </w:rPr>
              <w:t>Division</w:t>
            </w:r>
          </w:p>
        </w:tc>
        <w:tc>
          <w:tcPr>
            <w:tcW w:w="2200" w:type="dxa"/>
            <w:vAlign w:val="bottom"/>
          </w:tcPr>
          <w:p>
            <w:pPr>
              <w:ind w:left="420"/>
              <w:spacing w:after="0"/>
              <w:rPr>
                <w:sz w:val="20"/>
                <w:szCs w:val="20"/>
                <w:color w:val="auto"/>
              </w:rPr>
            </w:pPr>
            <w:r>
              <w:rPr>
                <w:rFonts w:ascii="Arial" w:cs="Arial" w:eastAsia="Arial" w:hAnsi="Arial"/>
                <w:sz w:val="14"/>
                <w:szCs w:val="14"/>
                <w:b w:val="1"/>
                <w:bCs w:val="1"/>
                <w:color w:val="auto"/>
              </w:rPr>
              <w:t>(products/services)</w:t>
            </w:r>
          </w:p>
        </w:tc>
        <w:tc>
          <w:tcPr>
            <w:tcW w:w="1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Industries Served</w:t>
            </w: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20"/>
                <w:szCs w:val="20"/>
                <w:color w:val="auto"/>
              </w:rPr>
            </w:pPr>
            <w:r>
              <w:rPr>
                <w:rFonts w:ascii="Arial" w:cs="Arial" w:eastAsia="Arial" w:hAnsi="Arial"/>
                <w:sz w:val="14"/>
                <w:szCs w:val="14"/>
                <w:b w:val="1"/>
                <w:bCs w:val="1"/>
                <w:color w:val="auto"/>
                <w:w w:val="92"/>
              </w:rPr>
              <w:t>Typical Applications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320" w:type="dxa"/>
            <w:vAlign w:val="bottom"/>
            <w:tcBorders>
              <w:top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Contracting</w:t>
            </w:r>
          </w:p>
        </w:tc>
        <w:tc>
          <w:tcPr>
            <w:tcW w:w="2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w w:val="94"/>
              </w:rPr>
              <w:t>•   Turnkey Design, Build, Install:</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w w:val="97"/>
              </w:rPr>
              <w:t>Aerospace</w:t>
            </w: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0" w:type="dxa"/>
            <w:vAlign w:val="bottom"/>
          </w:tcPr>
          <w:p>
            <w:pPr>
              <w:spacing w:after="0"/>
              <w:rPr>
                <w:sz w:val="1"/>
                <w:szCs w:val="1"/>
                <w:color w:val="auto"/>
              </w:rPr>
            </w:pPr>
          </w:p>
        </w:tc>
      </w:tr>
      <w:tr>
        <w:trPr>
          <w:trHeight w:val="216"/>
        </w:trPr>
        <w:tc>
          <w:tcPr>
            <w:tcW w:w="4620" w:type="dxa"/>
            <w:vAlign w:val="bottom"/>
            <w:gridSpan w:val="4"/>
          </w:tcPr>
          <w:p>
            <w:pPr>
              <w:ind w:left="456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20"/>
              <w:spacing w:after="0"/>
              <w:rPr>
                <w:sz w:val="20"/>
                <w:szCs w:val="20"/>
                <w:color w:val="auto"/>
              </w:rPr>
            </w:pPr>
            <w:r>
              <w:rPr>
                <w:rFonts w:ascii="Arial" w:cs="Arial" w:eastAsia="Arial" w:hAnsi="Arial"/>
                <w:sz w:val="18"/>
                <w:szCs w:val="18"/>
                <w:color w:val="auto"/>
              </w:rPr>
              <w:t>Dust Collectors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w w:val="93"/>
              </w:rPr>
              <w:t>Automotive</w:t>
            </w:r>
          </w:p>
        </w:tc>
        <w:tc>
          <w:tcPr>
            <w:tcW w:w="108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Dust</w:t>
            </w:r>
          </w:p>
        </w:tc>
        <w:tc>
          <w:tcPr>
            <w:tcW w:w="0" w:type="dxa"/>
            <w:vAlign w:val="bottom"/>
          </w:tcPr>
          <w:p>
            <w:pPr>
              <w:spacing w:after="0"/>
              <w:rPr>
                <w:sz w:val="1"/>
                <w:szCs w:val="1"/>
                <w:color w:val="auto"/>
              </w:rPr>
            </w:pPr>
          </w:p>
        </w:tc>
      </w:tr>
      <w:tr>
        <w:trPr>
          <w:trHeight w:val="216"/>
        </w:trPr>
        <w:tc>
          <w:tcPr>
            <w:tcW w:w="4620" w:type="dxa"/>
            <w:vAlign w:val="bottom"/>
            <w:gridSpan w:val="4"/>
          </w:tcPr>
          <w:p>
            <w:pPr>
              <w:ind w:left="456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20"/>
              <w:spacing w:after="0"/>
              <w:rPr>
                <w:sz w:val="20"/>
                <w:szCs w:val="20"/>
                <w:color w:val="auto"/>
              </w:rPr>
            </w:pPr>
            <w:r>
              <w:rPr>
                <w:rFonts w:ascii="Arial" w:cs="Arial" w:eastAsia="Arial" w:hAnsi="Arial"/>
                <w:sz w:val="18"/>
                <w:szCs w:val="18"/>
                <w:color w:val="auto"/>
              </w:rPr>
              <w:t>Oil Mist Collectors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Food</w:t>
            </w:r>
          </w:p>
        </w:tc>
        <w:tc>
          <w:tcPr>
            <w:tcW w:w="108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
              <w:spacing w:after="0"/>
              <w:rPr>
                <w:sz w:val="20"/>
                <w:szCs w:val="20"/>
                <w:color w:val="auto"/>
              </w:rPr>
            </w:pPr>
            <w:r>
              <w:rPr>
                <w:rFonts w:ascii="Arial" w:cs="Arial" w:eastAsia="Arial" w:hAnsi="Arial"/>
                <w:sz w:val="18"/>
                <w:szCs w:val="18"/>
                <w:color w:val="auto"/>
              </w:rPr>
              <w:t>Oil Mist</w:t>
            </w:r>
          </w:p>
        </w:tc>
        <w:tc>
          <w:tcPr>
            <w:tcW w:w="0" w:type="dxa"/>
            <w:vAlign w:val="bottom"/>
          </w:tcPr>
          <w:p>
            <w:pPr>
              <w:spacing w:after="0"/>
              <w:rPr>
                <w:sz w:val="1"/>
                <w:szCs w:val="1"/>
                <w:color w:val="auto"/>
              </w:rPr>
            </w:pPr>
          </w:p>
        </w:tc>
      </w:tr>
      <w:tr>
        <w:trPr>
          <w:trHeight w:val="216"/>
        </w:trPr>
        <w:tc>
          <w:tcPr>
            <w:tcW w:w="4620" w:type="dxa"/>
            <w:vAlign w:val="bottom"/>
            <w:gridSpan w:val="4"/>
          </w:tcPr>
          <w:p>
            <w:pPr>
              <w:ind w:left="456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20"/>
              <w:spacing w:after="0"/>
              <w:rPr>
                <w:sz w:val="20"/>
                <w:szCs w:val="20"/>
                <w:color w:val="auto"/>
              </w:rPr>
            </w:pPr>
            <w:r>
              <w:rPr>
                <w:rFonts w:ascii="Arial" w:cs="Arial" w:eastAsia="Arial" w:hAnsi="Arial"/>
                <w:sz w:val="18"/>
                <w:szCs w:val="18"/>
                <w:color w:val="auto"/>
                <w:w w:val="95"/>
              </w:rPr>
              <w:t>Chip Conveyance Systems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Foundry</w:t>
            </w:r>
          </w:p>
        </w:tc>
        <w:tc>
          <w:tcPr>
            <w:tcW w:w="1080" w:type="dxa"/>
            <w:vAlign w:val="bottom"/>
            <w:gridSpan w:val="2"/>
          </w:tcPr>
          <w:p>
            <w:pPr>
              <w:ind w:left="1000"/>
              <w:spacing w:after="0"/>
              <w:rPr>
                <w:sz w:val="20"/>
                <w:szCs w:val="20"/>
                <w:color w:val="auto"/>
              </w:rPr>
            </w:pPr>
            <w:r>
              <w:rPr>
                <w:rFonts w:ascii="Arial" w:cs="Arial" w:eastAsia="Arial" w:hAnsi="Arial"/>
                <w:sz w:val="18"/>
                <w:szCs w:val="18"/>
                <w:color w:val="auto"/>
                <w:w w:val="99"/>
              </w:rPr>
              <w:t>-</w:t>
            </w:r>
          </w:p>
        </w:tc>
        <w:tc>
          <w:tcPr>
            <w:tcW w:w="1280" w:type="dxa"/>
            <w:vAlign w:val="bottom"/>
          </w:tcPr>
          <w:p>
            <w:pPr>
              <w:ind w:left="100"/>
              <w:spacing w:after="0"/>
              <w:rPr>
                <w:sz w:val="20"/>
                <w:szCs w:val="20"/>
                <w:color w:val="auto"/>
              </w:rPr>
            </w:pPr>
            <w:r>
              <w:rPr>
                <w:rFonts w:ascii="Arial" w:cs="Arial" w:eastAsia="Arial" w:hAnsi="Arial"/>
                <w:sz w:val="18"/>
                <w:szCs w:val="18"/>
                <w:color w:val="auto"/>
                <w:w w:val="99"/>
              </w:rPr>
              <w:t>Fume Exhaust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480" w:type="dxa"/>
            <w:vAlign w:val="bottom"/>
            <w:gridSpan w:val="3"/>
          </w:tcPr>
          <w:p>
            <w:pPr>
              <w:ind w:left="1000"/>
              <w:spacing w:after="0"/>
              <w:rPr>
                <w:sz w:val="20"/>
                <w:szCs w:val="20"/>
                <w:color w:val="auto"/>
              </w:rPr>
            </w:pPr>
            <w:r>
              <w:rPr>
                <w:rFonts w:ascii="Arial" w:cs="Arial" w:eastAsia="Arial" w:hAnsi="Arial"/>
                <w:sz w:val="18"/>
                <w:szCs w:val="18"/>
                <w:color w:val="auto"/>
              </w:rPr>
              <w:t>•   Acoustical Enclosures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Glass</w:t>
            </w: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w w:val="88"/>
              </w:rPr>
              <w:t>Exhaust/Make-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Custom Sheet Metal</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Primary</w:t>
            </w:r>
          </w:p>
        </w:tc>
        <w:tc>
          <w:tcPr>
            <w:tcW w:w="10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up Air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Fabrication</w:t>
            </w:r>
          </w:p>
        </w:tc>
        <w:tc>
          <w:tcPr>
            <w:tcW w:w="2240" w:type="dxa"/>
            <w:vAlign w:val="bottom"/>
            <w:gridSpan w:val="3"/>
          </w:tcPr>
          <w:p>
            <w:pPr>
              <w:ind w:left="1120"/>
              <w:spacing w:after="0"/>
              <w:rPr>
                <w:sz w:val="20"/>
                <w:szCs w:val="20"/>
                <w:color w:val="auto"/>
              </w:rPr>
            </w:pPr>
            <w:r>
              <w:rPr>
                <w:rFonts w:ascii="Arial" w:cs="Arial" w:eastAsia="Arial" w:hAnsi="Arial"/>
                <w:sz w:val="18"/>
                <w:szCs w:val="18"/>
                <w:color w:val="auto"/>
              </w:rPr>
              <w:t>Metals</w:t>
            </w: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w w:val="89"/>
              </w:rPr>
              <w:t>Paint/Finishing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Printing</w:t>
            </w:r>
          </w:p>
        </w:tc>
        <w:tc>
          <w:tcPr>
            <w:tcW w:w="10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Booths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rPr>
              <w:t>Pneumatic</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Conveying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80" w:type="dxa"/>
            <w:vAlign w:val="bottom"/>
            <w:gridSpan w:val="2"/>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48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w w:val="94"/>
              </w:rPr>
              <w:t>•   Turnkey Design, Build, Install:</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Automotive</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4"/>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Washing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4540"/>
              <w:spacing w:after="0"/>
              <w:rPr>
                <w:sz w:val="20"/>
                <w:szCs w:val="20"/>
                <w:color w:val="auto"/>
              </w:rPr>
            </w:pPr>
            <w:r>
              <w:rPr>
                <w:rFonts w:ascii="Arial" w:cs="Arial" w:eastAsia="Arial" w:hAnsi="Arial"/>
                <w:sz w:val="16"/>
                <w:szCs w:val="16"/>
                <w:color w:val="auto"/>
                <w:w w:val="74"/>
              </w:rPr>
              <w:t>-</w:t>
            </w: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Airhouses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Electronic</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4"/>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Paint/Finishing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4540"/>
              <w:spacing w:after="0"/>
              <w:rPr>
                <w:sz w:val="20"/>
                <w:szCs w:val="20"/>
                <w:color w:val="auto"/>
              </w:rPr>
            </w:pPr>
            <w:r>
              <w:rPr>
                <w:rFonts w:ascii="Arial" w:cs="Arial" w:eastAsia="Arial" w:hAnsi="Arial"/>
                <w:sz w:val="16"/>
                <w:szCs w:val="16"/>
                <w:color w:val="auto"/>
                <w:w w:val="74"/>
              </w:rPr>
              <w:t>-</w:t>
            </w: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Conveyors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w:t>
            </w:r>
          </w:p>
        </w:tc>
        <w:tc>
          <w:tcPr>
            <w:tcW w:w="10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Booths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3"/>
            <w:shd w:val="clear" w:color="auto" w:fill="CCEEFF"/>
          </w:tcPr>
          <w:p>
            <w:pPr>
              <w:ind w:left="4540"/>
              <w:spacing w:after="0"/>
              <w:rPr>
                <w:sz w:val="20"/>
                <w:szCs w:val="20"/>
                <w:color w:val="auto"/>
              </w:rPr>
            </w:pPr>
            <w:r>
              <w:rPr>
                <w:rFonts w:ascii="Arial" w:cs="Arial" w:eastAsia="Arial" w:hAnsi="Arial"/>
                <w:sz w:val="16"/>
                <w:szCs w:val="16"/>
                <w:color w:val="auto"/>
                <w:w w:val="74"/>
              </w:rPr>
              <w:t>-</w:t>
            </w:r>
          </w:p>
        </w:tc>
        <w:tc>
          <w:tcPr>
            <w:tcW w:w="2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Dust Collectors</w:t>
            </w:r>
          </w:p>
        </w:tc>
        <w:tc>
          <w:tcPr>
            <w:tcW w:w="2240" w:type="dxa"/>
            <w:vAlign w:val="bottom"/>
            <w:gridSpan w:val="3"/>
            <w:shd w:val="clear" w:color="auto" w:fill="CCEEFF"/>
          </w:tcPr>
          <w:p>
            <w:pPr>
              <w:ind w:left="1120"/>
              <w:spacing w:after="0"/>
              <w:rPr>
                <w:sz w:val="20"/>
                <w:szCs w:val="20"/>
                <w:color w:val="auto"/>
              </w:rPr>
            </w:pPr>
            <w:r>
              <w:rPr>
                <w:rFonts w:ascii="Arial" w:cs="Arial" w:eastAsia="Arial" w:hAnsi="Arial"/>
                <w:sz w:val="18"/>
                <w:szCs w:val="18"/>
                <w:color w:val="auto"/>
              </w:rPr>
              <w:t>Finishing</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4"/>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Custom Sheet Metal</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4"/>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Fabrication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Ventilation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8"/>
                <w:szCs w:val="18"/>
                <w:color w:val="auto"/>
                <w:w w:val="94"/>
              </w:rPr>
              <w:t>•</w:t>
            </w:r>
          </w:p>
        </w:tc>
        <w:tc>
          <w:tcPr>
            <w:tcW w:w="1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Dust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Eliminates Waste</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w w:val="93"/>
              </w:rPr>
              <w:t>Automotive</w:t>
            </w:r>
          </w:p>
        </w:tc>
        <w:tc>
          <w:tcPr>
            <w:tcW w:w="100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w w:val="93"/>
              </w:rPr>
              <w:t>Energy Waste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Ventilation System</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Electronic</w:t>
            </w: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rPr>
              <w:t>Exhaust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80" w:type="dxa"/>
            <w:vAlign w:val="bottom"/>
            <w:gridSpan w:val="2"/>
          </w:tcPr>
          <w:p>
            <w:pPr>
              <w:ind w:left="220"/>
              <w:spacing w:after="0"/>
              <w:rPr>
                <w:sz w:val="20"/>
                <w:szCs w:val="20"/>
                <w:color w:val="auto"/>
              </w:rPr>
            </w:pPr>
            <w:r>
              <w:rPr>
                <w:rFonts w:ascii="Arial" w:cs="Arial" w:eastAsia="Arial" w:hAnsi="Arial"/>
                <w:sz w:val="18"/>
                <w:szCs w:val="18"/>
                <w:color w:val="auto"/>
              </w:rPr>
              <w:t>Efficiencies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Foundry</w:t>
            </w:r>
          </w:p>
        </w:tc>
        <w:tc>
          <w:tcPr>
            <w:tcW w:w="10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System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w w:val="98"/>
              </w:rPr>
              <w:t>Reducing Energy Expenses</w:t>
            </w:r>
          </w:p>
        </w:tc>
        <w:tc>
          <w:tcPr>
            <w:tcW w:w="12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960" w:type="dxa"/>
            <w:vAlign w:val="bottom"/>
          </w:tcPr>
          <w:p>
            <w:pPr>
              <w:ind w:left="120"/>
              <w:spacing w:after="0"/>
              <w:rPr>
                <w:sz w:val="20"/>
                <w:szCs w:val="20"/>
                <w:color w:val="auto"/>
              </w:rPr>
            </w:pPr>
            <w:r>
              <w:rPr>
                <w:rFonts w:ascii="Arial" w:cs="Arial" w:eastAsia="Arial" w:hAnsi="Arial"/>
                <w:sz w:val="18"/>
                <w:szCs w:val="18"/>
                <w:color w:val="auto"/>
              </w:rPr>
              <w:t>Steel</w:t>
            </w:r>
          </w:p>
        </w:tc>
        <w:tc>
          <w:tcPr>
            <w:tcW w:w="10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Inefficiency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8"/>
                <w:szCs w:val="18"/>
                <w:color w:val="auto"/>
                <w:w w:val="94"/>
              </w:rPr>
              <w:t>•</w:t>
            </w:r>
          </w:p>
        </w:tc>
        <w:tc>
          <w:tcPr>
            <w:tcW w:w="1280" w:type="dxa"/>
            <w:vAlign w:val="bottom"/>
          </w:tcPr>
          <w:p>
            <w:pPr>
              <w:ind w:left="200"/>
              <w:spacing w:after="0"/>
              <w:rPr>
                <w:sz w:val="20"/>
                <w:szCs w:val="20"/>
                <w:color w:val="auto"/>
              </w:rPr>
            </w:pPr>
            <w:r>
              <w:rPr>
                <w:rFonts w:ascii="Arial" w:cs="Arial" w:eastAsia="Arial" w:hAnsi="Arial"/>
                <w:sz w:val="18"/>
                <w:szCs w:val="18"/>
                <w:color w:val="auto"/>
              </w:rPr>
              <w:t>Ventilation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System</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color w:val="auto"/>
              </w:rPr>
              <w:t>Energy Expense</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0" w:type="dxa"/>
            <w:vAlign w:val="bottom"/>
          </w:tcPr>
          <w:p>
            <w:pPr>
              <w:ind w:left="1060"/>
              <w:spacing w:after="0"/>
              <w:rPr>
                <w:sz w:val="20"/>
                <w:szCs w:val="20"/>
                <w:color w:val="auto"/>
              </w:rPr>
            </w:pPr>
            <w:r>
              <w:rPr>
                <w:rFonts w:ascii="Arial" w:cs="Arial" w:eastAsia="Arial" w:hAnsi="Arial"/>
                <w:sz w:val="18"/>
                <w:szCs w:val="18"/>
                <w:color w:val="auto"/>
              </w:rPr>
              <w:t>6</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-3797300</wp:posOffset>
            </wp:positionV>
            <wp:extent cx="1020445" cy="3517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0445"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-2356485</wp:posOffset>
            </wp:positionV>
            <wp:extent cx="1020445"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044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-873125</wp:posOffset>
            </wp:positionV>
            <wp:extent cx="1063625" cy="317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63625" cy="31750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ind w:left="620"/>
              <w:spacing w:after="0"/>
              <w:rPr>
                <w:sz w:val="20"/>
                <w:szCs w:val="20"/>
                <w:color w:val="auto"/>
              </w:rPr>
            </w:pPr>
            <w:r>
              <w:rPr>
                <w:rFonts w:ascii="Arial" w:cs="Arial" w:eastAsia="Arial" w:hAnsi="Arial"/>
                <w:sz w:val="14"/>
                <w:szCs w:val="14"/>
                <w:b w:val="1"/>
                <w:bCs w:val="1"/>
                <w:color w:val="auto"/>
              </w:rPr>
              <w:t>Capabilities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gridSpan w:val="4"/>
          </w:tcPr>
          <w:p>
            <w:pPr>
              <w:spacing w:after="0"/>
              <w:rPr>
                <w:sz w:val="20"/>
                <w:szCs w:val="20"/>
                <w:color w:val="auto"/>
              </w:rPr>
            </w:pPr>
            <w:r>
              <w:rPr>
                <w:rFonts w:ascii="Arial" w:cs="Arial" w:eastAsia="Arial" w:hAnsi="Arial"/>
                <w:sz w:val="14"/>
                <w:szCs w:val="14"/>
                <w:b w:val="1"/>
                <w:bCs w:val="1"/>
                <w:color w:val="auto"/>
              </w:rPr>
              <w:t>Division</w:t>
            </w:r>
          </w:p>
        </w:tc>
        <w:tc>
          <w:tcPr>
            <w:tcW w:w="2200" w:type="dxa"/>
            <w:vAlign w:val="bottom"/>
          </w:tcPr>
          <w:p>
            <w:pPr>
              <w:ind w:left="420"/>
              <w:spacing w:after="0"/>
              <w:rPr>
                <w:sz w:val="20"/>
                <w:szCs w:val="20"/>
                <w:color w:val="auto"/>
              </w:rPr>
            </w:pPr>
            <w:r>
              <w:rPr>
                <w:rFonts w:ascii="Arial" w:cs="Arial" w:eastAsia="Arial" w:hAnsi="Arial"/>
                <w:sz w:val="14"/>
                <w:szCs w:val="14"/>
                <w:b w:val="1"/>
                <w:bCs w:val="1"/>
                <w:color w:val="auto"/>
              </w:rPr>
              <w:t>(products/services)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tcPr>
          <w:p>
            <w:pPr>
              <w:ind w:left="200"/>
              <w:spacing w:after="0"/>
              <w:rPr>
                <w:sz w:val="20"/>
                <w:szCs w:val="20"/>
                <w:color w:val="auto"/>
              </w:rPr>
            </w:pPr>
            <w:r>
              <w:rPr>
                <w:rFonts w:ascii="Arial" w:cs="Arial" w:eastAsia="Arial" w:hAnsi="Arial"/>
                <w:sz w:val="14"/>
                <w:szCs w:val="14"/>
                <w:b w:val="1"/>
                <w:bCs w:val="1"/>
                <w:color w:val="auto"/>
              </w:rPr>
              <w:t>Industries Served</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ind w:left="240"/>
              <w:spacing w:after="0"/>
              <w:rPr>
                <w:sz w:val="20"/>
                <w:szCs w:val="20"/>
                <w:color w:val="auto"/>
              </w:rPr>
            </w:pPr>
            <w:r>
              <w:rPr>
                <w:rFonts w:ascii="Arial" w:cs="Arial" w:eastAsia="Arial" w:hAnsi="Arial"/>
                <w:sz w:val="14"/>
                <w:szCs w:val="14"/>
                <w:b w:val="1"/>
                <w:bCs w:val="1"/>
                <w:color w:val="auto"/>
              </w:rPr>
              <w:t>Typical Applications</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3220" w:type="dxa"/>
            <w:vAlign w:val="bottom"/>
            <w:tcBorders>
              <w:top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200" w:type="dxa"/>
            <w:vAlign w:val="bottom"/>
            <w:tcBorders>
              <w:top w:val="single" w:sz="8" w:color="auto"/>
            </w:tcBorders>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60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Equipment</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Regenerative Thermal</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w w:val="87"/>
              </w:rPr>
              <w:t>Chemical Processing</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High Efficiency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Oxidation</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Ethanol</w:t>
            </w:r>
          </w:p>
        </w:tc>
        <w:tc>
          <w:tcPr>
            <w:tcW w:w="6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Destruction: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Catalytic and Thermal</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Paint Booth</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Volatile Organic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Oxidation</w:t>
            </w:r>
          </w:p>
        </w:tc>
        <w:tc>
          <w:tcPr>
            <w:tcW w:w="7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Emissions</w:t>
            </w:r>
          </w:p>
        </w:tc>
        <w:tc>
          <w:tcPr>
            <w:tcW w:w="6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Compounds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Selective and</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Wastewater</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Fumes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Regenerative Catalytic</w:t>
            </w:r>
          </w:p>
        </w:tc>
        <w:tc>
          <w:tcPr>
            <w:tcW w:w="740" w:type="dxa"/>
            <w:vAlign w:val="bottom"/>
          </w:tcPr>
          <w:p>
            <w:pPr>
              <w:spacing w:after="0"/>
              <w:rPr>
                <w:sz w:val="18"/>
                <w:szCs w:val="18"/>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Treatment</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Industrial Odors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Reduction</w:t>
            </w:r>
          </w:p>
        </w:tc>
        <w:tc>
          <w:tcPr>
            <w:tcW w:w="74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Wood Products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6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   Turnkey Design, Build, Install:</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Coal-Fired Power</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3"/>
              </w:rPr>
              <w:t>Steam Heat Recovery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060"/>
              <w:spacing w:after="0"/>
              <w:rPr>
                <w:sz w:val="20"/>
                <w:szCs w:val="20"/>
                <w:color w:val="auto"/>
              </w:rPr>
            </w:pPr>
            <w:r>
              <w:rPr>
                <w:rFonts w:ascii="Arial" w:cs="Arial" w:eastAsia="Arial" w:hAnsi="Arial"/>
                <w:sz w:val="16"/>
                <w:szCs w:val="16"/>
                <w:color w:val="auto"/>
                <w:w w:val="74"/>
              </w:rPr>
              <w:t>-</w:t>
            </w:r>
          </w:p>
        </w:tc>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Dampers</w:t>
            </w:r>
          </w:p>
        </w:tc>
        <w:tc>
          <w:tcPr>
            <w:tcW w:w="7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Flue Gas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3"/>
            <w:shd w:val="clear" w:color="auto" w:fill="CCEEFF"/>
          </w:tcPr>
          <w:p>
            <w:pPr>
              <w:ind w:left="4060"/>
              <w:spacing w:after="0"/>
              <w:rPr>
                <w:sz w:val="20"/>
                <w:szCs w:val="20"/>
                <w:color w:val="auto"/>
              </w:rPr>
            </w:pPr>
            <w:r>
              <w:rPr>
                <w:rFonts w:ascii="Arial" w:cs="Arial" w:eastAsia="Arial" w:hAnsi="Arial"/>
                <w:sz w:val="16"/>
                <w:szCs w:val="16"/>
                <w:color w:val="auto"/>
                <w:w w:val="74"/>
              </w:rPr>
              <w:t>-</w:t>
            </w:r>
          </w:p>
        </w:tc>
        <w:tc>
          <w:tcPr>
            <w:tcW w:w="2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Expansion Joints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Chemical Processing</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Desulphurization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Refining</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Catalytic (NOx)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Metals</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Woodpaper</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Fiber-Bed Filter Mist</w:t>
            </w:r>
          </w:p>
        </w:tc>
        <w:tc>
          <w:tcPr>
            <w:tcW w:w="7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Asphalt</w:t>
            </w:r>
          </w:p>
        </w:tc>
        <w:tc>
          <w:tcPr>
            <w:tcW w:w="6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Acid/Caustic Mist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Collectors</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Chemical</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Storage Tank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Catenary Grid and</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Fertilizer</w:t>
            </w:r>
          </w:p>
        </w:tc>
        <w:tc>
          <w:tcPr>
            <w:tcW w:w="6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Emissions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Narrow Gap</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Metals</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Lubricant Emissions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spacing w:after="0"/>
              <w:rPr>
                <w:sz w:val="20"/>
                <w:szCs w:val="20"/>
                <w:color w:val="auto"/>
              </w:rPr>
            </w:pPr>
            <w:r>
              <w:rPr>
                <w:rFonts w:ascii="Arial" w:cs="Arial" w:eastAsia="Arial" w:hAnsi="Arial"/>
                <w:sz w:val="18"/>
                <w:szCs w:val="18"/>
                <w:color w:val="auto"/>
              </w:rPr>
              <w:t>Venturi Scrubbers</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Semiconductors</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Nitric Acid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Replacement Filters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Platinum Recovery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Repack Services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w w:val="98"/>
              </w:rPr>
              <w:t>Wet Bench Acid Mist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60" w:type="dxa"/>
            <w:vAlign w:val="bottom"/>
            <w:gridSpan w:val="2"/>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94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   Heavy Duty Air Handling and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Aluminum</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Rolling Mill Oil Mist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Conditioning</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Chemical</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Fume Exhaust Systems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Paper</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   Heavy Gauge Strip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Air-Curtain Hoods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Coil: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JET STAR Strip/Coil</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Steel</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Coolers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4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Coolers and Dryers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Dryers</w:t>
            </w: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w w:val="94"/>
              </w:rPr>
              <w:t>•   Turnkey Design, Build, Install:</w:t>
            </w:r>
          </w:p>
        </w:tc>
        <w:tc>
          <w:tcPr>
            <w:tcW w:w="74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Cement</w:t>
            </w:r>
          </w:p>
        </w:tc>
        <w:tc>
          <w:tcPr>
            <w:tcW w:w="62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Collection:</w:t>
            </w:r>
          </w:p>
        </w:tc>
        <w:tc>
          <w:tcPr>
            <w:tcW w:w="0" w:type="dxa"/>
            <w:vAlign w:val="bottom"/>
          </w:tcPr>
          <w:p>
            <w:pPr>
              <w:spacing w:after="0"/>
              <w:rPr>
                <w:sz w:val="1"/>
                <w:szCs w:val="1"/>
                <w:color w:val="auto"/>
              </w:rPr>
            </w:pPr>
          </w:p>
        </w:tc>
      </w:tr>
      <w:tr>
        <w:trPr>
          <w:trHeight w:val="216"/>
        </w:trPr>
        <w:tc>
          <w:tcPr>
            <w:tcW w:w="4140" w:type="dxa"/>
            <w:vAlign w:val="bottom"/>
            <w:gridSpan w:val="4"/>
          </w:tcPr>
          <w:p>
            <w:pPr>
              <w:ind w:left="408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Pulsejet Baghouses</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Lime</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Dust</w:t>
            </w:r>
          </w:p>
        </w:tc>
        <w:tc>
          <w:tcPr>
            <w:tcW w:w="0" w:type="dxa"/>
            <w:vAlign w:val="bottom"/>
          </w:tcPr>
          <w:p>
            <w:pPr>
              <w:spacing w:after="0"/>
              <w:rPr>
                <w:sz w:val="1"/>
                <w:szCs w:val="1"/>
                <w:color w:val="auto"/>
              </w:rPr>
            </w:pPr>
          </w:p>
        </w:tc>
      </w:tr>
      <w:tr>
        <w:trPr>
          <w:trHeight w:val="216"/>
        </w:trPr>
        <w:tc>
          <w:tcPr>
            <w:tcW w:w="4140" w:type="dxa"/>
            <w:vAlign w:val="bottom"/>
            <w:gridSpan w:val="4"/>
          </w:tcPr>
          <w:p>
            <w:pPr>
              <w:ind w:left="408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Reverse Air Baghouses</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Steel</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Dry Particulate</w:t>
            </w:r>
          </w:p>
        </w:tc>
        <w:tc>
          <w:tcPr>
            <w:tcW w:w="0" w:type="dxa"/>
            <w:vAlign w:val="bottom"/>
          </w:tcPr>
          <w:p>
            <w:pPr>
              <w:spacing w:after="0"/>
              <w:rPr>
                <w:sz w:val="1"/>
                <w:szCs w:val="1"/>
                <w:color w:val="auto"/>
              </w:rPr>
            </w:pPr>
          </w:p>
        </w:tc>
      </w:tr>
      <w:tr>
        <w:trPr>
          <w:trHeight w:val="216"/>
        </w:trPr>
        <w:tc>
          <w:tcPr>
            <w:tcW w:w="4140" w:type="dxa"/>
            <w:vAlign w:val="bottom"/>
            <w:gridSpan w:val="4"/>
          </w:tcPr>
          <w:p>
            <w:pPr>
              <w:ind w:left="408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Pulsejet Cartridge Filters</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Foundry</w:t>
            </w:r>
          </w:p>
        </w:tc>
        <w:tc>
          <w:tcPr>
            <w:tcW w:w="62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Matter</w:t>
            </w:r>
          </w:p>
        </w:tc>
        <w:tc>
          <w:tcPr>
            <w:tcW w:w="0" w:type="dxa"/>
            <w:vAlign w:val="bottom"/>
          </w:tcPr>
          <w:p>
            <w:pPr>
              <w:spacing w:after="0"/>
              <w:rPr>
                <w:sz w:val="1"/>
                <w:szCs w:val="1"/>
                <w:color w:val="auto"/>
              </w:rPr>
            </w:pPr>
          </w:p>
        </w:tc>
      </w:tr>
      <w:tr>
        <w:trPr>
          <w:trHeight w:val="216"/>
        </w:trPr>
        <w:tc>
          <w:tcPr>
            <w:tcW w:w="4140" w:type="dxa"/>
            <w:vAlign w:val="bottom"/>
            <w:gridSpan w:val="4"/>
          </w:tcPr>
          <w:p>
            <w:pPr>
              <w:ind w:left="4080"/>
              <w:spacing w:after="0"/>
              <w:rPr>
                <w:sz w:val="20"/>
                <w:szCs w:val="20"/>
                <w:color w:val="auto"/>
              </w:rPr>
            </w:pPr>
            <w:r>
              <w:rPr>
                <w:rFonts w:ascii="Arial" w:cs="Arial" w:eastAsia="Arial" w:hAnsi="Arial"/>
                <w:sz w:val="16"/>
                <w:szCs w:val="16"/>
                <w:color w:val="auto"/>
                <w:w w:val="74"/>
              </w:rPr>
              <w:t>-</w:t>
            </w:r>
          </w:p>
        </w:tc>
        <w:tc>
          <w:tcPr>
            <w:tcW w:w="2200" w:type="dxa"/>
            <w:vAlign w:val="bottom"/>
          </w:tcPr>
          <w:p>
            <w:pPr>
              <w:ind w:left="140"/>
              <w:spacing w:after="0"/>
              <w:rPr>
                <w:sz w:val="20"/>
                <w:szCs w:val="20"/>
                <w:color w:val="auto"/>
              </w:rPr>
            </w:pPr>
            <w:r>
              <w:rPr>
                <w:rFonts w:ascii="Arial" w:cs="Arial" w:eastAsia="Arial" w:hAnsi="Arial"/>
                <w:sz w:val="18"/>
                <w:szCs w:val="18"/>
                <w:color w:val="auto"/>
              </w:rPr>
              <w:t>Oil Mist Filters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Kiln Exhaust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Raw Mill Exhaust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800" w:type="dxa"/>
            <w:vAlign w:val="bottom"/>
          </w:tcPr>
          <w:p>
            <w:pPr>
              <w:ind w:left="60"/>
              <w:spacing w:after="0"/>
              <w:rPr>
                <w:sz w:val="20"/>
                <w:szCs w:val="20"/>
                <w:color w:val="auto"/>
              </w:rPr>
            </w:pPr>
            <w:r>
              <w:rPr>
                <w:rFonts w:ascii="Arial" w:cs="Arial" w:eastAsia="Arial" w:hAnsi="Arial"/>
                <w:sz w:val="18"/>
                <w:szCs w:val="18"/>
                <w:color w:val="auto"/>
              </w:rPr>
              <w:t>Electric Furnace</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Components/Parts</w:t>
            </w:r>
          </w:p>
        </w:tc>
        <w:tc>
          <w:tcPr>
            <w:tcW w:w="2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00" w:type="dxa"/>
            <w:vAlign w:val="bottom"/>
          </w:tcPr>
          <w:p>
            <w:pPr>
              <w:ind w:left="20"/>
              <w:spacing w:after="0"/>
              <w:rPr>
                <w:sz w:val="20"/>
                <w:szCs w:val="20"/>
                <w:color w:val="auto"/>
              </w:rPr>
            </w:pPr>
            <w:r>
              <w:rPr>
                <w:rFonts w:ascii="Arial" w:cs="Arial" w:eastAsia="Arial" w:hAnsi="Arial"/>
                <w:sz w:val="18"/>
                <w:szCs w:val="18"/>
                <w:color w:val="auto"/>
              </w:rPr>
              <w:t>Component Parts for</w:t>
            </w: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600" w:type="dxa"/>
            <w:vAlign w:val="bottom"/>
          </w:tcPr>
          <w:p>
            <w:pPr>
              <w:ind w:left="100"/>
              <w:spacing w:after="0"/>
              <w:rPr>
                <w:sz w:val="20"/>
                <w:szCs w:val="20"/>
                <w:color w:val="auto"/>
              </w:rPr>
            </w:pPr>
            <w:r>
              <w:rPr>
                <w:rFonts w:ascii="Arial" w:cs="Arial" w:eastAsia="Arial" w:hAnsi="Arial"/>
                <w:sz w:val="18"/>
                <w:szCs w:val="18"/>
                <w:color w:val="auto"/>
              </w:rPr>
              <w:t>Industrial Sheet</w:t>
            </w:r>
          </w:p>
        </w:tc>
        <w:tc>
          <w:tcPr>
            <w:tcW w:w="6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tcPr>
          <w:p>
            <w:pPr>
              <w:ind w:left="140"/>
              <w:spacing w:after="0"/>
              <w:rPr>
                <w:sz w:val="20"/>
                <w:szCs w:val="20"/>
                <w:color w:val="auto"/>
              </w:rPr>
            </w:pPr>
            <w:r>
              <w:rPr>
                <w:rFonts w:ascii="Arial" w:cs="Arial" w:eastAsia="Arial" w:hAnsi="Arial"/>
                <w:sz w:val="18"/>
                <w:szCs w:val="18"/>
                <w:color w:val="auto"/>
              </w:rPr>
              <w:t>Industrial Ventilation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60" w:type="dxa"/>
            <w:vAlign w:val="bottom"/>
            <w:gridSpan w:val="2"/>
          </w:tcPr>
          <w:p>
            <w:pPr>
              <w:ind w:left="200"/>
              <w:spacing w:after="0"/>
              <w:rPr>
                <w:sz w:val="20"/>
                <w:szCs w:val="20"/>
                <w:color w:val="auto"/>
              </w:rPr>
            </w:pPr>
            <w:r>
              <w:rPr>
                <w:rFonts w:ascii="Arial" w:cs="Arial" w:eastAsia="Arial" w:hAnsi="Arial"/>
                <w:sz w:val="18"/>
                <w:szCs w:val="18"/>
                <w:color w:val="auto"/>
              </w:rPr>
              <w:t>Industrial Air Systems</w:t>
            </w:r>
          </w:p>
        </w:tc>
        <w:tc>
          <w:tcPr>
            <w:tcW w:w="740" w:type="dxa"/>
            <w:vAlign w:val="bottom"/>
          </w:tcPr>
          <w:p>
            <w:pPr>
              <w:spacing w:after="0"/>
              <w:rPr>
                <w:sz w:val="19"/>
                <w:szCs w:val="19"/>
                <w:color w:val="auto"/>
              </w:rPr>
            </w:pPr>
          </w:p>
        </w:tc>
        <w:tc>
          <w:tcPr>
            <w:tcW w:w="1780" w:type="dxa"/>
            <w:vAlign w:val="bottom"/>
            <w:gridSpan w:val="2"/>
          </w:tcPr>
          <w:p>
            <w:pPr>
              <w:spacing w:after="0"/>
              <w:rPr>
                <w:sz w:val="20"/>
                <w:szCs w:val="20"/>
                <w:color w:val="auto"/>
              </w:rPr>
            </w:pPr>
            <w:r>
              <w:rPr>
                <w:rFonts w:ascii="Arial" w:cs="Arial" w:eastAsia="Arial" w:hAnsi="Arial"/>
                <w:sz w:val="18"/>
                <w:szCs w:val="18"/>
                <w:color w:val="auto"/>
              </w:rPr>
              <w:t>Metal Contractors</w:t>
            </w:r>
          </w:p>
        </w:tc>
        <w:tc>
          <w:tcPr>
            <w:tcW w:w="620" w:type="dxa"/>
            <w:vAlign w:val="bottom"/>
          </w:tcPr>
          <w:p>
            <w:pPr>
              <w:spacing w:after="0"/>
              <w:rPr>
                <w:sz w:val="19"/>
                <w:szCs w:val="19"/>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Systems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-5306695</wp:posOffset>
            </wp:positionV>
            <wp:extent cx="951865" cy="4375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865" cy="4375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-4269105</wp:posOffset>
            </wp:positionV>
            <wp:extent cx="107188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7188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-3376930</wp:posOffset>
            </wp:positionV>
            <wp:extent cx="1020445" cy="4546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0445"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1020445"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0445" cy="3429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103759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37590" cy="428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-272415</wp:posOffset>
            </wp:positionV>
            <wp:extent cx="1020445" cy="3517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0445" cy="351790"/>
                    </a:xfrm>
                    <a:prstGeom prst="rect">
                      <a:avLst/>
                    </a:prstGeom>
                    <a:noFill/>
                  </pic:spPr>
                </pic:pic>
              </a:graphicData>
            </a:graphic>
          </wp:anchor>
        </w:drawing>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8"/>
          <w:szCs w:val="18"/>
          <w:i w:val="1"/>
          <w:iCs w:val="1"/>
          <w:color w:val="auto"/>
        </w:rPr>
        <w:t>Kirk &amp; Blum Parts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60" w:type="dxa"/>
            <w:vAlign w:val="bottom"/>
          </w:tcPr>
          <w:p>
            <w:pPr>
              <w:ind w:left="760"/>
              <w:spacing w:after="0"/>
              <w:rPr>
                <w:sz w:val="20"/>
                <w:szCs w:val="20"/>
                <w:color w:val="auto"/>
              </w:rPr>
            </w:pPr>
            <w:r>
              <w:rPr>
                <w:rFonts w:ascii="Arial" w:cs="Arial" w:eastAsia="Arial" w:hAnsi="Arial"/>
                <w:sz w:val="14"/>
                <w:szCs w:val="14"/>
                <w:b w:val="1"/>
                <w:bCs w:val="1"/>
                <w:color w:val="auto"/>
              </w:rPr>
              <w:t>Capabilities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8"/>
        </w:trPr>
        <w:tc>
          <w:tcPr>
            <w:tcW w:w="4020" w:type="dxa"/>
            <w:vAlign w:val="bottom"/>
            <w:gridSpan w:val="3"/>
          </w:tcPr>
          <w:p>
            <w:pPr>
              <w:spacing w:after="0"/>
              <w:rPr>
                <w:sz w:val="20"/>
                <w:szCs w:val="20"/>
                <w:color w:val="auto"/>
              </w:rPr>
            </w:pPr>
            <w:r>
              <w:rPr>
                <w:rFonts w:ascii="Arial" w:cs="Arial" w:eastAsia="Arial" w:hAnsi="Arial"/>
                <w:sz w:val="14"/>
                <w:szCs w:val="14"/>
                <w:b w:val="1"/>
                <w:bCs w:val="1"/>
                <w:color w:val="auto"/>
              </w:rPr>
              <w:t>Division</w:t>
            </w:r>
          </w:p>
        </w:tc>
        <w:tc>
          <w:tcPr>
            <w:tcW w:w="2360" w:type="dxa"/>
            <w:vAlign w:val="bottom"/>
          </w:tcPr>
          <w:p>
            <w:pPr>
              <w:ind w:left="580"/>
              <w:spacing w:after="0"/>
              <w:rPr>
                <w:sz w:val="20"/>
                <w:szCs w:val="20"/>
                <w:color w:val="auto"/>
              </w:rPr>
            </w:pPr>
            <w:r>
              <w:rPr>
                <w:rFonts w:ascii="Arial" w:cs="Arial" w:eastAsia="Arial" w:hAnsi="Arial"/>
                <w:sz w:val="14"/>
                <w:szCs w:val="14"/>
                <w:b w:val="1"/>
                <w:bCs w:val="1"/>
                <w:color w:val="auto"/>
              </w:rPr>
              <w:t>(products/services)</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Arial" w:cs="Arial" w:eastAsia="Arial" w:hAnsi="Arial"/>
                <w:sz w:val="14"/>
                <w:szCs w:val="14"/>
                <w:b w:val="1"/>
                <w:bCs w:val="1"/>
                <w:color w:val="auto"/>
              </w:rPr>
              <w:t>Industries Served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tcPr>
          <w:p>
            <w:pPr>
              <w:ind w:left="360"/>
              <w:spacing w:after="0"/>
              <w:rPr>
                <w:sz w:val="20"/>
                <w:szCs w:val="20"/>
                <w:color w:val="auto"/>
              </w:rPr>
            </w:pPr>
            <w:r>
              <w:rPr>
                <w:rFonts w:ascii="Arial" w:cs="Arial" w:eastAsia="Arial" w:hAnsi="Arial"/>
                <w:sz w:val="14"/>
                <w:szCs w:val="14"/>
                <w:b w:val="1"/>
                <w:bCs w:val="1"/>
                <w:color w:val="auto"/>
              </w:rPr>
              <w:t>Typical Applications</w:t>
            </w:r>
          </w:p>
        </w:tc>
      </w:tr>
      <w:tr>
        <w:trPr>
          <w:trHeight w:val="108"/>
        </w:trPr>
        <w:tc>
          <w:tcPr>
            <w:tcW w:w="332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236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480" w:type="dxa"/>
            <w:vAlign w:val="bottom"/>
            <w:tcBorders>
              <w:top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40" w:type="dxa"/>
            <w:vAlign w:val="bottom"/>
            <w:tcBorders>
              <w:top w:val="single" w:sz="8" w:color="auto"/>
            </w:tcBorders>
          </w:tcPr>
          <w:p>
            <w:pPr>
              <w:spacing w:after="0"/>
              <w:rPr>
                <w:sz w:val="9"/>
                <w:szCs w:val="9"/>
                <w:color w:val="auto"/>
              </w:rPr>
            </w:pPr>
          </w:p>
        </w:tc>
      </w:tr>
      <w:tr>
        <w:trPr>
          <w:trHeight w:val="208"/>
        </w:trPr>
        <w:tc>
          <w:tcPr>
            <w:tcW w:w="3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Clamp-Together</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Chemical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Capture in Moderately</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Componentized</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w:t>
            </w:r>
          </w:p>
        </w:tc>
        <w:tc>
          <w:tcPr>
            <w:tcW w:w="5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Abrasive</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Ducting Systems</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Furniture</w:t>
            </w:r>
          </w:p>
        </w:tc>
        <w:tc>
          <w:tcPr>
            <w:tcW w:w="5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Environments</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Dust Particles</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Pharmaceuticals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Fumes</w:t>
            </w:r>
          </w:p>
        </w:tc>
      </w:tr>
      <w:tr>
        <w:trPr>
          <w:trHeight w:val="224"/>
        </w:trPr>
        <w:tc>
          <w:tcPr>
            <w:tcW w:w="3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Oil Mist</w:t>
            </w:r>
          </w:p>
        </w:tc>
      </w:tr>
      <w:tr>
        <w:trPr>
          <w:trHeight w:val="323"/>
        </w:trPr>
        <w:tc>
          <w:tcPr>
            <w:tcW w:w="4020" w:type="dxa"/>
            <w:vAlign w:val="bottom"/>
            <w:gridSpan w:val="3"/>
          </w:tcPr>
          <w:p>
            <w:pPr>
              <w:spacing w:after="0"/>
              <w:rPr>
                <w:sz w:val="20"/>
                <w:szCs w:val="20"/>
                <w:color w:val="auto"/>
              </w:rPr>
            </w:pPr>
            <w:r>
              <w:rPr>
                <w:rFonts w:ascii="Arial" w:cs="Arial" w:eastAsia="Arial" w:hAnsi="Arial"/>
                <w:sz w:val="18"/>
                <w:szCs w:val="18"/>
                <w:b w:val="1"/>
                <w:bCs w:val="1"/>
                <w:color w:val="auto"/>
              </w:rPr>
              <w:t>Engineering/Design</w:t>
            </w:r>
          </w:p>
        </w:tc>
        <w:tc>
          <w:tcPr>
            <w:tcW w:w="2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09"/>
        </w:trPr>
        <w:tc>
          <w:tcPr>
            <w:tcW w:w="3320" w:type="dxa"/>
            <w:vAlign w:val="bottom"/>
            <w:shd w:val="clear" w:color="auto" w:fill="CCEEFF"/>
          </w:tcPr>
          <w:p>
            <w:pPr>
              <w:spacing w:after="0"/>
              <w:rPr>
                <w:sz w:val="18"/>
                <w:szCs w:val="18"/>
                <w:color w:val="auto"/>
              </w:rPr>
            </w:pPr>
          </w:p>
        </w:tc>
        <w:tc>
          <w:tcPr>
            <w:tcW w:w="30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Air Flow and Contaminant</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Automotive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Emissions Testing and</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 and Design</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w:t>
            </w:r>
          </w:p>
        </w:tc>
        <w:tc>
          <w:tcPr>
            <w:tcW w:w="56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Compliance</w:t>
            </w:r>
          </w:p>
        </w:tc>
      </w:tr>
      <w:tr>
        <w:trPr>
          <w:trHeight w:val="216"/>
        </w:trPr>
        <w:tc>
          <w:tcPr>
            <w:tcW w:w="3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Ventilation System</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Furniture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Systems Analysis</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Testing and Balancing</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Glass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 Ventilation:</w:t>
            </w:r>
          </w:p>
        </w:tc>
      </w:tr>
      <w:tr>
        <w:trPr>
          <w:trHeight w:val="216"/>
        </w:trPr>
        <w:tc>
          <w:tcPr>
            <w:tcW w:w="33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Emission Testing for</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Metals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Engineering</w:t>
            </w:r>
          </w:p>
        </w:tc>
      </w:tr>
      <w:tr>
        <w:trPr>
          <w:trHeight w:val="216"/>
        </w:trPr>
        <w:tc>
          <w:tcPr>
            <w:tcW w:w="3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36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Regulatory Compliance</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Plastics</w:t>
            </w:r>
          </w:p>
        </w:tc>
        <w:tc>
          <w:tcPr>
            <w:tcW w:w="6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Design</w:t>
            </w:r>
          </w:p>
        </w:tc>
      </w:tr>
      <w:tr>
        <w:trPr>
          <w:trHeight w:val="224"/>
        </w:trPr>
        <w:tc>
          <w:tcPr>
            <w:tcW w:w="33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Smelters</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-1988820</wp:posOffset>
            </wp:positionV>
            <wp:extent cx="1029335" cy="2228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933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1029335" cy="3517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9335" cy="3517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contracting business unit is comprised of our Kirk &amp; Blum division, H.M. White, and CECO Energy Management. Under the Kirk &amp; Blum trade name we have four principal product lines. All have evolved from the original air pollution systems business (contracting, fabricating, parts and clamp-together duct systems). The largest line, with eight strategic locations throughout the Midwest and Southeast United States, is air pollution control systems and industrial ventilation. These systems, primarily sold on a turnkey basis, include oil mist collection, dust collection, industrial exhaust, chip collection, make-up air, as well as automotive spray booth systems, industrial and process piping, and other industrial sheet metal work. We provide a cost effective engineered solution to in-plant process problems in order to control airborne pollutants. Representative customers include General Electric, General Motors, Procter &amp; Gamble, Nissan, Honda, Toyota, Boeing, Lafarge, Corning, RR Donnelley, and Alcoa. North America is the principal market served. We have, at times, supplied equipment and engineering services in certain overseas markets. We have completed several major contracts in Mexico and are currently executing large projects in China.</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provide custom metal fabrication services at our Kirk &amp; Blum Cincinnati, Ohio and Lexington, Kentucky locations. These facilities are used to fabricate parts, subassemblies, and customized products for air pollution and non-air pollution applications from sheet, plate, and structurals and perform the majority of the fabrication for CECO Filters, Busch International, CECOaire and CECO Abatement. We have developed significant expertise in custom sheet metal fabrication. As a result, these facilities give us flexible production capacity to meet project schedules and cost targets in air pollution control projects while generating additional fabrication revenue in support of non-air pollution control industries. Kirk &amp; Blum is the custom fabricator of product components for many companies located in the Midwest choosing to outsource their manufacturing. Generally, we will market custom fabrication services under a long-term sales agreement. Representative customers include Siemens and General Electric.</w:t>
      </w:r>
    </w:p>
    <w:p>
      <w:pPr>
        <w:spacing w:after="0" w:line="118"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In February 2006, we entered into a transition agreement with H.M. White, LLC and H.M. White Holdings of Detroit, Michigan to jointly participate in the pursuit of new business in the areas of industrial ventilation systems and sheet metal and paint finishing construction. This combination of businesses allows us to expand our access to the automotive markets, especially in Detroit, where we previously had a minimal presence.</w:t>
      </w:r>
    </w:p>
    <w:p>
      <w:pPr>
        <w:spacing w:after="0" w:line="10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In 2006, we formed CECO Energy Management, which is a joint effort involving Kirk &amp; Blum, H.M. White and kbd/Technic, to assist customers in developing plant wide energy reduction strategies in addition to</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eliminating waste and raising the efficiency of ventilation systems. By using Life Cycle Cost Analysis, we are able to build efficiency into the design of fans, motors, and collectors that delivers substantial cost savings over the life of the exhaust system.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equipment business unit is comprised of CECO Filters, Busch International, CECO Abatement, CECOaire, and Effox. We added the CECO Abatement Systems division in 2001 to extend our penetration into the thermal oxidation market. We enable our customers to meet BACT requirements and compliance targets for fumes, volatile organic compounds, process, and industrial odors. Our services eliminate toxic emission fumes and volatile organic compounds from large-scale industrial processes. We have a presence in the chemical processing, ethanol, paint booth emissions, wastewater treatment, and wood products industries.</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acquired the damper and expansion joint assets of Effox in Cincinnati, Ohio on February 28, 2007, to continue the execution of our horizontal integration strategy. This acquisition broadens our exposure to the multi-billion dollar electric power generation market, coal and gas, and the ethanol, metals and mineral products markets. We provide dampers and expansion joints for flue gas and process air systems with emphasis on steam heat recovery, flue gas desulphurization, and catalytic (NOx) reduction. For existing systems, Effox provides rebuilding and repair services, including basic design modification.</w:t>
      </w:r>
    </w:p>
    <w:p>
      <w:pPr>
        <w:spacing w:after="0" w:line="113"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Our fiber bed filter technology is marketed under the CECO Filters trade name directly to customers. The principal functions of the filters are (a) the removal of damaging mists and particles (e.g., in process operations that could cause downstream corrosion and damage to equipment), (b) the removal of pollutants, and (c) the recovery of valuable materials for reuse. The filters are also used to collect fine insoluble particulates. Major users are chemical and electronics industries, manufacturers of various acids, vegetable and animal based cooking oils, textile products, alkalies, chlorine, papers, asphalt and pharmaceutical products. In February 2004, we established CECO Filters India Pvt. Ltd. in Chennai, India to market filtering equipment under the CECO Filters trade name to extend our penetration into Asia.</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design and build air handling equipment and systems for filtering, cooling, heating, and capture of emissions in the metal industries under the Busch International name. Our fume exhaust systems with EPA recognized hood designs provide high efficiency control of oil mist and fumes, removing liquid particles and vapor phase emissions from rolling mill, machining, and other oil mist generating processes. We also provide systems for corrosion protection, fugitive emissions control, evaporative cooling, and other ventilation and air handling applications. We also market a strip cooler under the JET«STAR name that is designed to cool heavy gauge strip with thick coatings even at high strip speeds. This equipment is globally marketed to the steel and aluminum industries. We recently obtained a contract in China for such equipment for $3.5 million.</w:t>
      </w:r>
    </w:p>
    <w:p>
      <w:pPr>
        <w:spacing w:after="0" w:line="120"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In January 2005, we formed CECOaire to increase our penetration into the dust control markets. We market baghouses that remove dust and particulate from industrial process airstreams. Our fabric dust collector product line optimizes sizing, component selection, and low pressure drop for increased energy savings. Our CECOaire Series HC and VC dust collectors are fully-automated pulse-jet cleaned pleated-cartridge filters designed to handle applications in a variety of industries. The Series DDPC Downdraft Benches are constructed to capture smoke and dust generated by welding, grinding, polishing, and soldering. We have the ability to upgrade existing dust collectors and offer complete conversion services. Prior to January 2005, CECOaire operated as part of CECO Filters.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Components/Parts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market component parts for industrial air systems to contractors, distributors and dealers throughout the United States under the Kirk &amp; Blum Parts division. In 2001, we started the K&amp;B Duct product line to provide a cost effective alternative to traditional duct. Primary users for this product line are those that generate dry particulate such as furniture manufacturers, metal fabricators, and any other users desiring flexibility in a duct system. Customers include end users, contractors, and dealers.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Engineering/Design</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Our engineering and design services are marketed under the kbd/Technic trade name to provide engineering services directly to customers. We routinely conduct stack tests for compliance demonstrations and provide customers with engineering evaluations of process or pollution control equipment. Our testing capabilities include the measurement of particulate emissions and particle size distribution including PM-10, sulfur oxides, nitrogen oxides, volatile organic compounds (VOCs), metals, and acid gases. Our industrial ventilation system designs enable reduced construction, operating, and maintenance costs by optimizing airflow. Representative customers include General Motors, Ford, Toyota, Quaker Oats, Nissan and Honda.</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Project Design and Development</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focus our development efforts on designing and introducing new and improved approaches and methodologies which produce for our customers better system performance and often improve customer process performance. For example, the patented Jet*Star strip cooler produced by Busch International routinely allows customers to increase the speed of galvanizing lines, thus enhancing productivity, while at the same time increasing product quality by, through the use of the cooling air, holding the strip more stable as the zinc coating cools. We produce specialized products, which are often tailored to the specifications of a customer or application. We continually collaborate with our customers to develop the proper solution and ensure customer satisfaction. During 2006, 2005, and 2004, costs expended in development were not significant. Such costs are generally included as factors in determining pricing.</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specialize in the design, fabrication and installation of turnkey ventilation systems and processes. The project development cycle may follow many different paths depending on the specifics of the job and end market. The process normally takes between one and six months from concept and design to production, which may vary significantly depending on developments that occur during the process, including among others, the emergence of new environmental demands, changes in design specifications and ability to obtain necessary approvals.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Marketing and Support</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selling strategy is to provide a solutions-based approach for controlling industrial airborne contaminants by being a single source provider of industrial ventilation and air-pollution control products and services. This involves horizontally expanding our scope of products and services through selective acquisitions and the formation of new business units that are then vertically integrated into our growing family of turnkey system providers. We believe this provides a discernable competitive advantage. We execute this strategy by utilizing our portfolio of in-house technologies and those of third party equipment suppliers. Many of these have been long standing relationships, which have evolved from pure supplier roles to value-added business partnerships. This enables us to leverage existing business with selective alliances of suppliers and application specific engineering expertise. Our products primarily compete on the basis of price, performance, speed of delivery, quality, customer support and single source responsibility. Our value proposition to customers is to provide competitively priced, customized turnkey solutions. Our combined industry-specific knowledge base accompanied by our product and service offerings provide valuable synergies for design innovation.</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sell and market our products and services with our own direct workforce in conjunction with outside sales representatives in the U.S., Mexico, Canada, Asia, Europe and South America. We have direct employees in India. We intend to expand our sales and support capabilities and our network of outside sales representatives in key regions domestically and internationally.</w:t>
      </w:r>
    </w:p>
    <w:p>
      <w:pPr>
        <w:spacing w:after="0" w:line="14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Much of our marketing effort consists of individual visits to customers, dissemination of sales and advertising materials, such as product announcements, brochures, magazine articles, advertisements and cover or article features in trade journals and other publications. We also participate in public relations and promotional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events, including industry tradeshows and technical conferences. We maintain an internal marketing organization that is responsible for these initiatives.</w:t>
      </w:r>
    </w:p>
    <w:p>
      <w:pPr>
        <w:spacing w:after="0" w:line="194" w:lineRule="exact"/>
        <w:rPr>
          <w:sz w:val="20"/>
          <w:szCs w:val="20"/>
          <w:color w:val="auto"/>
        </w:rPr>
      </w:pPr>
    </w:p>
    <w:p>
      <w:pPr>
        <w:jc w:val="both"/>
        <w:ind w:right="140" w:firstLine="456"/>
        <w:spacing w:after="0" w:line="302" w:lineRule="auto"/>
        <w:rPr>
          <w:sz w:val="20"/>
          <w:szCs w:val="20"/>
          <w:color w:val="auto"/>
        </w:rPr>
      </w:pPr>
      <w:r>
        <w:rPr>
          <w:rFonts w:ascii="Arial" w:cs="Arial" w:eastAsia="Arial" w:hAnsi="Arial"/>
          <w:sz w:val="15"/>
          <w:szCs w:val="15"/>
          <w:color w:val="auto"/>
        </w:rPr>
        <w:t>Our customer service organization or sales force provides our customers with technical assistance, use and maintenance information as well as other key information regarding their purchase. We also actively provide our customers with access to key information regarding changes in environment regulations and potentially pending changes as well as new product or service developments. We believe that maintaining a close relationship with our customers and providing them with the support they request improves their level of satisfaction and enables us to foresee their potential future product needs or service demands.</w:t>
      </w:r>
    </w:p>
    <w:p>
      <w:pPr>
        <w:spacing w:after="0" w:line="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Moreover, it leads to sales of annual service and support contracts as well as consumables. Our website also provides our customers with online tools and technical resources.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Quality Assurance</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engineered systems, quality is defined as system performance. We carefully review with our customers, before the contract is signed, the level of contaminant capture required and the efficiency of the equipment that will remove the contaminant from the air stream prior to it being exhausted to the atmosphere. We then review these same parameters internally to assure that guarantees will be met. Standard project management and production management tools are used to ensure that all work is done to specification, that project schedules are met, and that the system is started up in the proper manner. Equipment is tested at the site to ensure it is functioning properly. Every fiber bed filter we build is tested at the factory, both in India and the US. Historically, warranty expense is very low.</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Customers</w:t>
      </w:r>
    </w:p>
    <w:p>
      <w:pPr>
        <w:spacing w:after="0" w:line="90"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We are not dependent upon any single customer, with no customer comprising 10% or more of our consolidated revenues for 2006. We do not believe that the loss of any of our customers would have a material adverse effect on us and our subsidiaries, taken as a whole.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Suppliers and Subcontractors</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purchase our angle iron and sheet plate products from a variety of sources. When possible, we secure these materials from steel mills. Other materials are purchased from a variety of steel service centers. Steel prices have been volatile but we typically mitigate the risk of higher prices by including a “surcharge” on our standard products. On contract work, we mitigate the risk of higher prices by including the current price in our estimate.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purchase chemical grade fiberglass as needed from Johns Manville Corporation, which we believe is the only domestic supplier of such fiberglass.</w:t>
      </w:r>
    </w:p>
    <w:p>
      <w:pPr>
        <w:spacing w:after="0" w:line="19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a good relationship with all our suppliers and do not anticipate any difficulty in continuing to receive such items on terms acceptable to us. We have not experienced difficulty in procuring a sufficient supply of materials in the past. We typically agree to billing terms with our suppliers ranging from net 30 to 45 days. To the extent that our current suppliers are unable or unwilling to continue to supply us with materials, we believe that we would be able to obtain such materials from other suppliers on acceptable terms.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Typically on turnkey projects we subcontract such things as electrical work, concrete work, controls, conveyors, insulation, etc. We use subcontractors with whom we have good working relationships and review each project, both at the beginning and on an ongoing basis, to ensure that all work is being done according to our specifications. Subcontractors are generally paid on a “pay when paid” basis.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Backlog</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Backlog is a representation of the amount of revenue expected from complete performance of uncompleted signed Firm Fixed-Price contracts. The Company’s customers may have the right to cancel a given order, although historically cancellations have been very rare. Backlog was approximately $97.1 million and $28.9 million at the end of the fiscal years 2006 and 2005, respectively. Substantially all 2005 backlog was completed in 2006. Approximately 90% of the 2006 backlog is expected to be completed in 2007. Backlog is not defined by generally accepted accounting principals and our methodology for calculating backlog may not be consistent with methodology used by other companies. The addition of Effox in February 2007 brings an additional backlog of approximately $20 million as of December 31, 2006.</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Competition</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believe that there are no singly dominant companies in the industrial ventilation and air pollution control markets in which we participate. These markets are fragmented with numerous smaller and regional participants. Due to the size and shipping weight of many of our projects, localized manufacturing/fabrication capabilities is very important to our customers. As a result, competition varies widely by region and industry. The market for our products is highly competitive and is characterized by technological change, continuously changing environment regulations and evolving customer requirements. We believe that the principle competitive factors in our markets include:</w:t>
      </w:r>
    </w:p>
    <w:p>
      <w:pPr>
        <w:spacing w:after="0" w:line="62"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Breadth and diversity of product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design standard and custom products that meet customers’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provide a reliable solution in a timely manner;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customer service and support;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Financial and operational stability, including reputation.</w:t>
      </w:r>
    </w:p>
    <w:p>
      <w:pPr>
        <w:spacing w:after="0" w:line="171"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We believe we compete favorably with respect to these factors. However, sales of products and services under some of our trade names face competition with companies that have greater financial resources, technical, manufacturing and have more extensive marketing and advertising resources than we do.</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Seasonality</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business is subject to seasonal fluctuations. The fourth quarter of our fiscal year, which ends December 31, is typically our strongest quarter. This is due to a combination of factors. First, many of our customers attempt to complete major capital improvement projects before the end of the calendar year. Also, many customers shut down over the Christmas holidays to perform maintenance services on their facilities. These factors create increased demand for our products and services during this period.</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Conversely, the first quarter of our calendar fiscal year is typically our weakest quarter. This is caused to some extent by winter weather constraints on outside construction activity but also by the seasonality of capital improvement projects as discussed relating to the fourth quarter.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Government Regulations</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believe our operations are in material compliance with applicable environmental laws and regulations. We believe that changes in environmental laws and regulations will not have a material adverse effect on our operations. Given the nature of our business, such changes usually create opportunity.</w:t>
      </w:r>
    </w:p>
    <w:p>
      <w:pPr>
        <w:spacing w:after="0" w:line="85"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We are also subject to the requirements of OSHA and comparable state statutes. We believe we are in material compliance with OSHA and state requirements, including general industry standards, record keeping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requirements and monitoring of occupational exposures. In general, we expect to increase our expenditures to comply with stricter industry and regulatory safety standards such as those described above. Although such expenditures cannot be accurately estimated at this time, we do not believe that they will have future material adverse effect on our financial position, results of operations or cash flows.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Intellectual Property</w:t>
      </w:r>
    </w:p>
    <w:p>
      <w:pPr>
        <w:spacing w:after="0" w:line="90" w:lineRule="exact"/>
        <w:rPr>
          <w:sz w:val="20"/>
          <w:szCs w:val="20"/>
          <w:color w:val="auto"/>
        </w:rPr>
      </w:pPr>
    </w:p>
    <w:p>
      <w:pPr>
        <w:ind w:firstLine="456"/>
        <w:spacing w:after="0" w:line="300" w:lineRule="auto"/>
        <w:rPr>
          <w:sz w:val="20"/>
          <w:szCs w:val="20"/>
          <w:color w:val="auto"/>
        </w:rPr>
      </w:pPr>
      <w:r>
        <w:rPr>
          <w:rFonts w:ascii="Arial" w:cs="Arial" w:eastAsia="Arial" w:hAnsi="Arial"/>
          <w:sz w:val="15"/>
          <w:szCs w:val="15"/>
          <w:color w:val="auto"/>
        </w:rPr>
        <w:t>Our business has historically relied on technical know-how and experience rather than patented technology. In 1997, we purchased, among other assets, three patents from Busch Co. that relate to the JET«STAR systems. JET«STAR systems constituted $1.2 million of revenues in 2006. We hold a US patent for our</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N-SERT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and X-SERT</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prefilters and for our Cantenary Grid scrubber. We also hold a US patent for a fluoropolymer fiber bed for a mist eliminator, a US patent for a fluted filter, and a US patent for a multiple in-duct filter system. Such patents combined do not have significant value to our overall performance.</w:t>
      </w: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Information about Geographic Areas</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2006, 2005 and 2004, sales to customers outside the United States, including export sales, accounted for approximately 5%, 3% and 3%</w:t>
      </w:r>
      <w:r>
        <w:rPr>
          <w:rFonts w:ascii="Arial" w:cs="Arial" w:eastAsia="Arial" w:hAnsi="Arial"/>
          <w:sz w:val="18"/>
          <w:szCs w:val="18"/>
          <w:i w:val="1"/>
          <w:iCs w:val="1"/>
          <w:color w:val="auto"/>
        </w:rPr>
        <w:t>,</w:t>
      </w:r>
      <w:r>
        <w:rPr>
          <w:rFonts w:ascii="Arial" w:cs="Arial" w:eastAsia="Arial" w:hAnsi="Arial"/>
          <w:sz w:val="18"/>
          <w:szCs w:val="18"/>
          <w:color w:val="auto"/>
        </w:rPr>
        <w:t xml:space="preserve"> respectively, of consolidated net sales. The largest portion of these sales was destined for Canada. Generally, sales are denominated in U.S. dollars. We do not currently maintain any significant long-lived assets outside the United States.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Employees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had 649 full-time employees and 2 part-time employees as of December 31, 2006. The facilities acquired with the acquisition of Kirk &amp; Blum and H.M. White are unionized except for selling, engineering, design, administrative and operating management personnel. None of our other employees are subject to a collective bargaining agreement. We consider our relationship with our employees to be satisfactory. In total, approximately 486 employees are represented by international or independent labor unions under various union contracts that expire from June 2007 to August 2009.</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Executive Officers of Registrant</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are the executive officers of the Company as of March 29, 2007. The terms of all officers expire at the next annual meeting of the board of directors and upon the election of the successors of such officers. The ages given are as of March 29, 2007.</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20" w:type="dxa"/>
            <w:vAlign w:val="bottom"/>
          </w:tcPr>
          <w:p>
            <w:pPr>
              <w:spacing w:after="0"/>
              <w:rPr>
                <w:sz w:val="14"/>
                <w:szCs w:val="14"/>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Age</w:t>
            </w:r>
          </w:p>
        </w:tc>
        <w:tc>
          <w:tcPr>
            <w:tcW w:w="6200" w:type="dxa"/>
            <w:vAlign w:val="bottom"/>
            <w:gridSpan w:val="2"/>
          </w:tcPr>
          <w:p>
            <w:pPr>
              <w:ind w:left="200"/>
              <w:spacing w:after="0"/>
              <w:rPr>
                <w:sz w:val="20"/>
                <w:szCs w:val="20"/>
                <w:color w:val="auto"/>
              </w:rPr>
            </w:pPr>
            <w:r>
              <w:rPr>
                <w:rFonts w:ascii="Arial" w:cs="Arial" w:eastAsia="Arial" w:hAnsi="Arial"/>
                <w:sz w:val="14"/>
                <w:szCs w:val="14"/>
                <w:b w:val="1"/>
                <w:bCs w:val="1"/>
                <w:color w:val="auto"/>
              </w:rPr>
              <w:t>Position with CECO</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Phillip DeZwirek</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Executive Officer; 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Richard J. Blum</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60</w:t>
            </w: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President;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Dennis W. Blazer</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w:t>
            </w: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Vice President-Finance and Administration;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Chief Financial Officer; Assistant Secretary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David D. Blum</w:t>
            </w: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51</w:t>
            </w: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Senior Vice President; President of Kirk &amp; Blum;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Assistant Secretary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Jason DeZwirek</w:t>
            </w: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6200" w:type="dxa"/>
            <w:vAlign w:val="bottom"/>
            <w:gridSpan w:val="2"/>
          </w:tcPr>
          <w:p>
            <w:pPr>
              <w:ind w:left="200"/>
              <w:spacing w:after="0"/>
              <w:rPr>
                <w:sz w:val="20"/>
                <w:szCs w:val="20"/>
                <w:color w:val="auto"/>
              </w:rPr>
            </w:pPr>
            <w:r>
              <w:rPr>
                <w:rFonts w:ascii="Arial" w:cs="Arial" w:eastAsia="Arial" w:hAnsi="Arial"/>
                <w:sz w:val="18"/>
                <w:szCs w:val="18"/>
                <w:color w:val="auto"/>
              </w:rPr>
              <w:t>Secretary; Director</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Phillip DeZwirek became a director, the Chairman of the Board and the Chief Executive Officer of the Company in August 1979. Mr. DeZwirek also served as Chief Financial Officer until January 26, 2000. Mr. DeZwirek’s principal occupations during the past five years have been as Chairman of the Board and Vice President of CECO Filters (since 1985); Treasurer and Assistant Secretary of CECO Group (since December 10, 1999); a director of Kirk &amp; Blum and kbd/Technic (since 1999); President of Can-Med Technology, Inc. d/b/a Green Diamond Oil Corp. (“Green Diamond”) (since 1990) and a director and the Chairman, Chief Executive Officer and Treasurer of API Nanotronics Corp., a publicly traded company (OTC:APIO) engaged in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manufacture of electronic components and systems for the defense and communications industries. Mr. DeZwirek has also been involved in private investment activities for the past five years. Mr. Phillip DeZwirek is deemed to control Green Diamond.</w:t>
      </w:r>
    </w:p>
    <w:p>
      <w:pPr>
        <w:spacing w:after="0" w:line="1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Richard J. Blum became the President and a director of the Company on July 1, 2000 and the Chief Executive Officer and President of CECO Group, Inc. on December 10, 1999. Mr. Blum has been a director and the President of The Kirk &amp; Blum Manufacturing Company since February 28, 1975 until November 12, 2002 and the Chairman and a director of kbd/Technic since November 1988. Mr. Blum is also a director of The Factory Power Company, a company of which CECO owns a minority interest and that provided steam energy to various companies, including CECO. Kirk &amp; Blum and kbd/Technic were acquired by the Company on December 7, 1999. Mr. Richard Blum is the brother of Mr. David Blum.</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Dennis W. Blazer became the Chief Financial Officer and the Vice President-Finance and Administration of the Company on December 13, 2004. From 2003 to 2004, Mr. Blazer served as a financial consultant to GTECH Corporation, a leading global information technology corporation. From 1998 to 2003, he served as the Chief Financial Officer of Interlott Technologies, Inc., which stock traded on the American Stock Exchange and which was a worldwide provider of vending technologies for the lottery industry prior to its acquisition by GTECH Corporation in 2003. From 1973 to 1998, Mr. Blazer also served in varying capacities leading up to the position of Vice President of Finance and Administration for The Plastic Moldings Corporation, a custom manufacturer of precision molded plastic components.</w:t>
      </w:r>
    </w:p>
    <w:p>
      <w:pPr>
        <w:spacing w:after="0" w:line="14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David D. Blum became the Senior Vice President-Sales and Marketing and an Assistant Secretary of the Company on July 1, 2000 and the President of Kirk &amp; Blum on November 12, 2002. Mr. Blum served as Vice President of Kirk &amp; Blum from 1997 to 2000 and was Vice President-Division Manager Louisville at Kirk &amp; Blum from 1984 to 1997. Mr. David Blum is the brother of Mr. Richard Blum.</w:t>
      </w:r>
    </w:p>
    <w:p>
      <w:pPr>
        <w:spacing w:after="0" w:line="14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Jason DeZwirek, the son of Phillip DeZwirek, became a director of the Company in February 1994. He became Secretary of the Company on February 20, 1998. Mr. DeZwirek from October 1, 1997 through January 1, 2002 served as a member of the Committee that was established to administer CECO’s Stock Option Plan. He also serves as Secretary of CECO Group (since December 10, 1999). Mr. DeZwirek’s principal occupation since October 1999 has been as an officer and director of Kaboose Inc., an online media company servicing the children and family markets that trades on the Toronto Stock Exchange (TSX:KAB). Mr. DeZwirek currently serves as Chairman and Chief Executive Officer of Kaboose Inc. Mr. DeZwirek also is a director and the Secretary of API Nanotronics Corp. (OTC:APIO), a publicly traded company engaged in the manufacture of electronic components and systems for the defense and communications industries.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Available Information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Internet website is www.cecoenviro.com. Our annual reports on Form 10-K, quarterly reports on Form 10-Q, current reports on Form 8-K, and all amendments to these reports are available, without charge, on the website as soon as reasonably practicable after we electronically file these reports with the SEC. You can also obtain these reports, free of charge, by contacting Investor Relations, CECO Environmental, 3120 Forrer Street, Cincinnati, Ohio 45209, Phone: 1-800-606-2326. You can also obtain these reports and other information, free of charge, at the SEC’s Internet website at www.sec.gov. You may also read and copy any materials we file with the SEC at the SEC’s Public Reference Room at 100 F Street, N.E., Washington, D.C. 20549. Information on the operation of the Public Reference Room may be obtained by calling the SEC at 1-800-732-0330.</w:t>
      </w:r>
    </w:p>
    <w:p>
      <w:pPr>
        <w:spacing w:after="0" w:line="12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not including the information contained in our website or any other website as part of, or incorporating them by reference into, the Annual Report on Form 10-K.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 to Consider:</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i w:val="1"/>
          <w:iCs w:val="1"/>
          <w:color w:val="auto"/>
        </w:rPr>
        <w:t>An investment in our securities involves a high degree of risk. You should carefully consider the risk factors described below, together with the other information included in this Annual Report on Form 10-K before you decide to invest in our securities. The risks described below are the material risks of which we are currently aware; however, they may not be the only risks that we may face. Additional risks and uncertainties not currently known to us or that we currently view as immaterial may also impair our business. If any of these risks develop into actual events, it could materially and adversely affect our business, financial condition, results of operations and cash flows, the trading price of your shares could decline and you may lose all or part of your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dependence upon fixed-price contracts could adversely affect our operating results.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 majority of our projects are currently performed on a fixed-price basis. Under a fixed-price contract, we agree on the price that we will receive for the entire project, based upon a defined scope, which includes specific assumptions and project criteria. If our estimates of our own costs to complete the project are below the actual costs that we may incur, our margins will decrease, and we may incur a loss. The revenue, cost and gross profit realized on a fixed-price contract will often vary from the estimated amounts because of unforeseen conditions or changes in job conditions and variations in labor and equipment productivity over the term of the contract. If we are unsuccessful in mitigating these risks, we may realize lower gross profits that are different from those originally estimated and incur reduced profitability or losses on projects. Depending on the size of a project, these variations from estimated contract performance could have a significant effect on our operating results for any quarter or year. In general, turnkey contracts to be performed on a fixed-price basis involve an increased risk of significant variations. This is a result of the long-term nature of these contracts and the inherent difficulties in estimating costs and of the interrelationship of the integrated services to be provided under these contracts whereby unanticipated costs or delays in performing part of the contract can have compounding effects by increasing costs of performing other parts of the contract.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If actual costs for our projects with fixed-price contracts exceed our original estimates, our profits will be reduced or we may suffer losses.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majority of our contracts are fixed-priced contracts. Although we benefit from cost savings, we have limited ability to recover cost overruns. Because of the large scale and long-term nature of our contracts, unanticipated cost increases may occur as a result of several factors, including:</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cost or shortages of components, materials or labor;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technical problems;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required project modifications not initiated by the customer;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suppliers’ or subcontractors’ failure to perform.</w:t>
      </w:r>
    </w:p>
    <w:p>
      <w:pPr>
        <w:spacing w:after="0" w:line="17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Any of these factors could delay delivery of our products. Our contracts often provide for liquidated damages in the case of late delivery. Unanticipated costs that we cannot pass on to our customers, for example the increases in steel prices or the payment of liquidated damages under fixed contracts, would negatively impact our profits.</w:t>
      </w:r>
    </w:p>
    <w:p>
      <w:pPr>
        <w:spacing w:after="0" w:line="221"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i w:val="1"/>
          <w:iCs w:val="1"/>
          <w:color w:val="auto"/>
        </w:rPr>
        <w:t>We have a substantial amount of indebtedness, which may adversely affect our ability to operate our business, remain in compliance with debt covenants, make payments on our debt and limit our growth.</w:t>
      </w:r>
    </w:p>
    <w:p>
      <w:pPr>
        <w:spacing w:after="0" w:line="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As of February 28, 2007, the aggregate amount of our outstanding indebtedness under our credit facility with Fifth Third Bank (the “Bank Facility”) and subordinated debt was approximately $20.4 million,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includes an additional $7.0 million to finance the Effox acquisition. Our outstanding indebtedness could have important consequences for you, including the following:</w:t>
      </w:r>
    </w:p>
    <w:p>
      <w:pPr>
        <w:spacing w:after="0" w:line="51" w:lineRule="exact"/>
        <w:rPr>
          <w:sz w:val="20"/>
          <w:szCs w:val="20"/>
          <w:color w:val="auto"/>
        </w:rPr>
      </w:pPr>
    </w:p>
    <w:p>
      <w:pPr>
        <w:ind w:left="900" w:right="16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may be more difficult for us to satisfy our obligations with respect to our Bank Facility and subordinated debt, and any failure to comply with the obligations of any of the agreements governing such indebtedness, including financial and other restrictive covenants, could result in an event of default under such agreements;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covenants contained in our debt agreements limit our ability to borrow money in the future for acquisitions, capital expenditures or to meet our operating expenses or other general corporate obligations;</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amount of our interest expense may increase because certain of our borrowings are at variable rates of interest, which, if interest rates increase, could result in higher interest expense;</w:t>
      </w:r>
    </w:p>
    <w:p>
      <w:pPr>
        <w:spacing w:after="0" w:line="50" w:lineRule="exact"/>
        <w:rPr>
          <w:rFonts w:ascii="Arial" w:cs="Arial" w:eastAsia="Arial" w:hAnsi="Arial"/>
          <w:sz w:val="18"/>
          <w:szCs w:val="18"/>
          <w:color w:val="auto"/>
        </w:rPr>
      </w:pPr>
    </w:p>
    <w:p>
      <w:pPr>
        <w:ind w:left="900" w:right="600" w:hanging="325"/>
        <w:spacing w:after="0" w:line="332"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will need to use a portion of our cash flows to pay principal and interest on our debt, which will reduce the amount of money we have for operations, working capital, capital expenditures, expansion, acquisitions or general corporate or other business activities;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have a higher level of debt than some of our competitors, which could put us at a competitive disadvantage;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more vulnerable to economic downturns and adverse developments in our industry or the economy in general;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level could limit our flexibility in planning for, or reacting to, changes in our business and the industry in which we operate.</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ability to meet our expenses and debt obligations will depend on our future performance, which will be affected by financial, business, economic, regulatory and other factors. We will not be able to control many of these factors, such as economic conditions and governmental regulation. We cannot be certain that our earnings will be sufficient to allow us to pay the principal and interest on our existing or future debt and meet our other obligations. If we do not have enough money to service our existing or future debt, we may be required to refinance all or part of our existing or future debt, sell assets, borrow more money or raise equity. We may not be able to refinance our existing or future debt, sell assets, borrow more money or raise equity on terms acceptable to us, if at all.</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inability to deliver our backlog on time could affect our future sales and profitability, and our relationships with our customers.</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backlog has increased from approximately $28.9 million at December 31, 2005 to approximately $97.1 million at December 31, 2006. This increase does not include backlog attributable to the recently acquired Effox assets of approximately $20 million at December 31, 2006. Our ability to meet customer delivery schedules for our backlog is dependent on a number of factors including, but not limited to, access to the raw materials required for production, an adequately trained and capable workforce, project engineering expertise for certain large projects, sufficient manufacturing plant capacity and appropriate planning and scheduling of manufacturing resources. Our failure to deliver in accordance with customer expectations may result in damage to existing customer relationships and result in the loss of future business. Failure to deliver backlog in accordance with expectations could negatively impact our financial performance and cause adverse changes in the market price of our common stock.</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Since our financial performance is seasonal, current results are not necessarily indicative of future results.</w:t>
      </w:r>
    </w:p>
    <w:p>
      <w:pPr>
        <w:spacing w:after="0" w:line="9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operating results may fluctuate significantly due to the seasonality of our business and these fluctuations make it more difficult for us to predict accurately in a timely manner factors that may have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negative impact on our business. The fourth quarter of our fiscal year, which ends December 31, is typically our strongest quarter. For example, many of our customers attempt to complete major capital improvement projects before the end of the calendar year. In addition, many customers shut down over the Christmas holidays to perform maintenance services on their facilities. These factors create increased demand for our products and services during this period.</w:t>
      </w:r>
    </w:p>
    <w:p>
      <w:pPr>
        <w:spacing w:after="0" w:line="10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Conversely, the first quarter of our fiscal year is typically our weakest quarter. This is caused to some extent by winter weather constraints on outside construction activity but also by the seasonality of capital improvement projects as discussed relating to the fourth quarter. Accordingly, results for any one quarter are not necessarily indicative of results to be expected for any other quarter or for any year.</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financial performance may vary significantly from period to period, making it difficult to estimate future revenue.</w:t>
      </w:r>
    </w:p>
    <w:p>
      <w:pPr>
        <w:spacing w:after="0" w:line="90"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annual revenues and earnings have varied in the past and are likely to vary in the future. Our contracts generally stipulate customer specific delivery terms and may have contract cycles of a year or more, which subjects these contracts to many factors beyond our control. In addition, contracts that are significantly larger in size than our typical contracts tend to intensify their impact on our annual operating results. Furthermore, as a significant portion of our operating costs are fixed, an unanticipated decrease in our revenues, a delay or cancellation of orders in backlog, or a decrease in the demand for our products, may have a significant impact on our annual operating results. Therefore, our annual operating results may be subject to significant variations and our operating performance in one period may not be indicative of our future performance.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have a history of net losses, and may not be profitable in the future.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Although we reported net income of $3.1 million for the year ended December 31, 2006, we have incurred net losses each fiscal year since 1999. We cannot assure you that we will be profitable in the future. Even if we achieve profitability, we may experience significant fluctuations in our revenues and we may incur net losses from period to period. The impact of the foregoing may cause our operating results to be below the expectations of securities analysts and investors, which may result in a decrease in the market value of our common stock.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Percentage-of-completion method of accounting for contract revenue may result in material adjustments that would adversely affect our operating results.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recognize contract revenue using the percentage-of-completion method on all fixed price contracts over $50,000. Under this method, estimated contract revenue is accrued based generally on the percentage that costs to date bear to total estimated costs. Estimated contract losses are recognized in full when determined. Accordingly, contract revenue and total cost estimates are reviewed and revised periodically as the work progresses and as change orders are approved, and adjustments based upon the percentage-of-completion are reflected in contract revenue in the period when these estimates are revised. These estimates are based on management’s reasonable assumptions and our historical experience, and are only estimates. Variation of actual results from these assumptions or our historical experience could be material. To the extent that these adjustments result in an increase, a reduction or an elimination of previously reported contract revenue, we would recognize a credit or a charge against current earnings, which could be material.</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 significant portion of our accounts receivable are related to large contracts, which increases our exposure to credit risk.</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closely monitor the credit worthiness of our customers. Significant portions of our sales are to customers who place large orders for custom products and whose activities are related to the power and oil/gas industries. As a result, our exposure to credit risk is affected to some degree by conditions within these industries and governmental and/or political conditions. We frequently attempt to reduce our exposure to credit risk by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requiring progress payments and letters of credit. However unanticipated events that affect our customers could have a materially adverse impact on our operating results.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Changes in billing terms can increase our exposure to working capital and credit risk.</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products are generally sold under contracts that allow us to either bill upon the completion of certain agreed upon milestones, or upon actual shipment of the product. We attempt to negotiate progress-billing milestones on all large contracts to help us manage the working capital and credit risk associated with these large contracts. Consequently, shifts in the billing terms of the contracts in our backlog from period to period can increase our requirement for working capital and can increase our exposure to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Customers may cancel or delay projects. As a result our backlog may not be indicative of our future revenue.</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Customers may cancel or delay projects for reasons beyond our control. Our orders normally contain cancellation provisions which permit us to recover our costs, and, for most contracts, a portion of our anticipated profit in the event a customer cancels an order. If a customer elects to cancel an order, we may not realize the full amount of revenues included in our backlog. If projects are delayed, the timing of our revenues could be affected and projects may remain in our backlog for extended periods of time. Revenue recognition occurs over long periods of time and is subject to unanticipated delays. If we receive relatively large orders in any given quarter, fluctuations in the levels of our quarterly backlog can result because the backlog in that quarter may reach levels that may not be sustained in subsequent quarters. As a result, our backlog may not be indicative of our future revenues. Ordinarily, we are not awarded contracts until a customer is ready to begin work on a project. Thus, it is our experience that the only relationship between the length of a project and the possibility that a project may be cancelled is simply the fact that there is more time involved. In a year long project, there is more time for the customer to have some business downturn causing him to cancel than there is in a three-month project.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gross margins are affected by shifts in our product mix.</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Certain of our products have higher gross profit margins than others. Consequently, changes in the product mix of our sales from quarter-to-quarter or from year-to-year can have a significant impact on our reported gross profit margins. For example, in the fourth quarter of 2006, we experienced a decrease in gross margin as a percent of net sales due to a change in product mix. Certain of our products also have a much higher internally manufactured cost component. Therefore, changes from quarter-to-quarter or from year-to-year can have a significant impact on our reported gross margins. In addition, contracts with a higher percentage of subcontracted work or equipment purchases may result in lower gross profit margins.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Industry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face significant competition in the markets we serve.</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industries in which we compete are all highly competitive and highly fragmented. We compete against a number of local, regional and national contractors and manufacturers in each of our product or service lines, many of which have been in existence longer than us and some of which have substantially greater financial resources than we do. Our products primarily compete on the basis of price, performance, speed of delivery, quality, customer support and single source responsibility. We believe new entrants that are large corporations may be able to compete with us on the basis of price and as a result may have a material adverse affect on the results of our operations. In addition, we cannot assure you that other companies will not develop new or enhanced products that are either more effective than ours or would render our products non-competitive or obsolete. Any failure by us to compete effectively in the markets we serve could have a material adverse effect on our business, results of operations and financial condition.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Increasing costs for manufactured components, raw materials, transportation, health care and energy prices may adversely affect our profitability.</w:t>
      </w:r>
    </w:p>
    <w:p>
      <w:pPr>
        <w:spacing w:after="0" w:line="113"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We use a broad range of manufactured components and raw materials in our products, including raw steel, steel-related components, filtration media, and equipment such as fans, motors, etc. Materials comprise the largest component of our costs, representing over 60% of the costs of our net sales in fiscal 2006. Further increases in the price of these items could further materially increase our operating costs and materially adversely affect our profit margins. Similarly, transportation and health care costs have risen steadily over the past few years and represent an increasingly important burden for us. Although we try to contain these costs wherever possible, and although we try to pass along increased costs in the form of price increases to our customers, we may be unsuccessful in doing so for competitive reasons, and even when successful, the timing of such price increases may lag significantly behind our incurrence of higher costs.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is affected by the health of the markets we serve.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financial performance depends, in large part, on varying conditions in the markets that we serve, particularly the general industrial markets. Demand in these markets fluctuates in response to overall economic conditions, although the replacement nature of a portion of our products helps mitigate the effects of these changes. Economic downturns in the markets we serve may result in reductions in sales and pricing of our products and services, which could reduce future earnings and cash flow.</w:t>
      </w:r>
    </w:p>
    <w:p>
      <w:pPr>
        <w:spacing w:after="0" w:line="224"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i w:val="1"/>
          <w:iCs w:val="1"/>
          <w:color w:val="auto"/>
        </w:rPr>
        <w:t>Our industry has recently experienced shortages in the availability of qualified personnel. Any difficulty we experience replacing or adding qualified personnel could adversely affect our business.</w:t>
      </w:r>
    </w:p>
    <w:p>
      <w:pPr>
        <w:spacing w:after="0" w:line="51"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Our operations require the services of employees having technical training and experience in our business. As a result, our operations depend on the continuing availability of such personnel. Shortages of qualified personnel are occurring in our industry. If we should suffer any material loss of personnel to competitors, or be unable to employ additional or replacement personnel with the requisite level of training and experience, our operations could be adversely affected. A significant increase in the wages paid by other employers could result in a reduction in our workforce, increases in wage rates, or both.</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rely on a few key employees whose absence or loss could disrupt our operations or be adverse to our business.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are highly dependent on the experience of our management in the continuing development of our operations. The loss of the services of certain of these individuals would have a material adverse effect on our business. Although we have employment and non-competition agreements with certain of our key employees, as a practical matter, those agreements will not assure the retention of our employees, and we may not be able to enforce all of the provisions in any employment or non-competition agreement. Our future success will depend in part on our ability to attract and retain qualified personnel to manage our development and future growth. We cannot assure you that we will be successful in attracting and retaining such personnel. Our failure to recruit additional key personnel could have a material adverse effect on our business, financial condition and results of operations.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make future acquisitions, which involve numerous risks that could impact our business and results of operations.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operating strategy involves horizontally expanding our scope of products and services through selective acquisitions and the formation of new business units that are then vertically integrated into our growing family of turnkey system providers. We have acquired, and intend to selectively acquire, other businesses, product or service lines, assets or technologies that are complementary to our business. We may be unable to find or consummate future acquisitions at acceptable prices and terms. We continually evaluate potential acquisition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opportunities in the ordinary course of business, including those that could be material in size and scope. Acquisitions involve numerous risks, including:</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integrating the acquired businesses, product or service lines, assets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diverting management’s attention from normal daily operations of the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entering markets in which we have no or limited direct prior experience and where competitors in such markets have stronger market positions;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costs and exposure to undisclosed or unforeseen liabilities;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loss of key employees and customers of the acquired businesses, product or service lines, assets or technologies;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properly establish and maintain effective internal controls over an acquired company;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demands on our operational and information technology systems.</w:t>
      </w:r>
    </w:p>
    <w:p>
      <w:pPr>
        <w:spacing w:after="0" w:line="17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we conduct what we believe to be a prudent level of investigation regarding the operating and financial condition of the businesses, product or service lines, assets or technologies we purchase, an unavoidable level of risk remains regarding their actual operating and financial condition. Until we actually assume operating control of these businesses, product or service lines, assets or technologies, we may not be able to ascertain the actual value or understand the potential liabilities. This is particularly true with respect to non-U.S. acquisitions.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acquisitions of businesses may require additional debt or equity financing, resulting in additional leverage or dilution of ownership. Our Bank Facility contains certain covenants that limit, or which may have the effect of limiting, among other things acquisitions, capital expenditures, the sale of assets and the incurrence of additional indebtedness.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manufacturing operations are dependent on third-party suppliers.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Although we are not dependent on any one supplier, we are dependent on the ability of our third-party suppliers to supply our raw materials, as well as certain specific component parts. We purchase all of our chemical grade fiberglass from one domestic supplier, which we believe is the only domestic supplier of such fiberglass, and certain specialty items from only two domestic suppliers. These items also can be purchased from foreign suppliers. Failure by our third-party suppliers to meet our requirements could have a material adverse effect on us. We cannot assure you that our third-party suppliers will dedicate sufficient resources to meet our scheduled delivery requirements or that our suppliers will have sufficient resources to satisfy our requirements during any period of sustained demand. Failure of manufacturers or suppliers to supply, or delays in supplying, our raw materials or certain components, or allocations in the supply of certain high demand raw components could materially adversely affect our operations and ability to meet our own delivery schedules on a timely and competitive basis.</w:t>
      </w:r>
    </w:p>
    <w:p>
      <w:pPr>
        <w:spacing w:after="0" w:line="226" w:lineRule="exact"/>
        <w:rPr>
          <w:sz w:val="20"/>
          <w:szCs w:val="20"/>
          <w:color w:val="auto"/>
        </w:rPr>
      </w:pPr>
    </w:p>
    <w:p>
      <w:pPr>
        <w:ind w:left="240" w:right="480"/>
        <w:spacing w:after="0" w:line="268" w:lineRule="auto"/>
        <w:rPr>
          <w:sz w:val="20"/>
          <w:szCs w:val="20"/>
          <w:color w:val="auto"/>
        </w:rPr>
      </w:pPr>
      <w:r>
        <w:rPr>
          <w:rFonts w:ascii="Arial" w:cs="Arial" w:eastAsia="Arial" w:hAnsi="Arial"/>
          <w:sz w:val="18"/>
          <w:szCs w:val="18"/>
          <w:i w:val="1"/>
          <w:iCs w:val="1"/>
          <w:color w:val="auto"/>
        </w:rPr>
        <w:t>The relocation of our largest manufacturing and corporate office facility located in Cincinnati, Ohio could result in a negative impact on the Company’s financial performance.</w:t>
      </w:r>
    </w:p>
    <w:p>
      <w:pPr>
        <w:spacing w:after="0" w:line="5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have entered into a purchase agreement for the sale of our largest manufacturing and corporate office facility in Cincinnati, Ohio. The agreement, which may be terminated by the purchaser for any reason prior to July 2, 2007, provides for the 10.7 acres of real estate and improvements to be divided into two parcels, with the closing of the first parcel scheduled to occur on or before July 16, 2007, provided that the purchaser makes a required payment to us by July 2, 2007. The closing of the second parcel would occur on or before the later of March 25, 2008 or 30 days after we have vacated the second parcel, subject to certain conditions. The closing of the sale is subject to customary closing conditions and the negotiation of our rights to occupy both parcels for a period of up to 10 months following the first closing. There is no assurance that the sale will be consummated.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will be required to relocate all of our manufacturing operations and administrative offices that are currently being performed at these facilities. Although we are currently making plans to vacate these facilities, we have not located replacement facilities for our operations. If we are unable to locate replacement facilities and relocate our operations within the required time periods, our manufacturing operations and administrative activities may be disrupted and we may be required to incur additional expenses, which may have an adverse impact on our business and results of operations. In addition, the disruption on our manufacturing operations and administrative activities during the relocation, and additional incurred expenses may also have an adverse impact on our business and results of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operations outside of the United States are subject to political, investment and local business risks.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2006, approximately 5% of our total revenue was derived from products or services ultimately delivered or provided to end-users outside the United States. As part of our operating strategy, we intend to expand our international operations through internal growth and selected acquisitions. Operations outside of the United States, particularly in emerging markets, are subject to a variety of risks which are different from or additional to the risks we face within the United States. Among others, these risks include:</w:t>
      </w:r>
    </w:p>
    <w:p>
      <w:pPr>
        <w:spacing w:after="0" w:line="62"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political and social conditions, including potential hyperinflationary conditions and political instability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of limitations on the remittance of dividends and payments by foreign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currency exchange rate fluctuations, including significant devaluations of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tax-related risks, including the imposition of taxes and the lack of beneficial treaties, that result in a higher effective tax rate for us;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certain foreign local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foreign customs, tariffs and quotas or other trade barriers;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for transportation and shipping;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of nationalization of private enterprises by foreign governments;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managing and obtaining support and distribution channels for overseas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hiring and retaining qualified management personnel for our overseas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imposition or increase of restrictions on investment; and</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required compliance with a variety of local laws and regulations which may be materially different than those to which we are subject in the United States.</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occurrence of one or more of the foregoing factors could have a material adverse effect on our international operations or upon the financial condition and results of operations.</w:t>
      </w:r>
    </w:p>
    <w:p>
      <w:pPr>
        <w:spacing w:after="0" w:line="213"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i w:val="1"/>
          <w:iCs w:val="1"/>
          <w:color w:val="auto"/>
        </w:rPr>
        <w:t>If we do not develop improved products and new products in a timely manner in response to industry demands, our business and revenues will be adversely affected.</w:t>
      </w:r>
    </w:p>
    <w:p>
      <w:pPr>
        <w:spacing w:after="0" w:line="5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air pollution control and filtration industry is characterized by ongoing technological developments and changing customer requirements. As a result, our success and continued growth depend, in part, on our ability in a timely manner to develop or acquire rights to, and successfully introduce into the marketplace, enhancements of existing products or new products that incorporate technological advances, meet customer requirements and respond to products developed by our competition. We cannot assure you that we will be successful in developing or acquiring such rights to products on a timely basis or that such products will adequately address the changing needs of the marketplace.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can be significantly affected by changes in technology and regulatory standards.</w:t>
      </w:r>
    </w:p>
    <w:p>
      <w:pPr>
        <w:spacing w:after="0" w:line="9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air pollution control and filtration industry is characterized by changing technology, competitively imposed process standards and regulatory requirements, each of which influences the demand for our products and services. Changes in legislative, regulatory or industrial requirements may render certain of our filtration products and processes obsolete. Acceptance of new products and services may also be affected by the adoption of new government regulations requiring stricter standards. Our ability to anticipate changes in technology and regulatory standards and to develop and introduce new and enhanced products successfully on a timely basis will be a significant factor in our ability to grow and to remain competitive. We cannot assure you that we will be able to achieve the technological advances that may be necessary for us to remain competitive or that certain of our products or services will not become obsolete.</w:t>
      </w:r>
    </w:p>
    <w:p>
      <w:pPr>
        <w:spacing w:after="0" w:line="186" w:lineRule="exact"/>
        <w:rPr>
          <w:sz w:val="20"/>
          <w:szCs w:val="20"/>
          <w:color w:val="auto"/>
        </w:rPr>
      </w:pPr>
    </w:p>
    <w:p>
      <w:pPr>
        <w:ind w:left="240" w:right="40"/>
        <w:spacing w:after="0" w:line="268" w:lineRule="auto"/>
        <w:rPr>
          <w:sz w:val="20"/>
          <w:szCs w:val="20"/>
          <w:color w:val="auto"/>
        </w:rPr>
      </w:pPr>
      <w:r>
        <w:rPr>
          <w:rFonts w:ascii="Arial" w:cs="Arial" w:eastAsia="Arial" w:hAnsi="Arial"/>
          <w:sz w:val="18"/>
          <w:szCs w:val="18"/>
          <w:i w:val="1"/>
          <w:iCs w:val="1"/>
          <w:color w:val="auto"/>
        </w:rPr>
        <w:t>We might be unable to protect our intellectual property rights and our products could infringe the intellectual property rights of others, which could expose us to costly disputes.</w:t>
      </w:r>
    </w:p>
    <w:p>
      <w:pPr>
        <w:spacing w:after="0" w:line="51"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We hold various patents and licenses relating to certain of our products. We cannot assure you as to the breadth or degree of protection that existing or future patents, if any, may afford us, that our patents will be upheld, if challenged, or that competitors will not develop similar or superior methods or products outside the protection of any patent issued to us. Although we believe that our products do not and will not infringe patents or violate the proprietary rights of others, it is possible that our existing patent rights may not be valid or that infringement of existing or future patents or proprietary rights may occur. In the event our products infringe patents or proprietary rights of others, we may be required to modify the design of our products or obtain a license for certain technology. We cannot assure you that we will be able to do so in a timely manner, upon acceptable terms and conditions, or at all. Failure to do any of the foregoing could have a material adverse effect upon our business. In addition, we cannot assure you that we will have the financial or other resources necessary to enforce or defend a patent infringement or proprietary rights violations action which may be brought against us. Moreover, if our products infringe patents or proprietary rights of others, we could, under certain circumstances, become liable for damages, which also could have a material adverse effect on our business.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Work stoppages or similar difficulties could significantly disrupt our operations.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February 28, 2007, 464 of our 631 employees are represented by international or independent labor unions under various union contracts that expire from June 2007 to August 2009. It is possible that our workforce will become more unionized in the future. Although we consider our employee relations to generally be good, our existing labor agreements may not prevent a strike or work stoppage at one or more of our facilities in the future and we may be affected by other labor disputes. A work stoppage at one or more of our facilities may have a material adverse effect on our business. Unionization activities could also increase our costs, which could have an adverse effect on our profitability.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a work stoppage at one of our suppliers could adversely affect our operations if an alternative source of supply were not readily available.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Stoppages by employees of our customers also could result in reduced demand for our products.</w:t>
      </w:r>
    </w:p>
    <w:p>
      <w:pPr>
        <w:spacing w:after="0" w:line="246" w:lineRule="exact"/>
        <w:rPr>
          <w:sz w:val="20"/>
          <w:szCs w:val="20"/>
          <w:color w:val="auto"/>
        </w:rPr>
      </w:pPr>
    </w:p>
    <w:p>
      <w:pPr>
        <w:ind w:left="240"/>
        <w:spacing w:after="0" w:line="268" w:lineRule="auto"/>
        <w:rPr>
          <w:sz w:val="20"/>
          <w:szCs w:val="20"/>
          <w:color w:val="auto"/>
        </w:rPr>
      </w:pPr>
      <w:r>
        <w:rPr>
          <w:rFonts w:ascii="Arial" w:cs="Arial" w:eastAsia="Arial" w:hAnsi="Arial"/>
          <w:sz w:val="18"/>
          <w:szCs w:val="18"/>
          <w:i w:val="1"/>
          <w:iCs w:val="1"/>
          <w:color w:val="auto"/>
        </w:rPr>
        <w:t>We may incur material costs as a result of product liability claims, which could adversely affect our business, results of operations and financial condition and cash flows.</w:t>
      </w:r>
    </w:p>
    <w:p>
      <w:pPr>
        <w:spacing w:after="0" w:line="51"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Despite our quality assurance measures, defects may occur in our products and we may be exposed to product liability claims in the event that the use of our products results, or is alleged to result, in bodily injury and/or property damage or our products actually or allegedly fail to perform as expected. While we maintain insurance coverage with respect to certain product liability claims, we may not be able to obtain such insurance on acceptable terms in the future, if at all, and any such insurance may not provide adequate coverage against product liability claims. In addition, product liability claims can be expensive to defend and can divert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attention of management and other personnel for significant periods of time, regardless of the ultimate outcome. An unsuccessful defense of a product liability claim could have an adverse affect on our business, results of operations and financial condition and cash flows. Even if we are successful in defending against a claim relating to our products, claims of this nature could cause our customers to lose confidence in our products and our company.</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Liability to customers under warranties may adversely affect our reputation, our ability to obtain future business and our earnings.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provide warranties as to the proper operation and conformance to specifications of the products we manufacture. Failure of our products to operate properly or to meet specifications may increase our costs by requiring additional engineering resources and services, replacement of parts and equipment or monetary reimbursement to a customer. We have in the past received warranty claims, and we expect to continue to receive them in the future. To the extent that we incur substantial warranty claims in any period, our reputation, our ability to obtain future business and our earnings could be adversely affected.</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We may become liable for the obligations of our subcontractors.</w:t>
      </w:r>
    </w:p>
    <w:p>
      <w:pPr>
        <w:spacing w:after="0" w:line="90" w:lineRule="exact"/>
        <w:rPr>
          <w:sz w:val="20"/>
          <w:szCs w:val="20"/>
          <w:color w:val="auto"/>
        </w:rPr>
      </w:pPr>
    </w:p>
    <w:p>
      <w:pPr>
        <w:jc w:val="both"/>
        <w:ind w:firstLine="456"/>
        <w:spacing w:after="0" w:line="323" w:lineRule="auto"/>
        <w:rPr>
          <w:sz w:val="20"/>
          <w:szCs w:val="20"/>
          <w:color w:val="auto"/>
        </w:rPr>
      </w:pPr>
      <w:r>
        <w:rPr>
          <w:rFonts w:ascii="Arial" w:cs="Arial" w:eastAsia="Arial" w:hAnsi="Arial"/>
          <w:sz w:val="15"/>
          <w:szCs w:val="15"/>
          <w:color w:val="auto"/>
        </w:rPr>
        <w:t>We act as prime contractor on a majority of the construction projects we undertake. In our capacity as prime contractor and when acting as a subcontractor, we perform most of the work on our projects with our own resources and typically subcontract only such specialized activities as electrical work, concrete work, insulation, conveyors, controls, etc. In our industry, the prime contractor is normally responsible for the performance of the entire contract, including subcontract work. Thus, when acting as a prime contractor, we are subject to the risk associated with the failure of one or more subcontractors to perform as anticipated.</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business is subject to risks of terrorist acts, acts of war and natural disasters.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Terrorist acts, acts of war, or national disasters may disrupt our operations and information and distribution systems, as well as those of our customers. These types of acts have created, and continue to create, economic and political uncertainties and have contributed to global economic instability. Future terrorist activities, military or security operations, or natural disasters could weaken the domestic/global economies and create additional uncertainties, thus forcing our customers to reduce their capital spending, or cancel or delay already planned construction projects, which could have a material adverse impact on our business, operating results and financial condition.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There are inherent limitations in all internal control systems over financial reporting, and misstatements due to error or fraud may occur and not be detected.</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While we continue to take action to ensure compliance with the internal control, disclosure control and other requirements of the Sarbanes-Oxley Act of 2002 and the rules and regulations promulgated by the SEC implementing these requirements, there are inherent limitations in our ability to control all circumstances. Our management, including our Chief Executive Officer and Chief Financial Officer, does not expect that our internal controls and disclosure controls will prevent all error and all fraud. A control system, no matter how well conceived and operated, can provide only reasonable, not absolute, assurance that the objectives of the control system are met. In addition, the design of a control system must reflect the fact that there are resource constraints and the benefit of controls must be evaluated in relation to their costs. Because of the inherent limitations in all control systems, no evaluation of controls can provide absolute assurance that all control issues and instances of fraud, if any, in our company have been detected. These inherent limitations include the realities that judgments in decision-making can be faulty and that breakdowns can occur because of simple error or mistake. Further, controls can be circumvented by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achieving its stated goals under all potential future conditions. Over time, a control may be inadequate because of changes in conditions or the degree of compliance with the policies or procedures may deteriorate. Because of inherent limitations in a cost-effective control system, misstatements due to error or fraud may occur and not be detected.</w:t>
      </w:r>
    </w:p>
    <w:p>
      <w:pPr>
        <w:spacing w:after="0" w:line="221" w:lineRule="exact"/>
        <w:rPr>
          <w:sz w:val="20"/>
          <w:szCs w:val="20"/>
          <w:color w:val="auto"/>
        </w:rPr>
      </w:pPr>
    </w:p>
    <w:p>
      <w:pPr>
        <w:ind w:left="240" w:right="40"/>
        <w:spacing w:after="0" w:line="357" w:lineRule="auto"/>
        <w:rPr>
          <w:sz w:val="20"/>
          <w:szCs w:val="20"/>
          <w:color w:val="auto"/>
        </w:rPr>
      </w:pPr>
      <w:r>
        <w:rPr>
          <w:rFonts w:ascii="Arial" w:cs="Arial" w:eastAsia="Arial" w:hAnsi="Arial"/>
          <w:sz w:val="15"/>
          <w:szCs w:val="15"/>
          <w:i w:val="1"/>
          <w:iCs w:val="1"/>
          <w:color w:val="auto"/>
        </w:rPr>
        <w:t>If we are unable to complete our assessment of the adequacy of our internal control over financial reporting as required by Section 404 of the Sarbanes-Oxley Act of 2002, investors could lose confidence in the reliability of our financial statements, which could result in a decrease in the value of our common stock.</w:t>
      </w:r>
    </w:p>
    <w:p>
      <w:pPr>
        <w:ind w:firstLine="456"/>
        <w:spacing w:after="0" w:line="286" w:lineRule="auto"/>
        <w:rPr>
          <w:sz w:val="20"/>
          <w:szCs w:val="20"/>
          <w:color w:val="auto"/>
        </w:rPr>
      </w:pPr>
      <w:r>
        <w:rPr>
          <w:rFonts w:ascii="Arial" w:cs="Arial" w:eastAsia="Arial" w:hAnsi="Arial"/>
          <w:sz w:val="16"/>
          <w:szCs w:val="16"/>
          <w:color w:val="auto"/>
        </w:rPr>
        <w:t>Under Section 404 of the Sarbanes-Oxley Act of 2002, we will be required to include in each of our future annual reports on Form 10-K, beginning with our annual report for the fiscal year ended December 31, 2008, a report containing our management’s assessment of the effectiveness of our internal control over financial reporting and a related attestation of our independent auditors. We are currently undertaking a comprehensive effort in preparation for compliance with Section 404. This effort includes the documentation and evaluation of our internal controls under the direction of our management. We have been making various changes to our internal control over financial reporting as a result of our review efforts. To date, we have not identified any material weaknesses in our internal control over financial reporting, as defined by the Public Company Accounting Oversight Board. However, due to the number of controls to be examined, the complexity of the project, as well as the subjectivity involved in determining effectiveness of controls, we cannot be certain that all our controls will be considered effective. Therefore, we can give no assurances that our internal control over financial reporting will satisfy the new regulatory requirements. If we are unable to successfully implement the requirements of Section 404, it will prevent our independent auditors from issuing an unqualified attestation report on a timely basis as required by Section 404. In that event, investors could lose confidence in the reliability of our financial statements, which could result in a decrease in the value of our common stock.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6"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i w:val="1"/>
          <w:iCs w:val="1"/>
          <w:color w:val="auto"/>
        </w:rPr>
        <w:t>Our executive officers and directors are able to exercise significant influence over our company, and their interests may conflict with those of our other stockholders.</w:t>
      </w:r>
    </w:p>
    <w:p>
      <w:pPr>
        <w:spacing w:after="0" w:line="5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As of February 28, 2007, our executive officers and directors beneficially own approximately 42% of our outstanding common stock, assuming the exercise of currently exercisable warrants and options held by them. This concentration of ownership makes it unlikely that any other holder or group of holders of our common stock will be able to affect the way we are managed or the direction of our business. The interests of our executive officers and directors with respect to matters potentially or actually involving or affecting us, such as future acquisitions, financings and other corporate opportunities and attempts to acquire us, may conflict with the interests of our other stockholders. Continued concentrated ownership by our executive officers and directors may have the effect of delaying or preventing a change of control of us, including transactions in which stockholders might otherwise receive a premium for their shares over then current market prices.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We have engaged in the past, and continue to engage, in related party transactions and such transactions present possible conflicts of interest.</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engaged in the past, and continue to engage, in several related party transactions, including the issuance, modification and extension of our subordinated debt obligations, management consulting services, and office space and other expenses related to our Toronto office. All such transactions were approved by the Audit Committee of our Board of Directors, which believed that the transactions were in our best interest. Transactions of this nature present the possibility of a conflict of interest whereby the other party may advance its economic or business interests or objectives that may conflict with or be contrary to our best interests. Any such conflict could have a material adverse effect on our financial conditions and results of operations.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limited liquidity for our common stock could affect your ability to sell your shares at a satisfactory price.</w:t>
      </w:r>
    </w:p>
    <w:p>
      <w:pPr>
        <w:spacing w:after="0" w:line="9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Our common stock is relatively illiquid. As of February 28, 2007, we had 11,498,229 shares of common stock outstanding. The average daily trading volume in our common stock during the prior 60 calendar days ending on that date was approximately 173,000 shares. A more active public market for our common stock, however, may not develop, which would continue to adversely affect the trading price and liquidity of our common stock. Moreover, a thin trading market for our stock causes the market price for our common stock to fluctuate significantly more than the stock market as a whole. Without a large float, our common stock is less liquid than the stock of companies with broader public ownership and, as a result, the trading prices of our common stock may be more volatile. In addition, in the absence of an active public trading market, you may be unable to liquidate your investment in us at a satisfactory price.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Issuance of shares under our stock incentive plan or in connection with financing transactions will dilute current stockholders.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Pursuant to our stock incentive plan, our management is authorized to grant stock awards to our employees, directors and consultants. You will incur dilution upon exercise of any outstanding stock awards. In addition, if we raise additional funds by issuing additional common stock, or securities convertible into or exchangeable or exercisable for common stock, further dilution to our existing stockholders will result, and new investors could have rights superior to existing stockholders. For example, in 2006, our chairman received 250,000 warrants in exchange for extending the maturities on our subordinated debt.</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number of shares of our common stock eligible for future sale could adversely affect the market price of our stock.</w:t>
      </w:r>
    </w:p>
    <w:p>
      <w:pPr>
        <w:spacing w:after="0" w:line="9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We have reserved 1.5 million shares of our common stock for issuance under outstanding stock options, and we had outstanding options to purchase 282,605 shares of our common stock with a weighted average exercise price of $4.51 per share as of December 31, 2006. These shares of common stock are registered for resale on a currently effective registration statement. In addition, Phillip DeZwirek owns warrants to purchase 1,250,000 shares of common stock that we are obligated to register upon demand. Green Diamond, an affiliate of Phillip DeZwirek and Jason DeZwirek, owns warrants to purchase 250,000 shares of common stock that have piggy-back rights granting it the right to require that we register such shares in the event we file any registration statements in the future. We may issue additional restricted securities or register additional shares of common stock under the Securities Act of 1933, as amended (the “Securities Act”) in the future. The issuance of a significant number of shares of common stock upon the exercise of stock options, or the availability for sale, or sale, of a substantial number of the shares of common stock eligible for future sale under effective registration statements, under Rule 144 or otherwise, could adversely affect the market price of the common stock.</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ability to issue preferred stock could adversely affect the rights of holders of our common stock.</w:t>
      </w:r>
    </w:p>
    <w:p>
      <w:pPr>
        <w:spacing w:after="0" w:line="9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certificate of incorporation authorizes us to issue up to 10,000 shares of preferred stock in one or more series on terms that may be determined at the time of issuance by our board of directors. Accordingly, we may issue shares of any series of preferred stock that would rank senior to the common stock as to voting or dividend rights or rights upon our liquidation, dissolution or winding up.</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provisions in our charter documents have anti-takeover effects.</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Certain provisions of our certificate of incorporation and bylaws may have the effect of delaying, deferring or preventing a change in control of us. Such provisions, including those limiting who may call special stockholders’ meetings, together with the possible issuance of our preferred stock without stockholder approval, may make it more difficult for other persons, without the approval of our board of directors, to make a tender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offer or otherwise acquire substantial amounts of our common stock or to launch other takeover attempts that a stockholder might consider to be in such stockholder’s best interest.</w:t>
      </w:r>
    </w:p>
    <w:p>
      <w:pPr>
        <w:spacing w:after="0" w:line="132" w:lineRule="exact"/>
        <w:rPr>
          <w:sz w:val="20"/>
          <w:szCs w:val="20"/>
          <w:color w:val="auto"/>
        </w:rPr>
      </w:pPr>
    </w:p>
    <w:p>
      <w:pPr>
        <w:ind w:left="240" w:right="180"/>
        <w:spacing w:after="0" w:line="268" w:lineRule="auto"/>
        <w:rPr>
          <w:sz w:val="20"/>
          <w:szCs w:val="20"/>
          <w:color w:val="auto"/>
        </w:rPr>
      </w:pPr>
      <w:r>
        <w:rPr>
          <w:rFonts w:ascii="Arial" w:cs="Arial" w:eastAsia="Arial" w:hAnsi="Arial"/>
          <w:sz w:val="18"/>
          <w:szCs w:val="18"/>
          <w:i w:val="1"/>
          <w:iCs w:val="1"/>
          <w:color w:val="auto"/>
        </w:rPr>
        <w:t>Because we have no plans to pay any dividends for the foreseeable future, investors must look solely to stock appreciation for a return on their investment in us.</w:t>
      </w:r>
    </w:p>
    <w:p>
      <w:pPr>
        <w:spacing w:after="0" w:line="5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never paid cash dividends on our common stock and do not anticipate paying any cash dividends in the foreseeable future. We currently intend to retain any future earnings to support our operations and growth. Any payment of cash dividends in the future will be dependent on the amount of funds legally available, our earnings, financial condition, capital requirements and other factors that our board of directors may deem relevant. Additionally, our Bank Facility restricts the payment of dividends. Accordingly, investors must rely on sales of their common stock after price appreciation, which may never occur, as the only way to realize any future gains on their investment. Investors seeking cash dividends should not purchase our common stock.</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operating offices are headquartered in Cincinnati, Ohio at a 236,178 square foot facility that we own.</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an executive office in Toronto, Canada, at facilities maintained by affiliates of our Chief Executive Officer and Chairman of the Board and Secretary, who work at the Toronto office. We reimburse such affiliate $10,000 per month for the use of the space and other office expenses. We believe that the terms of the reimbursement arrangements were negotiated on an arm’s length basis and were made on terms no less favorable than could have been obtained from other third parties.</w:t>
      </w:r>
    </w:p>
    <w:p>
      <w:pPr>
        <w:spacing w:after="0" w:line="143"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own a 33,000 square foot facility in Indianapolis, Indiana, a 35,000 square foot facility in Louisville, Kentucky and a 33,000 square foot facility in Lexington, Kentucky.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lease the following facilities: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Location</w:t>
            </w:r>
          </w:p>
        </w:tc>
        <w:tc>
          <w:tcPr>
            <w:tcW w:w="660" w:type="dxa"/>
            <w:vAlign w:val="bottom"/>
          </w:tcPr>
          <w:p>
            <w:pPr>
              <w:spacing w:after="0"/>
              <w:rPr>
                <w:sz w:val="14"/>
                <w:szCs w:val="14"/>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86"/>
              </w:rPr>
              <w:t>Square Footage</w:t>
            </w:r>
          </w:p>
        </w:tc>
        <w:tc>
          <w:tcPr>
            <w:tcW w:w="660" w:type="dxa"/>
            <w:vAlign w:val="bottom"/>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Annual Rent</w:t>
            </w:r>
          </w:p>
        </w:tc>
        <w:tc>
          <w:tcPr>
            <w:tcW w:w="660" w:type="dxa"/>
            <w:vAlign w:val="bottom"/>
          </w:tcPr>
          <w:p>
            <w:pPr>
              <w:spacing w:after="0"/>
              <w:rPr>
                <w:sz w:val="14"/>
                <w:szCs w:val="14"/>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Expiration</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Cincinnati</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96,400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409,700</w:t>
            </w:r>
          </w:p>
        </w:tc>
        <w:tc>
          <w:tcPr>
            <w:tcW w:w="1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8"/>
              </w:rPr>
              <w:t>November 2011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Columbia, Tennessee</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color w:val="auto"/>
              </w:rPr>
              <w:t>34,800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127,020</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August 2010</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Greensboro, North Carolina</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30,000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120,000</w:t>
            </w:r>
          </w:p>
        </w:tc>
        <w:tc>
          <w:tcPr>
            <w:tcW w:w="1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August 2011</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Detroit, Michigan</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color w:val="auto"/>
              </w:rPr>
              <w:t>38,590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116,000</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April 2009</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Defiance, Ohio</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27,400</w:t>
            </w:r>
          </w:p>
        </w:tc>
        <w:tc>
          <w:tcPr>
            <w:tcW w:w="1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Month to month</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Pittsburgh, Pennsylvania</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color w:val="auto"/>
              </w:rPr>
              <w:t>4,000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55,000</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May 2011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Chicago, Illinois</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21,200</w:t>
            </w:r>
          </w:p>
        </w:tc>
        <w:tc>
          <w:tcPr>
            <w:tcW w:w="1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January 2009</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Conshohocken, Pennsylvania</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color w:val="auto"/>
              </w:rPr>
              <w:t>27,500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153,320</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April 2011</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Canton Mississippi</w:t>
            </w:r>
          </w:p>
        </w:tc>
        <w:tc>
          <w:tcPr>
            <w:tcW w:w="23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7,500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16,800</w:t>
            </w:r>
          </w:p>
        </w:tc>
        <w:tc>
          <w:tcPr>
            <w:tcW w:w="19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October 2007</w:t>
            </w:r>
          </w:p>
        </w:tc>
      </w:tr>
      <w:tr>
        <w:trPr>
          <w:trHeight w:val="222"/>
        </w:trPr>
        <w:tc>
          <w:tcPr>
            <w:tcW w:w="4500" w:type="dxa"/>
            <w:vAlign w:val="bottom"/>
          </w:tcPr>
          <w:p>
            <w:pPr>
              <w:spacing w:after="0"/>
              <w:rPr>
                <w:sz w:val="20"/>
                <w:szCs w:val="20"/>
                <w:color w:val="auto"/>
              </w:rPr>
            </w:pPr>
            <w:r>
              <w:rPr>
                <w:rFonts w:ascii="Arial" w:cs="Arial" w:eastAsia="Arial" w:hAnsi="Arial"/>
                <w:sz w:val="18"/>
                <w:szCs w:val="18"/>
                <w:color w:val="auto"/>
              </w:rPr>
              <w:t>Chenai, India</w:t>
            </w:r>
          </w:p>
        </w:tc>
        <w:tc>
          <w:tcPr>
            <w:tcW w:w="2320" w:type="dxa"/>
            <w:vAlign w:val="bottom"/>
            <w:gridSpan w:val="3"/>
          </w:tcPr>
          <w:p>
            <w:pPr>
              <w:jc w:val="right"/>
              <w:ind w:right="660"/>
              <w:spacing w:after="0"/>
              <w:rPr>
                <w:sz w:val="20"/>
                <w:szCs w:val="20"/>
                <w:color w:val="auto"/>
              </w:rPr>
            </w:pPr>
            <w:r>
              <w:rPr>
                <w:rFonts w:ascii="Arial" w:cs="Arial" w:eastAsia="Arial" w:hAnsi="Arial"/>
                <w:sz w:val="18"/>
                <w:szCs w:val="18"/>
                <w:color w:val="auto"/>
              </w:rPr>
              <w:t>5,850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12,000</w:t>
            </w:r>
          </w:p>
        </w:tc>
        <w:tc>
          <w:tcPr>
            <w:tcW w:w="1940" w:type="dxa"/>
            <w:vAlign w:val="bottom"/>
            <w:gridSpan w:val="2"/>
          </w:tcPr>
          <w:p>
            <w:pPr>
              <w:ind w:left="660"/>
              <w:spacing w:after="0"/>
              <w:rPr>
                <w:sz w:val="20"/>
                <w:szCs w:val="20"/>
                <w:color w:val="auto"/>
              </w:rPr>
            </w:pPr>
            <w:r>
              <w:rPr>
                <w:rFonts w:ascii="Arial" w:cs="Arial" w:eastAsia="Arial" w:hAnsi="Arial"/>
                <w:sz w:val="18"/>
                <w:szCs w:val="18"/>
                <w:color w:val="auto"/>
              </w:rPr>
              <w:t>August 2007</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anticipated that all leases coming due in the near future will be renewed at expiration.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properties owned are subject to collateral mortgages to secure the amounts owed under the Bank Facility.</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Kirk &amp; Blum has entered into a purchase agreement for the sale of our Cincinnati property. The purchase agreement, which may be terminated by the purchaser for any reason prior to July 2, 2007, provides for 10.7 acres of real estate and improvements to be divided into two parcels, with the first parcel to be sold for a purchase price of $6.9 million and the second parcel to be sold for a purchase price of $1.1 million. The closing of the first parcel is scheduled to occur on or before July 16, 2007, provided that payment is made by the purchaser in the amount of $400,000 by July 2, 2007. The closing of the second parcel would occur on or before the later of March 25, 2008 or 30 days after we have vacated the second parcel, subject to certain conditions. The closing of the sale is subject to various customary closing conditions and special conditions such as the negotiation of a definitive agreement setting forth Kirk &amp; Blum’s post-closing possessory rights</w:t>
      </w:r>
    </w:p>
    <w:p>
      <w:pPr>
        <w:spacing w:after="0" w:line="147" w:lineRule="exact"/>
        <w:rPr>
          <w:sz w:val="20"/>
          <w:szCs w:val="20"/>
          <w:color w:val="auto"/>
        </w:rPr>
      </w:pPr>
    </w:p>
    <w:p>
      <w:pPr>
        <w:jc w:val="both"/>
        <w:ind w:firstLine="456"/>
        <w:spacing w:after="0" w:line="370" w:lineRule="auto"/>
        <w:rPr>
          <w:sz w:val="20"/>
          <w:szCs w:val="20"/>
          <w:color w:val="auto"/>
        </w:rPr>
      </w:pPr>
      <w:r>
        <w:rPr>
          <w:rFonts w:ascii="Arial" w:cs="Arial" w:eastAsia="Arial" w:hAnsi="Arial"/>
          <w:sz w:val="15"/>
          <w:szCs w:val="15"/>
          <w:color w:val="auto"/>
        </w:rPr>
        <w:t>Kirk &amp; Blum anticipates having the right to occupy both parcels with no rent obligations for a period of up to ten months following the closing on the first parcel, however, Kirk &amp; Blum is expected to be responsible for real estate taxes, insurance costs, utility costs and other operational costs during such occupancy.</w:t>
      </w:r>
    </w:p>
    <w:p>
      <w:pPr>
        <w:spacing w:after="0" w:line="62"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In 2006, we increased our leased space by 135,000 square feet. Our current capacity, with limited capital additions, is expected to be sufficient to meet production requirements for the near future. We believe our production facilities are suitable and can meet our future production needs.</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material pending legal proceedings to which our Company or any of our subsidiaries is a party or to which any of our property is subject.</w:t>
      </w:r>
    </w:p>
    <w:p>
      <w:pPr>
        <w:spacing w:after="0" w:line="2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was no matter submitted to the vote of the shareholders during the fourth quarter of 2006.</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the Registrant’s Common Equity, Related Stockholder Matters and Issuer Purchases of</w:t>
      </w:r>
    </w:p>
    <w:p>
      <w:pPr>
        <w:spacing w:after="0" w:line="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common stock is traded on the Global Market of the NASDAQ Stock Market under the symbol “CECE.” The following table sets forth the high and low common stock sales prices as reported by the NASDAQ Global Market or the NASDAQ SmallCap Market during the periods indicated.</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3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2005</w:t>
            </w:r>
          </w:p>
        </w:tc>
        <w:tc>
          <w:tcPr>
            <w:tcW w:w="3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High</w:t>
            </w:r>
          </w:p>
        </w:tc>
        <w:tc>
          <w:tcPr>
            <w:tcW w:w="380" w:type="dxa"/>
            <w:vAlign w:val="bottom"/>
          </w:tcPr>
          <w:p>
            <w:pPr>
              <w:spacing w:after="0"/>
              <w:rPr>
                <w:sz w:val="14"/>
                <w:szCs w:val="1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Low</w:t>
            </w:r>
          </w:p>
        </w:tc>
        <w:tc>
          <w:tcPr>
            <w:tcW w:w="560" w:type="dxa"/>
            <w:vAlign w:val="bottom"/>
          </w:tcPr>
          <w:p>
            <w:pPr>
              <w:spacing w:after="0"/>
              <w:rPr>
                <w:sz w:val="14"/>
                <w:szCs w:val="14"/>
                <w:color w:val="auto"/>
              </w:rPr>
            </w:pPr>
          </w:p>
        </w:tc>
        <w:tc>
          <w:tcPr>
            <w:tcW w:w="2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High</w:t>
            </w:r>
          </w:p>
        </w:tc>
        <w:tc>
          <w:tcPr>
            <w:tcW w:w="38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2.66</w:t>
            </w:r>
          </w:p>
        </w:tc>
        <w:tc>
          <w:tcPr>
            <w:tcW w:w="3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1st Quarter</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4"/>
              </w:rPr>
              <w:t>10.00</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2nd Quarter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79"/>
              </w:rPr>
              <w:t>1.86</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2nd Quarter</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w w:val="84"/>
              </w:rPr>
              <w:t>12.93</w:t>
            </w:r>
          </w:p>
        </w:tc>
        <w:tc>
          <w:tcPr>
            <w:tcW w:w="3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6.78</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2.71</w:t>
            </w:r>
          </w:p>
        </w:tc>
        <w:tc>
          <w:tcPr>
            <w:tcW w:w="32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3rd Quarter</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4"/>
              </w:rPr>
              <w:t>10.96</w:t>
            </w: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4th Quarter</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780" w:type="dxa"/>
            <w:vAlign w:val="bottom"/>
            <w:gridSpan w:val="2"/>
          </w:tcPr>
          <w:p>
            <w:pPr>
              <w:ind w:left="480"/>
              <w:spacing w:after="0"/>
              <w:rPr>
                <w:sz w:val="20"/>
                <w:szCs w:val="20"/>
                <w:color w:val="auto"/>
              </w:rPr>
            </w:pPr>
            <w:r>
              <w:rPr>
                <w:rFonts w:ascii="Arial" w:cs="Arial" w:eastAsia="Arial" w:hAnsi="Arial"/>
                <w:sz w:val="18"/>
                <w:szCs w:val="18"/>
                <w:color w:val="auto"/>
                <w:w w:val="79"/>
              </w:rPr>
              <w:t>4.07</w:t>
            </w:r>
          </w:p>
        </w:tc>
        <w:tc>
          <w:tcPr>
            <w:tcW w:w="3240" w:type="dxa"/>
            <w:vAlign w:val="bottom"/>
            <w:gridSpan w:val="2"/>
          </w:tcPr>
          <w:p>
            <w:pPr>
              <w:ind w:left="560"/>
              <w:spacing w:after="0"/>
              <w:rPr>
                <w:sz w:val="20"/>
                <w:szCs w:val="20"/>
                <w:color w:val="auto"/>
              </w:rPr>
            </w:pPr>
            <w:r>
              <w:rPr>
                <w:rFonts w:ascii="Arial" w:cs="Arial" w:eastAsia="Arial" w:hAnsi="Arial"/>
                <w:sz w:val="18"/>
                <w:szCs w:val="18"/>
                <w:color w:val="auto"/>
              </w:rPr>
              <w:t>4th Quarter</w:t>
            </w:r>
          </w:p>
        </w:tc>
        <w:tc>
          <w:tcPr>
            <w:tcW w:w="1260" w:type="dxa"/>
            <w:vAlign w:val="bottom"/>
            <w:gridSpan w:val="3"/>
          </w:tcPr>
          <w:p>
            <w:pPr>
              <w:ind w:left="480"/>
              <w:spacing w:after="0"/>
              <w:rPr>
                <w:sz w:val="20"/>
                <w:szCs w:val="20"/>
                <w:color w:val="auto"/>
              </w:rPr>
            </w:pPr>
            <w:r>
              <w:rPr>
                <w:rFonts w:ascii="Arial" w:cs="Arial" w:eastAsia="Arial" w:hAnsi="Arial"/>
                <w:sz w:val="18"/>
                <w:szCs w:val="18"/>
                <w:color w:val="auto"/>
              </w:rPr>
              <w:t>11.18</w:t>
            </w:r>
          </w:p>
        </w:tc>
        <w:tc>
          <w:tcPr>
            <w:tcW w:w="400" w:type="dxa"/>
            <w:vAlign w:val="bottom"/>
          </w:tcPr>
          <w:p>
            <w:pPr>
              <w:jc w:val="right"/>
              <w:spacing w:after="0"/>
              <w:rPr>
                <w:sz w:val="20"/>
                <w:szCs w:val="20"/>
                <w:color w:val="auto"/>
              </w:rPr>
            </w:pPr>
            <w:r>
              <w:rPr>
                <w:rFonts w:ascii="Arial" w:cs="Arial" w:eastAsia="Arial" w:hAnsi="Arial"/>
                <w:sz w:val="18"/>
                <w:szCs w:val="18"/>
                <w:color w:val="auto"/>
              </w:rPr>
              <w:t>7.60</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approximate number of registered shareholders of record of our common stock as of March 1, 2007 was 228, although there is a larger number of beneficial owners.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never paid cash dividends on our common stock and we do not anticipate paying any cash dividends in the foreseeable future. We are party to various loan documents which prevent us from paying any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previously reported, we issued on December 31, 2001 warrants (“Warrants”) to purchase 353,334 shares of our common stock to a group of accredited investors at an initial exercise price of $3.60 per share and 14,000 shares of our common stock as a finder’s fee. The Warrants have a five-year term. Holders of such Warrants, during the three months ended December 31, 2006, exercised their Warrants to purchase 18,767 shares of our common stock. We have issued 17,997 shares (the “Warrant Shares”) of our common stock pursuant to said exercise, 1,330 of which were issued pursuant to a cashless net exercise provision with respect to 2,100 shares. We received $60,001 of proceeds from the exercise of such Warrants, which proceeds were used as working capital. The Warrant Shares issued were exempt from registration under Section 4(2) of the Securities Act of 1933, as amended. The Warrant Shares have been registered for resale on Form S-3 (File No. 333-130294). As of December 31, 2006, all of the Warrants have been exercised.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This stock performance graph is furnished and shall not be deemed to be incorporated by reference by any general statement incorporating by reference this annual report into any filing under the Securities Act or under the Securities Exchange Act of 1934, as amended (the “Exchange Act”) except to the extent that the Company specifically incorporates this information by reference, and shall not otherwise be deemed filed under such Acts.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line graph below compares the annual percentage change in CECO’s cumulative total shareholder return on its Common Stock with the cumulative total return of the Russell 2000 Stock Index (a broad-based market index) and the Dow Jones Waste and Disposal Services Index for the five-year period ending December 29, 2006. The graph and table assumes $100 invested on January 1, 2002 in CECO’s Common Stock, the Russell 2000 Stock Index and the Dow Jones Waste and Disposal Services Index and that all dividends were reinvested. The Dow Jones Waste and Disposal Services Index total return is weighted by market capitalization.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Compare 5-Year Cumulative Total Return Among</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CECO Environmental Corp., Russell 2000 Index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Dow Jones Waste and Disposal Services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109855</wp:posOffset>
            </wp:positionV>
            <wp:extent cx="4956810" cy="35077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56810" cy="350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Company/Index/Market</w:t>
            </w: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540"/>
              <w:spacing w:after="0"/>
              <w:rPr>
                <w:sz w:val="20"/>
                <w:szCs w:val="20"/>
                <w:color w:val="auto"/>
              </w:rPr>
            </w:pPr>
            <w:r>
              <w:rPr>
                <w:rFonts w:ascii="Arial" w:cs="Arial" w:eastAsia="Arial" w:hAnsi="Arial"/>
                <w:sz w:val="14"/>
                <w:szCs w:val="14"/>
                <w:b w:val="1"/>
                <w:bCs w:val="1"/>
                <w:color w:val="auto"/>
              </w:rPr>
              <w:t>Fiscal Year Ending</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gridSpan w:val="2"/>
            <w:vMerge w:val="continue"/>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12/31/2001</w:t>
            </w: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12/31/2002</w:t>
            </w:r>
          </w:p>
        </w:tc>
        <w:tc>
          <w:tcPr>
            <w:tcW w:w="100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12/31/2003</w:t>
            </w:r>
          </w:p>
        </w:tc>
        <w:tc>
          <w:tcPr>
            <w:tcW w:w="22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12/31/2004</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12/30/2005</w:t>
            </w:r>
          </w:p>
        </w:tc>
        <w:tc>
          <w:tcPr>
            <w:tcW w:w="22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12/29/2006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Ceco Environmental Corp.</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104.24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173.94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DJ Waste &amp; Disposal Services</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100.00</w:t>
            </w:r>
          </w:p>
        </w:tc>
        <w:tc>
          <w:tcPr>
            <w:tcW w:w="760" w:type="dxa"/>
            <w:vAlign w:val="bottom"/>
          </w:tcPr>
          <w:p>
            <w:pPr>
              <w:jc w:val="right"/>
              <w:spacing w:after="0"/>
              <w:rPr>
                <w:sz w:val="20"/>
                <w:szCs w:val="20"/>
                <w:color w:val="auto"/>
              </w:rPr>
            </w:pPr>
            <w:r>
              <w:rPr>
                <w:rFonts w:ascii="Arial" w:cs="Arial" w:eastAsia="Arial" w:hAnsi="Arial"/>
                <w:sz w:val="18"/>
                <w:szCs w:val="18"/>
                <w:color w:val="auto"/>
              </w:rPr>
              <w:t>80.56</w:t>
            </w: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110.81</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114.62</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121.55</w:t>
            </w:r>
          </w:p>
        </w:tc>
        <w:tc>
          <w:tcPr>
            <w:tcW w:w="780" w:type="dxa"/>
            <w:vAlign w:val="bottom"/>
          </w:tcPr>
          <w:p>
            <w:pPr>
              <w:jc w:val="right"/>
              <w:spacing w:after="0"/>
              <w:rPr>
                <w:sz w:val="20"/>
                <w:szCs w:val="20"/>
                <w:color w:val="auto"/>
              </w:rPr>
            </w:pPr>
            <w:r>
              <w:rPr>
                <w:rFonts w:ascii="Arial" w:cs="Arial" w:eastAsia="Arial" w:hAnsi="Arial"/>
                <w:sz w:val="18"/>
                <w:szCs w:val="18"/>
                <w:color w:val="auto"/>
              </w:rPr>
              <w:t>149.21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Russell 2000 Index</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78.42</w:t>
            </w:r>
          </w:p>
        </w:tc>
        <w:tc>
          <w:tcPr>
            <w:tcW w:w="12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114.00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133.94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80" w:type="dxa"/>
            <w:vAlign w:val="bottom"/>
            <w:gridSpan w:val="2"/>
          </w:tcPr>
          <w:p>
            <w:pPr>
              <w:jc w:val="right"/>
              <w:ind w:right="572"/>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The following table sets forth our selected financial information. The financial information for the years ended December 31, 2006, 2005 and 2004 has been derived from our audited consolidated financial statements included elsewhere in this Annual Report. The financial information for the year ended December 31, 2003 and as of December 31, 2002 has been derived from our audited consolidated financial statements not included in this Annual Report. This historical selected financial information may not be indicative of our future performance and should be read in conjunction with the information contained in “Management’s Discussion and Analysis of Financial Condition and Results of Operations” and the consolidated financial statements and the related notes included elsewhere in this Annual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left="372"/>
              <w:spacing w:after="0"/>
              <w:rPr>
                <w:sz w:val="20"/>
                <w:szCs w:val="20"/>
                <w:color w:val="auto"/>
              </w:rPr>
            </w:pPr>
            <w:r>
              <w:rPr>
                <w:rFonts w:ascii="Arial" w:cs="Arial" w:eastAsia="Arial" w:hAnsi="Arial"/>
                <w:sz w:val="14"/>
                <w:szCs w:val="14"/>
                <w:b w:val="1"/>
                <w:bCs w:val="1"/>
                <w:color w:val="auto"/>
                <w:w w:val="87"/>
              </w:rPr>
              <w:t>Year Ended December 31,</w:t>
            </w:r>
          </w:p>
        </w:tc>
        <w:tc>
          <w:tcPr>
            <w:tcW w:w="4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line="169" w:lineRule="exact"/>
              <w:rPr>
                <w:sz w:val="20"/>
                <w:szCs w:val="20"/>
                <w:color w:val="auto"/>
              </w:rPr>
            </w:pPr>
            <w:r>
              <w:rPr>
                <w:rFonts w:ascii="Arial" w:cs="Arial" w:eastAsia="Arial" w:hAnsi="Arial"/>
                <w:sz w:val="12"/>
                <w:szCs w:val="12"/>
                <w:b w:val="1"/>
                <w:bCs w:val="1"/>
                <w:color w:val="auto"/>
              </w:rPr>
              <w:t>2002</w:t>
            </w:r>
            <w:r>
              <w:rPr>
                <w:rFonts w:ascii="Arial" w:cs="Arial" w:eastAsia="Arial" w:hAnsi="Arial"/>
                <w:sz w:val="19"/>
                <w:szCs w:val="19"/>
                <w:b w:val="1"/>
                <w:bCs w:val="1"/>
                <w:color w:val="auto"/>
                <w:vertAlign w:val="superscript"/>
              </w:rPr>
              <w:t>1</w:t>
            </w: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9"/>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(in thousands, except per share amount)</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135,359</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$81,521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$69,366</w:t>
            </w:r>
          </w:p>
        </w:tc>
        <w:tc>
          <w:tcPr>
            <w:tcW w:w="3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w w:val="83"/>
              </w:rPr>
              <w:t>68,159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78,575</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24,098</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17,000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13,011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15,590</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line="217" w:lineRule="exact"/>
              <w:rPr>
                <w:sz w:val="20"/>
                <w:szCs w:val="20"/>
                <w:color w:val="auto"/>
              </w:rPr>
            </w:pPr>
            <w:r>
              <w:rPr>
                <w:rFonts w:ascii="Arial" w:cs="Arial" w:eastAsia="Arial" w:hAnsi="Arial"/>
                <w:sz w:val="18"/>
                <w:szCs w:val="18"/>
                <w:color w:val="auto"/>
              </w:rPr>
              <w:t>Depreciation and amortization</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1,229</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1,167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1,254</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1,245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1,479</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3,525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(435)</w:t>
            </w:r>
          </w:p>
        </w:tc>
        <w:tc>
          <w:tcPr>
            <w:tcW w:w="1220" w:type="dxa"/>
            <w:vAlign w:val="bottom"/>
            <w:gridSpan w:val="3"/>
          </w:tcPr>
          <w:p>
            <w:pPr>
              <w:jc w:val="right"/>
              <w:ind w:right="300"/>
              <w:spacing w:after="0"/>
              <w:rPr>
                <w:sz w:val="20"/>
                <w:szCs w:val="20"/>
                <w:color w:val="auto"/>
              </w:rPr>
            </w:pPr>
            <w:r>
              <w:rPr>
                <w:rFonts w:ascii="Arial" w:cs="Arial" w:eastAsia="Arial" w:hAnsi="Arial"/>
                <w:sz w:val="18"/>
                <w:szCs w:val="18"/>
                <w:color w:val="auto"/>
              </w:rPr>
              <w:t>(928)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(306)</w:t>
            </w:r>
          </w:p>
        </w:tc>
      </w:tr>
      <w:tr>
        <w:trPr>
          <w:trHeight w:val="208"/>
        </w:trPr>
        <w:tc>
          <w:tcPr>
            <w:tcW w:w="6800" w:type="dxa"/>
            <w:vAlign w:val="bottom"/>
            <w:shd w:val="clear" w:color="auto" w:fill="CCEEFF"/>
          </w:tcPr>
          <w:p>
            <w:pPr>
              <w:spacing w:after="0" w:line="208" w:lineRule="exact"/>
              <w:rPr>
                <w:sz w:val="20"/>
                <w:szCs w:val="20"/>
                <w:color w:val="auto"/>
              </w:rPr>
            </w:pPr>
            <w:r>
              <w:rPr>
                <w:rFonts w:ascii="Arial" w:cs="Arial" w:eastAsia="Arial" w:hAnsi="Arial"/>
                <w:sz w:val="18"/>
                <w:szCs w:val="18"/>
                <w:color w:val="auto"/>
              </w:rPr>
              <w:t>Basic net income (loss) per share</w:t>
            </w:r>
            <w:r>
              <w:rPr>
                <w:rFonts w:ascii="Arial" w:cs="Arial" w:eastAsia="Arial" w:hAnsi="Arial"/>
                <w:sz w:val="22"/>
                <w:szCs w:val="22"/>
                <w:color w:val="auto"/>
                <w:vertAlign w:val="superscript"/>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38"/>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(.09)</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Weighted average shares outstanding (in thousands)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11,260</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9,993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9,852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9,582</w:t>
            </w:r>
          </w:p>
        </w:tc>
        <w:tc>
          <w:tcPr>
            <w:tcW w:w="60" w:type="dxa"/>
            <w:vAlign w:val="bottom"/>
            <w:shd w:val="clear" w:color="auto" w:fill="CCEEFF"/>
          </w:tcPr>
          <w:p>
            <w:pPr>
              <w:spacing w:after="0"/>
              <w:rPr>
                <w:sz w:val="18"/>
                <w:szCs w:val="18"/>
                <w:color w:val="auto"/>
              </w:rPr>
            </w:pPr>
          </w:p>
        </w:tc>
      </w:tr>
      <w:tr>
        <w:trPr>
          <w:trHeight w:val="222"/>
        </w:trPr>
        <w:tc>
          <w:tcPr>
            <w:tcW w:w="6800" w:type="dxa"/>
            <w:vAlign w:val="bottom"/>
          </w:tcPr>
          <w:p>
            <w:pPr>
              <w:ind w:left="44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12,890</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9,993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9,993</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9,852</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9,582</w:t>
            </w:r>
          </w:p>
        </w:tc>
        <w:tc>
          <w:tcPr>
            <w:tcW w:w="60" w:type="dxa"/>
            <w:vAlign w:val="bottom"/>
          </w:tcPr>
          <w:p>
            <w:pPr>
              <w:spacing w:after="0"/>
              <w:rPr>
                <w:sz w:val="19"/>
                <w:szCs w:val="19"/>
                <w:color w:val="auto"/>
              </w:rPr>
            </w:pPr>
          </w:p>
        </w:tc>
      </w:tr>
      <w:tr>
        <w:trPr>
          <w:trHeight w:val="358"/>
        </w:trPr>
        <w:tc>
          <w:tcPr>
            <w:tcW w:w="68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87"/>
              </w:rPr>
              <w:t>At December 31,</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69"/>
        </w:trPr>
        <w:tc>
          <w:tcPr>
            <w:tcW w:w="6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2004</w:t>
            </w: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2003</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line="169" w:lineRule="exact"/>
              <w:rPr>
                <w:sz w:val="20"/>
                <w:szCs w:val="20"/>
                <w:color w:val="auto"/>
              </w:rPr>
            </w:pPr>
            <w:r>
              <w:rPr>
                <w:rFonts w:ascii="Arial" w:cs="Arial" w:eastAsia="Arial" w:hAnsi="Arial"/>
                <w:sz w:val="12"/>
                <w:szCs w:val="12"/>
                <w:b w:val="1"/>
                <w:bCs w:val="1"/>
                <w:color w:val="auto"/>
              </w:rPr>
              <w:t>2002</w:t>
            </w:r>
            <w:r>
              <w:rPr>
                <w:rFonts w:ascii="Arial" w:cs="Arial" w:eastAsia="Arial" w:hAnsi="Arial"/>
                <w:sz w:val="19"/>
                <w:szCs w:val="19"/>
                <w:b w:val="1"/>
                <w:bCs w:val="1"/>
                <w:color w:val="auto"/>
                <w:vertAlign w:val="superscript"/>
              </w:rPr>
              <w:t>1</w:t>
            </w:r>
          </w:p>
        </w:tc>
        <w:tc>
          <w:tcPr>
            <w:tcW w:w="60" w:type="dxa"/>
            <w:vAlign w:val="bottom"/>
          </w:tcPr>
          <w:p>
            <w:pPr>
              <w:spacing w:after="0"/>
              <w:rPr>
                <w:sz w:val="14"/>
                <w:szCs w:val="14"/>
                <w:color w:val="auto"/>
              </w:rPr>
            </w:pPr>
          </w:p>
        </w:tc>
      </w:tr>
      <w:tr>
        <w:trPr>
          <w:trHeight w:val="142"/>
        </w:trPr>
        <w:tc>
          <w:tcPr>
            <w:tcW w:w="6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w w:val="73"/>
              </w:rPr>
              <w:t>(dollars</w:t>
            </w:r>
          </w:p>
        </w:tc>
        <w:tc>
          <w:tcPr>
            <w:tcW w:w="940" w:type="dxa"/>
            <w:vAlign w:val="bottom"/>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sheet information: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Working capital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14,311</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$ 3,602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$ 1,910</w:t>
            </w:r>
          </w:p>
        </w:tc>
        <w:tc>
          <w:tcPr>
            <w:tcW w:w="3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3,709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5,024</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63,188</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42,900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43,441</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41,154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45,514</w:t>
            </w:r>
          </w:p>
        </w:tc>
        <w:tc>
          <w:tcPr>
            <w:tcW w:w="60" w:type="dxa"/>
            <w:vAlign w:val="bottom"/>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Short-term debt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620</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1,568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4,188</w:t>
            </w: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2,094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2,120</w:t>
            </w:r>
          </w:p>
        </w:tc>
        <w:tc>
          <w:tcPr>
            <w:tcW w:w="6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15,714</w:t>
            </w:r>
          </w:p>
        </w:tc>
        <w:tc>
          <w:tcPr>
            <w:tcW w:w="10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12,847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11,894</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13,388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16,202</w:t>
            </w:r>
          </w:p>
        </w:tc>
        <w:tc>
          <w:tcPr>
            <w:tcW w:w="6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14,923</w:t>
            </w:r>
          </w:p>
        </w:tc>
        <w:tc>
          <w:tcPr>
            <w:tcW w:w="1040" w:type="dxa"/>
            <w:vAlign w:val="bottom"/>
            <w:gridSpan w:val="3"/>
          </w:tcPr>
          <w:p>
            <w:pPr>
              <w:jc w:val="right"/>
              <w:ind w:right="58"/>
              <w:spacing w:after="0"/>
              <w:rPr>
                <w:sz w:val="20"/>
                <w:szCs w:val="20"/>
                <w:color w:val="auto"/>
              </w:rPr>
            </w:pPr>
            <w:r>
              <w:rPr>
                <w:rFonts w:ascii="Arial" w:cs="Arial" w:eastAsia="Arial" w:hAnsi="Arial"/>
                <w:sz w:val="18"/>
                <w:szCs w:val="18"/>
                <w:color w:val="auto"/>
              </w:rPr>
              <w:t>6,783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7,249</w:t>
            </w: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8,030</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8,706</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68"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1"/>
          <w:szCs w:val="11"/>
          <w:color w:val="auto"/>
        </w:rPr>
      </w:pPr>
      <w:r>
        <w:rPr>
          <w:rFonts w:ascii="Arial" w:cs="Arial" w:eastAsia="Arial" w:hAnsi="Arial"/>
          <w:sz w:val="16"/>
          <w:szCs w:val="16"/>
          <w:color w:val="auto"/>
        </w:rPr>
        <w:t>Effective January 1, 2002, we adopted Statement of Financial Accounting Standards (“SFAS”) No. 142, “Goodwill and Other Intangible Assets.” As a result,</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we ceased amortization of goodwill and indefinite life intangibles, effective January 1, 2002, that totaled $476,000 in fiscal year 2001 and $217,000 in 2000.</w:t>
      </w:r>
    </w:p>
    <w:p>
      <w:pPr>
        <w:ind w:left="220" w:right="240" w:hanging="212"/>
        <w:spacing w:after="0" w:line="238" w:lineRule="auto"/>
        <w:tabs>
          <w:tab w:leader="none" w:pos="220" w:val="left"/>
        </w:tabs>
        <w:numPr>
          <w:ilvl w:val="0"/>
          <w:numId w:val="14"/>
        </w:numPr>
        <w:rPr>
          <w:rFonts w:ascii="Arial" w:cs="Arial" w:eastAsia="Arial" w:hAnsi="Arial"/>
          <w:sz w:val="11"/>
          <w:szCs w:val="11"/>
          <w:color w:val="auto"/>
        </w:rPr>
      </w:pPr>
      <w:r>
        <w:rPr>
          <w:rFonts w:ascii="Arial" w:cs="Arial" w:eastAsia="Arial" w:hAnsi="Arial"/>
          <w:sz w:val="18"/>
          <w:szCs w:val="18"/>
          <w:color w:val="auto"/>
        </w:rPr>
        <w:t>Basic earnings (loss) per common share are calculated by dividing income (loss) by the weighted average number of common shares outstanding during the period.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one of the leading providers of air-pollution control products and services. These products and services are marketed under the “Kirk &amp; Blum”, “CECO Filters”, “CECOaire”, “Busch International”, “CECO Abatement Systems”, “kbd/Technic”, “K&amp;B Duct”, “Effox” and H.M. White trade names. Our revenues are generated by our services of engineering and designing as well as building equipment, and installing systems that capture, clean and destroy airborne contaminants from industrial facilities and equipment that controls emissions from such facilities. We have a diversified base of more than 2,300 active customers among a myriad of industries including aerospace, brick, cement, ceramics, metalworking, ethanol, printing, paper, food, foundries, power plants, metal plating, woodworking, chemicals, tobacco, glass, automotive, and pharmaceuticals. Therefore, our business is not concentrated in a single industry or customer.</w:t>
      </w:r>
    </w:p>
    <w:p>
      <w:pPr>
        <w:spacing w:after="0" w:line="12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Our return to profitability in 2006 after several years of losses is directly related to an increase in the level of pollution control capital expenditures which is being driven by an elevated focus on environmental issues such as global warming and energy saving alternatives as well as a U.S. Government supported effort to reduce our independence on foreign oil through the use of bio-fuels like ethanol and electrical energy generated by our abundant domestic supply of coal.</w:t>
      </w:r>
    </w:p>
    <w:p>
      <w:pPr>
        <w:spacing w:after="0" w:line="8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continue to focus on increasing revenues and profitability. Our operating strategy involves horizontally expanding our scope of products and services through selective acquisitions and the formation of new business units that are then vertically integrated into our growing family of turnkey system providers. By employing this strategy, we have expanded our business and increased our revenues by adding CECO Abatement Systems, CECOaire, K&amp;B Duct, CECO Filters, India, H.M. White, CECO Energy Management and Effox. At the same time, we have been able to consolidate these new entities into our existing corporate structure with out increasing costs proportionally.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Much of our business is driven by various regulatory standards and guidelines governing air quality in and outside factories. Favorable conditions in the economy generally lead to plant expansions and construction of new industrial sites. Economic expansion provides us with the potential to increase and accelerate levels of growth. However, as we have seen in the past two years, in a weak economy customers tend to lengthen the time between inquiry and order or may defer purchases.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Overview</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contracts are obtained either through competitive bidding or as a result of negotiations with our customers. Contract terms offered by us are generally dependent on the complexity and risk of the project as well as the resources that will be required to complete the project. For example, a contract that can be performed primarily by subcontractors and that doesn’t require us to use our fabrication and assembly facilities can be quoted at a lower gross margin than a more typical contract that will require additional factory overhead and administrative expenses. Our focus is on increasing our operating margins as well as our gross margin percentage which translates into higher net income. Our sales typically peak in the fourth quarter due to a tendency of customers to want to fully utilize annual capital budgets and due to the fact that many industrial facilities shut down for the holiday season and that creates demand for maintenance and renovation work that can be done at no other time.</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CECO Filters secures international sales through the efforts of its operation in India and also through a network or sales representatives around the globe. System sales, such as those secured by Busch and Kirk &amp; Blum, are secured through relationships built up over the years in various industries. Some of these relationships are at American companies building plants overseas and some are through the global reputation of Busch. Kirk &amp; Blum and H.M. White have both long done business in Mexico. In March of 2007 a full time salesperson has been hired in Mexico and we believe that we will be able to start a Mexican operation eventually that mirrors Kirk &amp; Blum’s satellite plants.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Cost of sales include approximately 60% material and 20% labor, plus subcontracting costs and factory overhead. Our cost of sales is principally driven by a number of factors including material prices and labor cost and availability. Changes in these factors may have a material impact on our overall gross profit margins. For example, in larger contracts, we may incur sub-contract work or direct equipment purchases, which may only be marked-up to a limited extent and consequently, the gross margins of the Company are effected. However, profitability is enhanced through the absorption of fixed operating costs, including SG&amp;A and factory overhead.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break down costs of sales into four categories. They are:</w:t>
      </w:r>
    </w:p>
    <w:p>
      <w:pPr>
        <w:spacing w:after="0" w:line="9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 Our direct labor both in the shop and in the field;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Material- Raw material, mostly steel, that we buy to build our products;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Equipment- Fans, motors, control panels, etc. necessary for turnkey systems;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Subcontracts- Electrical work, concrete work, etc. necessary for turnkey systems.</w:t>
      </w:r>
    </w:p>
    <w:p>
      <w:pPr>
        <w:spacing w:after="0" w:line="17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general, labor is the factor we are able to mark up the most followed by material and equipment and subcontracts. Across our various product lines the relative relationships of these factors changes thus causing variations in gross margin percentage. Material costs have also increased faster than labor costs, which also reduces gross margin percentage. The important factor is that gross margin dollars increase as do operating margin dollars and percentages.</w:t>
      </w:r>
    </w:p>
    <w:p>
      <w:pPr>
        <w:spacing w:after="0" w:line="107"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Selling and administrative expense principally includes advertising and marketing expenditures and all corporate and administrative functions and other costs that support our operations. The majority of these expenses are fixed. We expect to leverage our fixed operating structure as we continue to grow our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Manage our Business</w:t>
      </w:r>
    </w:p>
    <w:p>
      <w:pPr>
        <w:spacing w:after="0" w:line="96"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We operate under a “hub and spoke” business model in which executive management, finance, administrative and marketing staff serves as the hub while the sales channels serve as spokes. We use this model throughout our operations. This has provided us with certain efficiencies over a more decentralized model.</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Although we discuss four principal product lines, our operating units function as internal customers and suppliers of each others’ products and services and as such, products and services are intermingled in one major project. As a result, it is not reasonably possible to segregate revenues to external customers, operating profits or identifiable assets by product line.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there are significant opportunities for us to increase our revenue, profitability and market position in both the United States and abroad. Our strategy for growth consists of the following elements:</w:t>
      </w:r>
    </w:p>
    <w:p>
      <w:pPr>
        <w:spacing w:after="0" w:line="5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our customer base, enter new end markets and further penetrate existing end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innovative solutions;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strong customer focus;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Pursue selective acquisitions.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consolidated statements of operations for the years ended December 31, 2006, 2005 and 2004 reflect our operations consolidated with the operations of our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vs. 2005</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For the year ended</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5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640" w:type="dxa"/>
            <w:vAlign w:val="bottom"/>
          </w:tcPr>
          <w:p>
            <w:pPr>
              <w:spacing w:after="0" w:line="142" w:lineRule="exact"/>
              <w:rPr>
                <w:sz w:val="20"/>
                <w:szCs w:val="20"/>
                <w:color w:val="auto"/>
              </w:rPr>
            </w:pPr>
            <w:r>
              <w:rPr>
                <w:rFonts w:ascii="Arial" w:cs="Arial" w:eastAsia="Arial" w:hAnsi="Arial"/>
                <w:sz w:val="14"/>
                <w:szCs w:val="14"/>
                <w:b w:val="1"/>
                <w:bCs w:val="1"/>
                <w:color w:val="auto"/>
              </w:rPr>
              <w:t>($’s in millions)</w:t>
            </w:r>
          </w:p>
        </w:tc>
        <w:tc>
          <w:tcPr>
            <w:tcW w:w="18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2006</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2"/>
                <w:szCs w:val="12"/>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135.4</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Cost of sales</w:t>
            </w: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111.3</w:t>
            </w:r>
          </w:p>
        </w:tc>
        <w:tc>
          <w:tcPr>
            <w:tcW w:w="8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 and amortization)</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17.8%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r>
      <w:tr>
        <w:trPr>
          <w:trHeight w:val="216"/>
        </w:trPr>
        <w:tc>
          <w:tcPr>
            <w:tcW w:w="56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12.4%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r>
      <w:tr>
        <w:trPr>
          <w:trHeight w:val="222"/>
        </w:trPr>
        <w:tc>
          <w:tcPr>
            <w:tcW w:w="56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672"/>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Consolidated sales in 2006 were $135.4 million, an increase of $53.8 million or 66% compared to 2005. This increase was primarily the result of a large increase in contracting sales due to increased demand for our products and services and also to the addition of H.M. White, Inc. which generated nearly $12 million in new revenues. Additionally, we experienced a large increase in equipment revenues and a modest increase in sales of component parts.</w:t>
      </w:r>
    </w:p>
    <w:p>
      <w:pPr>
        <w:spacing w:after="0" w:line="10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Orders booked in 2006 were $203.6 million compared with $89.6 million in 2005. The increase in bookings was due to a continuing strengthening in the economy throughout the year and access to new markets provided by the addition of H.M. White and CECO Energy Management. We continue to experience an increased level of customer inquiry and quoting activities. This improvement in the economy could result in increased air-quality related capital spending.</w:t>
      </w:r>
    </w:p>
    <w:p>
      <w:pPr>
        <w:spacing w:after="0" w:line="107"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Gross profit excluding depreciation and amortization increased by 41.8% or $7.1 million to $24.1 million in 2006 compared with $17.0 million in 2005. Gross profit, as a percentage of sales, was 17.8% in 2006 compared to 20.9% in 2005. The decrease in the gross profit percentage of 3.1% was due primarily to changes in product mix and one underperforming large project.</w:t>
      </w:r>
    </w:p>
    <w:p>
      <w:pPr>
        <w:spacing w:after="0" w:line="14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Selling and administrative expenses increased by $4.5 million to $16.8 million in 2006. Selling and administrative expenses, as a percentage of revenues for 2006 and 2005 were 12.4% and 15.1% respectively. This increase was due to the addition of $1.2 million of H.M. White selling and administrative expenses, increases in commissions and incentive compensation expenses relating to improved financial performance and increased selling and administrative wages.</w:t>
      </w:r>
    </w:p>
    <w:p>
      <w:pPr>
        <w:spacing w:after="0" w:line="10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Depreciation and amortization remained constant at $1.2 million for both years. This was due primarily to an increase in capital expenditures offset by certain of the Kirk &amp; Blum assets acquired in 1999 that became fully depreciated.</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Operating income was $6.0 million in 2006 and $3.5 million in 2005. This 71.5% increase in operating income resulted from the various factors previously mentioned.</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Other income for the year ended December 31, 2006 was $812,000 compared with other expense of $900,000 during the same period in 2005. The income in 2006 includes $842,000 of income from the exercise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detachable stock warrants offset by various miscellaneous expense items. The expense in 2005 included a non-cash charge of $806,000 for the fair market value adjustment of the same detachable stock warrants.</w:t>
      </w:r>
    </w:p>
    <w:p>
      <w:pPr>
        <w:spacing w:after="0" w:line="132"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Interest expense decreased to $2.0 million in 2006 compared to $2.4 million for the same period of 2005. This was due to lower subordinated debt outstanding during the year and lower interest rates on the Bank Facility.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Federal and state income tax provision was $1.8 million during 2006 compared with a tax provision of $647,000 for the same period in 2005. The effective income tax rate for 2006 was 36% compared with 305% for the same period of 2005. The effective tax rate during 2006 was affected by certain permanent differences including the non-taxable, non-cash income from warrants. Due to state &amp; federal loss-carryforwards, no income taxes were paid in 2005 or 2004.</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income was $3.1 million in 2006 compared to a net loss of $435,000 in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vs. 2004</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9"/>
              </w:rPr>
              <w:t>For the year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4"/>
        </w:trPr>
        <w:tc>
          <w:tcPr>
            <w:tcW w:w="7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December 31,</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43"/>
        </w:trPr>
        <w:tc>
          <w:tcPr>
            <w:tcW w:w="7440" w:type="dxa"/>
            <w:vAlign w:val="bottom"/>
          </w:tcPr>
          <w:p>
            <w:pPr>
              <w:spacing w:after="0" w:line="143" w:lineRule="exact"/>
              <w:rPr>
                <w:sz w:val="20"/>
                <w:szCs w:val="20"/>
                <w:color w:val="auto"/>
              </w:rPr>
            </w:pPr>
            <w:r>
              <w:rPr>
                <w:rFonts w:ascii="Arial" w:cs="Arial" w:eastAsia="Arial" w:hAnsi="Arial"/>
                <w:sz w:val="14"/>
                <w:szCs w:val="14"/>
                <w:b w:val="1"/>
                <w:bCs w:val="1"/>
                <w:color w:val="auto"/>
              </w:rPr>
              <w:t>($’s in millions)</w:t>
            </w: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3" w:lineRule="exact"/>
              <w:rPr>
                <w:sz w:val="20"/>
                <w:szCs w:val="20"/>
                <w:color w:val="auto"/>
              </w:rPr>
            </w:pPr>
            <w:r>
              <w:rPr>
                <w:rFonts w:ascii="Arial" w:cs="Arial" w:eastAsia="Arial" w:hAnsi="Arial"/>
                <w:sz w:val="14"/>
                <w:szCs w:val="14"/>
                <w:b w:val="1"/>
                <w:bCs w:val="1"/>
                <w:color w:val="auto"/>
                <w:w w:val="89"/>
              </w:rPr>
              <w:t>2005</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2"/>
                <w:szCs w:val="12"/>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81.5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4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1280" w:type="dxa"/>
            <w:vAlign w:val="bottom"/>
            <w:gridSpan w:val="2"/>
          </w:tcPr>
          <w:p>
            <w:pPr>
              <w:jc w:val="right"/>
              <w:ind w:right="792"/>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56.3</w:t>
            </w:r>
          </w:p>
        </w:tc>
        <w:tc>
          <w:tcPr>
            <w:tcW w:w="140" w:type="dxa"/>
            <w:vAlign w:val="bottom"/>
          </w:tcPr>
          <w:p>
            <w:pPr>
              <w:spacing w:after="0"/>
              <w:rPr>
                <w:sz w:val="18"/>
                <w:szCs w:val="18"/>
                <w:color w:val="auto"/>
              </w:rPr>
            </w:pPr>
          </w:p>
        </w:tc>
      </w:tr>
      <w:tr>
        <w:trPr>
          <w:trHeight w:val="27"/>
        </w:trPr>
        <w:tc>
          <w:tcPr>
            <w:tcW w:w="7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profit (excluding depreciation and amortization)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17.0</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20.9%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18.9%</w:t>
            </w: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Selling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12.3</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102"/>
        </w:trPr>
        <w:tc>
          <w:tcPr>
            <w:tcW w:w="7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r>
      <w:tr>
        <w:trPr>
          <w:trHeight w:val="222"/>
        </w:trPr>
        <w:tc>
          <w:tcPr>
            <w:tcW w:w="7440" w:type="dxa"/>
            <w:vAlign w:val="bottom"/>
          </w:tcPr>
          <w:p>
            <w:pPr>
              <w:ind w:left="440"/>
              <w:spacing w:after="0"/>
              <w:rPr>
                <w:sz w:val="20"/>
                <w:szCs w:val="20"/>
                <w:color w:val="auto"/>
              </w:rPr>
            </w:pPr>
            <w:r>
              <w:rPr>
                <w:rFonts w:ascii="Arial" w:cs="Arial" w:eastAsia="Arial" w:hAnsi="Arial"/>
                <w:sz w:val="18"/>
                <w:szCs w:val="18"/>
                <w:color w:val="auto"/>
              </w:rPr>
              <w:t>Percent of sales</w:t>
            </w:r>
          </w:p>
        </w:tc>
        <w:tc>
          <w:tcPr>
            <w:tcW w:w="120" w:type="dxa"/>
            <w:vAlign w:val="bottom"/>
          </w:tcPr>
          <w:p>
            <w:pPr>
              <w:spacing w:after="0"/>
              <w:rPr>
                <w:sz w:val="19"/>
                <w:szCs w:val="19"/>
                <w:color w:val="auto"/>
              </w:rPr>
            </w:pPr>
          </w:p>
        </w:tc>
        <w:tc>
          <w:tcPr>
            <w:tcW w:w="1280" w:type="dxa"/>
            <w:vAlign w:val="bottom"/>
            <w:gridSpan w:val="2"/>
          </w:tcPr>
          <w:p>
            <w:pPr>
              <w:jc w:val="right"/>
              <w:ind w:right="632"/>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14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Consolidated sales in 2005 were $81.5 million, an increase of $12.2 million compared to 2004. This increase came primarily from a large increase in equipment sales as well as an increase in contracting revenues and sales of component parts.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Orders booked in 2005 were $89.6 million compared with $82.8 million in 2004. The increase in bookings was due to a continued strengthening in the economy throughout the year including several large orders booked in 2005.</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Gross profit excluding depreciation and amortization increased by 29.8% to $17.0 million in 2005 compared with $13.1 million in 2004. Gross profit, as a percentage of sales, was 20.9% in 2005 compared to 18.9% in 2004. The increase in the gross profit percentage of 2.0% was due to increased efficiencies resulting from the increase in sales volume without a corresponding increase in operating expenses. We also benefited from better overall margins in our product mix and backlog as jobs closed out with higher than expected profits.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Selling and administrative expenses increased by $1.6 million to $12.3 million in 2005. Selling and administrative expenses, as a percentage of revenues for 2005 and 2004 were 15.1% and 15.3% respectively. This increase was due to increases in incentive compensation related to improving financial performance and order bookings, increased legal and professional fees due to various SEC filings and registrations as well as costs associated with refinancing our long-term debt.</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Depreciation and amortization remained constant at $1.2 million for both years. This was due primarily to reduced capital expenditures during periods of lower liquidity.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Operating income was $3.5 million in 2005 and $1.2 million in 2004. This 198% increase in operating income resulted from the various factors previously mentioned.</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Other expense for the year ended December 31, 2005 was $900,000 compared with other income of $200,000 during the same period in 2004. The expense in 2005 includes a non-cash charge of $806,000 for the fair market value adjustment of detachable stock warrants. This market value adjustment and any additional market value adjustments in 2006 will be reversed and recognized as income in 2006 when the warrants are exercised or expire. Other expense in 2005 also includes a non-cash charge of $173,000 related to the impairment of fixed assets which had been retained from the discontinued operation of U.S. Facilities Management. These charges were offset by the deferred gain recognized from the sale and leaseback of our Conshohocken, Pennsylvania property which is being recognized over the ensuing three-year lease back period. The other income for the year ended December 31, 2004 was primarily a dividend of $162,000 from Factory Power which was a partnership with an adjacent manufacturing company to provide power to some of the other companies in the industrial park. The partnership no longer provides any services to the area and will be liquidated.</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Interest expense decreased to $2.4 million in 2005 compared to $2.6 million for the same period of 2004. This was due to lower debt outstanding during the year offset by increasing interest rates.</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Federal and state income tax provision was $647,000 during 2005 compared with a tax benefit of $248,000 for the same period in 2004. The effective income tax rate for 2005 was 305% compared with 21.1% for the same period of 2004. The effective tax rate during 2005 was unfavorably affected by certain permanent differences including the non-deductible, non-cash charge for warrants of $806,000 and non-deductible interest expense of $447,000 relating to amortization of the subordinated debt discount. Due to state and federal loss-carryforwards, no income taxes were paid in 2005 or 2004.</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loss was $435,000 in 2005 and $928,000 in 2004.</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At December 31, 2006 and December 31, 2005, cash and cash equivalents totaled $445,000 and $310,000, respectively. Generally, we do not carry significant cash and cash equivalent balances because excess amounts are used to pay down our revolving line of credit.</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Total bank and related debt as of December 31, 2006 was $10.6 million as compared to $6.8 million at December 31, 2005, an increase of $3.8 million due to net borrowings under the Bank Facility. The cash that we borrowed was used for operating activities.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Unused credit availability under the revolving line of credit of the Bank Facility at December 31, 2006 was $ 3.9 million. In connection with the acquisition of Effox, Inc. our Bank Facility was amended on February 27, 2007. The amended agreement was entered into by CECO Environmental Corp., the CECO group of companies, CECO Acquisition Corp. and Fifth Third Bank, an Ohio banking corporation. The Bank Facility, as amended, consists of the existing term loan in the amount of $2.4 million, a new term loan in the amount of $5.0 million and an increased revolving line of credit of up to $20.0 million. Credit availability is determined under our revolver on an asset base calculation which is determined by multiplying qualified accounts receivable times a factor of 70% and raw material inventories by a factor of 50%. This resulting availability is then reduced by outstanding letters of credit. Terms of the agreement, which runs through January 31, 2010, include a continuation of the current borrowing rates for the credit line of LIBOR plus 2% and rates for the two term notes of LIBOR plus 2.25%. See “Debt Covenants” below for a description of financial covenants under the Bank Facility.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$5 million subordinated debt that was provided to us in connection with the Kirk &amp; Blum transaction in December 1999 included investments of $4 million by Green Diamond, $500,000 by ICS Trustee Services, Ltd. and $500,000 by Harvey Sandler. On May 30, 2006, CECO entered into a letter agreement with Fifth Third Bank, CECO’s lender, permitting CECO to pay accrued interest and unpaid interest on, and the entire unpaid principal balance of, all of the indebtedness and other obligations owing by CECO to each of ICS Trustee Services Ltd. and Harvey Sandler and on May 31, 2006, CECO repaid in full the ICS and Sandler Subordinated Debt using proceeds from the exercise of warrants of approximately $893,000 and advances under Fifth Third Bank loan proceeds in the aggregate approximate amount of $167,000.</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September 30, 2003, an additional $1.2 million of subordinated debt was raised from Green Diamond, a related party, with a maturity of April 30, 2005 and an interest rate of 6% per annum. On December 30, 2004, the principal balance of the notes owed to Green Diamond was increased for the unpaid accrued interest. The principal balance for the $4.0 million subordinated note was increased by the accrued interest of $1.4 million to $5.4 million and the principal balance for the $1.2 million subordinated note was increased by $90,000 to $1.3 million. In connection with the December 29, 2005 credit facility, the maturity was extended to April 1, 2007.</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January 6, 2006, Mr. Phillip DeZwirek elected to exercise warrants for 1,000,000 shares of common stock for an aggregate amount of $1,718,750 paid to us. Mr. Jason DeZwirek also exercised on such date options for 25,000 shares of common stock for an aggregate amount of $50,250 paid to us. Proceeds from these exercises were used by us to pay accrued interest on the Green Diamond subordinated notes of $1,531,792, which interest was previously capitalized as principal on the notes. Fifth Third Bank consented to this use of proceeds.</w:t>
      </w:r>
    </w:p>
    <w:p>
      <w:pPr>
        <w:spacing w:after="0" w:line="143"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On December 28, 2006, the Company and Green Diamond further amended the subordinated notes to extend the maturity date under both notes from April 1, 2007 to July 1, 2008, which was later amended to January 31, 2010 on March 27, 2007. In consideration for such extension, the interest rate under $1.3 million subordinated note was increased from 6% to 12%. As additional consideration for the extension, the Company issued warrants for 250,000 shares of common stock at an exercise price of $9.07 per share to Green Diamond on December 28, 2006. These warrants did not impact earnings in 2006. The $842,000 valuation was recorded as a reduction in the principal balance of subordinated notes and will be amortized over the remaining maturity of the notes. Green Diamond is an affiliate of Phillip DeZwirek and Jason DeZwirek, both of whom are executive officers and directors of CECO. The notes and the warrants were approved by the Audit Committee, which consists solely of independent directors under the NASDAQ rules.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Cash Flows and Liquidity</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7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($’s in thousands)</w:t>
            </w: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2006</w:t>
            </w: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2005</w:t>
            </w: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cash flow</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(4,150)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(898)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(661)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Proceeds from issuance of common stock, options and exercise of warrants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3,362</w:t>
            </w:r>
          </w:p>
        </w:tc>
        <w:tc>
          <w:tcPr>
            <w:tcW w:w="5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bank borrowing</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3,809</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(1,954)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Repayment of subordinated notes</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(1,988)</w:t>
            </w:r>
          </w:p>
        </w:tc>
        <w:tc>
          <w:tcPr>
            <w:tcW w:w="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5,183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(1,954)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(1,207)</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135</w:t>
            </w:r>
          </w:p>
        </w:tc>
        <w:tc>
          <w:tcPr>
            <w:tcW w:w="5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rPr>
              <w:t>(29)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2006 $4.2 million was used by operating activities compared to $2.6 million provided by operating activities in 2005. The decrease in cash provided was due primarily to significant increases in working capital requirements related to our increased level of sales. The major working capital accounts that used cash were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accounts receivable which increased $13.8 million, costs and estimated earnings in excess of billings on uncompleted contracts which increased $6.1 million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inventory which increased $774,000. Cash was provided by increases in accounts payable of $5.9 million, billings in excess of costs and estimated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 million and accrued taxes of $284,000. Net income included non cash income from the exercise of detachable stock warrants in the amount of $842,000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 cash expenses for depreciation of $1.2 million. Our net investment in working capital (excluding cash and cash equivalents and current portion of debt)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2006 was $14.5 million as compared to $4.9 million at December 31, 2005. Looking forward, we will continue to manage our net investment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working capital. We believe that our working capital needs will decrease somewhat as our operating income continues to increase and we begin collecting higher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levels of cash from our increased level of sales reflected in accounts receivable.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2005 we generated $2.6 million from operating activities compared to $1.9 million provided by operating activities in 2004. The increase in cash</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provided was due primarily to improved operating performance which was reflected in our reduced net loss. Operating income was reduced by a non-cash charge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$806,000 for the fair market value adjustment of detachable stock warrants, non-cash interest expense of $357,000 and non-cash income tax expense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$423,000. We created additional cash from a decrease in accounts receivable of $904,000 resulting from improved collections. Cash was also provided by 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increase in billings in excess of costs and estimated earnings of $296,000. The working capital accounts that used cash were an inventory increase of $292,000, an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 in costs and estimated earnings in excess of billings on uncompleted contracts of $500,000 and a decrease accounts payable and accrued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$158,000. Our net investment in working capital (excluding cash and cash equivalents and current portion of debt) at December 31, 2005 was $4.9 million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$5.9 million at December 31, 2004.</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2006 net cash used in investing activities related to the acquisition of capital expenditures for property and equipment was $898,000 compared with $661,000 for the same period in 2005. We are managing our capital expenditures by evaluating the needs of our divisions to provide the necessary equipment needed to take advantage of the current increased level of sales. Additional capital expenditures may be incurred related to the replacement facilities subject to the successful completion of the sale of our Cincinnati property.</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Financing activities provided cash of $5.2 million during 2006 compared with cash used of $2.0 million during the same period of 2005. Current year financing activities included net borrowings of $4.4 million on our revolving line of credit, proceeds from the exercise of warrants and options of $3.4 million and payments of $568,000 on our term loan under our Bank Facility.</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When we undertake large jobs, our working capital objective is to make these projects self-funding. We try to achieve this by obtaining initial down payments, progress billing contracts, when possible, utilizing extended payment terms from material suppliers, and paying sub-contractors after payment from our customers, which is an industry practice. Our investment in net working capital is funded by cash flow from operations and by our revolving line of credit. Inventory remains relatively constant from year to year. Accordingly, changes in inventory do not constitute a significant part of our investment in working capital.</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backlog has increased from $28.9 million in 2005 to $97.1 million in 2006 (which amount does not include backlog attributable to the acquisition of the Effox assets of approximately $20 million at December 31, 2006), and the Company believes that the amount available under the revolving line of credit of the Bank Facility, together with cash flows from operations, will be sufficient to meet its short-term needs for liquidity over the next twelve months. Additionally, in the longer term, we have real estate with market values significantly in excess of debt which may be sold to generate cash flow. We cannot assure you that we will be able to sell any of these properties. Our cost reduction initiatives in prior years will have both short-term and long-term cash flow implications. A lower or more stable cost structure will be beneficial in future periods as revenues increase and costs do not increase proportionately. We also have access to additional financing by increasing the amount of our subordinated debt obtained through related parties or by accessing the public equity markets. We cannot assure you that such additional financing will be available on commercially acceptable terms, if at all.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We have never paid cash dividends on our common stock and we do not anticipate paying any cash dividends in the foreseeable future. We are party to various loan documents which prevent us from paying any dividends.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Bank Facility was amended on June 8, 2006 and February 28, 2007. Terms of the Bank Facility, as amended, include revised financial covenants which require compliance including at December 31, 2006 and each quarter through December 31, 2010. The revised covenants increase the maximum capital expenditures financial covenant commencing with fiscal year 2007 and each year thereafter during the term of the Bank Facility from $750,000 to $1,500,000, increase the minimum Fixed Charge Coverage Ratio from 1.10 to 1.0 to 1.25 to 1.0 for each quarter during the term of the Bank Facility and modifies the maximum funded debt to EBITDA covenant ratios as per the following table:</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tcPr>
          <w:p>
            <w:pPr>
              <w:jc w:val="right"/>
              <w:ind w:right="340"/>
              <w:spacing w:after="0"/>
              <w:rPr>
                <w:sz w:val="20"/>
                <w:szCs w:val="20"/>
                <w:color w:val="auto"/>
              </w:rPr>
            </w:pPr>
            <w:r>
              <w:rPr>
                <w:rFonts w:ascii="Arial" w:cs="Arial" w:eastAsia="Arial" w:hAnsi="Arial"/>
                <w:sz w:val="14"/>
                <w:szCs w:val="14"/>
                <w:b w:val="1"/>
                <w:bCs w:val="1"/>
                <w:color w:val="auto"/>
              </w:rPr>
              <w:t>Maximum</w:t>
            </w:r>
          </w:p>
        </w:tc>
      </w:tr>
      <w:tr>
        <w:trPr>
          <w:trHeight w:val="149"/>
        </w:trPr>
        <w:tc>
          <w:tcPr>
            <w:tcW w:w="74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2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Total Funded Debt to</w:t>
            </w:r>
          </w:p>
        </w:tc>
      </w:tr>
      <w:tr>
        <w:trPr>
          <w:trHeight w:val="175"/>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Period</w:t>
            </w:r>
          </w:p>
        </w:tc>
        <w:tc>
          <w:tcPr>
            <w:tcW w:w="652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Adjusted EBITDA Ratio</w:t>
            </w:r>
          </w:p>
        </w:tc>
      </w:tr>
      <w:tr>
        <w:trPr>
          <w:trHeight w:val="102"/>
        </w:trPr>
        <w:tc>
          <w:tcPr>
            <w:tcW w:w="740" w:type="dxa"/>
            <w:vAlign w:val="bottom"/>
          </w:tcPr>
          <w:p>
            <w:pPr>
              <w:spacing w:after="0"/>
              <w:rPr>
                <w:sz w:val="8"/>
                <w:szCs w:val="8"/>
                <w:color w:val="auto"/>
              </w:rPr>
            </w:pPr>
          </w:p>
        </w:tc>
        <w:tc>
          <w:tcPr>
            <w:tcW w:w="65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Test Period ending on December 31, 2006</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to 1</w:t>
            </w:r>
          </w:p>
        </w:tc>
      </w:tr>
      <w:tr>
        <w:trPr>
          <w:trHeight w:val="322"/>
        </w:trPr>
        <w:tc>
          <w:tcPr>
            <w:tcW w:w="740" w:type="dxa"/>
            <w:vAlign w:val="bottom"/>
          </w:tcPr>
          <w:p>
            <w:pPr>
              <w:spacing w:after="0"/>
              <w:rPr>
                <w:sz w:val="20"/>
                <w:szCs w:val="20"/>
                <w:color w:val="auto"/>
              </w:rPr>
            </w:pPr>
            <w:r>
              <w:rPr>
                <w:rFonts w:ascii="Arial" w:cs="Arial" w:eastAsia="Arial" w:hAnsi="Arial"/>
                <w:sz w:val="18"/>
                <w:szCs w:val="18"/>
                <w:color w:val="auto"/>
              </w:rPr>
              <w:t>(b)</w:t>
            </w:r>
          </w:p>
        </w:tc>
        <w:tc>
          <w:tcPr>
            <w:tcW w:w="6520" w:type="dxa"/>
            <w:vAlign w:val="bottom"/>
          </w:tcPr>
          <w:p>
            <w:pPr>
              <w:ind w:left="360"/>
              <w:spacing w:after="0"/>
              <w:rPr>
                <w:sz w:val="20"/>
                <w:szCs w:val="20"/>
                <w:color w:val="auto"/>
              </w:rPr>
            </w:pPr>
            <w:r>
              <w:rPr>
                <w:rFonts w:ascii="Arial" w:cs="Arial" w:eastAsia="Arial" w:hAnsi="Arial"/>
                <w:sz w:val="18"/>
                <w:szCs w:val="18"/>
                <w:color w:val="auto"/>
              </w:rPr>
              <w:t>The Test Period ending on March 31, 2007</w:t>
            </w:r>
          </w:p>
        </w:tc>
        <w:tc>
          <w:tcPr>
            <w:tcW w:w="9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4.25 to 1</w:t>
            </w:r>
          </w:p>
        </w:tc>
      </w:tr>
      <w:tr>
        <w:trPr>
          <w:trHeight w:val="110"/>
        </w:trPr>
        <w:tc>
          <w:tcPr>
            <w:tcW w:w="7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The Test Period ending on June 30, 2007</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 to 1</w:t>
            </w:r>
          </w:p>
        </w:tc>
      </w:tr>
      <w:tr>
        <w:trPr>
          <w:trHeight w:val="322"/>
        </w:trPr>
        <w:tc>
          <w:tcPr>
            <w:tcW w:w="740" w:type="dxa"/>
            <w:vAlign w:val="bottom"/>
          </w:tcPr>
          <w:p>
            <w:pPr>
              <w:spacing w:after="0"/>
              <w:rPr>
                <w:sz w:val="20"/>
                <w:szCs w:val="20"/>
                <w:color w:val="auto"/>
              </w:rPr>
            </w:pPr>
            <w:r>
              <w:rPr>
                <w:rFonts w:ascii="Arial" w:cs="Arial" w:eastAsia="Arial" w:hAnsi="Arial"/>
                <w:sz w:val="18"/>
                <w:szCs w:val="18"/>
                <w:color w:val="auto"/>
              </w:rPr>
              <w:t>(d)</w:t>
            </w:r>
          </w:p>
        </w:tc>
        <w:tc>
          <w:tcPr>
            <w:tcW w:w="6520" w:type="dxa"/>
            <w:vAlign w:val="bottom"/>
          </w:tcPr>
          <w:p>
            <w:pPr>
              <w:ind w:left="360"/>
              <w:spacing w:after="0"/>
              <w:rPr>
                <w:sz w:val="20"/>
                <w:szCs w:val="20"/>
                <w:color w:val="auto"/>
              </w:rPr>
            </w:pPr>
            <w:r>
              <w:rPr>
                <w:rFonts w:ascii="Arial" w:cs="Arial" w:eastAsia="Arial" w:hAnsi="Arial"/>
                <w:sz w:val="18"/>
                <w:szCs w:val="18"/>
                <w:color w:val="auto"/>
              </w:rPr>
              <w:t>The Test Period ending on September 30, 2007</w:t>
            </w:r>
          </w:p>
        </w:tc>
        <w:tc>
          <w:tcPr>
            <w:tcW w:w="9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 to 1</w:t>
            </w:r>
          </w:p>
        </w:tc>
      </w:tr>
      <w:tr>
        <w:trPr>
          <w:trHeight w:val="110"/>
        </w:trPr>
        <w:tc>
          <w:tcPr>
            <w:tcW w:w="740" w:type="dxa"/>
            <w:vAlign w:val="bottom"/>
          </w:tcPr>
          <w:p>
            <w:pPr>
              <w:spacing w:after="0"/>
              <w:rPr>
                <w:sz w:val="9"/>
                <w:szCs w:val="9"/>
                <w:color w:val="auto"/>
              </w:rPr>
            </w:pPr>
          </w:p>
        </w:tc>
        <w:tc>
          <w:tcPr>
            <w:tcW w:w="65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216"/>
        </w:trPr>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(e)</w:t>
            </w:r>
          </w:p>
        </w:tc>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Each Test Period ending on and after December 31, 2007</w:t>
            </w:r>
          </w:p>
        </w:tc>
        <w:tc>
          <w:tcPr>
            <w:tcW w:w="9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to 1</w:t>
            </w:r>
          </w:p>
        </w:tc>
      </w:tr>
    </w:tbl>
    <w:p>
      <w:pPr>
        <w:spacing w:after="0" w:line="154" w:lineRule="exact"/>
        <w:rPr>
          <w:sz w:val="20"/>
          <w:szCs w:val="20"/>
          <w:color w:val="auto"/>
        </w:rPr>
      </w:pPr>
    </w:p>
    <w:p>
      <w:pPr>
        <w:ind w:right="620" w:firstLine="456"/>
        <w:spacing w:after="0" w:line="306" w:lineRule="auto"/>
        <w:rPr>
          <w:sz w:val="20"/>
          <w:szCs w:val="20"/>
          <w:color w:val="auto"/>
        </w:rPr>
      </w:pPr>
      <w:r>
        <w:rPr>
          <w:rFonts w:ascii="Arial" w:cs="Arial" w:eastAsia="Arial" w:hAnsi="Arial"/>
          <w:sz w:val="16"/>
          <w:szCs w:val="16"/>
          <w:color w:val="auto"/>
        </w:rPr>
        <w:t>In the future, if we cannot comply with the terms of the Bank Facility agreements it will be necessary for us obtain a waiver or renegotiate our loan covenants, and there can be no assurance that such negotiations would be successful. In the event that we are not successful in obtaining a waiver or an amendment, we would be declared in default, which would cause all amounts owed to be immediately due and payable.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Benefit Obligations</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Based on the assumptions used to value other postretirement obligations, life insurance benefits and retiree healthcare benefits, in the fourth quarter of 2006, cash payments for these benefits are expected to be in the range of $650,000 – $750,000 in each of the next 5 years. Based on current assumptions, estimated contributions of $570,000 may be required in 2007 for the pension plan and $62,000 for the retiree healthcare plan. The amount and timing of required contributions to the pension trust depends on future investment performance of the pension funds and interest rate movements, among other things and, accordingly, we cannot reasonably estimate actual required payments. Currently, our pension plan is under-funded. As a result, absent major increases in long-term interest rates, above average returns on pension assets and/or changes in legislated funding requirements, we will be required to make contributions to our pension trust of varying amounts in the long-term.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Commercial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lists our contractual cash obligations as of December 31, 2006 (in thousands of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Less than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9"/>
              </w:rPr>
              <w:t>Years</w:t>
            </w:r>
          </w:p>
        </w:tc>
        <w:tc>
          <w:tcPr>
            <w:tcW w:w="580" w:type="dxa"/>
            <w:vAlign w:val="bottom"/>
          </w:tcPr>
          <w:p>
            <w:pPr>
              <w:jc w:val="right"/>
              <w:ind w:right="37"/>
              <w:spacing w:after="0"/>
              <w:rPr>
                <w:sz w:val="20"/>
                <w:szCs w:val="20"/>
                <w:color w:val="auto"/>
              </w:rPr>
            </w:pPr>
            <w:r>
              <w:rPr>
                <w:rFonts w:ascii="Arial" w:cs="Arial" w:eastAsia="Arial" w:hAnsi="Arial"/>
                <w:sz w:val="14"/>
                <w:szCs w:val="14"/>
                <w:b w:val="1"/>
                <w:bCs w:val="1"/>
                <w:color w:val="auto"/>
              </w:rPr>
              <w:t>Years</w:t>
            </w:r>
          </w:p>
        </w:tc>
        <w:tc>
          <w:tcPr>
            <w:tcW w:w="34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2"/>
              </w:rPr>
              <w:t>More than</w:t>
            </w:r>
          </w:p>
        </w:tc>
      </w:tr>
      <w:tr>
        <w:trPr>
          <w:trHeight w:val="161"/>
        </w:trPr>
        <w:tc>
          <w:tcPr>
            <w:tcW w:w="11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2-3</w:t>
            </w:r>
          </w:p>
        </w:tc>
        <w:tc>
          <w:tcPr>
            <w:tcW w:w="340" w:type="dxa"/>
            <w:vAlign w:val="bottom"/>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4-5</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5 years</w:t>
            </w:r>
          </w:p>
        </w:tc>
        <w:tc>
          <w:tcPr>
            <w:tcW w:w="20" w:type="dxa"/>
            <w:vAlign w:val="bottom"/>
          </w:tcPr>
          <w:p>
            <w:pPr>
              <w:spacing w:after="0"/>
              <w:rPr>
                <w:sz w:val="14"/>
                <w:szCs w:val="14"/>
                <w:color w:val="auto"/>
              </w:rPr>
            </w:pPr>
          </w:p>
        </w:tc>
      </w:tr>
      <w:tr>
        <w:trPr>
          <w:trHeight w:val="210"/>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obligations (a)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$17,532</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$12,281</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Estimated interest payments</w:t>
            </w:r>
          </w:p>
        </w:tc>
        <w:tc>
          <w:tcPr>
            <w:tcW w:w="580" w:type="dxa"/>
            <w:vAlign w:val="bottom"/>
          </w:tcPr>
          <w:p>
            <w:pPr>
              <w:jc w:val="right"/>
              <w:spacing w:after="0"/>
              <w:rPr>
                <w:sz w:val="20"/>
                <w:szCs w:val="20"/>
                <w:color w:val="auto"/>
              </w:rPr>
            </w:pPr>
            <w:r>
              <w:rPr>
                <w:rFonts w:ascii="Arial" w:cs="Arial" w:eastAsia="Arial" w:hAnsi="Arial"/>
                <w:sz w:val="18"/>
                <w:szCs w:val="18"/>
                <w:color w:val="auto"/>
              </w:rPr>
              <w:t>3,403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2,138</w:t>
            </w: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pension funding</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1,127</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4"/>
              </w:rPr>
              <w:t>2,820</w:t>
            </w:r>
          </w:p>
        </w:tc>
        <w:tc>
          <w:tcPr>
            <w:tcW w:w="2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Subordinated debt (b)</w:t>
            </w:r>
          </w:p>
        </w:tc>
        <w:tc>
          <w:tcPr>
            <w:tcW w:w="580" w:type="dxa"/>
            <w:vAlign w:val="bottom"/>
          </w:tcPr>
          <w:p>
            <w:pPr>
              <w:jc w:val="right"/>
              <w:spacing w:after="0"/>
              <w:rPr>
                <w:sz w:val="20"/>
                <w:szCs w:val="20"/>
                <w:color w:val="auto"/>
              </w:rPr>
            </w:pPr>
            <w:r>
              <w:rPr>
                <w:rFonts w:ascii="Arial" w:cs="Arial" w:eastAsia="Arial" w:hAnsi="Arial"/>
                <w:sz w:val="18"/>
                <w:szCs w:val="18"/>
                <w:color w:val="auto"/>
              </w:rPr>
              <w:t>5,743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5,743</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interest payments on subordinated debt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Operating lease obligations (c)</w:t>
            </w:r>
          </w:p>
        </w:tc>
        <w:tc>
          <w:tcPr>
            <w:tcW w:w="580" w:type="dxa"/>
            <w:vAlign w:val="bottom"/>
          </w:tcPr>
          <w:p>
            <w:pPr>
              <w:jc w:val="right"/>
              <w:spacing w:after="0"/>
              <w:rPr>
                <w:sz w:val="20"/>
                <w:szCs w:val="20"/>
                <w:color w:val="auto"/>
              </w:rPr>
            </w:pPr>
            <w:r>
              <w:rPr>
                <w:rFonts w:ascii="Arial" w:cs="Arial" w:eastAsia="Arial" w:hAnsi="Arial"/>
                <w:sz w:val="18"/>
                <w:szCs w:val="18"/>
                <w:color w:val="auto"/>
              </w:rPr>
              <w:t>5,131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1,102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2,216</w:t>
            </w:r>
          </w:p>
        </w:tc>
        <w:tc>
          <w:tcPr>
            <w:tcW w:w="580" w:type="dxa"/>
            <w:vAlign w:val="bottom"/>
          </w:tcPr>
          <w:p>
            <w:pPr>
              <w:jc w:val="right"/>
              <w:spacing w:after="0"/>
              <w:rPr>
                <w:sz w:val="20"/>
                <w:szCs w:val="20"/>
                <w:color w:val="auto"/>
              </w:rPr>
            </w:pPr>
            <w:r>
              <w:rPr>
                <w:rFonts w:ascii="Arial" w:cs="Arial" w:eastAsia="Arial" w:hAnsi="Arial"/>
                <w:sz w:val="18"/>
                <w:szCs w:val="18"/>
                <w:color w:val="auto"/>
              </w:rPr>
              <w:t>1,813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 (d)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3"/>
              </w:rPr>
              <w:t>12,285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0"/>
        </w:trPr>
        <w:tc>
          <w:tcPr>
            <w:tcW w:w="11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118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50,759</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w w:val="83"/>
              </w:rPr>
              <w:t>17,008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15,634</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15,297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w w:val="88"/>
              </w:rPr>
              <w:t>2,820</w:t>
            </w:r>
          </w:p>
        </w:tc>
      </w:tr>
      <w:tr>
        <w:trPr>
          <w:trHeight w:val="20"/>
        </w:trPr>
        <w:tc>
          <w:tcPr>
            <w:tcW w:w="11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1180" w:type="dxa"/>
            <w:vAlign w:val="bottom"/>
            <w:tcBorders>
              <w:bottom w:val="single" w:sz="8" w:color="auto"/>
            </w:tcBorders>
          </w:tcPr>
          <w:p>
            <w:pPr>
              <w:spacing w:after="0"/>
              <w:rPr>
                <w:sz w:val="8"/>
                <w:szCs w:val="8"/>
                <w:color w:val="auto"/>
              </w:rPr>
            </w:pPr>
          </w:p>
        </w:tc>
        <w:tc>
          <w:tcPr>
            <w:tcW w:w="5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described in Note 9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 described in Note 10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as described in Note 13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consists of purchase obligations for various costs associated with uncompleted sales contracts.</w:t>
      </w:r>
    </w:p>
    <w:p>
      <w:pPr>
        <w:spacing w:after="0" w:line="165"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Estimated interest payments associated with long term debt are based on anticipated interest payments on the term debt under the Bank Facility and estimated interest payments on the line of credit under the Bank Facility are based on the projected borrowing levels throughout the term of the line of credit.</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Interest payments associated with the repayment of the subordinated debt are based on the fixed rates, outstanding principal and anticipated payment dates. Interest on the subordinated debt was not previously permitted under the Bank Facility and therefore, prior accrued interest was assumed to be paid upon maturity of the debt for purposes of this schedule. In 2006, Fifth Third Bank, CECO’s lender, permitted the company to use proceeds from the exercise of warrants to pay accrued interest on the related party subordinated debt and pay off the Sandler and ICS subordinated notes.</w:t>
      </w:r>
    </w:p>
    <w:p>
      <w:pPr>
        <w:spacing w:after="0" w:line="11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Pension funding was assumed to stay at current levels based on consistent discount and long term return rates, current funding levels and no significant changes in plan design or benefits.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Cash flow requirements will be met by utilizing cash provided from operating activities, supplemented by additional borrowing on the Company’s line of credit under the Bank Facility to finance any short-term cash deficiency. The Company has no off-sheet balance sheet credit arrangements.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consolidated financial statements are prepared in conformity with accounting principles generally accepted in the United States of America. The preparation of these financial statements requires the use of estimates, judgments, and assumptions that affect the reported amounts of assets and liabilities at the date of the financial statements and the reported amounts of revenues and expenses during the periods presented. We believe that, of our significant accounting policies, the following accounting policies involve a higher degree of judgments, estimates, and complexity.</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 substantial portion of our revenue is derived from contracts, which are accounted for under the percentage of completion method of accounting. Percentage completion is measured by the percentage of contract costs incurred to date compared to estimated total contract costs to be the best available measure of progress on these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contracts. This method requires a higher degree of management judgment and use of estimates than other revenue recognition methods. The judgments and estimates involved include management’s ability to accurately estimate the contracts’ percentage of completion and the reasonableness of the estimated costs to complete, among other factors, at each financial reporting period. In addition,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 For contracts that are less than 50% complete, a maximum of 10% of gross profit will be recognized.</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Contract costs include direct material, labor costs, and those indirect costs related to contract performance, such as indirect labor, supplies, and other overhead expenses. Selling and administrative expenses are charged to expense as incurred. Provisions for estimated losses on uncompleted contracts are made in the period in which such losses are determined. Changes to job performance, job conditions, and estimated profitability may result in revisions to contract revenue and costs and are recognized in the period in which the revisions are made. We provided for estimated losses on uncompleted contracts of $79,000, $6,000 and $12,000 at December 31, 2006, 2005 and 2004,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Inventory Costing</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All inventories are currently valued at the lower of cost or market, using the first-in, first-out (FIFO) method. Prior to December 31, 2004, inventories were valued at the lower of cost or market using the last-in, first-out (LIFO) inventory method for the labor content of work-in-process and finished products and substantially all inventories of steel at our Cincinnati Facility (approximately 69% of total inventories at December 31, 2003). The remaining contents in our inventory were valued using the FIFO method. Management changed its method of accounting for its LIFO inventory to the FIFO method as management believes the FIFO method is preferable because it provides a better matching of costs to revenues, provides a more meaningful presentation of the Company’s financial position by reflecting recent costs in the balance sheet, and provides for a uniform costing method across the Company’s operations. The LIFO method of inventory valuation for all classes of inventory approximated the FIFO value at December 31, 2003 and 2002 and therefore, prior periods have not been restated for this accounting change. The effect of the change for the three months ended December 31, 2004 and the year ended December 31, 2004 was an increase to inventory of $108,000. The effect on net loss for the three months ended December 31, 2004 and the year ended December 31, 2004 was a reduction of $65,000. Net loss per share was reduced for the three months ended December 31, 2004 and the year ended December 31, 2004 by $.01.</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Impairment of Long-Lived Assets, including Goodwill</w:t>
      </w:r>
    </w:p>
    <w:p>
      <w:pPr>
        <w:spacing w:after="0" w:line="90"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We review the carrying value of our long-lived assets held for use and assets to be disposed of periodically when events or circumstances indicate a potential impairment and the undiscounted cash flows estimated to be generated by those assets are less than the carrying value of such assets. For all assets excluding goodwill and intangible assets with indefinite lives, the carrying value of a long-lived asset is considered impaired if the sum of the undiscounted cash flows is less than the carrying value of the asset. If this occurs, an impairment charge is recorded for the amount by which the carrying value of the long-lived assets exceeds its fair value. Effective January 1, 2002, we adopted SFAS No. 142, “Goodwill and Other Intangible Assets.” Under this accounting standard, we no longer amortize our goodwill and intangible assets with an indefinite life and are required to complete an annual impairment test. We have determined that we have a single reporting unit, as defined in SFAS No. 142, within our Company. We completed our impairment test during 2006 as required by this accounting standard and have not recognized an impairment charge related to the adoption of this accounting standard. The impairment test requires us to forecast our future cash flows, which requires significant judgment. As of December 31, 2006, we have $9.5 million of goodwill, $.5 million of intangible assets—finite life, $1.4</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million of indefinite life intangible assets, and $8.5 million of property, plant, and equipment recorded on the consolidated balance sheets.</w:t>
      </w:r>
    </w:p>
    <w:p>
      <w:pPr>
        <w:spacing w:after="0" w:line="17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performing the tests for impairment, we made assumptions about future sales and profitability that required significant judgment. In estimating expected future cash flows for the 2006 test, we used internal forecasts that were based upon actual results assuming flat to slightly increasing revenue and modest cost and gross margin improvement. The most critical estimates used in determining the expected future cash flows were the revenue and cost assumptions and the terminal value assumed. If our estimate of expected future cash flows had been 10% lower, or if either of these two assumptions changed by 10%, the expected future cash flows would still have exceeded the carrying value of the assets, including goodwill.</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Deferred income taxes are provided using the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and liabilities are adjusted for the effects of changes in tax laws and rates on the date of enactment.</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ultimately be sustained. The benefit of a tax position is recognized in the financial statements in the period during which, based on all available evidence, management believes it is more-likely-than not that the position will be sustained upon examination, including the resolution of appeals or litigation processes, if any. The evaluation of a tax position taken is considered by itself and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is reflected as a liability for unrecognized tax benefits in the accompanying balance sheet along with any associated interest and penalties that would be payable to the taxing authorities upon examination.</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Pension and Postretirement Benefit Plan Assumptions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sponsor a pension plan for certain union employees. We also sponsor a postretirement healthcare benefit plan for certain office employees retiring before January 1, 1990. Several statistical and other factors that attempt to anticipate future events are used in calculating the expense and liability related to these plans. These factors include key assumptions, such as a discount rate and expected return on plan assets. In addition, our actuarial consultants use subjective factors such as withdrawal and mortality rates to estimate these liabilities. The actuarial assumptions we use may differ materially from actual results due to changing market and economic conditions, higher or lower withdrawal rates or longer or shorter life spans of participants. These differences may result in a significant impact to the amount of pension or postretirement healthcare benefit expenses we have recorded or may record in the future. An analysis for the expense associated with our pension plan is difficult due to the variety of assumptions utilized. For example, one of the significant assumptions used to determine projected benefit obligation is the discount rate. At December 31, 2006, a 25 basis point change in the discount rate would change the projected benefit obligation by approximately $185,000 and the annual post-retirement expense by less than $18,000. Additionally, a 25 basis point change in the expected return on plan assets would change the annual post-retirement expense by approximately $10,500.</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Stock Based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adopted Statement of Financial Accounting Standards (SFAS) No. 123(R), “Share-Based Payment,” effective January 1, 2006. SFAS</w:t>
      </w:r>
    </w:p>
    <w:p>
      <w:pPr>
        <w:spacing w:after="0" w:line="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No. 123(R) requires public entities to measure the cost of employee services received in exchange for an award of equity instruments and recognize this cost over the period during which an employee is required to provide the services. The Company has adopted SFAS No. 123(R) using the “modified prospective application” as defined in the Statement, and therefore financial statements from periods ending prior to January 1, 2006 have not been restated. As a result of adopting SFAS No. 123(R) on January 1,</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2006, the Company’s income before income taxes for the twelve months ended December 31, 2006 was $143,000 lower and net income was $94,000 lower than if it had continued to account for share-based compensation under APB No. 25. Basic and diluted net income per share for the twelve months ended December 31, 2006 would have been increased from $.27 to $.29 and $.24 to $.25 respectively if the Company had not adopted SFAS No. 123(R). See further discussion in Note 11.</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January 1, 2006, the Company applied the provisions of Accounting Principles Board Opinion No. 25 (APB No. 25), “Accounting for Stock Issued to Employees.” Accordingly, no compensation expense was reflected in the financial statements as the exercise price of options granted to employees and non-employee directors equaled the fair market value of the Company’s common shares on the date of grant. The Company had adopted the disclosure-only provisions of SFAS No. 123, “Accounting for Stock Based Compensation.”</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 Company had adopted the expense recognition provisions of SFAS No. 123 prior to January 1, 2006, net loss and loss per share for the twelve month period ended December 31, 2005 would have been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61"/>
        </w:trPr>
        <w:tc>
          <w:tcPr>
            <w:tcW w:w="10260" w:type="dxa"/>
            <w:vAlign w:val="bottom"/>
          </w:tcPr>
          <w:p>
            <w:pPr>
              <w:spacing w:after="0"/>
              <w:rPr>
                <w:sz w:val="20"/>
                <w:szCs w:val="20"/>
                <w:color w:val="auto"/>
              </w:rPr>
            </w:pPr>
            <w:r>
              <w:rPr>
                <w:rFonts w:ascii="Arial" w:cs="Arial" w:eastAsia="Arial" w:hAnsi="Arial"/>
                <w:sz w:val="14"/>
                <w:szCs w:val="14"/>
                <w:b w:val="1"/>
                <w:bCs w:val="1"/>
                <w:color w:val="auto"/>
              </w:rPr>
              <w:t>(In thousands except earnings per share)</w:t>
            </w: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10260" w:type="dxa"/>
            <w:vAlign w:val="bottom"/>
          </w:tcPr>
          <w:p>
            <w:pPr>
              <w:ind w:left="440"/>
              <w:spacing w:after="0"/>
              <w:rPr>
                <w:sz w:val="20"/>
                <w:szCs w:val="20"/>
                <w:color w:val="auto"/>
              </w:rPr>
            </w:pPr>
            <w:r>
              <w:rPr>
                <w:rFonts w:ascii="Arial" w:cs="Arial" w:eastAsia="Arial" w:hAnsi="Arial"/>
                <w:sz w:val="18"/>
                <w:szCs w:val="18"/>
                <w:color w:val="auto"/>
              </w:rPr>
              <w:t>Add: Stock-based compensation expense included in reported net income, net of related tax effects</w:t>
            </w:r>
          </w:p>
        </w:tc>
        <w:tc>
          <w:tcPr>
            <w:tcW w:w="1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Deduct: Total stock-based compensation determined under the fair value based method for all awards, net of tax effects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10260" w:type="dxa"/>
            <w:vAlign w:val="bottom"/>
            <w:vMerge w:val="restart"/>
          </w:tcPr>
          <w:p>
            <w:pPr>
              <w:spacing w:after="0"/>
              <w:rPr>
                <w:sz w:val="20"/>
                <w:szCs w:val="20"/>
                <w:color w:val="auto"/>
              </w:rPr>
            </w:pPr>
            <w:r>
              <w:rPr>
                <w:rFonts w:ascii="Arial" w:cs="Arial" w:eastAsia="Arial" w:hAnsi="Arial"/>
                <w:sz w:val="18"/>
                <w:szCs w:val="18"/>
                <w:color w:val="auto"/>
              </w:rPr>
              <w:t>Proforma net income (loss)</w:t>
            </w: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2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8"/>
        </w:trPr>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 and diluted</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60" w:type="dxa"/>
            <w:vAlign w:val="bottom"/>
          </w:tcPr>
          <w:p>
            <w:pPr>
              <w:ind w:left="880"/>
              <w:spacing w:after="0"/>
              <w:rPr>
                <w:sz w:val="20"/>
                <w:szCs w:val="20"/>
                <w:color w:val="auto"/>
              </w:rPr>
            </w:pPr>
            <w:r>
              <w:rPr>
                <w:rFonts w:ascii="Arial" w:cs="Arial" w:eastAsia="Arial" w:hAnsi="Arial"/>
                <w:sz w:val="18"/>
                <w:szCs w:val="18"/>
                <w:color w:val="auto"/>
              </w:rPr>
              <w:t>As reported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10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Pro forma</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significant accounting policies</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Other significant accounting policies, not involving the same level of uncertainties as those discussed above, are nevertheless important to an understanding of our financial statements. See Note 1 to the consolidated financial statements, Summary of Significant Accounting Policies, which discusses accounting policies that must be selected by us when there are acceptable alternatives.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Our backlog consists of orders we have received for products and services we expect to ship and deliver within the next 12 months. Our backlog, as of December 31, 2006 was $97.1 million compared to $28.9 million as of December 31, 2005. In addition, the backlog attributable to the Effox assets was approximately $20 million at December 31, 2006. There can be no assurances that backlog will be replicated, increased or translated into higher revenues in the future. The success of our business depends on a multitude of factors related to our backlog and the orders secured during the subsequent period(s). Certain contracts are highly dependent on the work of contractors and other subcontractors participating in a project, over which we have no or limited control, and their performance on such project could have an adverse effect on the profitability of our contracts. Delays resulting from these contractors and subcontractors, changes in the scope of the project, weather, and labor availability also can have an effect on a contract’s profitability.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Financial Accounting Pronouncements Adopted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SFAS 151</w:t>
      </w:r>
      <w:r>
        <w:rPr>
          <w:rFonts w:ascii="Arial" w:cs="Arial" w:eastAsia="Arial" w:hAnsi="Arial"/>
          <w:sz w:val="16"/>
          <w:szCs w:val="16"/>
          <w:color w:val="auto"/>
        </w:rPr>
        <w:t>—In November 2004 the Financial Accounting Standards Board (FASB) issued SFAS No. 151, “Inventory Costs—and amendment of ARB No.</w:t>
      </w:r>
      <w:r>
        <w:rPr>
          <w:rFonts w:ascii="Arial" w:cs="Arial" w:eastAsia="Arial" w:hAnsi="Arial"/>
          <w:sz w:val="16"/>
          <w:szCs w:val="16"/>
          <w:i w:val="1"/>
          <w:iCs w:val="1"/>
          <w:color w:val="auto"/>
        </w:rPr>
        <w:t xml:space="preserve"> </w:t>
      </w:r>
      <w:r>
        <w:rPr>
          <w:rFonts w:ascii="Arial" w:cs="Arial" w:eastAsia="Arial" w:hAnsi="Arial"/>
          <w:sz w:val="16"/>
          <w:szCs w:val="16"/>
          <w:color w:val="auto"/>
        </w:rPr>
        <w:t>43, Chapter 4.” SFAS No. 151 requires abnormal amounts of idle facility expense, freight, handling costs and wasted material (spoilage) to be recognized as current-period charges. SFAS No. 151 also requires that the allocation of fixed production overheads to the costs of conversion be based on the normal capacity of the production facilities. SFAS No. 151 was effective for inventory costs incurred by the Company beginning on January 1, 2006. The adoption of SFAS No. 151 did not have a material effect on our Consolidated Financial Statements.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—In December 2004 the FASB issued SFAS No. 123(R), “Share-Based Payment.” SFAS No. 123(R) is a revision of SFAS 123,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Compensation,” and supersedes APB Opinion No. 25, “Accounting for Stock Issued to Employees.” The new standard, which was effective for the Company beginning January 1, 2006, requires public entities to measure the cost of employee services received in exchange for an award of equity instruments and recognize this cost over the period during which an employee is required to provide the services. On March 29, 2005, the SEC issued SAB No. 107, which summarizes the views of the SEC staff regarding the interaction between SFAS No. 123(R) and certain SEC rules and regulations and provides the SEC staff’s views regarding the valuation of share-based payment arrangements for public companies. The Company has adopted SFAS No. 123(R) using the “modified prospective application” as defined in the Statement, and therefore financial statements from periods ending prior to January 1, 2006 have not been restated. The adoption of SFAS No. 123(R) resulted in stock option expense of $143,000 in the year ended December 31, 2006. No similar expense was recorded in fiscal 2005. Additional effects on the Company’s consolidated financial statements of adopting SFAS No. 123(R) are discussed in Note 11.</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FIN 47</w:t>
      </w:r>
      <w:r>
        <w:rPr>
          <w:rFonts w:ascii="Arial" w:cs="Arial" w:eastAsia="Arial" w:hAnsi="Arial"/>
          <w:sz w:val="18"/>
          <w:szCs w:val="18"/>
          <w:color w:val="auto"/>
        </w:rPr>
        <w:t>—In March 2005, the FASB issued FASB Interpretation No. 47, “Accounting for Conditional Asset Retirement Obligations—an interpretation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FASB Statement No. 143” (FIN 47). This Interpretation clarifies that an entity is required to recognize a liability for a legal obligation to perform asset retirement activities when the retirement is conditional on a future event and if the liability’s fair value can be reasonably estimated. The adoption of this Statement did not have a material effect on our Consolidated Financial Statements.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SFAS 154</w:t>
      </w:r>
      <w:r>
        <w:rPr>
          <w:rFonts w:ascii="Arial" w:cs="Arial" w:eastAsia="Arial" w:hAnsi="Arial"/>
          <w:sz w:val="16"/>
          <w:szCs w:val="16"/>
          <w:color w:val="auto"/>
        </w:rPr>
        <w:t>—In May 2005, the FASB issued SFAS No. 154, “Accounting Changes and Error Corrections —a Replacement of APB Opinion No. 20 and</w:t>
      </w:r>
      <w:r>
        <w:rPr>
          <w:rFonts w:ascii="Arial" w:cs="Arial" w:eastAsia="Arial" w:hAnsi="Arial"/>
          <w:sz w:val="16"/>
          <w:szCs w:val="16"/>
          <w:i w:val="1"/>
          <w:iCs w:val="1"/>
          <w:color w:val="auto"/>
        </w:rPr>
        <w:t xml:space="preserve"> </w:t>
      </w:r>
      <w:r>
        <w:rPr>
          <w:rFonts w:ascii="Arial" w:cs="Arial" w:eastAsia="Arial" w:hAnsi="Arial"/>
          <w:sz w:val="16"/>
          <w:szCs w:val="16"/>
          <w:color w:val="auto"/>
        </w:rPr>
        <w:t>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did not have a material effect on our Consolidated Financial Statements.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SFAS 158</w:t>
      </w:r>
      <w:r>
        <w:rPr>
          <w:rFonts w:ascii="Arial" w:cs="Arial" w:eastAsia="Arial" w:hAnsi="Arial"/>
          <w:sz w:val="16"/>
          <w:szCs w:val="16"/>
          <w:color w:val="auto"/>
        </w:rPr>
        <w:t>—In September 2006 the FASB issued SFAS No. 158, “Employers’ Accounting for Defined Benefit Pension and Other Postretirement Plans—an</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FASB Statements No. 87, 88, 106 and 132(R),” which was effective in our annual report for the year ended December 31, 2006. The new standard requires employers to recognize the overfunded or underfunded status of a defined benefit postretirement plan as an asset or liability in its statement of financial position and to recognize changes in that funded status in the year in which the changes occur through other comprehensive earnings. It also requires disclosure of certain effects on net periodic benefit cost for the next fiscal year that arise from delayed recognition of the gains or losses, prior service costs or credits and transition assets or obligations. The effects of our adoption of this standard are detailed in Note 12, “Pension and Employee Benefit Plans.”</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SAB 108</w:t>
      </w:r>
      <w:r>
        <w:rPr>
          <w:rFonts w:ascii="Arial" w:cs="Arial" w:eastAsia="Arial" w:hAnsi="Arial"/>
          <w:sz w:val="16"/>
          <w:szCs w:val="16"/>
          <w:color w:val="auto"/>
        </w:rPr>
        <w:t>—As of December 31, 2006, we adopted Securities and Exchange Commission Staff Accounting Bulletin No. 108 (SAB 108), “Considering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Prior Year Misstatements When Quantifying Misstatements in Current Year Financial Statements.” SAB 108 requires the quantification of misstatements based on their impact to both the balance sheet and the income statement to determine materiality. The guidance provides for a one-time cumulative effect adjustment to correct for misstatements for errors that were not deemed material under a prior approach but are material under the SAB 108 approach. The adoption of SAB 108 did not have an effect on our consolidated results of operations, financial position,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Accounting Pronouncements Recently Issued</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FIN 48</w:t>
      </w:r>
      <w:r>
        <w:rPr>
          <w:rFonts w:ascii="Arial" w:cs="Arial" w:eastAsia="Arial" w:hAnsi="Arial"/>
          <w:sz w:val="18"/>
          <w:szCs w:val="18"/>
          <w:color w:val="auto"/>
        </w:rPr>
        <w:t>—In June 2006, the FASB issued FASB Interpretation No. 48 (FIN 48), Accounting for Uncertainty in Income Taxes—an interpretation of FASB</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109. FIN 48 clarifies the accounting for uncertainty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income taxes recognized in an enterprise’s financial statements in accordance with FASB Statement No. 109, Accounting for Income Taxes. FIN 48 prescribes a comprehensive model for recognizing, measuring, presenting and disclosing in the financial statements tax positions taken or expected to be taken on a tax return. If there are changes in net assets as a result of application of FIN 48 these will be accounted for as an adjustment to retained earnings. Additional disclosures about the amounts of such liabilities will be required also. The Company is required to adopt FIN 48 in the first quarter of 2007. Management is currently assessing the impact of FIN 48 on its consolidated financial position and results of operations and has not determined if the adoption of FIN 48 will have a material effect on its financial statements.</w:t>
      </w:r>
    </w:p>
    <w:p>
      <w:pPr>
        <w:spacing w:after="0" w:line="144"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SFAS 157</w:t>
      </w:r>
      <w:r>
        <w:rPr>
          <w:rFonts w:ascii="Arial" w:cs="Arial" w:eastAsia="Arial" w:hAnsi="Arial"/>
          <w:sz w:val="18"/>
          <w:szCs w:val="18"/>
          <w:color w:val="auto"/>
        </w:rPr>
        <w:t>—In September 2006 the FASB issued SFAS No. 157, “Fair Value Measurements” (“SFAS No. 157”). SFAS No. 157 clarifies the principle that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 SFAS 157 is effective for the Company’s fiscal year beginning January 1, 2008, with early adoption permitted. The Company is in the process of evaluating SFAS No. 157.</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i w:val="1"/>
          <w:iCs w:val="1"/>
          <w:color w:val="auto"/>
        </w:rPr>
        <w:t>SFAS 159</w:t>
      </w:r>
      <w:r>
        <w:rPr>
          <w:rFonts w:ascii="Arial" w:cs="Arial" w:eastAsia="Arial" w:hAnsi="Arial"/>
          <w:sz w:val="16"/>
          <w:szCs w:val="16"/>
          <w:color w:val="auto"/>
        </w:rPr>
        <w:t>—In February 2007, the FASB issued SFAS No. 159, “The Fair Value Option for Financial Assets and Financial Liabilities”. This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companies with an option to report selected financial assets and liabilities at fair value in an effort to reduce both complexity in accounting for financial instruments and the volatility in earnings caused by measuring related assets and liabilities differently. SFAS No. 159 also establishes presentation and disclosure requirements designed to facilitate comparisons between companies that choose different measurement attributes for similar types of assets and liabilities. SFAS No. 159 requires entities to display the fair value of those assets and liabilities for which the entity has chosen to use fair value on the face of the balance sheet. This Statement is effective for fiscal years beginning after November 15, 2007, with early adoption permitted as of the beginning of the previous fiscal year provided that the choice is made within the first 120 days of that fiscal year and provided that SFAS No. 157 is also adopted early. The adoption of this Statement is not expected to have a material effect on our Consolidated Financial Statements.</w:t>
      </w:r>
    </w:p>
    <w:p>
      <w:pPr>
        <w:spacing w:after="0" w:line="1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Risk Management Activities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the normal course of business, we are exposed to market risk including changes in interest and raw material commodity prices. We may use derivative instruments to manage our interest rate exposures. We do not use derivative instruments for speculative or trading purposes. Generally, we enter into hedging relationships such that changes in the fair values of cash flows of items and transactions being hedged are expected to be offset by corresponding changes in the values of the derivatives.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Management</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remaining amount of loans outstanding under the Bank Facility bear interest at the floating rates as described in Note 9 to the consolidated statements contained in Item 8.</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information of all dollar-denominated interest rate instruments. The fair value presented below approximates the cost to settle the outstanding contract.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Expected Maturity Date</w:t>
            </w:r>
          </w:p>
        </w:tc>
        <w:tc>
          <w:tcPr>
            <w:tcW w:w="6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2008</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6"/>
              </w:rPr>
              <w:t>2009</w:t>
            </w:r>
          </w:p>
        </w:tc>
        <w:tc>
          <w:tcPr>
            <w:tcW w:w="280" w:type="dxa"/>
            <w:vAlign w:val="bottom"/>
          </w:tcPr>
          <w:p>
            <w:pPr>
              <w:spacing w:after="0"/>
              <w:rPr>
                <w:sz w:val="14"/>
                <w:szCs w:val="14"/>
                <w:color w:val="auto"/>
              </w:rPr>
            </w:pPr>
          </w:p>
        </w:tc>
        <w:tc>
          <w:tcPr>
            <w:tcW w:w="6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280" w:type="dxa"/>
            <w:vAlign w:val="bottom"/>
          </w:tcPr>
          <w:p>
            <w:pPr>
              <w:ind w:left="20"/>
              <w:spacing w:after="0"/>
              <w:rPr>
                <w:sz w:val="20"/>
                <w:szCs w:val="20"/>
                <w:color w:val="auto"/>
              </w:rPr>
            </w:pPr>
            <w:r>
              <w:rPr>
                <w:rFonts w:ascii="Arial" w:cs="Arial" w:eastAsia="Arial" w:hAnsi="Arial"/>
                <w:sz w:val="14"/>
                <w:szCs w:val="14"/>
                <w:b w:val="1"/>
                <w:bCs w:val="1"/>
                <w:color w:val="auto"/>
                <w:w w:val="76"/>
              </w:rPr>
              <w:t>2011</w:t>
            </w:r>
          </w:p>
        </w:tc>
        <w:tc>
          <w:tcPr>
            <w:tcW w:w="32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7"/>
              </w:rPr>
              <w:t>Thereafter</w:t>
            </w:r>
          </w:p>
        </w:tc>
        <w:tc>
          <w:tcPr>
            <w:tcW w:w="320" w:type="dxa"/>
            <w:vAlign w:val="bottom"/>
          </w:tcPr>
          <w:p>
            <w:pPr>
              <w:spacing w:after="0"/>
              <w:rPr>
                <w:sz w:val="14"/>
                <w:szCs w:val="14"/>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4700" w:type="dxa"/>
            <w:vAlign w:val="bottom"/>
            <w:vMerge w:val="continue"/>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Variable Rate Debt ($)</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1,183</w:t>
            </w: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1,651</w:t>
            </w: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2,417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10,281</w:t>
            </w:r>
          </w:p>
        </w:tc>
        <w:tc>
          <w:tcPr>
            <w:tcW w:w="4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15,532</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15,532</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Average Interest Rate</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7.86%</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7.86%</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Subordinated Notes due 2008</w:t>
            </w:r>
          </w:p>
        </w:tc>
        <w:tc>
          <w:tcPr>
            <w:tcW w:w="8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5,743</w:t>
            </w:r>
          </w:p>
        </w:tc>
        <w:tc>
          <w:tcPr>
            <w:tcW w:w="46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60"/>
              <w:spacing w:after="0"/>
              <w:rPr>
                <w:sz w:val="20"/>
                <w:szCs w:val="20"/>
                <w:color w:val="auto"/>
              </w:rPr>
            </w:pPr>
            <w:r>
              <w:rPr>
                <w:rFonts w:ascii="Arial" w:cs="Arial" w:eastAsia="Arial" w:hAnsi="Arial"/>
                <w:sz w:val="18"/>
                <w:szCs w:val="18"/>
                <w:color w:val="auto"/>
              </w:rPr>
              <w:t>5,743</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5,421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440"/>
              <w:spacing w:after="0" w:line="217" w:lineRule="exact"/>
              <w:rPr>
                <w:sz w:val="20"/>
                <w:szCs w:val="20"/>
                <w:color w:val="auto"/>
              </w:rPr>
            </w:pPr>
            <w:r>
              <w:rPr>
                <w:rFonts w:ascii="Arial" w:cs="Arial" w:eastAsia="Arial" w:hAnsi="Arial"/>
                <w:sz w:val="18"/>
                <w:szCs w:val="18"/>
                <w:color w:val="auto"/>
              </w:rPr>
              <w:t>Effective Interest Rate</w:t>
            </w:r>
            <w:r>
              <w:rPr>
                <w:rFonts w:ascii="Arial" w:cs="Arial" w:eastAsia="Arial" w:hAnsi="Arial"/>
                <w:sz w:val="22"/>
                <w:szCs w:val="22"/>
                <w:color w:val="auto"/>
                <w:vertAlign w:val="superscript"/>
              </w:rPr>
              <w:t>1</w:t>
            </w:r>
          </w:p>
        </w:tc>
        <w:tc>
          <w:tcPr>
            <w:tcW w:w="8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363"/>
        </w:trPr>
        <w:tc>
          <w:tcPr>
            <w:tcW w:w="4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jc w:val="right"/>
              <w:ind w:right="96"/>
              <w:spacing w:after="0"/>
              <w:rPr>
                <w:sz w:val="20"/>
                <w:szCs w:val="20"/>
                <w:color w:val="auto"/>
              </w:rPr>
            </w:pPr>
            <w:r>
              <w:rPr>
                <w:rFonts w:ascii="Arial" w:cs="Arial" w:eastAsia="Arial" w:hAnsi="Arial"/>
                <w:sz w:val="18"/>
                <w:szCs w:val="18"/>
                <w:color w:val="auto"/>
                <w:w w:val="99"/>
              </w:rPr>
              <w:t>44</w:t>
            </w: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46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90" w:lineRule="exact"/>
        <w:rPr>
          <w:sz w:val="20"/>
          <w:szCs w:val="20"/>
          <w:color w:val="auto"/>
        </w:rPr>
      </w:pPr>
    </w:p>
    <w:p>
      <w:pPr>
        <w:ind w:left="460" w:right="540" w:hanging="452"/>
        <w:spacing w:after="0" w:line="252" w:lineRule="auto"/>
        <w:tabs>
          <w:tab w:leader="none" w:pos="460" w:val="left"/>
        </w:tabs>
        <w:numPr>
          <w:ilvl w:val="0"/>
          <w:numId w:val="18"/>
        </w:numPr>
        <w:rPr>
          <w:rFonts w:ascii="Arial" w:cs="Arial" w:eastAsia="Arial" w:hAnsi="Arial"/>
          <w:sz w:val="11"/>
          <w:szCs w:val="11"/>
          <w:color w:val="auto"/>
        </w:rPr>
      </w:pPr>
      <w:r>
        <w:rPr>
          <w:rFonts w:ascii="Arial" w:cs="Arial" w:eastAsia="Arial" w:hAnsi="Arial"/>
          <w:sz w:val="18"/>
          <w:szCs w:val="18"/>
          <w:color w:val="auto"/>
        </w:rPr>
        <w:t>Rate includes amortization of original issue discount related to detachable warrants and adjustment for capitalization of previously recorded accrued interest.</w:t>
      </w:r>
    </w:p>
    <w:p>
      <w:pPr>
        <w:spacing w:after="0" w:line="21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Raw Materials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profitability of our manufactured products is affected by changing purchase prices of steel and other materials. If higher steel or other material prices cannot be passed onto to our customers, operating income will be adversely affected.</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consolidated financial statements of CECO Environmental Corp. and subsidiaries for the years ended December 31, 2006, 2005 and 2004 and other data are included in this Report following the signature page of this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2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Cover Page</w:t>
              </w:r>
            </w:hyperlink>
          </w:p>
        </w:tc>
        <w:tc>
          <w:tcPr>
            <w:tcW w:w="2940" w:type="dxa"/>
            <w:vAlign w:val="bottom"/>
          </w:tcPr>
          <w:p>
            <w:pPr>
              <w:ind w:left="2140"/>
              <w:spacing w:after="0"/>
              <w:rPr>
                <w:sz w:val="20"/>
                <w:szCs w:val="20"/>
                <w:color w:val="auto"/>
              </w:rPr>
            </w:pPr>
            <w:r>
              <w:rPr>
                <w:rFonts w:ascii="Arial" w:cs="Arial" w:eastAsia="Arial" w:hAnsi="Arial"/>
                <w:sz w:val="18"/>
                <w:szCs w:val="18"/>
                <w:color w:val="auto"/>
              </w:rPr>
              <w:t>F-1</w:t>
            </w:r>
          </w:p>
        </w:tc>
      </w:tr>
      <w:tr>
        <w:trPr>
          <w:trHeight w:val="20"/>
        </w:trPr>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420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Report of Independent Registered Public Accounting Firms</w:t>
            </w:r>
          </w:p>
        </w:tc>
        <w:tc>
          <w:tcPr>
            <w:tcW w:w="3920" w:type="dxa"/>
            <w:vAlign w:val="bottom"/>
            <w:gridSpan w:val="2"/>
          </w:tcPr>
          <w:p>
            <w:pPr>
              <w:spacing w:after="0"/>
              <w:rPr>
                <w:sz w:val="17"/>
                <w:szCs w:val="17"/>
                <w:color w:val="auto"/>
              </w:rPr>
            </w:pPr>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w w:val="98"/>
              </w:rPr>
              <w:t>F-2 to F-3</w:t>
            </w:r>
          </w:p>
        </w:tc>
      </w:tr>
      <w:tr>
        <w:trPr>
          <w:trHeight w:val="196"/>
        </w:trPr>
        <w:tc>
          <w:tcPr>
            <w:tcW w:w="8120" w:type="dxa"/>
            <w:vAlign w:val="bottom"/>
            <w:gridSpan w:val="10"/>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rPr>
              <w:t>F-4</w:t>
            </w:r>
          </w:p>
        </w:tc>
      </w:tr>
      <w:tr>
        <w:trPr>
          <w:trHeight w:val="20"/>
        </w:trPr>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7"/>
              </w:rPr>
              <w:t>Consolidated Statements of Operations</w:t>
            </w:r>
          </w:p>
        </w:tc>
        <w:tc>
          <w:tcPr>
            <w:tcW w:w="5360" w:type="dxa"/>
            <w:vAlign w:val="bottom"/>
            <w:gridSpan w:val="5"/>
          </w:tcPr>
          <w:p>
            <w:pPr>
              <w:spacing w:after="0"/>
              <w:rPr>
                <w:sz w:val="17"/>
                <w:szCs w:val="17"/>
                <w:color w:val="auto"/>
              </w:rPr>
            </w:pPr>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rPr>
              <w:t>F-5</w:t>
            </w:r>
          </w:p>
        </w:tc>
      </w:tr>
      <w:tr>
        <w:trPr>
          <w:trHeight w:val="196"/>
        </w:trPr>
        <w:tc>
          <w:tcPr>
            <w:tcW w:w="34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w:anchor="page59">
              <w:r>
                <w:rPr>
                  <w:rFonts w:ascii="Arial" w:cs="Arial" w:eastAsia="Arial" w:hAnsi="Arial"/>
                  <w:sz w:val="18"/>
                  <w:szCs w:val="18"/>
                  <w:color w:val="0000EE"/>
                  <w:w w:val="88"/>
                </w:rPr>
                <w:t>Consolidated Statements of Shareholders’ Equity</w:t>
              </w:r>
            </w:hyperlink>
          </w:p>
        </w:tc>
        <w:tc>
          <w:tcPr>
            <w:tcW w:w="4640" w:type="dxa"/>
            <w:vAlign w:val="bottom"/>
            <w:gridSpan w:val="3"/>
          </w:tcPr>
          <w:p>
            <w:pPr>
              <w:spacing w:after="0"/>
              <w:rPr>
                <w:sz w:val="17"/>
                <w:szCs w:val="17"/>
                <w:color w:val="auto"/>
              </w:rPr>
            </w:pPr>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rPr>
              <w:t>F-6</w:t>
            </w:r>
          </w:p>
        </w:tc>
      </w:tr>
      <w:tr>
        <w:trPr>
          <w:trHeight w:val="196"/>
        </w:trPr>
        <w:tc>
          <w:tcPr>
            <w:tcW w:w="812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Cash Flows</w:t>
              </w:r>
            </w:hyperlink>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w w:val="98"/>
              </w:rPr>
              <w:t>F-7 to F-8</w:t>
            </w:r>
          </w:p>
        </w:tc>
      </w:tr>
      <w:tr>
        <w:trPr>
          <w:trHeight w:val="20"/>
        </w:trPr>
        <w:tc>
          <w:tcPr>
            <w:tcW w:w="22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r>
        <w:trPr>
          <w:trHeight w:val="196"/>
        </w:trPr>
        <w:tc>
          <w:tcPr>
            <w:tcW w:w="8120" w:type="dxa"/>
            <w:vAlign w:val="bottom"/>
            <w:gridSpan w:val="1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Notes to Consolidated Financial Statements for the Years Ended December 31, 2006,</w:t>
              </w:r>
            </w:hyperlink>
          </w:p>
        </w:tc>
        <w:tc>
          <w:tcPr>
            <w:tcW w:w="2940" w:type="dxa"/>
            <w:vAlign w:val="bottom"/>
          </w:tcPr>
          <w:p>
            <w:pPr>
              <w:spacing w:after="0"/>
              <w:rPr>
                <w:sz w:val="17"/>
                <w:szCs w:val="17"/>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5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2005 and 2004</w:t>
              </w:r>
            </w:hyperlink>
          </w:p>
        </w:tc>
        <w:tc>
          <w:tcPr>
            <w:tcW w:w="2140" w:type="dxa"/>
            <w:vAlign w:val="bottom"/>
          </w:tcPr>
          <w:p>
            <w:pPr>
              <w:spacing w:after="0"/>
              <w:rPr>
                <w:sz w:val="17"/>
                <w:szCs w:val="17"/>
                <w:color w:val="auto"/>
              </w:rPr>
            </w:pPr>
          </w:p>
        </w:tc>
        <w:tc>
          <w:tcPr>
            <w:tcW w:w="2940" w:type="dxa"/>
            <w:vAlign w:val="bottom"/>
          </w:tcPr>
          <w:p>
            <w:pPr>
              <w:ind w:left="2140"/>
              <w:spacing w:after="0" w:line="196" w:lineRule="exact"/>
              <w:rPr>
                <w:sz w:val="20"/>
                <w:szCs w:val="20"/>
                <w:color w:val="auto"/>
              </w:rPr>
            </w:pPr>
            <w:r>
              <w:rPr>
                <w:rFonts w:ascii="Arial" w:cs="Arial" w:eastAsia="Arial" w:hAnsi="Arial"/>
                <w:sz w:val="18"/>
                <w:szCs w:val="18"/>
                <w:color w:val="auto"/>
                <w:w w:val="87"/>
              </w:rPr>
              <w:t>F-9 to F-30</w:t>
            </w:r>
          </w:p>
        </w:tc>
      </w:tr>
      <w:tr>
        <w:trPr>
          <w:trHeight w:val="20"/>
        </w:trPr>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December 31, 2006. The Company’s disclosure controls and procedures are designed to ensure that information required to be disclosed by the Company in the reports it files or submits under the Exchange Act is recorded, processed, summarized and reported within the time periods specified by the SEC’s rules and forms and that such information is accumulated and communicated to the Company’s management, including the Chief Executive Officer and Chief Financial Officer, as appropriate, to allow timely decisions regarding required disclosure. Based on the evaluation, our Chief Executive Officer and Chief Financial Officer concluded that our disclosure controls and procedures are effective.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fourth quarter of fiscal 2006, there were no changes in the Company’s internal control over financial reporting that have materially affected, or are reasonably likely to materially affect, the Company’s internal control over financial reporting.</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Pursuant to General Instruction G of Form 10-K, the information called for by Item 10 of Part III of Form 10-K is incorporated by reference to the information set forth in the Company’s definitive proxy statement relating to its 2007 Annual Meeting of Stockholders (the “2007 Proxy Statement”) to be filed pursuant to Regulation 14-A under the Exchange Act, in response to Items 401, 405 and 407(c)(3), (d)(4) and (d)(5) of Regulation S-K under the Securities Act and the Exchange Act (“Regulation S-K”). Reference is also made to the information appearing in Item 1 of Part I of this Annual Report on Form 10-K under the caption “Business—Executive Officers of the Registrant.”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adopted a Code of Ethics that applies to our directors and employees (including our principal executive officer, principal financial officer,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 and controller and persons performing similar functions). A copy of the Code of Ethics is attached to this Form 10-K as Exhibit 14.</w:t>
      </w:r>
    </w:p>
    <w:p>
      <w:pPr>
        <w:spacing w:after="0" w:line="263"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General Instruction G of Form 10-K, the information called for by Item 11 of Part III of Form 10-K is incorporated by reference to the information set forth in the 2007 Proxy Statement in response to Item 402 of Regulation S-K and paragraphs (e)(4) and (e)(5) of Item 407 of Regulation S-K; provided, however, that the disclosure required by paragraph (e)(5) of Item 407 of Regulation S-K will be deemed furnished in this Annual Report on Form 10-K and will not be deemed incorporated by reference into any filing under the Securities Act or the Exchange Act as a result as a result of furnishing the disclosure in this manner.</w:t>
      </w:r>
    </w:p>
    <w:p>
      <w:pPr>
        <w:spacing w:after="0" w:line="218"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General Instruction G of Form 10-K, the information called for by Item 12 of Part III of Form 10-K is incorporated by reference to the information set forth in the 2007 Proxy Statement in response to Item 403 of Regulation S-K.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160" w:type="dxa"/>
            <w:vAlign w:val="bottom"/>
          </w:tcPr>
          <w:p>
            <w:pPr>
              <w:ind w:left="460"/>
              <w:spacing w:after="0"/>
              <w:rPr>
                <w:sz w:val="20"/>
                <w:szCs w:val="20"/>
                <w:color w:val="auto"/>
              </w:rPr>
            </w:pPr>
            <w:r>
              <w:rPr>
                <w:rFonts w:ascii="Arial" w:cs="Arial" w:eastAsia="Arial" w:hAnsi="Arial"/>
                <w:sz w:val="14"/>
                <w:szCs w:val="14"/>
                <w:b w:val="1"/>
                <w:bCs w:val="1"/>
                <w:color w:val="auto"/>
              </w:rPr>
              <w:t>December 31, 2006</w:t>
            </w:r>
          </w:p>
        </w:tc>
        <w:tc>
          <w:tcPr>
            <w:tcW w:w="1060" w:type="dxa"/>
            <w:vAlign w:val="bottom"/>
          </w:tcPr>
          <w:p>
            <w:pPr>
              <w:spacing w:after="0"/>
              <w:rPr>
                <w:sz w:val="14"/>
                <w:szCs w:val="14"/>
                <w:color w:val="auto"/>
              </w:rPr>
            </w:pPr>
          </w:p>
        </w:tc>
        <w:tc>
          <w:tcPr>
            <w:tcW w:w="242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4"/>
                <w:szCs w:val="14"/>
                <w:color w:val="auto"/>
              </w:rPr>
            </w:pPr>
          </w:p>
        </w:tc>
        <w:tc>
          <w:tcPr>
            <w:tcW w:w="108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(b)</w:t>
            </w:r>
          </w:p>
        </w:tc>
        <w:tc>
          <w:tcPr>
            <w:tcW w:w="1040" w:type="dxa"/>
            <w:vAlign w:val="bottom"/>
          </w:tcPr>
          <w:p>
            <w:pPr>
              <w:spacing w:after="0"/>
              <w:rPr>
                <w:sz w:val="14"/>
                <w:szCs w:val="14"/>
                <w:color w:val="auto"/>
              </w:rPr>
            </w:pPr>
          </w:p>
        </w:tc>
        <w:tc>
          <w:tcPr>
            <w:tcW w:w="1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0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to be issued upon</w:t>
            </w:r>
          </w:p>
        </w:tc>
        <w:tc>
          <w:tcPr>
            <w:tcW w:w="120" w:type="dxa"/>
            <w:vAlign w:val="bottom"/>
          </w:tcPr>
          <w:p>
            <w:pPr>
              <w:spacing w:after="0"/>
              <w:rPr>
                <w:sz w:val="12"/>
                <w:szCs w:val="12"/>
                <w:color w:val="auto"/>
              </w:rPr>
            </w:pPr>
          </w:p>
        </w:tc>
        <w:tc>
          <w:tcPr>
            <w:tcW w:w="108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exercise price of</w:t>
            </w:r>
          </w:p>
        </w:tc>
        <w:tc>
          <w:tcPr>
            <w:tcW w:w="10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3"/>
              </w:rPr>
              <w:t>exercise of outstanding</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0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plans (excluding</w:t>
            </w:r>
          </w:p>
        </w:tc>
        <w:tc>
          <w:tcPr>
            <w:tcW w:w="0" w:type="dxa"/>
            <w:vAlign w:val="bottom"/>
          </w:tcPr>
          <w:p>
            <w:pPr>
              <w:spacing w:after="0"/>
              <w:rPr>
                <w:sz w:val="1"/>
                <w:szCs w:val="1"/>
                <w:color w:val="auto"/>
              </w:rPr>
            </w:pPr>
          </w:p>
        </w:tc>
      </w:tr>
      <w:tr>
        <w:trPr>
          <w:trHeight w:val="149"/>
        </w:trPr>
        <w:tc>
          <w:tcPr>
            <w:tcW w:w="43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060" w:type="dxa"/>
            <w:vAlign w:val="bottom"/>
          </w:tcPr>
          <w:p>
            <w:pPr>
              <w:spacing w:after="0"/>
              <w:rPr>
                <w:sz w:val="12"/>
                <w:szCs w:val="12"/>
                <w:color w:val="auto"/>
              </w:rPr>
            </w:pPr>
          </w:p>
        </w:tc>
        <w:tc>
          <w:tcPr>
            <w:tcW w:w="242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7"/>
              </w:rPr>
              <w:t>options, warrants and</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warrants and rights,</w:t>
            </w:r>
          </w:p>
        </w:tc>
        <w:tc>
          <w:tcPr>
            <w:tcW w:w="1040" w:type="dxa"/>
            <w:vAlign w:val="bottom"/>
          </w:tcPr>
          <w:p>
            <w:pPr>
              <w:spacing w:after="0"/>
              <w:rPr>
                <w:sz w:val="12"/>
                <w:szCs w:val="12"/>
                <w:color w:val="auto"/>
              </w:rPr>
            </w:pPr>
          </w:p>
        </w:tc>
        <w:tc>
          <w:tcPr>
            <w:tcW w:w="13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securities reflected in</w:t>
            </w:r>
          </w:p>
        </w:tc>
        <w:tc>
          <w:tcPr>
            <w:tcW w:w="0" w:type="dxa"/>
            <w:vAlign w:val="bottom"/>
          </w:tcPr>
          <w:p>
            <w:pPr>
              <w:spacing w:after="0"/>
              <w:rPr>
                <w:sz w:val="1"/>
                <w:szCs w:val="1"/>
                <w:color w:val="auto"/>
              </w:rPr>
            </w:pPr>
          </w:p>
        </w:tc>
      </w:tr>
      <w:tr>
        <w:trPr>
          <w:trHeight w:val="148"/>
        </w:trPr>
        <w:tc>
          <w:tcPr>
            <w:tcW w:w="4340" w:type="dxa"/>
            <w:vAlign w:val="bottom"/>
            <w:gridSpan w:val="4"/>
            <w:vMerge w:val="continue"/>
          </w:tcPr>
          <w:p>
            <w:pPr>
              <w:spacing w:after="0"/>
              <w:rPr>
                <w:sz w:val="12"/>
                <w:szCs w:val="12"/>
                <w:color w:val="auto"/>
              </w:rPr>
            </w:pPr>
          </w:p>
        </w:tc>
        <w:tc>
          <w:tcPr>
            <w:tcW w:w="1060" w:type="dxa"/>
            <w:vAlign w:val="bottom"/>
          </w:tcPr>
          <w:p>
            <w:pPr>
              <w:spacing w:after="0"/>
              <w:rPr>
                <w:sz w:val="12"/>
                <w:szCs w:val="12"/>
                <w:color w:val="auto"/>
              </w:rPr>
            </w:pPr>
          </w:p>
        </w:tc>
        <w:tc>
          <w:tcPr>
            <w:tcW w:w="2420" w:type="dxa"/>
            <w:vAlign w:val="bottom"/>
            <w:gridSpan w:val="2"/>
          </w:tcPr>
          <w:p>
            <w:pPr>
              <w:jc w:val="center"/>
              <w:ind w:right="1120"/>
              <w:spacing w:after="0" w:line="148" w:lineRule="exact"/>
              <w:rPr>
                <w:sz w:val="20"/>
                <w:szCs w:val="20"/>
                <w:color w:val="auto"/>
              </w:rPr>
            </w:pPr>
            <w:r>
              <w:rPr>
                <w:rFonts w:ascii="Arial" w:cs="Arial" w:eastAsia="Arial" w:hAnsi="Arial"/>
                <w:sz w:val="14"/>
                <w:szCs w:val="14"/>
                <w:b w:val="1"/>
                <w:bCs w:val="1"/>
                <w:color w:val="auto"/>
                <w:w w:val="87"/>
              </w:rPr>
              <w:t>rights</w:t>
            </w:r>
          </w:p>
        </w:tc>
        <w:tc>
          <w:tcPr>
            <w:tcW w:w="120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w w:val="84"/>
              </w:rPr>
              <w:t>compensation plans</w:t>
            </w:r>
          </w:p>
        </w:tc>
        <w:tc>
          <w:tcPr>
            <w:tcW w:w="1040" w:type="dxa"/>
            <w:vAlign w:val="bottom"/>
          </w:tcPr>
          <w:p>
            <w:pPr>
              <w:spacing w:after="0"/>
              <w:rPr>
                <w:sz w:val="12"/>
                <w:szCs w:val="12"/>
                <w:color w:val="auto"/>
              </w:rPr>
            </w:pPr>
          </w:p>
        </w:tc>
        <w:tc>
          <w:tcPr>
            <w:tcW w:w="1380" w:type="dxa"/>
            <w:vAlign w:val="bottom"/>
            <w:gridSpan w:val="2"/>
          </w:tcPr>
          <w:p>
            <w:pPr>
              <w:jc w:val="center"/>
              <w:spacing w:after="0" w:line="148" w:lineRule="exact"/>
              <w:rPr>
                <w:sz w:val="20"/>
                <w:szCs w:val="20"/>
                <w:color w:val="auto"/>
              </w:rPr>
            </w:pPr>
            <w:r>
              <w:rPr>
                <w:rFonts w:ascii="Arial" w:cs="Arial" w:eastAsia="Arial" w:hAnsi="Arial"/>
                <w:sz w:val="14"/>
                <w:szCs w:val="14"/>
                <w:b w:val="1"/>
                <w:bCs w:val="1"/>
                <w:color w:val="auto"/>
                <w:w w:val="87"/>
              </w:rPr>
              <w:t>column (a))</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16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Equity compensation plans approved by security holders</w:t>
            </w:r>
          </w:p>
        </w:tc>
        <w:tc>
          <w:tcPr>
            <w:tcW w:w="106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282,605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tcPr>
          <w:p>
            <w:pPr>
              <w:spacing w:after="0"/>
              <w:rPr>
                <w:sz w:val="20"/>
                <w:szCs w:val="20"/>
                <w:color w:val="auto"/>
              </w:rPr>
            </w:pPr>
            <w:r>
              <w:rPr>
                <w:rFonts w:ascii="Arial" w:cs="Arial" w:eastAsia="Arial" w:hAnsi="Arial"/>
                <w:sz w:val="18"/>
                <w:szCs w:val="18"/>
                <w:color w:val="auto"/>
                <w:w w:val="89"/>
              </w:rPr>
              <w:t>Equity compensation plans not approved by security holders</w:t>
            </w:r>
          </w:p>
        </w:tc>
        <w:tc>
          <w:tcPr>
            <w:tcW w:w="3480" w:type="dxa"/>
            <w:vAlign w:val="bottom"/>
            <w:gridSpan w:val="3"/>
          </w:tcPr>
          <w:p>
            <w:pPr>
              <w:jc w:val="right"/>
              <w:ind w:right="1040"/>
              <w:spacing w:after="0"/>
              <w:rPr>
                <w:sz w:val="20"/>
                <w:szCs w:val="20"/>
                <w:color w:val="auto"/>
              </w:rPr>
            </w:pPr>
            <w:r>
              <w:rPr>
                <w:rFonts w:ascii="Arial" w:cs="Arial" w:eastAsia="Arial" w:hAnsi="Arial"/>
                <w:sz w:val="18"/>
                <w:szCs w:val="18"/>
                <w:color w:val="auto"/>
              </w:rPr>
              <w:t>2,510,000</w:t>
            </w:r>
            <w:r>
              <w:rPr>
                <w:rFonts w:ascii="Arial" w:cs="Arial" w:eastAsia="Arial" w:hAnsi="Arial"/>
                <w:sz w:val="11"/>
                <w:szCs w:val="11"/>
                <w:color w:val="auto"/>
              </w:rPr>
              <w:t>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3.37</w:t>
            </w:r>
          </w:p>
        </w:tc>
        <w:tc>
          <w:tcPr>
            <w:tcW w:w="10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None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480" w:type="dxa"/>
            <w:vAlign w:val="bottom"/>
            <w:gridSpan w:val="3"/>
            <w:shd w:val="clear" w:color="auto" w:fill="CCEEFF"/>
          </w:tcPr>
          <w:p>
            <w:pPr>
              <w:jc w:val="right"/>
              <w:ind w:right="1100"/>
              <w:spacing w:after="0"/>
              <w:rPr>
                <w:sz w:val="20"/>
                <w:szCs w:val="20"/>
                <w:color w:val="auto"/>
              </w:rPr>
            </w:pPr>
            <w:r>
              <w:rPr>
                <w:rFonts w:ascii="Arial" w:cs="Arial" w:eastAsia="Arial" w:hAnsi="Arial"/>
                <w:sz w:val="18"/>
                <w:szCs w:val="18"/>
                <w:color w:val="auto"/>
              </w:rPr>
              <w:t>2,792,605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1,217,395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9"/>
        </w:trPr>
        <w:tc>
          <w:tcPr>
            <w:tcW w:w="260" w:type="dxa"/>
            <w:vAlign w:val="bottom"/>
            <w:gridSpan w:val="2"/>
          </w:tcPr>
          <w:p>
            <w:pPr>
              <w:spacing w:after="0"/>
              <w:rPr>
                <w:sz w:val="20"/>
                <w:szCs w:val="20"/>
                <w:color w:val="auto"/>
              </w:rPr>
            </w:pPr>
            <w:r>
              <w:rPr>
                <w:rFonts w:ascii="Arial" w:cs="Arial" w:eastAsia="Arial" w:hAnsi="Arial"/>
                <w:sz w:val="11"/>
                <w:szCs w:val="11"/>
                <w:color w:val="auto"/>
              </w:rPr>
              <w:t>1</w:t>
            </w:r>
          </w:p>
        </w:tc>
        <w:tc>
          <w:tcPr>
            <w:tcW w:w="4080" w:type="dxa"/>
            <w:vAlign w:val="bottom"/>
            <w:gridSpan w:val="2"/>
          </w:tcPr>
          <w:p>
            <w:pPr>
              <w:ind w:left="200"/>
              <w:spacing w:after="0"/>
              <w:rPr>
                <w:sz w:val="20"/>
                <w:szCs w:val="20"/>
                <w:color w:val="auto"/>
              </w:rPr>
            </w:pPr>
            <w:r>
              <w:rPr>
                <w:rFonts w:ascii="Arial" w:cs="Arial" w:eastAsia="Arial" w:hAnsi="Arial"/>
                <w:sz w:val="18"/>
                <w:szCs w:val="18"/>
                <w:color w:val="auto"/>
              </w:rPr>
              <w:t>Includes:</w:t>
            </w:r>
          </w:p>
        </w:tc>
        <w:tc>
          <w:tcPr>
            <w:tcW w:w="10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380" w:type="dxa"/>
            <w:vAlign w:val="bottom"/>
            <w:gridSpan w:val="2"/>
          </w:tcPr>
          <w:p>
            <w:pPr>
              <w:jc w:val="right"/>
              <w:ind w:right="850"/>
              <w:spacing w:after="0"/>
              <w:rPr>
                <w:sz w:val="20"/>
                <w:szCs w:val="20"/>
                <w:color w:val="auto"/>
              </w:rPr>
            </w:pPr>
            <w:r>
              <w:rPr>
                <w:rFonts w:ascii="Arial" w:cs="Arial" w:eastAsia="Arial" w:hAnsi="Arial"/>
                <w:sz w:val="18"/>
                <w:szCs w:val="18"/>
                <w:color w:val="auto"/>
              </w:rPr>
              <w:t>46</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5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warrant to purchase 448,000 shares of Common Stock for $2.9375 per share granted to Mr. Richard Blum on December 7, 1999, in connection with the acquisition of Kirk &amp; Blum and kbd/Technic;</w:t>
      </w:r>
    </w:p>
    <w:p>
      <w:pPr>
        <w:ind w:left="900" w:right="14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warrant to purchase 335,000 shares of Common Stock for $2.9375 per share granted to Mr. David Blum on December 7, 1999, in connection with the acquisition of Kirk &amp; Blum and kbd/Technic;</w:t>
      </w:r>
    </w:p>
    <w:p>
      <w:pPr>
        <w:ind w:left="900" w:right="18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warrant to purchase 217,000 shares of Common Stock for $2.9375 per share granted to Mr. Larry Blum on December 7, 1999, in connection with the acquisition of Kirk &amp; Blum and kbd/Technic;</w:t>
      </w:r>
    </w:p>
    <w:p>
      <w:pPr>
        <w:ind w:left="900" w:right="160" w:hanging="446"/>
        <w:spacing w:after="0" w:line="281"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250,000 shares that may be purchased pursuant to warrants granted January 14, 1998 at a price of $2.75 per share prior to January 14, 2008; (ii) 500,000 shares that may be purchased pursuant to warrants granted to Mr. Phillip DeZwirek January 22, 1999, which are exercisable prior to January 22, 2009 at a price of $3.00 per share; and (iii) 500,000 shares that may be purchased pursuant to warrants granted to Mr. Phillip DeZwirek August 14, 2000, which are exercisable prior to August 14, 2010 at a price of $2.0625 per share;</w:t>
      </w:r>
    </w:p>
    <w:p>
      <w:pPr>
        <w:spacing w:after="0" w:line="2" w:lineRule="exact"/>
        <w:rPr>
          <w:rFonts w:ascii="Arial" w:cs="Arial" w:eastAsia="Arial" w:hAnsi="Arial"/>
          <w:sz w:val="16"/>
          <w:szCs w:val="16"/>
          <w:color w:val="auto"/>
        </w:rPr>
      </w:pPr>
    </w:p>
    <w:p>
      <w:pPr>
        <w:ind w:left="900" w:right="100" w:hanging="446"/>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10,000 shares of common stock that Mr. Donald Wright can purchase pursuant to options granted June 30, 1998 at a price per share of $2.75 prior to June 30, 2008; and</w:t>
      </w:r>
    </w:p>
    <w:p>
      <w:pPr>
        <w:ind w:left="900" w:right="240" w:hanging="446"/>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250,000 shares of common stock that can be purchased pursuant to warrants granted to Green Diamond on December 28, 2006 for $9.07 per share prior to December 28, 2016.</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Director Independence</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General Instruction G of Form 10-K, the information called for by Item 13 of Part III of Form 10-K is incorporated by reference to the information set forth in the 2007 Proxy Statement in response to Items 404 and 407(a) of Regulation S-K.</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Pursuant to General Instruction G of Form 10-K, the information called for by Item 14 of Part III of Form 10-K is incorporated by reference to the information set forth in the 2007 Proxy Statement.</w:t>
      </w:r>
    </w:p>
    <w:p>
      <w:pPr>
        <w:spacing w:after="0" w:line="20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96" w:lineRule="exact"/>
        <w:rPr>
          <w:sz w:val="20"/>
          <w:szCs w:val="20"/>
          <w:color w:val="auto"/>
        </w:rPr>
      </w:pPr>
    </w:p>
    <w:p>
      <w:pPr>
        <w:ind w:left="900" w:hanging="760"/>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  Financial statements are set forth in this report following the signature page of this report.</w:t>
      </w:r>
    </w:p>
    <w:p>
      <w:pPr>
        <w:spacing w:after="0" w:line="185" w:lineRule="exact"/>
        <w:rPr>
          <w:sz w:val="20"/>
          <w:szCs w:val="20"/>
          <w:color w:val="auto"/>
        </w:rPr>
      </w:pPr>
    </w:p>
    <w:p>
      <w:pPr>
        <w:ind w:left="780" w:hanging="31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Consolidated Financial statement schedule</w:t>
      </w:r>
    </w:p>
    <w:p>
      <w:pPr>
        <w:spacing w:after="0" w:line="171"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All other financial statement schedules are omitted because they are not applicable or because the required information is shown in the financial statements or in the notes thereto.</w:t>
      </w:r>
    </w:p>
    <w:p>
      <w:pPr>
        <w:spacing w:after="0" w:line="132" w:lineRule="exact"/>
        <w:rPr>
          <w:sz w:val="20"/>
          <w:szCs w:val="20"/>
          <w:color w:val="auto"/>
        </w:rPr>
      </w:pPr>
    </w:p>
    <w:p>
      <w:pPr>
        <w:ind w:right="60" w:firstLine="464"/>
        <w:spacing w:after="0" w:line="268" w:lineRule="auto"/>
        <w:tabs>
          <w:tab w:leader="none" w:pos="7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Exhibit Index. The exhibits listed below, as part of Form 10-K, are numbered in conformity with the numbering used in Item 601 of Regulation S-K of the Securities and Exchange Commission.</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2.1 Certificate of Ownership and Merger Merging CECO Environmental Corp. into CECO Environmental Corp. (Incorporated by reference to Exhibit 2.2 from Form 10-K dated December 31, 2001)</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2.2 Certificate of Merger of CECO Environmental Corp. into CECO Environmental Corp. Under Section 907 of the Business Corporation Law. (Incorporated by reference to Exhibit 2.3 from CECO’s Annual Report on Form 10-K dated December 31, 2001)</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2.3 Asset Purchase Agreement dated February 28, 2007 among the Company, CECO Acquisition Corp. and Effox, Inc. (Incorporated by reference to Exhibit 2.1 from the Company’s Form 8-K dated February 27, 2007)</w:t>
      </w:r>
    </w:p>
    <w:p>
      <w:pPr>
        <w:spacing w:after="0" w:line="13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3(i)</w:t>
      </w:r>
      <w:r>
        <w:rPr>
          <w:sz w:val="20"/>
          <w:szCs w:val="20"/>
          <w:color w:val="auto"/>
        </w:rPr>
        <w:tab/>
      </w:r>
      <w:r>
        <w:rPr>
          <w:rFonts w:ascii="Arial" w:cs="Arial" w:eastAsia="Arial" w:hAnsi="Arial"/>
          <w:sz w:val="16"/>
          <w:szCs w:val="16"/>
          <w:color w:val="auto"/>
        </w:rPr>
        <w:t>Certificate of Incorporation. (Incorporated by reference to Exhibit 3.I from Form 10-K dated December 31, 2001)</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3(ii)</w:t>
      </w:r>
      <w:r>
        <w:rPr>
          <w:sz w:val="20"/>
          <w:szCs w:val="20"/>
          <w:color w:val="auto"/>
        </w:rPr>
        <w:tab/>
      </w:r>
      <w:r>
        <w:rPr>
          <w:rFonts w:ascii="Arial" w:cs="Arial" w:eastAsia="Arial" w:hAnsi="Arial"/>
          <w:sz w:val="16"/>
          <w:szCs w:val="16"/>
          <w:color w:val="auto"/>
        </w:rPr>
        <w:t>Bylaws. (Incorporated by reference to Exhibit 3.II from Form 10-K dated December 31, 2001)</w:t>
      </w:r>
    </w:p>
    <w:p>
      <w:pPr>
        <w:spacing w:after="0" w:line="171" w:lineRule="exact"/>
        <w:rPr>
          <w:sz w:val="20"/>
          <w:szCs w:val="20"/>
          <w:color w:val="auto"/>
        </w:rPr>
      </w:pPr>
    </w:p>
    <w:p>
      <w:pPr>
        <w:ind w:right="180" w:firstLine="464"/>
        <w:spacing w:after="0" w:line="268" w:lineRule="auto"/>
        <w:tabs>
          <w:tab w:leader="none" w:pos="6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10.1 CECO Filters, Inc. Savings and Retirement Plan. (Incorporated by reference to CECO’s Annual Report on Form 10-K for the fiscal year ended December 31, 1990)</w:t>
      </w:r>
    </w:p>
    <w:p>
      <w:pPr>
        <w:spacing w:after="0" w:line="131" w:lineRule="exact"/>
        <w:rPr>
          <w:rFonts w:ascii="Arial" w:cs="Arial" w:eastAsia="Arial" w:hAnsi="Arial"/>
          <w:sz w:val="18"/>
          <w:szCs w:val="18"/>
          <w:color w:val="auto"/>
        </w:rPr>
      </w:pPr>
    </w:p>
    <w:p>
      <w:pPr>
        <w:ind w:right="200" w:firstLine="464"/>
        <w:spacing w:after="0" w:line="268" w:lineRule="auto"/>
        <w:tabs>
          <w:tab w:leader="none" w:pos="6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10.2 CECO Environmental Corp. 1997 Stock Option Plan and Amendment. (Incorporated by reference to Exhibit 4 from Form S-8, Exhibit 4, filed March 24, 2000, of the Company)</w:t>
      </w:r>
    </w:p>
    <w:p>
      <w:pPr>
        <w:spacing w:after="0" w:line="132"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10.3 Mortgage dated October 28, 1991 by CECO and the Montgomery County Industrial Development Corporation (“MCIDC”). (Incorporated by reference to CECO’s Annual Report on Form 10-K dated December 31, 1991)</w:t>
      </w:r>
    </w:p>
    <w:p>
      <w:pPr>
        <w:spacing w:after="0" w:line="132"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Installment Sale Agreement dated October 28, 1991 between CECO and MCIDC. (Incorporated by reference to CECO’s Annual Report on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10-K dated December 31, 1991)</w:t>
      </w:r>
    </w:p>
    <w:p>
      <w:pPr>
        <w:spacing w:after="0" w:line="165"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10.5 Lease dated as of March 10, 1992 between CECO and BTR North America, Inc. (Incorporated by reference to CECO’s Annual Report on Form 10-K dated December 31, 1991)</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10.6 Consulting Agreement dated as of January 1, 1994 and effective as of July 1, 1994 between the Company and CECO. (Incorporated by reference to Exhibit 10.1 to Form 10-QSB dated September 30, 1994 of the Company)</w:t>
      </w:r>
    </w:p>
    <w:p>
      <w:pPr>
        <w:spacing w:after="0" w:line="132" w:lineRule="exact"/>
        <w:rPr>
          <w:sz w:val="20"/>
          <w:szCs w:val="20"/>
          <w:color w:val="auto"/>
        </w:rPr>
      </w:pPr>
    </w:p>
    <w:p>
      <w:pPr>
        <w:ind w:right="80" w:firstLine="464"/>
        <w:spacing w:after="0" w:line="268" w:lineRule="auto"/>
        <w:tabs>
          <w:tab w:leader="none" w:pos="6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10.7 Warrant Agreement dated as of January 14, 1998 between the Company and Phillip DeZwirek. (Incorporated by reference to Exhibit 10.33 from the Company’s Form 10-KSB dated December 31, 1997)</w:t>
      </w:r>
    </w:p>
    <w:p>
      <w:pPr>
        <w:spacing w:after="0" w:line="132"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10.8 Lease between Busch Co. and Richard Roos dated January 10, 1980, Amendment to Lease dated August 1, 1988 between Busch Co. and Richard Roos, Amendment to Lease dated May 21, 1991 between Richard A. Roos and Busch Co. and Amendment to Lease dated June 1, 1991 between JDA, Inc. and Busch Co. (Incorporated by reference to Exhibit 10.40 from the Company’s Form 10-KSB dated December 31, 1997)</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10.9 Assignment of Lease dated September 25, 1997 among Richard A. Roos, JDA, Inc., Busch Co. and New Busch Co., Inc. (Incorporated by reference to Exhibit 10.19 from the Company’s Form 10-KSB dated December 31, 1998)</w:t>
      </w:r>
    </w:p>
    <w:p>
      <w:pPr>
        <w:spacing w:after="0" w:line="132"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5"/>
          <w:szCs w:val="15"/>
          <w:color w:val="auto"/>
        </w:rPr>
        <w:t>Lease between Joseph V. Salvucci and Busch Co. dated October 17, 1994. (Incorporated by reference to Exhibit 10.41 from the Company’s Form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10-KSB dated December 31, 1997)</w:t>
      </w:r>
    </w:p>
    <w:p>
      <w:pPr>
        <w:spacing w:after="0" w:line="165" w:lineRule="exact"/>
        <w:rPr>
          <w:sz w:val="20"/>
          <w:szCs w:val="20"/>
          <w:color w:val="auto"/>
        </w:rPr>
      </w:pPr>
    </w:p>
    <w:p>
      <w:pPr>
        <w:ind w:firstLine="464"/>
        <w:spacing w:after="0" w:line="268"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10.11 Warrant Agreement dated as of January 22, 1999 between the Company and Phillip DeZwirek. (Incorporated by reference to Exhibit 10.22 from the Company’s Form 10-KSB dated December 31, 1998)</w:t>
      </w:r>
    </w:p>
    <w:p>
      <w:pPr>
        <w:spacing w:after="0" w:line="131" w:lineRule="exact"/>
        <w:rPr>
          <w:rFonts w:ascii="Arial" w:cs="Arial" w:eastAsia="Arial" w:hAnsi="Arial"/>
          <w:sz w:val="18"/>
          <w:szCs w:val="18"/>
          <w:color w:val="auto"/>
        </w:rPr>
      </w:pPr>
    </w:p>
    <w:p>
      <w:pPr>
        <w:ind w:right="100" w:firstLine="464"/>
        <w:spacing w:after="0" w:line="268" w:lineRule="auto"/>
        <w:tabs>
          <w:tab w:leader="none" w:pos="676" w:val="left"/>
        </w:tabs>
        <w:numPr>
          <w:ilvl w:val="0"/>
          <w:numId w:val="25"/>
        </w:numPr>
        <w:rPr>
          <w:rFonts w:ascii="Arial" w:cs="Arial" w:eastAsia="Arial" w:hAnsi="Arial"/>
          <w:sz w:val="18"/>
          <w:szCs w:val="18"/>
          <w:color w:val="auto"/>
        </w:rPr>
      </w:pPr>
      <w:r>
        <w:rPr>
          <w:rFonts w:ascii="Arial" w:cs="Arial" w:eastAsia="Arial" w:hAnsi="Arial"/>
          <w:sz w:val="18"/>
          <w:szCs w:val="18"/>
          <w:color w:val="auto"/>
        </w:rPr>
        <w:t>10.12 Option for the Purchase of Shares of Common Stock for Donald Wright dated June 30, 1998. (Incorporated by reference to Exhibit 10.26 from the Company’s Form 10-KSB dated December 31, 1998)</w:t>
      </w:r>
    </w:p>
    <w:p>
      <w:pPr>
        <w:spacing w:after="0" w:line="131" w:lineRule="exact"/>
        <w:rPr>
          <w:rFonts w:ascii="Arial" w:cs="Arial" w:eastAsia="Arial" w:hAnsi="Arial"/>
          <w:sz w:val="18"/>
          <w:szCs w:val="18"/>
          <w:color w:val="auto"/>
        </w:rPr>
      </w:pPr>
    </w:p>
    <w:p>
      <w:pPr>
        <w:ind w:right="60" w:firstLine="464"/>
        <w:spacing w:after="0" w:line="332" w:lineRule="auto"/>
        <w:tabs>
          <w:tab w:leader="none" w:pos="6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10.13 Stock Purchase Warrant, dated as of December 7, 1999, granted by CECO Environmental Corp. to Richard J. Blum. (Incorporated by reference to Exhibit 10.3 from the Company’s Form 8-K filed December 22, 1999 with respect to event that occurred December 7, 1999)</w:t>
      </w:r>
    </w:p>
    <w:p>
      <w:pPr>
        <w:spacing w:after="0" w:line="85" w:lineRule="exact"/>
        <w:rPr>
          <w:rFonts w:ascii="Arial" w:cs="Arial" w:eastAsia="Arial" w:hAnsi="Arial"/>
          <w:sz w:val="16"/>
          <w:szCs w:val="16"/>
          <w:color w:val="auto"/>
        </w:rPr>
      </w:pPr>
    </w:p>
    <w:p>
      <w:pPr>
        <w:ind w:right="620" w:firstLine="464"/>
        <w:spacing w:after="0" w:line="332" w:lineRule="auto"/>
        <w:tabs>
          <w:tab w:leader="none" w:pos="6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10.14 Stock Purchase Warrant, dated as of December 7, 1999, granted by CECO Environmental Corp. to Lawrence J. Blum. (Incorporated by reference to Exhibit 10.5 from the Company’s Form 8-K filed December 22, 1999 with respect to event that occurred December 7, 1999)</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64"/>
        <w:spacing w:after="0" w:line="268" w:lineRule="auto"/>
        <w:tabs>
          <w:tab w:leader="none" w:pos="676" w:val="left"/>
        </w:tabs>
        <w:numPr>
          <w:ilvl w:val="0"/>
          <w:numId w:val="26"/>
        </w:numPr>
        <w:rPr>
          <w:rFonts w:ascii="Arial" w:cs="Arial" w:eastAsia="Arial" w:hAnsi="Arial"/>
          <w:sz w:val="18"/>
          <w:szCs w:val="18"/>
          <w:color w:val="auto"/>
        </w:rPr>
      </w:pPr>
      <w:r>
        <w:rPr>
          <w:rFonts w:ascii="Arial" w:cs="Arial" w:eastAsia="Arial" w:hAnsi="Arial"/>
          <w:sz w:val="18"/>
          <w:szCs w:val="18"/>
          <w:color w:val="auto"/>
        </w:rPr>
        <w:t>10.15 Stock Purchase Warrant, dated as of December 7, 1999, granted by CECO Environmental Corp. to David D. Blum. (Incorporated by reference to Exhibit 10.7 from the Company’s Form 8-K dated December 7, 1999)</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10.16 Kbd/Technic, Inc. Voting Trust Agreement, dated as of December 7, 1999, Richard J. Blum, trustee. (Incorporated by reference to Exhibit 10.13 from the Company’s Form 8-K filed December 22, 1999 with respect to event that occurred December 7, 1999)</w:t>
      </w:r>
    </w:p>
    <w:p>
      <w:pPr>
        <w:spacing w:after="0" w:line="132" w:lineRule="exact"/>
        <w:rPr>
          <w:sz w:val="20"/>
          <w:szCs w:val="20"/>
          <w:color w:val="auto"/>
        </w:rPr>
      </w:pPr>
    </w:p>
    <w:p>
      <w:pPr>
        <w:ind w:right="280" w:firstLine="464"/>
        <w:spacing w:after="0" w:line="268" w:lineRule="auto"/>
        <w:tabs>
          <w:tab w:leader="none" w:pos="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10.17 Stock Option Agreement for Donald A. Wright dated September 18, 2000. (Incorporated by reference to Exhibit 10.32 from the Company’s Annual Report on Form 10-KSB dated December 31, 2000)</w:t>
      </w:r>
    </w:p>
    <w:p>
      <w:pPr>
        <w:spacing w:after="0" w:line="131" w:lineRule="exact"/>
        <w:rPr>
          <w:rFonts w:ascii="Arial" w:cs="Arial" w:eastAsia="Arial" w:hAnsi="Arial"/>
          <w:sz w:val="18"/>
          <w:szCs w:val="18"/>
          <w:color w:val="auto"/>
        </w:rPr>
      </w:pPr>
    </w:p>
    <w:p>
      <w:pPr>
        <w:ind w:firstLine="464"/>
        <w:spacing w:after="0" w:line="268" w:lineRule="auto"/>
        <w:tabs>
          <w:tab w:leader="none" w:pos="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10.18 Warrant Agreement dated as of August 14, 2000 between the Company and Phillip DeZwirek. (Incorporated by reference to Exhibit 10.33 from the Company’s Annual Report on Form 10-KSB dated December 31, 2000)</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10.19 Lease Agreement between LFT Realty Group and CECO Filters, Inc. dated April 13, 2003. (Incorporated by reference to Exhibit 10.48 from the Company’s Form 10-K dated December 31, 2003)</w:t>
      </w:r>
    </w:p>
    <w:p>
      <w:pPr>
        <w:spacing w:after="0" w:line="132" w:lineRule="exact"/>
        <w:rPr>
          <w:sz w:val="20"/>
          <w:szCs w:val="20"/>
          <w:color w:val="auto"/>
        </w:rPr>
      </w:pPr>
    </w:p>
    <w:p>
      <w:pPr>
        <w:ind w:right="34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10.20 Stock Option Agreement for Dennis W. Blazer dated December 13, 2004. (Incorporated by reference to Exhibit 10.50 from the Company’s Form 10-K dated December 31, 2004)</w:t>
      </w:r>
    </w:p>
    <w:p>
      <w:pPr>
        <w:spacing w:after="0" w:line="131" w:lineRule="exact"/>
        <w:rPr>
          <w:rFonts w:ascii="Arial" w:cs="Arial" w:eastAsia="Arial" w:hAnsi="Arial"/>
          <w:sz w:val="18"/>
          <w:szCs w:val="18"/>
          <w:color w:val="auto"/>
        </w:rPr>
      </w:pPr>
    </w:p>
    <w:p>
      <w:pPr>
        <w:ind w:right="8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10.21 Stock Option Agreement for Thomas J. Flaherty dated January 5, 2005. (Incorporated by reference to Exhibit 10.52 from the Company’s Form 10-K dated December 31, 2004)</w:t>
      </w:r>
    </w:p>
    <w:p>
      <w:pPr>
        <w:spacing w:after="0" w:line="131" w:lineRule="exact"/>
        <w:rPr>
          <w:rFonts w:ascii="Arial" w:cs="Arial" w:eastAsia="Arial" w:hAnsi="Arial"/>
          <w:sz w:val="18"/>
          <w:szCs w:val="18"/>
          <w:color w:val="auto"/>
        </w:rPr>
      </w:pPr>
    </w:p>
    <w:p>
      <w:pPr>
        <w:ind w:right="16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10.22 Stock Option Agreement for Donald A. Wright dated January 5, 2005. (Incorporated by reference to Exhibit 10.53 from the Company’s Form 10-K dated December 31, 2004)</w:t>
      </w:r>
    </w:p>
    <w:p>
      <w:pPr>
        <w:spacing w:after="0" w:line="131" w:lineRule="exact"/>
        <w:rPr>
          <w:rFonts w:ascii="Arial" w:cs="Arial" w:eastAsia="Arial" w:hAnsi="Arial"/>
          <w:sz w:val="18"/>
          <w:szCs w:val="18"/>
          <w:color w:val="auto"/>
        </w:rPr>
      </w:pPr>
    </w:p>
    <w:p>
      <w:pPr>
        <w:ind w:right="34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10.23 Indemnification Agreement between the Company and Marshall J. Morris dated November 30, 2004. (Incorporated by reference to Exhibit 10.55 from the Company’s Form 10-K dated December 31, 2004)</w:t>
      </w:r>
    </w:p>
    <w:p>
      <w:pPr>
        <w:spacing w:after="0" w:line="131" w:lineRule="exact"/>
        <w:rPr>
          <w:rFonts w:ascii="Arial" w:cs="Arial" w:eastAsia="Arial" w:hAnsi="Arial"/>
          <w:sz w:val="18"/>
          <w:szCs w:val="18"/>
          <w:color w:val="auto"/>
        </w:rPr>
      </w:pPr>
    </w:p>
    <w:p>
      <w:pPr>
        <w:ind w:right="42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10.24 Stock Option Agreement for Ronald Krieg dated April 20, 2005. (Incorporated by reference to Exhibit 10.34 from the Company’s Annual Report on Form 10-K dated December 31, 2005)</w:t>
      </w:r>
    </w:p>
    <w:p>
      <w:pPr>
        <w:spacing w:after="0" w:line="131" w:lineRule="exact"/>
        <w:rPr>
          <w:rFonts w:ascii="Arial" w:cs="Arial" w:eastAsia="Arial" w:hAnsi="Arial"/>
          <w:sz w:val="18"/>
          <w:szCs w:val="18"/>
          <w:color w:val="auto"/>
        </w:rPr>
      </w:pPr>
    </w:p>
    <w:p>
      <w:pPr>
        <w:ind w:right="40" w:firstLine="464"/>
        <w:spacing w:after="0" w:line="268" w:lineRule="auto"/>
        <w:tabs>
          <w:tab w:leader="none" w:pos="6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10.25 Stock Option Agreement for Arthur Cape dated May 25, 2005. (Incorporated by reference to Exhibit 10.35 from the Company’s Annual Report on Form 10-K dated December 31, 2005)</w:t>
      </w:r>
    </w:p>
    <w:p>
      <w:pPr>
        <w:spacing w:after="0" w:line="1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10.26 Restated and Amended Purchase Agreement between The Kirk &amp; Blum Manufacturing Company and Trademark Property Company dated June 20, 2005. (Incorporated by reference to Exhibit 10.3 from the Company’s Form 10-Q dated June 30, 2005)</w:t>
      </w:r>
    </w:p>
    <w:p>
      <w:pPr>
        <w:spacing w:after="0" w:line="132"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10.27 First Amendment to Restated and Amended Purchase Agreement between The Kirk &amp; Blum Manufacturing Company and Trademark Property Company dated July 14, 2005. (Incorporated by reference to Exhibit 10.1 from the Company’s Form 10-Q dated September 30, 2005)</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10.28 Second Amendment to Restated and Amended Purchase Agreement between The Kirk &amp; Blum Manufacturing Company and Trademark Property Company dated September 14, 2005 (Incorporated by reference to Exhibit 10.2 from the Company’s Form 10-Q dated September 30, 2005)</w:t>
      </w:r>
    </w:p>
    <w:p>
      <w:pPr>
        <w:spacing w:after="0" w:line="8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10.29 Third Amendment and Assignment to Restated and Amended Purchase Agreement between The Kirk &amp; Blum Manufacturing Company, Trademark Property Company and Millworks Town Center LLC dated October 19, 2005. (Incorporated by reference to Exhibit 10.3 from the Company’s Form 10-Q dated September 30, 2005)</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10.30 Credit Agreement between the Company and its corporate affiliates and Fifth Third Bank dated December 29, 2005. (Incorporated by reference to Exhibit 10.1 from the Company’s Form 8-K dated December 28, 2005)</w:t>
      </w:r>
    </w:p>
    <w:p>
      <w:pPr>
        <w:spacing w:after="0" w:line="13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10.31 Fourth Amendment to Restated and Amended Purchase Agreement between The Kirk &amp; Blum Manufacturing Company and Millworks Town Center LLC dated December 29, 2005. (Incorporated by reference to Exhibit 10.1 from the Company’s Form 8-K dated December 29, 2005)</w:t>
      </w:r>
    </w:p>
    <w:p>
      <w:pPr>
        <w:spacing w:after="0" w:line="85"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10.32 Letter Agreement with Fifth Third Bank permitting use of proceeds from the exercise of warrants to pay accrued interest amounts due Green Diamond on two subordinated notes. (Incorporated by reference to Exhibit 10.43 to the Company’s Annual Report on Form 10-K dated December 31, 2005)</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10.33 Transition Agreement between H.M. White, Inc., H.M. White Holding Co., Inc. and HMW, LLC dated as of January 1, 2006. (Incorporated by reference to Exhibit 10.1 from the Company’s Form 8-K dated February 1, 2006)</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10.34 Fifth Amendment to Restated and Amended Purchase Agreement between The Kirk &amp; Blum Manufacturing Company and Millworks Town Center LLC dated March 1, 2006. (Incorporated by reference to Exhibit 10.1 from the Company’s Form 8-K dated March 1, 2006)</w:t>
      </w:r>
    </w:p>
    <w:p>
      <w:pPr>
        <w:spacing w:after="0" w:line="85"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10.35 Sixth Amendment to Restated and Amended Purchase Agreement between The Kirk &amp; Blum Manufacturing Company and Millworks Town Center LLC dated April 21, 2006. (Incorporated by reference to Exhibit 10.1 from the Company’s Form 8-K dated April 21, 2006)</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10.36 Seventh Amendment to Restated and Amended Purchase Agreement between The Kirk &amp; Blum Manufacturing Company and Millworks Town Center LLC dated May 9, 2006. (Incorporated by reference to Exhibit 10.1 from the Company’s Form 8-K dated May 9, 2006)</w:t>
      </w:r>
    </w:p>
    <w:p>
      <w:pPr>
        <w:spacing w:after="0" w:line="85"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10.37</w:t>
      </w:r>
      <w:r>
        <w:rPr>
          <w:sz w:val="20"/>
          <w:szCs w:val="20"/>
          <w:color w:val="auto"/>
        </w:rPr>
        <w:tab/>
      </w:r>
      <w:r>
        <w:rPr>
          <w:rFonts w:ascii="Arial" w:cs="Arial" w:eastAsia="Arial" w:hAnsi="Arial"/>
          <w:sz w:val="15"/>
          <w:szCs w:val="15"/>
          <w:color w:val="auto"/>
        </w:rPr>
        <w:t>Amended and Restated Employment Agreement between Richard J. Blum and the Company.</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10.38</w:t>
      </w:r>
      <w:r>
        <w:rPr>
          <w:sz w:val="20"/>
          <w:szCs w:val="20"/>
          <w:color w:val="auto"/>
        </w:rPr>
        <w:tab/>
      </w:r>
      <w:r>
        <w:rPr>
          <w:rFonts w:ascii="Arial" w:cs="Arial" w:eastAsia="Arial" w:hAnsi="Arial"/>
          <w:sz w:val="15"/>
          <w:szCs w:val="15"/>
          <w:color w:val="auto"/>
        </w:rPr>
        <w:t>Amended and Restated 2006 Executive Incentive Compensation Plan.</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10.39 First Amendment to Credit Agreement among the Company, its corporate affiliates and Fifth Third Bank dated June 8, 2006. (Incorporated by reference to Exhibit 10.1 from the Company’s Form 8-K dated June 8, 2006)</w:t>
      </w:r>
    </w:p>
    <w:p>
      <w:pPr>
        <w:spacing w:after="0" w:line="132"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10.40 Ninth Amendment to Restated and Amended Purchase Agreement between The Kirk &amp; Blum Manufacturing Company and Millworks Town Center LLC dated June 8, 2006. (Incorporated by reference to Exhibit 10.5 from the Company’s Form 8-K dated June 8, 2006)</w:t>
      </w:r>
    </w:p>
    <w:p>
      <w:pPr>
        <w:spacing w:after="0" w:line="85"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10.41</w:t>
      </w:r>
      <w:r>
        <w:rPr>
          <w:sz w:val="20"/>
          <w:szCs w:val="20"/>
          <w:color w:val="auto"/>
        </w:rPr>
        <w:tab/>
      </w:r>
      <w:r>
        <w:rPr>
          <w:rFonts w:ascii="Arial" w:cs="Arial" w:eastAsia="Arial" w:hAnsi="Arial"/>
          <w:sz w:val="15"/>
          <w:szCs w:val="15"/>
          <w:color w:val="auto"/>
        </w:rPr>
        <w:t>Amended and Restated Employment Agreement between David D. Blum and the Company.</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10.42</w:t>
      </w:r>
      <w:r>
        <w:rPr>
          <w:sz w:val="20"/>
          <w:szCs w:val="20"/>
          <w:color w:val="auto"/>
        </w:rPr>
        <w:tab/>
      </w:r>
      <w:r>
        <w:rPr>
          <w:rFonts w:ascii="Arial" w:cs="Arial" w:eastAsia="Arial" w:hAnsi="Arial"/>
          <w:sz w:val="16"/>
          <w:szCs w:val="16"/>
          <w:color w:val="auto"/>
        </w:rPr>
        <w:t>Stock Option Agreement of Ronald E. Krieg dated June 21, 2006.</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10.43</w:t>
      </w:r>
      <w:r>
        <w:rPr>
          <w:sz w:val="20"/>
          <w:szCs w:val="20"/>
          <w:color w:val="auto"/>
        </w:rPr>
        <w:tab/>
      </w:r>
      <w:r>
        <w:rPr>
          <w:rFonts w:ascii="Arial" w:cs="Arial" w:eastAsia="Arial" w:hAnsi="Arial"/>
          <w:sz w:val="15"/>
          <w:szCs w:val="15"/>
          <w:color w:val="auto"/>
        </w:rPr>
        <w:t>Stock Option Agreement of Arthur Cape dated June 21, 2006.</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10.44</w:t>
      </w:r>
      <w:r>
        <w:rPr>
          <w:sz w:val="20"/>
          <w:szCs w:val="20"/>
          <w:color w:val="auto"/>
        </w:rPr>
        <w:tab/>
      </w:r>
      <w:r>
        <w:rPr>
          <w:rFonts w:ascii="Arial" w:cs="Arial" w:eastAsia="Arial" w:hAnsi="Arial"/>
          <w:sz w:val="16"/>
          <w:szCs w:val="16"/>
          <w:color w:val="auto"/>
        </w:rPr>
        <w:t>Stock Option Agreement of Donald A. Wright dated June 21, 2006.</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10.45</w:t>
      </w:r>
      <w:r>
        <w:rPr>
          <w:sz w:val="20"/>
          <w:szCs w:val="20"/>
          <w:color w:val="auto"/>
        </w:rPr>
        <w:tab/>
      </w:r>
      <w:r>
        <w:rPr>
          <w:rFonts w:ascii="Arial" w:cs="Arial" w:eastAsia="Arial" w:hAnsi="Arial"/>
          <w:sz w:val="15"/>
          <w:szCs w:val="15"/>
          <w:color w:val="auto"/>
        </w:rPr>
        <w:t>Stock Option Agreement of Thomas J. Flaherty dated June 21, 2006.</w:t>
      </w:r>
    </w:p>
    <w:p>
      <w:pPr>
        <w:spacing w:after="0" w:line="171" w:lineRule="exact"/>
        <w:rPr>
          <w:sz w:val="20"/>
          <w:szCs w:val="20"/>
          <w:color w:val="auto"/>
        </w:rPr>
      </w:pPr>
    </w:p>
    <w:p>
      <w:pPr>
        <w:ind w:left="460"/>
        <w:spacing w:after="0"/>
        <w:tabs>
          <w:tab w:leader="none" w:pos="1360" w:val="left"/>
        </w:tabs>
        <w:rPr>
          <w:sz w:val="20"/>
          <w:szCs w:val="20"/>
          <w:color w:val="auto"/>
        </w:rPr>
      </w:pPr>
      <w:r>
        <w:rPr>
          <w:rFonts w:ascii="Arial" w:cs="Arial" w:eastAsia="Arial" w:hAnsi="Arial"/>
          <w:sz w:val="18"/>
          <w:szCs w:val="18"/>
          <w:color w:val="auto"/>
        </w:rPr>
        <w:t>*,** 10.46</w:t>
      </w:r>
      <w:r>
        <w:rPr>
          <w:sz w:val="20"/>
          <w:szCs w:val="20"/>
          <w:color w:val="auto"/>
        </w:rPr>
        <w:tab/>
      </w:r>
      <w:r>
        <w:rPr>
          <w:rFonts w:ascii="Arial" w:cs="Arial" w:eastAsia="Arial" w:hAnsi="Arial"/>
          <w:sz w:val="15"/>
          <w:szCs w:val="15"/>
          <w:color w:val="auto"/>
        </w:rPr>
        <w:t>Stock Option Agreement of Dennis W. Blazer dated June 21, 2006.</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10.47 Tenth Amendment to Restated and Amended Purchase Agreement between The Kirk &amp; Blum Manufacturing Company and Millworks Town Center LLC dated October 6, 2006. (Incorporated by reference to Exhibit 10.1 from the Company’s Form 8-K dated October 6, 2006)</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10.48 Eleventh Amendment to Restated and Amended Purchase Agreement between The Kirk &amp; Blum Manufacturing Company and Millworks Town Center LLC dated October 31, 2006. (Incorporated by reference to Exhibit 10.1 from the Company’s Form 8-K dated October 31, 2006)</w:t>
      </w:r>
    </w:p>
    <w:p>
      <w:pPr>
        <w:spacing w:after="0" w:line="8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10.49 Twelfth Amendment to Restated and Amended Purchase Agreement between The Kirk &amp; Blum Manufacturing Company and Millworks Town Center LLC dated December 21, 2006. (Incorporated by reference to Exhibit 10.1 from the Company’s Form 8-K dated December 21, 2006)</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10.50 Warrant Agreement between the Company and Green Diamond dated December 28, 2006. (Incorporated by reference to Exhibit 10.3 from the Company’s Form 8-K dated December 28, 2006)</w:t>
      </w:r>
    </w:p>
    <w:p>
      <w:pPr>
        <w:spacing w:after="0" w:line="132"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10.51 Fourth Amended and Restated Replacement Promissory Note in the principal amount of $1,200,000 dated as of March 26, 2007 made by CECO Environmental Corp. and payable to Green Diamond. (Incorporated by reference to Exhibit 10.2 from the Company’s Form 8-K dated March 26, 2007)</w:t>
      </w:r>
    </w:p>
    <w:p>
      <w:pPr>
        <w:spacing w:after="0" w:line="85" w:lineRule="exact"/>
        <w:rPr>
          <w:sz w:val="20"/>
          <w:szCs w:val="20"/>
          <w:color w:val="auto"/>
        </w:rPr>
      </w:pPr>
    </w:p>
    <w:p>
      <w:pPr>
        <w:ind w:right="720" w:firstLine="456"/>
        <w:spacing w:after="0" w:line="332" w:lineRule="auto"/>
        <w:rPr>
          <w:sz w:val="20"/>
          <w:szCs w:val="20"/>
          <w:color w:val="auto"/>
        </w:rPr>
      </w:pPr>
      <w:r>
        <w:rPr>
          <w:rFonts w:ascii="Arial" w:cs="Arial" w:eastAsia="Arial" w:hAnsi="Arial"/>
          <w:sz w:val="16"/>
          <w:szCs w:val="16"/>
          <w:color w:val="auto"/>
        </w:rPr>
        <w:t>10.52 Sixth Amended and Restated Replacement Promissory Note in the amount of $4,542,570 dated as of March 26, 2007 made by CECO Environmental Corp. and payable to Green Diamond. (Incorporated by reference to Exhibit 10.2 from the Company’s Form 8-K dated March 26, 2007)</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10.53 Second Amendment to Credit Agreement among the Company, its corporate affiliates and Fifth Third Bank dated February 27, 2007. (Incorporated by reference to Exhibit 10.1 from the Company’s Form 8-K dated February 27, 2007)</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10.54 Thirteenth Amendment to Restated and Amended Purchase Agreement between The Kirk &amp; Blum Manufacturing Company and Millworks Town Center LLC dated March 15, 2007. (Incorporated by reference to Exhibit 10.1 from the Company’s Form 8-K dated March 15, 2007)</w:t>
      </w:r>
    </w:p>
    <w:p>
      <w:pPr>
        <w:spacing w:after="0" w:line="85" w:lineRule="exact"/>
        <w:rPr>
          <w:sz w:val="20"/>
          <w:szCs w:val="20"/>
          <w:color w:val="auto"/>
        </w:rPr>
      </w:pPr>
    </w:p>
    <w:p>
      <w:pPr>
        <w:ind w:left="460"/>
        <w:spacing w:after="0"/>
        <w:tabs>
          <w:tab w:leader="none" w:pos="1380" w:val="left"/>
        </w:tabs>
        <w:rPr>
          <w:sz w:val="20"/>
          <w:szCs w:val="20"/>
          <w:color w:val="auto"/>
        </w:rPr>
      </w:pPr>
      <w:r>
        <w:rPr>
          <w:rFonts w:ascii="Arial" w:cs="Arial" w:eastAsia="Arial" w:hAnsi="Arial"/>
          <w:sz w:val="18"/>
          <w:szCs w:val="18"/>
          <w:color w:val="auto"/>
        </w:rPr>
        <w:t>*;** 10.55</w:t>
      </w:r>
      <w:r>
        <w:rPr>
          <w:sz w:val="20"/>
          <w:szCs w:val="20"/>
          <w:color w:val="auto"/>
        </w:rPr>
        <w:tab/>
      </w:r>
      <w:r>
        <w:rPr>
          <w:rFonts w:ascii="Arial" w:cs="Arial" w:eastAsia="Arial" w:hAnsi="Arial"/>
          <w:sz w:val="15"/>
          <w:szCs w:val="15"/>
          <w:color w:val="auto"/>
        </w:rPr>
        <w:t>Consulting Agreement between Green Diamond and the Company dated March 26, 2007.</w:t>
      </w:r>
    </w:p>
    <w:p>
      <w:pPr>
        <w:spacing w:after="0" w:line="171" w:lineRule="exact"/>
        <w:rPr>
          <w:sz w:val="20"/>
          <w:szCs w:val="20"/>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14  Code of Ethics</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21  Subsidiaries of the Company</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23.1  Consent of Battelle &amp; Battelle LLP</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23.2  Consent of Deloitte &amp; Touche LLP</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31.1  Rule 13a-14(a)/15d-14(a) Certification by Chief Executive Officer</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31.2  Rule 13a-14(a)/15d-14(a) Certification by Chief Financial Officer</w:t>
      </w:r>
    </w:p>
    <w:p>
      <w:pPr>
        <w:spacing w:after="0" w:line="171" w:lineRule="exact"/>
        <w:rPr>
          <w:rFonts w:ascii="Arial" w:cs="Arial" w:eastAsia="Arial" w:hAnsi="Arial"/>
          <w:sz w:val="18"/>
          <w:szCs w:val="18"/>
          <w:color w:val="auto"/>
        </w:rPr>
      </w:pPr>
    </w:p>
    <w:p>
      <w:pPr>
        <w:ind w:left="600" w:hanging="136"/>
        <w:spacing w:after="0"/>
        <w:tabs>
          <w:tab w:leader="none" w:pos="6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32.1  Certification of Chief Executive Officer (18 U.S. Section 1350)</w:t>
      </w:r>
    </w:p>
    <w:p>
      <w:pPr>
        <w:spacing w:after="0" w:line="171" w:lineRule="exact"/>
        <w:rPr>
          <w:rFonts w:ascii="Arial" w:cs="Arial" w:eastAsia="Arial" w:hAnsi="Arial"/>
          <w:sz w:val="18"/>
          <w:szCs w:val="18"/>
          <w:color w:val="auto"/>
        </w:rPr>
      </w:pPr>
    </w:p>
    <w:p>
      <w:pPr>
        <w:ind w:right="5880" w:firstLine="464"/>
        <w:spacing w:after="0" w:line="387" w:lineRule="auto"/>
        <w:tabs>
          <w:tab w:leader="none" w:pos="588" w:val="left"/>
        </w:tabs>
        <w:numPr>
          <w:ilvl w:val="1"/>
          <w:numId w:val="29"/>
        </w:numPr>
        <w:rPr>
          <w:rFonts w:ascii="Arial" w:cs="Arial" w:eastAsia="Arial" w:hAnsi="Arial"/>
          <w:sz w:val="18"/>
          <w:szCs w:val="18"/>
          <w:color w:val="auto"/>
        </w:rPr>
      </w:pPr>
      <w:r>
        <w:rPr>
          <w:rFonts w:ascii="Arial" w:cs="Arial" w:eastAsia="Arial" w:hAnsi="Arial"/>
          <w:sz w:val="18"/>
          <w:szCs w:val="18"/>
          <w:color w:val="auto"/>
        </w:rPr>
        <w:t>32.2 Certification of Chief Financial Officer (18 U.S. Section 1350) * Filed herewith</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Management contracts or compensation plans or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4612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P</w:t>
      </w:r>
      <w:r>
        <w:rPr>
          <w:rFonts w:ascii="Arial" w:cs="Arial" w:eastAsia="Arial" w:hAnsi="Arial"/>
          <w:sz w:val="14"/>
          <w:szCs w:val="14"/>
          <w:color w:val="auto"/>
        </w:rPr>
        <w:t>HILLIP</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Z</w:t>
      </w:r>
      <w:r>
        <w:rPr>
          <w:rFonts w:ascii="Arial" w:cs="Arial" w:eastAsia="Arial" w:hAnsi="Arial"/>
          <w:sz w:val="14"/>
          <w:szCs w:val="14"/>
          <w:color w:val="auto"/>
        </w:rPr>
        <w:t>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20"/>
        <w:spacing w:after="0"/>
        <w:rPr>
          <w:sz w:val="20"/>
          <w:szCs w:val="20"/>
          <w:color w:val="auto"/>
        </w:rPr>
      </w:pPr>
      <w:r>
        <w:rPr>
          <w:rFonts w:ascii="Arial" w:cs="Arial" w:eastAsia="Arial" w:hAnsi="Arial"/>
          <w:sz w:val="14"/>
          <w:szCs w:val="14"/>
          <w:b w:val="1"/>
          <w:bCs w:val="1"/>
          <w:color w:val="auto"/>
        </w:rPr>
        <w:t>Phillip DeZwirek,</w:t>
      </w:r>
    </w:p>
    <w:p>
      <w:pPr>
        <w:jc w:val="center"/>
        <w:ind w:left="7220"/>
        <w:spacing w:after="0" w:line="223" w:lineRule="auto"/>
        <w:rPr>
          <w:sz w:val="20"/>
          <w:szCs w:val="20"/>
          <w:color w:val="auto"/>
        </w:rPr>
      </w:pPr>
      <w:r>
        <w:rPr>
          <w:rFonts w:ascii="Arial" w:cs="Arial" w:eastAsia="Arial" w:hAnsi="Arial"/>
          <w:sz w:val="14"/>
          <w:szCs w:val="14"/>
          <w:b w:val="1"/>
          <w:bCs w:val="1"/>
          <w:color w:val="auto"/>
        </w:rPr>
        <w:t>Chief Executive Officer</w:t>
      </w:r>
    </w:p>
    <w:p>
      <w:pPr>
        <w:jc w:val="center"/>
        <w:ind w:left="7220"/>
        <w:spacing w:after="0"/>
        <w:rPr>
          <w:sz w:val="20"/>
          <w:szCs w:val="20"/>
          <w:color w:val="auto"/>
        </w:rPr>
      </w:pPr>
      <w:r>
        <w:rPr>
          <w:rFonts w:ascii="Arial" w:cs="Arial" w:eastAsia="Arial" w:hAnsi="Arial"/>
          <w:sz w:val="14"/>
          <w:szCs w:val="14"/>
          <w:b w:val="1"/>
          <w:bCs w:val="1"/>
          <w:color w:val="auto"/>
        </w:rPr>
        <w:t>Dated: April 2, 2007</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Pursuant to the requirements of the Securities Exchange Act of 1934, this report has been signed below by the following persons on behalf of the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and on the dates indicated: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25" w:lineRule="exact"/>
        <w:rPr>
          <w:sz w:val="20"/>
          <w:szCs w:val="20"/>
          <w:color w:val="auto"/>
        </w:rPr>
      </w:pPr>
    </w:p>
    <w:p>
      <w:pPr>
        <w:ind w:left="1280"/>
        <w:spacing w:after="0"/>
        <w:tabs>
          <w:tab w:leader="none" w:pos="1600" w:val="left"/>
          <w:tab w:leader="none" w:pos="9900" w:val="left"/>
        </w:tabs>
        <w:rPr>
          <w:sz w:val="20"/>
          <w:szCs w:val="20"/>
          <w:color w:val="auto"/>
        </w:rPr>
      </w:pPr>
      <w:r>
        <w:rPr>
          <w:rFonts w:ascii="Arial" w:cs="Arial" w:eastAsia="Arial" w:hAnsi="Arial"/>
          <w:sz w:val="18"/>
          <w:szCs w:val="18"/>
          <w:color w:val="auto"/>
        </w:rPr>
        <w:t>/s/</w:t>
        <w:tab/>
        <w:t>P</w:t>
      </w:r>
      <w:r>
        <w:rPr>
          <w:rFonts w:ascii="Arial" w:cs="Arial" w:eastAsia="Arial" w:hAnsi="Arial"/>
          <w:sz w:val="14"/>
          <w:szCs w:val="14"/>
          <w:color w:val="auto"/>
        </w:rPr>
        <w:t>HILLIP</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Z</w:t>
      </w:r>
      <w:r>
        <w:rPr>
          <w:rFonts w:ascii="Arial" w:cs="Arial" w:eastAsia="Arial" w:hAnsi="Arial"/>
          <w:sz w:val="14"/>
          <w:szCs w:val="14"/>
          <w:color w:val="auto"/>
        </w:rPr>
        <w:t>WIREK</w:t>
      </w:r>
      <w:r>
        <w:rPr>
          <w:sz w:val="20"/>
          <w:szCs w:val="20"/>
          <w:color w:val="auto"/>
        </w:rPr>
        <w:tab/>
      </w:r>
      <w:r>
        <w:rPr>
          <w:rFonts w:ascii="Arial" w:cs="Arial" w:eastAsia="Arial" w:hAnsi="Arial"/>
          <w:sz w:val="16"/>
          <w:szCs w:val="16"/>
          <w:color w:val="auto"/>
        </w:rPr>
        <w:t>April 2,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907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jc w:val="center"/>
        <w:ind w:right="6760"/>
        <w:spacing w:after="0"/>
        <w:rPr>
          <w:sz w:val="20"/>
          <w:szCs w:val="20"/>
          <w:color w:val="auto"/>
        </w:rPr>
      </w:pPr>
      <w:r>
        <w:rPr>
          <w:rFonts w:ascii="Arial" w:cs="Arial" w:eastAsia="Arial" w:hAnsi="Arial"/>
          <w:sz w:val="14"/>
          <w:szCs w:val="14"/>
          <w:b w:val="1"/>
          <w:bCs w:val="1"/>
          <w:color w:val="auto"/>
        </w:rPr>
        <w:t>Phillip DeZwirek,</w:t>
      </w:r>
    </w:p>
    <w:p>
      <w:pPr>
        <w:jc w:val="center"/>
        <w:ind w:right="67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right="6760"/>
        <w:spacing w:after="0"/>
        <w:rPr>
          <w:sz w:val="20"/>
          <w:szCs w:val="20"/>
          <w:color w:val="auto"/>
        </w:rPr>
      </w:pPr>
      <w:r>
        <w:rPr>
          <w:rFonts w:ascii="Arial" w:cs="Arial" w:eastAsia="Arial" w:hAnsi="Arial"/>
          <w:sz w:val="14"/>
          <w:szCs w:val="14"/>
          <w:b w:val="1"/>
          <w:bCs w:val="1"/>
          <w:color w:val="auto"/>
        </w:rPr>
        <w:t>Director and Chief Executive Officer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tcPr>
          <w:p>
            <w:pPr>
              <w:jc w:val="center"/>
              <w:ind w:right="1367"/>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ENNIS</w:t>
            </w:r>
            <w:r>
              <w:rPr>
                <w:rFonts w:ascii="Arial" w:cs="Arial" w:eastAsia="Arial" w:hAnsi="Arial"/>
                <w:sz w:val="18"/>
                <w:szCs w:val="18"/>
                <w:color w:val="auto"/>
                <w:w w:val="99"/>
              </w:rPr>
              <w:t xml:space="preserve"> W. B</w:t>
            </w:r>
            <w:r>
              <w:rPr>
                <w:rFonts w:ascii="Arial" w:cs="Arial" w:eastAsia="Arial" w:hAnsi="Arial"/>
                <w:sz w:val="14"/>
                <w:szCs w:val="14"/>
                <w:color w:val="auto"/>
                <w:w w:val="99"/>
              </w:rPr>
              <w:t>LAZER</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07"/>
              <w:spacing w:after="0" w:line="131" w:lineRule="exact"/>
              <w:rPr>
                <w:sz w:val="20"/>
                <w:szCs w:val="20"/>
                <w:color w:val="auto"/>
              </w:rPr>
            </w:pPr>
            <w:r>
              <w:rPr>
                <w:rFonts w:ascii="Arial" w:cs="Arial" w:eastAsia="Arial" w:hAnsi="Arial"/>
                <w:sz w:val="14"/>
                <w:szCs w:val="14"/>
                <w:b w:val="1"/>
                <w:bCs w:val="1"/>
                <w:color w:val="auto"/>
                <w:w w:val="87"/>
              </w:rPr>
              <w:t>Dennis W. Blazer</w:t>
            </w:r>
          </w:p>
        </w:tc>
        <w:tc>
          <w:tcPr>
            <w:tcW w:w="6280" w:type="dxa"/>
            <w:vAlign w:val="bottom"/>
          </w:tcPr>
          <w:p>
            <w:pPr>
              <w:spacing w:after="0"/>
              <w:rPr>
                <w:sz w:val="11"/>
                <w:szCs w:val="11"/>
                <w:color w:val="auto"/>
              </w:rPr>
            </w:pPr>
          </w:p>
        </w:tc>
      </w:tr>
      <w:tr>
        <w:trPr>
          <w:trHeight w:val="149"/>
        </w:trPr>
        <w:tc>
          <w:tcPr>
            <w:tcW w:w="4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Vice President-Finance and Administration;</w:t>
            </w:r>
          </w:p>
        </w:tc>
        <w:tc>
          <w:tcPr>
            <w:tcW w:w="6280" w:type="dxa"/>
            <w:vAlign w:val="bottom"/>
          </w:tcPr>
          <w:p>
            <w:pPr>
              <w:spacing w:after="0"/>
              <w:rPr>
                <w:sz w:val="12"/>
                <w:szCs w:val="12"/>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27"/>
              <w:spacing w:after="0"/>
              <w:rPr>
                <w:sz w:val="20"/>
                <w:szCs w:val="20"/>
                <w:color w:val="auto"/>
              </w:rPr>
            </w:pPr>
            <w:r>
              <w:rPr>
                <w:rFonts w:ascii="Arial" w:cs="Arial" w:eastAsia="Arial" w:hAnsi="Arial"/>
                <w:sz w:val="14"/>
                <w:szCs w:val="14"/>
                <w:b w:val="1"/>
                <w:bCs w:val="1"/>
                <w:color w:val="auto"/>
                <w:w w:val="90"/>
              </w:rPr>
              <w:t>Chief Financial Officer</w:t>
            </w:r>
          </w:p>
        </w:tc>
        <w:tc>
          <w:tcPr>
            <w:tcW w:w="6280" w:type="dxa"/>
            <w:vAlign w:val="bottom"/>
          </w:tcPr>
          <w:p>
            <w:pPr>
              <w:spacing w:after="0"/>
              <w:rPr>
                <w:sz w:val="15"/>
                <w:szCs w:val="15"/>
                <w:color w:val="auto"/>
              </w:rPr>
            </w:pPr>
          </w:p>
        </w:tc>
      </w:tr>
      <w:tr>
        <w:trPr>
          <w:trHeight w:val="432"/>
        </w:trPr>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83"/>
              </w:rPr>
              <w:t>/s/</w:t>
            </w:r>
          </w:p>
        </w:tc>
        <w:tc>
          <w:tcPr>
            <w:tcW w:w="3080" w:type="dxa"/>
            <w:vAlign w:val="bottom"/>
            <w:tcBorders>
              <w:bottom w:val="single" w:sz="8" w:color="auto"/>
            </w:tcBorders>
          </w:tcPr>
          <w:p>
            <w:pPr>
              <w:jc w:val="center"/>
              <w:ind w:right="1367"/>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ICHARD</w:t>
            </w:r>
            <w:r>
              <w:rPr>
                <w:rFonts w:ascii="Arial" w:cs="Arial" w:eastAsia="Arial" w:hAnsi="Arial"/>
                <w:sz w:val="18"/>
                <w:szCs w:val="18"/>
                <w:color w:val="auto"/>
                <w:w w:val="99"/>
              </w:rPr>
              <w:t xml:space="preserve"> J. B</w:t>
            </w:r>
            <w:r>
              <w:rPr>
                <w:rFonts w:ascii="Arial" w:cs="Arial" w:eastAsia="Arial" w:hAnsi="Arial"/>
                <w:sz w:val="14"/>
                <w:szCs w:val="14"/>
                <w:color w:val="auto"/>
                <w:w w:val="99"/>
              </w:rPr>
              <w:t>LUM</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07"/>
              <w:spacing w:after="0" w:line="131" w:lineRule="exact"/>
              <w:rPr>
                <w:sz w:val="20"/>
                <w:szCs w:val="20"/>
                <w:color w:val="auto"/>
              </w:rPr>
            </w:pPr>
            <w:r>
              <w:rPr>
                <w:rFonts w:ascii="Arial" w:cs="Arial" w:eastAsia="Arial" w:hAnsi="Arial"/>
                <w:sz w:val="14"/>
                <w:szCs w:val="14"/>
                <w:b w:val="1"/>
                <w:bCs w:val="1"/>
                <w:color w:val="auto"/>
                <w:w w:val="90"/>
              </w:rPr>
              <w:t>Richard J. Blum,</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27"/>
              <w:spacing w:after="0"/>
              <w:rPr>
                <w:sz w:val="20"/>
                <w:szCs w:val="20"/>
                <w:color w:val="auto"/>
              </w:rPr>
            </w:pPr>
            <w:r>
              <w:rPr>
                <w:rFonts w:ascii="Arial" w:cs="Arial" w:eastAsia="Arial" w:hAnsi="Arial"/>
                <w:sz w:val="14"/>
                <w:szCs w:val="14"/>
                <w:b w:val="1"/>
                <w:bCs w:val="1"/>
                <w:color w:val="auto"/>
                <w:w w:val="87"/>
              </w:rPr>
              <w:t>President, Director</w:t>
            </w:r>
          </w:p>
        </w:tc>
        <w:tc>
          <w:tcPr>
            <w:tcW w:w="6280" w:type="dxa"/>
            <w:vAlign w:val="bottom"/>
          </w:tcPr>
          <w:p>
            <w:pPr>
              <w:spacing w:after="0"/>
              <w:rPr>
                <w:sz w:val="15"/>
                <w:szCs w:val="15"/>
                <w:color w:val="auto"/>
              </w:rPr>
            </w:pPr>
          </w:p>
        </w:tc>
      </w:tr>
      <w:tr>
        <w:trPr>
          <w:trHeight w:val="432"/>
        </w:trPr>
        <w:tc>
          <w:tcPr>
            <w:tcW w:w="4580" w:type="dxa"/>
            <w:vAlign w:val="bottom"/>
            <w:tcBorders>
              <w:bottom w:val="single" w:sz="8" w:color="auto"/>
            </w:tcBorders>
            <w:gridSpan w:val="2"/>
          </w:tcPr>
          <w:p>
            <w:pPr>
              <w:jc w:val="center"/>
              <w:ind w:right="207"/>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ASON</w:t>
            </w:r>
            <w:r>
              <w:rPr>
                <w:rFonts w:ascii="Arial" w:cs="Arial" w:eastAsia="Arial" w:hAnsi="Arial"/>
                <w:sz w:val="18"/>
                <w:szCs w:val="18"/>
                <w:color w:val="auto"/>
              </w:rPr>
              <w:t xml:space="preserve"> L</w:t>
            </w:r>
            <w:r>
              <w:rPr>
                <w:rFonts w:ascii="Arial" w:cs="Arial" w:eastAsia="Arial" w:hAnsi="Arial"/>
                <w:sz w:val="14"/>
                <w:szCs w:val="14"/>
                <w:color w:val="auto"/>
              </w:rPr>
              <w:t>OUIS</w:t>
            </w:r>
            <w:r>
              <w:rPr>
                <w:rFonts w:ascii="Arial" w:cs="Arial" w:eastAsia="Arial" w:hAnsi="Arial"/>
                <w:sz w:val="18"/>
                <w:szCs w:val="18"/>
                <w:color w:val="auto"/>
              </w:rPr>
              <w:t xml:space="preserve"> D</w:t>
            </w:r>
            <w:r>
              <w:rPr>
                <w:rFonts w:ascii="Arial" w:cs="Arial" w:eastAsia="Arial" w:hAnsi="Arial"/>
                <w:sz w:val="14"/>
                <w:szCs w:val="14"/>
                <w:color w:val="auto"/>
              </w:rPr>
              <w:t>E</w:t>
            </w:r>
            <w:r>
              <w:rPr>
                <w:rFonts w:ascii="Arial" w:cs="Arial" w:eastAsia="Arial" w:hAnsi="Arial"/>
                <w:sz w:val="18"/>
                <w:szCs w:val="18"/>
                <w:color w:val="auto"/>
              </w:rPr>
              <w:t>Z</w:t>
            </w:r>
            <w:r>
              <w:rPr>
                <w:rFonts w:ascii="Arial" w:cs="Arial" w:eastAsia="Arial" w:hAnsi="Arial"/>
                <w:sz w:val="14"/>
                <w:szCs w:val="14"/>
                <w:color w:val="auto"/>
              </w:rPr>
              <w:t>WIREK</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07"/>
              <w:spacing w:after="0" w:line="131" w:lineRule="exact"/>
              <w:rPr>
                <w:sz w:val="20"/>
                <w:szCs w:val="20"/>
                <w:color w:val="auto"/>
              </w:rPr>
            </w:pPr>
            <w:r>
              <w:rPr>
                <w:rFonts w:ascii="Arial" w:cs="Arial" w:eastAsia="Arial" w:hAnsi="Arial"/>
                <w:sz w:val="14"/>
                <w:szCs w:val="14"/>
                <w:b w:val="1"/>
                <w:bCs w:val="1"/>
                <w:color w:val="auto"/>
                <w:w w:val="86"/>
              </w:rPr>
              <w:t>Jason Louis DeZwirek,</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07"/>
              <w:spacing w:after="0"/>
              <w:rPr>
                <w:sz w:val="20"/>
                <w:szCs w:val="20"/>
                <w:color w:val="auto"/>
              </w:rPr>
            </w:pPr>
            <w:r>
              <w:rPr>
                <w:rFonts w:ascii="Arial" w:cs="Arial" w:eastAsia="Arial" w:hAnsi="Arial"/>
                <w:sz w:val="14"/>
                <w:szCs w:val="14"/>
                <w:b w:val="1"/>
                <w:bCs w:val="1"/>
                <w:color w:val="auto"/>
                <w:w w:val="89"/>
              </w:rPr>
              <w:t>Director</w:t>
            </w:r>
          </w:p>
        </w:tc>
        <w:tc>
          <w:tcPr>
            <w:tcW w:w="6280" w:type="dxa"/>
            <w:vAlign w:val="bottom"/>
          </w:tcPr>
          <w:p>
            <w:pPr>
              <w:spacing w:after="0"/>
              <w:rPr>
                <w:sz w:val="15"/>
                <w:szCs w:val="15"/>
                <w:color w:val="auto"/>
              </w:rPr>
            </w:pPr>
          </w:p>
        </w:tc>
      </w:tr>
      <w:tr>
        <w:trPr>
          <w:trHeight w:val="432"/>
        </w:trPr>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tcPr>
          <w:p>
            <w:pPr>
              <w:jc w:val="center"/>
              <w:ind w:right="1367"/>
              <w:spacing w:after="0"/>
              <w:rPr>
                <w:sz w:val="20"/>
                <w:szCs w:val="20"/>
                <w:color w:val="auto"/>
              </w:rPr>
            </w:pPr>
            <w:r>
              <w:rPr>
                <w:rFonts w:ascii="Arial" w:cs="Arial" w:eastAsia="Arial" w:hAnsi="Arial"/>
                <w:sz w:val="18"/>
                <w:szCs w:val="18"/>
                <w:color w:val="auto"/>
                <w:w w:val="98"/>
              </w:rPr>
              <w:t>T</w:t>
            </w:r>
            <w:r>
              <w:rPr>
                <w:rFonts w:ascii="Arial" w:cs="Arial" w:eastAsia="Arial" w:hAnsi="Arial"/>
                <w:sz w:val="14"/>
                <w:szCs w:val="14"/>
                <w:color w:val="auto"/>
                <w:w w:val="98"/>
              </w:rPr>
              <w:t>HOMAS</w:t>
            </w:r>
            <w:r>
              <w:rPr>
                <w:rFonts w:ascii="Arial" w:cs="Arial" w:eastAsia="Arial" w:hAnsi="Arial"/>
                <w:sz w:val="18"/>
                <w:szCs w:val="18"/>
                <w:color w:val="auto"/>
                <w:w w:val="98"/>
              </w:rPr>
              <w:t xml:space="preserve"> J. F</w:t>
            </w:r>
            <w:r>
              <w:rPr>
                <w:rFonts w:ascii="Arial" w:cs="Arial" w:eastAsia="Arial" w:hAnsi="Arial"/>
                <w:sz w:val="14"/>
                <w:szCs w:val="14"/>
                <w:color w:val="auto"/>
                <w:w w:val="98"/>
              </w:rPr>
              <w:t>LAHERTY</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07"/>
              <w:spacing w:after="0" w:line="131" w:lineRule="exact"/>
              <w:rPr>
                <w:sz w:val="20"/>
                <w:szCs w:val="20"/>
                <w:color w:val="auto"/>
              </w:rPr>
            </w:pPr>
            <w:r>
              <w:rPr>
                <w:rFonts w:ascii="Arial" w:cs="Arial" w:eastAsia="Arial" w:hAnsi="Arial"/>
                <w:sz w:val="14"/>
                <w:szCs w:val="14"/>
                <w:b w:val="1"/>
                <w:bCs w:val="1"/>
                <w:color w:val="auto"/>
                <w:w w:val="88"/>
              </w:rPr>
              <w:t>Thomas J. Flaherty,</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07"/>
              <w:spacing w:after="0"/>
              <w:rPr>
                <w:sz w:val="20"/>
                <w:szCs w:val="20"/>
                <w:color w:val="auto"/>
              </w:rPr>
            </w:pPr>
            <w:r>
              <w:rPr>
                <w:rFonts w:ascii="Arial" w:cs="Arial" w:eastAsia="Arial" w:hAnsi="Arial"/>
                <w:sz w:val="14"/>
                <w:szCs w:val="14"/>
                <w:b w:val="1"/>
                <w:bCs w:val="1"/>
                <w:color w:val="auto"/>
                <w:w w:val="89"/>
              </w:rPr>
              <w:t>Director</w:t>
            </w:r>
          </w:p>
        </w:tc>
        <w:tc>
          <w:tcPr>
            <w:tcW w:w="6280" w:type="dxa"/>
            <w:vAlign w:val="bottom"/>
          </w:tcPr>
          <w:p>
            <w:pPr>
              <w:spacing w:after="0"/>
              <w:rPr>
                <w:sz w:val="15"/>
                <w:szCs w:val="15"/>
                <w:color w:val="auto"/>
              </w:rPr>
            </w:pPr>
          </w:p>
        </w:tc>
      </w:tr>
      <w:tr>
        <w:trPr>
          <w:trHeight w:val="432"/>
        </w:trPr>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83"/>
              </w:rPr>
              <w:t>/s/</w:t>
            </w:r>
          </w:p>
        </w:tc>
        <w:tc>
          <w:tcPr>
            <w:tcW w:w="3080" w:type="dxa"/>
            <w:vAlign w:val="bottom"/>
            <w:tcBorders>
              <w:bottom w:val="single" w:sz="8" w:color="auto"/>
            </w:tcBorders>
          </w:tcPr>
          <w:p>
            <w:pPr>
              <w:jc w:val="center"/>
              <w:ind w:right="1367"/>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ONALD</w:t>
            </w:r>
            <w:r>
              <w:rPr>
                <w:rFonts w:ascii="Arial" w:cs="Arial" w:eastAsia="Arial" w:hAnsi="Arial"/>
                <w:sz w:val="18"/>
                <w:szCs w:val="18"/>
                <w:color w:val="auto"/>
                <w:w w:val="98"/>
              </w:rPr>
              <w:t xml:space="preserve"> E. K</w:t>
            </w:r>
            <w:r>
              <w:rPr>
                <w:rFonts w:ascii="Arial" w:cs="Arial" w:eastAsia="Arial" w:hAnsi="Arial"/>
                <w:sz w:val="14"/>
                <w:szCs w:val="14"/>
                <w:color w:val="auto"/>
                <w:w w:val="98"/>
              </w:rPr>
              <w:t>RIEG</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27"/>
              <w:spacing w:after="0" w:line="131" w:lineRule="exact"/>
              <w:rPr>
                <w:sz w:val="20"/>
                <w:szCs w:val="20"/>
                <w:color w:val="auto"/>
              </w:rPr>
            </w:pPr>
            <w:r>
              <w:rPr>
                <w:rFonts w:ascii="Arial" w:cs="Arial" w:eastAsia="Arial" w:hAnsi="Arial"/>
                <w:sz w:val="14"/>
                <w:szCs w:val="14"/>
                <w:b w:val="1"/>
                <w:bCs w:val="1"/>
                <w:color w:val="auto"/>
                <w:w w:val="90"/>
              </w:rPr>
              <w:t>Ronald E. Krieg,</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07"/>
              <w:spacing w:after="0"/>
              <w:rPr>
                <w:sz w:val="20"/>
                <w:szCs w:val="20"/>
                <w:color w:val="auto"/>
              </w:rPr>
            </w:pPr>
            <w:r>
              <w:rPr>
                <w:rFonts w:ascii="Arial" w:cs="Arial" w:eastAsia="Arial" w:hAnsi="Arial"/>
                <w:sz w:val="14"/>
                <w:szCs w:val="14"/>
                <w:b w:val="1"/>
                <w:bCs w:val="1"/>
                <w:color w:val="auto"/>
                <w:w w:val="89"/>
              </w:rPr>
              <w:t>Director</w:t>
            </w:r>
          </w:p>
        </w:tc>
        <w:tc>
          <w:tcPr>
            <w:tcW w:w="6280" w:type="dxa"/>
            <w:vAlign w:val="bottom"/>
          </w:tcPr>
          <w:p>
            <w:pPr>
              <w:spacing w:after="0"/>
              <w:rPr>
                <w:sz w:val="15"/>
                <w:szCs w:val="15"/>
                <w:color w:val="auto"/>
              </w:rPr>
            </w:pPr>
          </w:p>
        </w:tc>
      </w:tr>
      <w:tr>
        <w:trPr>
          <w:trHeight w:val="432"/>
        </w:trPr>
        <w:tc>
          <w:tcPr>
            <w:tcW w:w="4580" w:type="dxa"/>
            <w:vAlign w:val="bottom"/>
            <w:tcBorders>
              <w:bottom w:val="single" w:sz="8" w:color="auto"/>
            </w:tcBorders>
            <w:gridSpan w:val="2"/>
          </w:tcPr>
          <w:p>
            <w:pPr>
              <w:jc w:val="center"/>
              <w:ind w:right="207"/>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C</w:t>
            </w:r>
            <w:r>
              <w:rPr>
                <w:rFonts w:ascii="Arial" w:cs="Arial" w:eastAsia="Arial" w:hAnsi="Arial"/>
                <w:sz w:val="14"/>
                <w:szCs w:val="14"/>
                <w:color w:val="auto"/>
              </w:rPr>
              <w:t>APE</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27"/>
              <w:spacing w:after="0" w:line="131" w:lineRule="exact"/>
              <w:rPr>
                <w:sz w:val="20"/>
                <w:szCs w:val="20"/>
                <w:color w:val="auto"/>
              </w:rPr>
            </w:pPr>
            <w:r>
              <w:rPr>
                <w:rFonts w:ascii="Arial" w:cs="Arial" w:eastAsia="Arial" w:hAnsi="Arial"/>
                <w:sz w:val="14"/>
                <w:szCs w:val="14"/>
                <w:b w:val="1"/>
                <w:bCs w:val="1"/>
                <w:color w:val="auto"/>
                <w:w w:val="91"/>
              </w:rPr>
              <w:t>Arthur Cape,</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07"/>
              <w:spacing w:after="0"/>
              <w:rPr>
                <w:sz w:val="20"/>
                <w:szCs w:val="20"/>
                <w:color w:val="auto"/>
              </w:rPr>
            </w:pPr>
            <w:r>
              <w:rPr>
                <w:rFonts w:ascii="Arial" w:cs="Arial" w:eastAsia="Arial" w:hAnsi="Arial"/>
                <w:sz w:val="14"/>
                <w:szCs w:val="14"/>
                <w:b w:val="1"/>
                <w:bCs w:val="1"/>
                <w:color w:val="auto"/>
                <w:w w:val="89"/>
              </w:rPr>
              <w:t>Director</w:t>
            </w:r>
          </w:p>
        </w:tc>
        <w:tc>
          <w:tcPr>
            <w:tcW w:w="6280" w:type="dxa"/>
            <w:vAlign w:val="bottom"/>
          </w:tcPr>
          <w:p>
            <w:pPr>
              <w:spacing w:after="0"/>
              <w:rPr>
                <w:sz w:val="15"/>
                <w:szCs w:val="15"/>
                <w:color w:val="auto"/>
              </w:rPr>
            </w:pPr>
          </w:p>
        </w:tc>
      </w:tr>
      <w:tr>
        <w:trPr>
          <w:trHeight w:val="432"/>
        </w:trPr>
        <w:tc>
          <w:tcPr>
            <w:tcW w:w="15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3080" w:type="dxa"/>
            <w:vAlign w:val="bottom"/>
            <w:tcBorders>
              <w:bottom w:val="single" w:sz="8" w:color="auto"/>
            </w:tcBorders>
          </w:tcPr>
          <w:p>
            <w:pPr>
              <w:jc w:val="center"/>
              <w:ind w:right="1347"/>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ONALD</w:t>
            </w:r>
            <w:r>
              <w:rPr>
                <w:rFonts w:ascii="Arial" w:cs="Arial" w:eastAsia="Arial" w:hAnsi="Arial"/>
                <w:sz w:val="18"/>
                <w:szCs w:val="18"/>
                <w:color w:val="auto"/>
              </w:rPr>
              <w:t xml:space="preserve"> A. W</w:t>
            </w:r>
            <w:r>
              <w:rPr>
                <w:rFonts w:ascii="Arial" w:cs="Arial" w:eastAsia="Arial" w:hAnsi="Arial"/>
                <w:sz w:val="14"/>
                <w:szCs w:val="14"/>
                <w:color w:val="auto"/>
              </w:rPr>
              <w:t>RIGHT</w:t>
            </w:r>
          </w:p>
        </w:tc>
        <w:tc>
          <w:tcPr>
            <w:tcW w:w="6280" w:type="dxa"/>
            <w:vAlign w:val="bottom"/>
          </w:tcPr>
          <w:p>
            <w:pPr>
              <w:ind w:left="5340"/>
              <w:spacing w:after="0"/>
              <w:rPr>
                <w:sz w:val="20"/>
                <w:szCs w:val="20"/>
                <w:color w:val="auto"/>
              </w:rPr>
            </w:pPr>
            <w:r>
              <w:rPr>
                <w:rFonts w:ascii="Arial" w:cs="Arial" w:eastAsia="Arial" w:hAnsi="Arial"/>
                <w:sz w:val="18"/>
                <w:szCs w:val="18"/>
                <w:color w:val="auto"/>
                <w:w w:val="90"/>
              </w:rPr>
              <w:t>April 2, 2007</w:t>
            </w:r>
          </w:p>
        </w:tc>
      </w:tr>
      <w:tr>
        <w:trPr>
          <w:trHeight w:val="130"/>
        </w:trPr>
        <w:tc>
          <w:tcPr>
            <w:tcW w:w="1500" w:type="dxa"/>
            <w:vAlign w:val="bottom"/>
          </w:tcPr>
          <w:p>
            <w:pPr>
              <w:spacing w:after="0"/>
              <w:rPr>
                <w:sz w:val="11"/>
                <w:szCs w:val="11"/>
                <w:color w:val="auto"/>
              </w:rPr>
            </w:pPr>
          </w:p>
        </w:tc>
        <w:tc>
          <w:tcPr>
            <w:tcW w:w="3080" w:type="dxa"/>
            <w:vAlign w:val="bottom"/>
          </w:tcPr>
          <w:p>
            <w:pPr>
              <w:jc w:val="center"/>
              <w:ind w:right="1407"/>
              <w:spacing w:after="0" w:line="131" w:lineRule="exact"/>
              <w:rPr>
                <w:sz w:val="20"/>
                <w:szCs w:val="20"/>
                <w:color w:val="auto"/>
              </w:rPr>
            </w:pPr>
            <w:r>
              <w:rPr>
                <w:rFonts w:ascii="Arial" w:cs="Arial" w:eastAsia="Arial" w:hAnsi="Arial"/>
                <w:sz w:val="14"/>
                <w:szCs w:val="14"/>
                <w:b w:val="1"/>
                <w:bCs w:val="1"/>
                <w:color w:val="auto"/>
                <w:w w:val="91"/>
              </w:rPr>
              <w:t>Donald A. Wright,</w:t>
            </w:r>
          </w:p>
        </w:tc>
        <w:tc>
          <w:tcPr>
            <w:tcW w:w="6280" w:type="dxa"/>
            <w:vAlign w:val="bottom"/>
          </w:tcPr>
          <w:p>
            <w:pPr>
              <w:spacing w:after="0"/>
              <w:rPr>
                <w:sz w:val="11"/>
                <w:szCs w:val="11"/>
                <w:color w:val="auto"/>
              </w:rPr>
            </w:pPr>
          </w:p>
        </w:tc>
      </w:tr>
      <w:tr>
        <w:trPr>
          <w:trHeight w:val="174"/>
        </w:trPr>
        <w:tc>
          <w:tcPr>
            <w:tcW w:w="1500" w:type="dxa"/>
            <w:vAlign w:val="bottom"/>
          </w:tcPr>
          <w:p>
            <w:pPr>
              <w:spacing w:after="0"/>
              <w:rPr>
                <w:sz w:val="15"/>
                <w:szCs w:val="15"/>
                <w:color w:val="auto"/>
              </w:rPr>
            </w:pPr>
          </w:p>
        </w:tc>
        <w:tc>
          <w:tcPr>
            <w:tcW w:w="3080" w:type="dxa"/>
            <w:vAlign w:val="bottom"/>
          </w:tcPr>
          <w:p>
            <w:pPr>
              <w:jc w:val="center"/>
              <w:ind w:right="1407"/>
              <w:spacing w:after="0"/>
              <w:rPr>
                <w:sz w:val="20"/>
                <w:szCs w:val="20"/>
                <w:color w:val="auto"/>
              </w:rPr>
            </w:pPr>
            <w:r>
              <w:rPr>
                <w:rFonts w:ascii="Arial" w:cs="Arial" w:eastAsia="Arial" w:hAnsi="Arial"/>
                <w:sz w:val="14"/>
                <w:szCs w:val="14"/>
                <w:b w:val="1"/>
                <w:bCs w:val="1"/>
                <w:color w:val="auto"/>
                <w:w w:val="89"/>
              </w:rPr>
              <w:t>Director</w:t>
            </w:r>
          </w:p>
        </w:tc>
        <w:tc>
          <w:tcPr>
            <w:tcW w:w="6280" w:type="dxa"/>
            <w:vAlign w:val="bottom"/>
          </w:tcPr>
          <w:p>
            <w:pPr>
              <w:spacing w:after="0"/>
              <w:rPr>
                <w:sz w:val="15"/>
                <w:szCs w:val="15"/>
                <w:color w:val="auto"/>
              </w:rPr>
            </w:pPr>
          </w:p>
        </w:tc>
      </w:tr>
      <w:tr>
        <w:trPr>
          <w:trHeight w:val="363"/>
        </w:trPr>
        <w:tc>
          <w:tcPr>
            <w:tcW w:w="15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6280" w:type="dxa"/>
            <w:vAlign w:val="bottom"/>
          </w:tcPr>
          <w:p>
            <w:pPr>
              <w:ind w:left="104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360"/>
          </w:cols>
          <w:pgMar w:left="240" w:top="459" w:right="2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CECO ENVIRONMENTAL CORP. AND SUBSIDIARIES</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FINANCIAL STATEMENTS</w:t>
      </w:r>
    </w:p>
    <w:p>
      <w:pPr>
        <w:spacing w:after="0" w:line="164"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84"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have audited the accompanying consolidated balance sheet of CECO Environmental Corp. and subsidiaries as of December 31, 2006 and 2005, and the related consolidated statements of operations, shareholders’ equity, and cash flows for the years then ended. These financial statements are the responsibility of the Company’s management. Our responsibility is to express an opinion on these consolidated financial statements based on our audits.</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of America).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CECO Environmental Corp. and subsidiaries as of December 31, 2006 and 2005, and the results of their operations and their cash flows for the years ended December 31, 2006 and 2005, in conformity with accounting principles generally accepted in the United States of America.</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As discussed in Note 1 to the consolidated financial statements, effective January 1, 2006, the Company adopted Statement of Financial Accounting Standards No. 123(R), “Share-Based Payment (Revised 2004)” and, effective for the fiscal year ended December 31, 2006, the Company adopted Statement of Financial Accounting Standards No. 158, “Employers’ Accounting for Defined Benefit Pension and Other Postretirement Plans”.</w:t>
      </w:r>
    </w:p>
    <w:p>
      <w:pPr>
        <w:spacing w:after="0" w:line="26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Battelle &amp; Battelle LLP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April 2, 2007</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84"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have audited the accompanying consolidated balance sheet of CECO Environmental Corp. and subsidiaries as of December 31, 2004, and the related consolidated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CECO Environmental Corp. and subsidiaries as of December 31, 2004, and the results of their operations and their cash flows for the year ended December 31, 2004, in conformity with accounting principles generally accepted in the United States of America.</w:t>
      </w:r>
    </w:p>
    <w:p>
      <w:pPr>
        <w:spacing w:after="0" w:line="3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tab/>
        <w:t>D</w:t>
      </w:r>
      <w:r>
        <w:rPr>
          <w:rFonts w:ascii="Arial" w:cs="Arial" w:eastAsia="Arial" w:hAnsi="Arial"/>
          <w:sz w:val="14"/>
          <w:szCs w:val="14"/>
          <w:color w:val="auto"/>
        </w:rPr>
        <w:t>ELOITTE</w:t>
      </w:r>
      <w:r>
        <w:rPr>
          <w:rFonts w:ascii="Arial" w:cs="Arial" w:eastAsia="Arial" w:hAnsi="Arial"/>
          <w:sz w:val="18"/>
          <w:szCs w:val="18"/>
          <w:color w:val="auto"/>
        </w:rPr>
        <w:t xml:space="preserve">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31, 2005</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6"/>
              </w:rPr>
              <w:t>Dollars</w:t>
            </w:r>
          </w:p>
        </w:tc>
        <w:tc>
          <w:tcPr>
            <w:tcW w:w="1000" w:type="dxa"/>
            <w:vAlign w:val="bottom"/>
            <w:gridSpan w:val="3"/>
          </w:tcPr>
          <w:p>
            <w:pPr>
              <w:jc w:val="right"/>
              <w:ind w:right="113"/>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8"/>
              </w:rPr>
              <w:t>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38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26,925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13,151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10,766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2,755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1,762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42,653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8,530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Goodwill,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9,527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assets—finite life, 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 assets—indefinite life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1,395</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charges and other assets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507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63,188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42,900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2800"/>
              <w:spacing w:after="0"/>
              <w:rPr>
                <w:sz w:val="20"/>
                <w:szCs w:val="20"/>
                <w:color w:val="auto"/>
              </w:rPr>
            </w:pPr>
            <w:r>
              <w:rPr>
                <w:rFonts w:ascii="Arial" w:cs="Arial" w:eastAsia="Arial" w:hAnsi="Arial"/>
                <w:sz w:val="18"/>
                <w:szCs w:val="18"/>
                <w:b w:val="1"/>
                <w:bCs w:val="1"/>
                <w:color w:val="auto"/>
              </w:rPr>
              <w:t>LIABILITIES AND SHAREHOLDERS’ EQUITY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debt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620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subordinated notes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17,879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9,559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Detachable stock warrants</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28,342</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18,193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2,524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Debt, less current portion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9,971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2,527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Related party subordinated notes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4,901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vMerge w:val="continue"/>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48,265</w:t>
            </w: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36,117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Shareholders’ equity:</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$.01 par value; 10,000 shares authorized, none issued</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2"/>
              </w:rPr>
              <w:t>Common stock, $.01 par value; 100,000,000 shares authorized, 11,622,729 and 10,168,479 shares issued in 2006 and 2005,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respectively</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20,421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Accumulated deficit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92"/>
              <w:spacing w:after="0"/>
              <w:rPr>
                <w:sz w:val="20"/>
                <w:szCs w:val="20"/>
                <w:color w:val="auto"/>
              </w:rPr>
            </w:pPr>
            <w:r>
              <w:rPr>
                <w:rFonts w:ascii="Arial" w:cs="Arial" w:eastAsia="Arial" w:hAnsi="Arial"/>
                <w:sz w:val="18"/>
                <w:szCs w:val="18"/>
                <w:color w:val="auto"/>
                <w:w w:val="91"/>
              </w:rPr>
              <w:t>(3,978)</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(7,072)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w w:val="91"/>
              </w:rPr>
              <w:t>(1,280)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15,279</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7,256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Less treasury stock, at cost, 137,920 and 175,220 shares in 2006 and 2005, respectively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(356)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vMerge w:val="restart"/>
          </w:tcPr>
          <w:p>
            <w:pPr>
              <w:ind w:left="860"/>
              <w:spacing w:after="0"/>
              <w:rPr>
                <w:sz w:val="20"/>
                <w:szCs w:val="20"/>
                <w:color w:val="auto"/>
              </w:rPr>
            </w:pPr>
            <w:r>
              <w:rPr>
                <w:rFonts w:ascii="Arial" w:cs="Arial" w:eastAsia="Arial" w:hAnsi="Arial"/>
                <w:sz w:val="18"/>
                <w:szCs w:val="18"/>
                <w:color w:val="auto"/>
              </w:rPr>
              <w:t>Total shareholders’ equity</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52"/>
              <w:spacing w:after="0"/>
              <w:rPr>
                <w:sz w:val="20"/>
                <w:szCs w:val="20"/>
                <w:color w:val="auto"/>
              </w:rPr>
            </w:pPr>
            <w:r>
              <w:rPr>
                <w:rFonts w:ascii="Arial" w:cs="Arial" w:eastAsia="Arial" w:hAnsi="Arial"/>
                <w:sz w:val="18"/>
                <w:szCs w:val="18"/>
                <w:color w:val="auto"/>
                <w:w w:val="83"/>
              </w:rPr>
              <w:t>14,923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3"/>
              </w:rPr>
              <w:t>63,188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1"/>
              </w:rPr>
              <w:t>Year Ended December 31,</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10"/>
          </w:tcPr>
          <w:p>
            <w:pPr>
              <w:jc w:val="right"/>
              <w:ind w:right="740"/>
              <w:spacing w:after="0" w:line="142" w:lineRule="exact"/>
              <w:rPr>
                <w:sz w:val="20"/>
                <w:szCs w:val="20"/>
                <w:color w:val="auto"/>
              </w:rPr>
            </w:pPr>
            <w:r>
              <w:rPr>
                <w:rFonts w:ascii="Arial" w:cs="Arial" w:eastAsia="Arial" w:hAnsi="Arial"/>
                <w:sz w:val="14"/>
                <w:szCs w:val="14"/>
                <w:b w:val="1"/>
                <w:bCs w:val="1"/>
                <w:color w:val="auto"/>
              </w:rPr>
              <w:t>Dollars 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135,359</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81,521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sales, exclusive of items shown separately below</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111,261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64,521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Selling and administrative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16,822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12,308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129,312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77,996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812</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(including related party interest of $732, $1,049 and $873, respectively)</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(2,413)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(2,561)</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4,862</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3,094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(435)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Per share data:</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Basic 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4"/>
              </w:rPr>
              <w:t>11,260,459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9,993,260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9,989,666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12,890,401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color w:val="auto"/>
                <w:w w:val="84"/>
              </w:rPr>
              <w:t>9,993,260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9,989,666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0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7"/>
              </w:rPr>
              <w:t>Common Stock</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32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w w:val="98"/>
              </w:rPr>
              <w:t>Treasury Stock</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Compre-</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4580" w:type="dxa"/>
            <w:vAlign w:val="bottom"/>
          </w:tcPr>
          <w:p>
            <w:pPr>
              <w:spacing w:after="0"/>
              <w:rPr>
                <w:sz w:val="6"/>
                <w:szCs w:val="6"/>
                <w:color w:val="auto"/>
              </w:rPr>
            </w:pPr>
          </w:p>
        </w:tc>
        <w:tc>
          <w:tcPr>
            <w:tcW w:w="1300" w:type="dxa"/>
            <w:vAlign w:val="bottom"/>
            <w:gridSpan w:val="5"/>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Capital in</w:t>
            </w:r>
          </w:p>
        </w:tc>
        <w:tc>
          <w:tcPr>
            <w:tcW w:w="100" w:type="dxa"/>
            <w:vAlign w:val="bottom"/>
          </w:tcPr>
          <w:p>
            <w:pPr>
              <w:spacing w:after="0"/>
              <w:rPr>
                <w:sz w:val="6"/>
                <w:szCs w:val="6"/>
                <w:color w:val="auto"/>
              </w:rPr>
            </w:pPr>
          </w:p>
        </w:tc>
        <w:tc>
          <w:tcPr>
            <w:tcW w:w="8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w:t>
            </w:r>
          </w:p>
        </w:tc>
        <w:tc>
          <w:tcPr>
            <w:tcW w:w="100" w:type="dxa"/>
            <w:vAlign w:val="bottom"/>
          </w:tcPr>
          <w:p>
            <w:pPr>
              <w:spacing w:after="0"/>
              <w:rPr>
                <w:sz w:val="6"/>
                <w:szCs w:val="6"/>
                <w:color w:val="auto"/>
              </w:rPr>
            </w:pPr>
          </w:p>
        </w:tc>
        <w:tc>
          <w:tcPr>
            <w:tcW w:w="940" w:type="dxa"/>
            <w:vAlign w:val="bottom"/>
            <w:gridSpan w:val="2"/>
            <w:vMerge w:val="restart"/>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Other</w:t>
            </w:r>
          </w:p>
        </w:tc>
        <w:tc>
          <w:tcPr>
            <w:tcW w:w="1320" w:type="dxa"/>
            <w:vAlign w:val="bottom"/>
            <w:gridSpan w:val="5"/>
            <w:vMerge w:val="continue"/>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hensive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58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Excess of</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312"/>
              <w:spacing w:after="0" w:line="149" w:lineRule="exact"/>
              <w:rPr>
                <w:sz w:val="20"/>
                <w:szCs w:val="20"/>
                <w:color w:val="auto"/>
              </w:rPr>
            </w:pPr>
            <w:r>
              <w:rPr>
                <w:rFonts w:ascii="Arial" w:cs="Arial" w:eastAsia="Arial" w:hAnsi="Arial"/>
                <w:sz w:val="14"/>
                <w:szCs w:val="14"/>
                <w:b w:val="1"/>
                <w:bCs w:val="1"/>
                <w:color w:val="auto"/>
                <w:w w:val="97"/>
              </w:rPr>
              <w:t>lated</w:t>
            </w:r>
          </w:p>
        </w:tc>
        <w:tc>
          <w:tcPr>
            <w:tcW w:w="1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Compre-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76"/>
              </w:rPr>
              <w:t>Shares</w:t>
            </w:r>
          </w:p>
        </w:tc>
        <w:tc>
          <w:tcPr>
            <w:tcW w:w="26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w w:val="84"/>
              </w:rPr>
              <w:t>Deficit</w:t>
            </w: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hensive Loss</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Total</w:t>
            </w:r>
          </w:p>
        </w:tc>
        <w:tc>
          <w:tcPr>
            <w:tcW w:w="120" w:type="dxa"/>
            <w:vAlign w:val="bottom"/>
          </w:tcPr>
          <w:p>
            <w:pPr>
              <w:spacing w:after="0"/>
              <w:rPr>
                <w:sz w:val="14"/>
                <w:szCs w:val="14"/>
                <w:color w:val="auto"/>
              </w:rPr>
            </w:pPr>
          </w:p>
        </w:tc>
        <w:tc>
          <w:tcPr>
            <w:tcW w:w="5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Income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3"/>
              </w:rPr>
              <w:t>Dollars in thousands</w:t>
            </w:r>
          </w:p>
        </w:tc>
        <w:tc>
          <w:tcPr>
            <w:tcW w:w="2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2004</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10,786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108</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16,329</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(5,709)</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(894)</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(801)</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(1,804)</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8,030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Net loss for the year ended December 31, 2004</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52"/>
              <w:spacing w:after="0" w:line="149" w:lineRule="exact"/>
              <w:rPr>
                <w:sz w:val="20"/>
                <w:szCs w:val="20"/>
                <w:color w:val="auto"/>
              </w:rPr>
            </w:pPr>
            <w:r>
              <w:rPr>
                <w:rFonts w:ascii="Arial" w:cs="Arial" w:eastAsia="Arial" w:hAnsi="Arial"/>
                <w:sz w:val="14"/>
                <w:szCs w:val="14"/>
                <w:color w:val="auto"/>
              </w:rPr>
              <w:t>(928)</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(928)</w:t>
            </w:r>
          </w:p>
        </w:tc>
        <w:tc>
          <w:tcPr>
            <w:tcW w:w="200" w:type="dxa"/>
            <w:vAlign w:val="bottom"/>
            <w:gridSpan w:val="2"/>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Treasury stock retirement</w:t>
            </w:r>
          </w:p>
        </w:tc>
        <w:tc>
          <w:tcPr>
            <w:tcW w:w="6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(626)</w:t>
            </w:r>
          </w:p>
        </w:tc>
        <w:tc>
          <w:tcPr>
            <w:tcW w:w="18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Minimum pension liability, net of tax $90</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136</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Translation loss</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Balance, December 31, 2004</w:t>
            </w: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600" w:type="dxa"/>
            <w:vAlign w:val="bottom"/>
            <w:gridSpan w:val="2"/>
            <w:vMerge w:val="continue"/>
          </w:tcPr>
          <w:p>
            <w:pPr>
              <w:spacing w:after="0"/>
              <w:rPr>
                <w:sz w:val="13"/>
                <w:szCs w:val="13"/>
                <w:color w:val="auto"/>
              </w:rPr>
            </w:pPr>
          </w:p>
        </w:tc>
        <w:tc>
          <w:tcPr>
            <w:tcW w:w="400" w:type="dxa"/>
            <w:vAlign w:val="bottom"/>
          </w:tcPr>
          <w:p>
            <w:pPr>
              <w:jc w:val="right"/>
              <w:spacing w:after="0" w:line="155" w:lineRule="exact"/>
              <w:rPr>
                <w:sz w:val="20"/>
                <w:szCs w:val="20"/>
                <w:color w:val="auto"/>
              </w:rPr>
            </w:pPr>
            <w:r>
              <w:rPr>
                <w:rFonts w:ascii="Arial" w:cs="Arial" w:eastAsia="Arial" w:hAnsi="Arial"/>
                <w:sz w:val="14"/>
                <w:szCs w:val="14"/>
                <w:color w:val="auto"/>
                <w:w w:val="88"/>
              </w:rPr>
              <w:t>10,168</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7"/>
              </w:rPr>
              <w:t>15,017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152"/>
              <w:spacing w:after="0" w:line="155" w:lineRule="exact"/>
              <w:rPr>
                <w:sz w:val="20"/>
                <w:szCs w:val="20"/>
                <w:color w:val="auto"/>
              </w:rPr>
            </w:pPr>
            <w:r>
              <w:rPr>
                <w:rFonts w:ascii="Arial" w:cs="Arial" w:eastAsia="Arial" w:hAnsi="Arial"/>
                <w:sz w:val="14"/>
                <w:szCs w:val="14"/>
                <w:color w:val="auto"/>
              </w:rPr>
              <w:t>(6,637)</w:t>
            </w:r>
          </w:p>
        </w:tc>
        <w:tc>
          <w:tcPr>
            <w:tcW w:w="100" w:type="dxa"/>
            <w:vAlign w:val="bottom"/>
          </w:tcPr>
          <w:p>
            <w:pPr>
              <w:spacing w:after="0"/>
              <w:rPr>
                <w:sz w:val="13"/>
                <w:szCs w:val="13"/>
                <w:color w:val="auto"/>
              </w:rPr>
            </w:pPr>
          </w:p>
        </w:tc>
        <w:tc>
          <w:tcPr>
            <w:tcW w:w="9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(760)</w:t>
            </w:r>
          </w:p>
        </w:tc>
        <w:tc>
          <w:tcPr>
            <w:tcW w:w="6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(175)</w:t>
            </w:r>
          </w:p>
        </w:tc>
        <w:tc>
          <w:tcPr>
            <w:tcW w:w="100" w:type="dxa"/>
            <w:vAlign w:val="bottom"/>
          </w:tcPr>
          <w:p>
            <w:pPr>
              <w:spacing w:after="0"/>
              <w:rPr>
                <w:sz w:val="13"/>
                <w:szCs w:val="13"/>
                <w:color w:val="auto"/>
              </w:rPr>
            </w:pPr>
          </w:p>
        </w:tc>
        <w:tc>
          <w:tcPr>
            <w:tcW w:w="56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(473)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w w:val="96"/>
              </w:rPr>
              <w:t>7,249</w:t>
            </w:r>
          </w:p>
        </w:tc>
        <w:tc>
          <w:tcPr>
            <w:tcW w:w="200" w:type="dxa"/>
            <w:vAlign w:val="bottom"/>
            <w:gridSpan w:val="2"/>
          </w:tcPr>
          <w:p>
            <w:pPr>
              <w:ind w:left="1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loss for the year ended December 31, 2005</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52"/>
              <w:spacing w:after="0" w:line="143" w:lineRule="exact"/>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(435)</w:t>
            </w:r>
          </w:p>
        </w:tc>
        <w:tc>
          <w:tcPr>
            <w:tcW w:w="200" w:type="dxa"/>
            <w:vAlign w:val="bottom"/>
            <w:gridSpan w:val="2"/>
            <w:shd w:val="clear" w:color="auto" w:fill="CCEEFF"/>
          </w:tcPr>
          <w:p>
            <w:pPr>
              <w:ind w:left="120"/>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Other comprehensive loss: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Minimum pension liability, net of tax $(22)</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Translation gain</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2005</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10,168</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15,017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(7,072)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(791)</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6,783</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4"/>
                <w:szCs w:val="14"/>
                <w:color w:val="auto"/>
              </w:rPr>
              <w:t>Net income for the year ended December 31, 2006</w:t>
            </w: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3,094</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w w:val="96"/>
              </w:rPr>
              <w:t>3,094</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6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200" w:type="dxa"/>
            <w:vAlign w:val="bottom"/>
            <w:gridSpan w:val="2"/>
          </w:tcPr>
          <w:p>
            <w:pPr>
              <w:ind w:left="120"/>
              <w:spacing w:after="0" w:line="143"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3,094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1,492</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6"/>
              </w:rPr>
              <w:t>3,363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Stock warrants issued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Treasury stock retirement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Tax benefit of warrants exercised</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1,187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6"/>
              </w:rPr>
              <w:t>1,187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 earned</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line="149" w:lineRule="exact"/>
              <w:rPr>
                <w:sz w:val="20"/>
                <w:szCs w:val="20"/>
                <w:color w:val="auto"/>
              </w:rPr>
            </w:pPr>
            <w:r>
              <w:rPr>
                <w:rFonts w:ascii="Arial" w:cs="Arial" w:eastAsia="Arial" w:hAnsi="Arial"/>
                <w:sz w:val="14"/>
                <w:szCs w:val="14"/>
                <w:color w:val="auto"/>
              </w:rPr>
              <w:t>Other comprehensive income (loss):</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58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rPr>
              <w:t>Adjustment for minimum pension/post retirement liability, net of tax</w:t>
            </w: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58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$(328)</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(492)</w:t>
            </w: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(492)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ind w:left="420"/>
              <w:spacing w:after="0" w:line="149" w:lineRule="exact"/>
              <w:rPr>
                <w:sz w:val="20"/>
                <w:szCs w:val="20"/>
                <w:color w:val="auto"/>
              </w:rPr>
            </w:pPr>
            <w:r>
              <w:rPr>
                <w:rFonts w:ascii="Arial" w:cs="Arial" w:eastAsia="Arial" w:hAnsi="Arial"/>
                <w:sz w:val="14"/>
                <w:szCs w:val="14"/>
                <w:color w:val="auto"/>
              </w:rPr>
              <w:t>Translation gain</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December 31, 2006</w:t>
            </w: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11,623</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w:t>
            </w: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7"/>
              </w:rPr>
              <w:t>20,421</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(3,978)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(1,280)</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(138)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(356)</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79"/>
              </w:rPr>
              <w:t>14,923</w:t>
            </w:r>
          </w:p>
        </w:tc>
        <w:tc>
          <w:tcPr>
            <w:tcW w:w="20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4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1"/>
              </w:rPr>
              <w:t>Dollars</w:t>
            </w: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2005</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040" w:type="dxa"/>
            <w:vAlign w:val="bottom"/>
            <w:gridSpan w:val="3"/>
          </w:tcPr>
          <w:p>
            <w:pPr>
              <w:jc w:val="right"/>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3,094</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(loss) to net cash (used in)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1,167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 cash interest expense included in net income (loss)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Non cash warrant valuation (income) expense included in net income</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(842)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806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 cash gains included in net income (loss)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Non cash loss from disposal of fixed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 cash compensation expense – stock options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Non cash tax effect of exercise of stock warrants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(13,774)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(6,085)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charges and 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5,862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5,793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income taxes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2,586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property and equipment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2"/>
        </w:trPr>
        <w:tc>
          <w:tcPr>
            <w:tcW w:w="86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borrowings (repayments) on revolving credit line</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Proceeds from exercise of warrants and options not under plan</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stock</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Subordinated debt repayments</w:t>
            </w: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(1,988)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debt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(1,088)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(1,954)</w:t>
            </w:r>
          </w:p>
        </w:tc>
        <w:tc>
          <w:tcPr>
            <w:tcW w:w="1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(1,207)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Supplemental Schedule of Non-Cash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Increase in principal balances of subordinated notes for accrued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DISCLOSURES OF CASH FLOW INFORMATION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w w:val="78"/>
              </w:rPr>
              <w:t>Dollars</w:t>
            </w:r>
          </w:p>
        </w:tc>
        <w:tc>
          <w:tcPr>
            <w:tcW w:w="92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Cash paid (refunded) during the year for:</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Interest</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98"/>
              <w:spacing w:after="0"/>
              <w:rPr>
                <w:sz w:val="20"/>
                <w:szCs w:val="20"/>
                <w:color w:val="auto"/>
              </w:rPr>
            </w:pPr>
            <w:r>
              <w:rPr>
                <w:rFonts w:ascii="Arial" w:cs="Arial" w:eastAsia="Arial" w:hAnsi="Arial"/>
                <w:sz w:val="18"/>
                <w:szCs w:val="18"/>
                <w:color w:val="auto"/>
                <w:w w:val="84"/>
              </w:rPr>
              <w:t>2,950</w:t>
            </w: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w w:val="84"/>
              </w:rPr>
              <w:t>1,514</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1,163</w:t>
            </w:r>
          </w:p>
        </w:tc>
        <w:tc>
          <w:tcPr>
            <w:tcW w:w="60" w:type="dxa"/>
            <w:vAlign w:val="bottom"/>
          </w:tcPr>
          <w:p>
            <w:pPr>
              <w:spacing w:after="0"/>
              <w:rPr>
                <w:sz w:val="18"/>
                <w:szCs w:val="18"/>
                <w:color w:val="auto"/>
              </w:rPr>
            </w:pPr>
          </w:p>
        </w:tc>
      </w:tr>
      <w:tr>
        <w:trPr>
          <w:trHeight w:val="20"/>
        </w:trPr>
        <w:tc>
          <w:tcPr>
            <w:tcW w:w="6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w:t>
            </w: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98"/>
              <w:spacing w:after="0"/>
              <w:rPr>
                <w:sz w:val="20"/>
                <w:szCs w:val="20"/>
                <w:color w:val="auto"/>
              </w:rPr>
            </w:pPr>
            <w:r>
              <w:rPr>
                <w:rFonts w:ascii="Arial" w:cs="Arial" w:eastAsia="Arial" w:hAnsi="Arial"/>
                <w:sz w:val="18"/>
                <w:szCs w:val="18"/>
                <w:color w:val="auto"/>
              </w:rPr>
              <w:t>350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0"/>
        </w:trPr>
        <w:tc>
          <w:tcPr>
            <w:tcW w:w="60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notes to consolidated financial statements are an integral part of the above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 and Summary of Significant Accounting Policies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i w:val="1"/>
          <w:iCs w:val="1"/>
          <w:color w:val="auto"/>
        </w:rPr>
        <w:t>Nature of business</w:t>
      </w:r>
      <w:r>
        <w:rPr>
          <w:rFonts w:ascii="Arial" w:cs="Arial" w:eastAsia="Arial" w:hAnsi="Arial"/>
          <w:sz w:val="18"/>
          <w:szCs w:val="18"/>
          <w:color w:val="auto"/>
        </w:rPr>
        <w:t>—The principal businesses of CECO Environmental Corp. is to provide innovative solutions to industrial ventilation and air quality</w:t>
      </w:r>
      <w:r>
        <w:rPr>
          <w:rFonts w:ascii="Arial" w:cs="Arial" w:eastAsia="Arial" w:hAnsi="Arial"/>
          <w:sz w:val="18"/>
          <w:szCs w:val="18"/>
          <w:i w:val="1"/>
          <w:iCs w:val="1"/>
          <w:color w:val="auto"/>
        </w:rPr>
        <w:t xml:space="preserve"> </w:t>
      </w:r>
      <w:r>
        <w:rPr>
          <w:rFonts w:ascii="Arial" w:cs="Arial" w:eastAsia="Arial" w:hAnsi="Arial"/>
          <w:sz w:val="18"/>
          <w:szCs w:val="18"/>
          <w:color w:val="auto"/>
        </w:rPr>
        <w:t>problems through dust, mist and fume control systems and particle and chemical technologies to industrial and commercial customers, primarily in the United States.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r>
        <w:rPr>
          <w:rFonts w:ascii="Arial" w:cs="Arial" w:eastAsia="Arial" w:hAnsi="Arial"/>
          <w:sz w:val="18"/>
          <w:szCs w:val="18"/>
          <w:color w:val="auto"/>
        </w:rPr>
        <w:t>—Our consolidated financial statements include the accounts of the following subsidiaries: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 Owned As Of</w:t>
            </w:r>
          </w:p>
        </w:tc>
      </w:tr>
      <w:tr>
        <w:trPr>
          <w:trHeight w:val="161"/>
        </w:trPr>
        <w:tc>
          <w:tcPr>
            <w:tcW w:w="92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December 31, 2006</w:t>
            </w:r>
          </w:p>
        </w:tc>
        <w:tc>
          <w:tcPr>
            <w:tcW w:w="140" w:type="dxa"/>
            <w:vAlign w:val="bottom"/>
          </w:tcPr>
          <w:p>
            <w:pPr>
              <w:spacing w:after="0"/>
              <w:rPr>
                <w:sz w:val="14"/>
                <w:szCs w:val="14"/>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CECO Group, Inc. (“Group”)</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CECO Filters, Inc. and Subsidiaries (“CFI”)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The Kirk &amp; Blum Manufacturing Company (“K&amp;B”)</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kbd/Technic, Inc (“kbd”)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CECO Abatement Systems, Inc (“CAS”)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CECOaire, Inc (“CAI”) .</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H.M. White, Inc. (“White”) .</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9260" w:type="dxa"/>
            <w:vAlign w:val="bottom"/>
          </w:tcPr>
          <w:p>
            <w:pPr>
              <w:spacing w:after="0"/>
              <w:rPr>
                <w:sz w:val="20"/>
                <w:szCs w:val="20"/>
                <w:color w:val="auto"/>
              </w:rPr>
            </w:pPr>
            <w:r>
              <w:rPr>
                <w:rFonts w:ascii="Arial" w:cs="Arial" w:eastAsia="Arial" w:hAnsi="Arial"/>
                <w:sz w:val="18"/>
                <w:szCs w:val="18"/>
                <w:color w:val="auto"/>
              </w:rPr>
              <w:t>CECO Acquisition Corp.</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w:t>
            </w:r>
          </w:p>
        </w:tc>
      </w:tr>
    </w:tbl>
    <w:p>
      <w:pPr>
        <w:spacing w:after="0" w:line="147"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CFI includes two wholly owned subsidiaries, New Busch Co., Inc. (“Busch”) and CECO Filters India Private Limited. Minority interest in CFI is not material and is included in other liabilities in the consolidated financial statements.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material intercompany balances and transactions have been eliminated.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i w:val="1"/>
          <w:iCs w:val="1"/>
          <w:color w:val="auto"/>
        </w:rPr>
        <w:t>Business Segment Information</w:t>
      </w:r>
      <w:r>
        <w:rPr>
          <w:rFonts w:ascii="Arial" w:cs="Arial" w:eastAsia="Arial" w:hAnsi="Arial"/>
          <w:sz w:val="16"/>
          <w:szCs w:val="16"/>
          <w:color w:val="auto"/>
        </w:rPr>
        <w:t>—Our structure and operational integration results in one segment that focuses on engineering, designing, building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installing systems that remove airborne contaminants from industrial facilities, as well as equipment that controls emissions from such facilities. Accordingly, the condensed consolidated financial statements herein reflect the operating results of the segment.</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Cash and cash equivalents</w:t>
      </w:r>
      <w:r>
        <w:rPr>
          <w:rFonts w:ascii="Arial" w:cs="Arial" w:eastAsia="Arial" w:hAnsi="Arial"/>
          <w:sz w:val="16"/>
          <w:szCs w:val="16"/>
          <w:color w:val="auto"/>
        </w:rPr>
        <w:t>—We consider all highly liquid investments with original maturities of three months or less to be cash equivalents.</w:t>
      </w:r>
    </w:p>
    <w:p>
      <w:pPr>
        <w:spacing w:after="0" w:line="19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Investments in marketable securities</w:t>
      </w:r>
      <w:r>
        <w:rPr>
          <w:rFonts w:ascii="Arial" w:cs="Arial" w:eastAsia="Arial" w:hAnsi="Arial"/>
          <w:sz w:val="18"/>
          <w:szCs w:val="18"/>
          <w:color w:val="auto"/>
        </w:rPr>
        <w:t>—Investments in marketable securities are generally comprised of corporate common stock securities.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generally are classified as trading securities, which are carried at their fair value based on quoted market prices. Accordingly, net realized and unrealized gains and losses on trading securities and interest income are included in other income (expense). Realized gains and losses are recorded based on the specific identification method. We did not have any investments of marketable securities at December 31, 2006 or 2005, while at December 31, 2004 the fair value of investments in marketable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securities totaled $99,000 all of which is restricted for bonding purposes. These investments are included in prepaid expenses and other current assets in the consolidated balance sheets.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Accounts Receivable</w:t>
      </w:r>
      <w:r>
        <w:rPr>
          <w:rFonts w:ascii="Arial" w:cs="Arial" w:eastAsia="Arial" w:hAnsi="Arial"/>
          <w:sz w:val="16"/>
          <w:szCs w:val="16"/>
          <w:color w:val="auto"/>
        </w:rPr>
        <w:t>—Trade receivables are uncollateralized customer obligations due under normal trade terms requiring payment generally within 30</w:t>
      </w:r>
      <w:r>
        <w:rPr>
          <w:rFonts w:ascii="Arial" w:cs="Arial" w:eastAsia="Arial" w:hAnsi="Arial"/>
          <w:sz w:val="16"/>
          <w:szCs w:val="16"/>
          <w:i w:val="1"/>
          <w:iCs w:val="1"/>
          <w:color w:val="auto"/>
        </w:rPr>
        <w:t xml:space="preserve"> </w:t>
      </w:r>
      <w:r>
        <w:rPr>
          <w:rFonts w:ascii="Arial" w:cs="Arial" w:eastAsia="Arial" w:hAnsi="Arial"/>
          <w:sz w:val="16"/>
          <w:szCs w:val="16"/>
          <w:color w:val="auto"/>
        </w:rPr>
        <w:t>days from the invoice date unless otherwise determined by specific contract. The Company’s estimate of the allowance for doubtful accounts for trade receivables is primarily determined based upon the length of time that the receivables are past due. In addition, management estimates are used to determine probable losses based upon an analysis of prior collection experience, specific account risks, and economic conditions.</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The Company has a series of actions that occur based upon the aging of past due trade receivables, including letters, statements, direct customer contact and liens. Accounts are deemed uncollectible based on past account experience and current account financial condition.</w:t>
      </w:r>
    </w:p>
    <w:p>
      <w:pPr>
        <w:spacing w:after="0" w:line="8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i w:val="1"/>
          <w:iCs w:val="1"/>
          <w:color w:val="auto"/>
        </w:rPr>
        <w:t>Inventories—</w:t>
      </w:r>
      <w:r>
        <w:rPr>
          <w:rFonts w:ascii="Arial" w:cs="Arial" w:eastAsia="Arial" w:hAnsi="Arial"/>
          <w:sz w:val="16"/>
          <w:szCs w:val="16"/>
          <w:color w:val="auto"/>
        </w:rPr>
        <w:t>Prior to December 31, 2004, the Company valued the labor content of work-in-process and finished products inventories and substantially all</w:t>
      </w:r>
      <w:r>
        <w:rPr>
          <w:rFonts w:ascii="Arial" w:cs="Arial" w:eastAsia="Arial" w:hAnsi="Arial"/>
          <w:sz w:val="16"/>
          <w:szCs w:val="16"/>
          <w:i w:val="1"/>
          <w:iCs w:val="1"/>
          <w:color w:val="auto"/>
        </w:rPr>
        <w:t xml:space="preserve"> </w:t>
      </w:r>
      <w:r>
        <w:rPr>
          <w:rFonts w:ascii="Arial" w:cs="Arial" w:eastAsia="Arial" w:hAnsi="Arial"/>
          <w:sz w:val="16"/>
          <w:szCs w:val="16"/>
          <w:color w:val="auto"/>
        </w:rPr>
        <w:t>steel inventories at the Company’s Cincinnati Facility (approximately 69% of total inventories at December 31, 2003) at the lower of cost or market using the last-in, first-out (LIFO) inventory costing method. The Company’s remaining inventories were valued at the lower of cost or market using the first-in, first-out (FIFO) inventory costing method. Effective December 31, 2004, management changed its method of accounting for the Company’s LIFO inventory to the FIFO method. Management believes the FIFO method is preferable because it provides for: a uniform costing method for all of the Company’s inventories; a better matching of costs to revenues; and a more meaningful presentation of the Company’s financial position by reflecting recent costs in the balance sheet. The LIFO method of inventory valuation for all classes of inventory approximated the FIFO value at December 31, 2003 and 2002, therefore, prior periods have not been restated for this accounting change. The effect of the change for the three months ended December 31, 2004 and the year ended December 31, 2004 was an increase to inventory of $108,000. The effect on net loss for the three months ended December 31, 2004 and the year ended December 31, 2004 was a reduction of $65,000. Loss per share was reduced for the three months ended December 31, 2004 and the year ended December 31, 2004 by $.01.</w:t>
      </w:r>
    </w:p>
    <w:p>
      <w:pPr>
        <w:spacing w:after="0" w:line="12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i w:val="1"/>
          <w:iCs w:val="1"/>
          <w:color w:val="auto"/>
        </w:rPr>
        <w:t>Accounting for long-lived assets—</w:t>
      </w:r>
      <w:r>
        <w:rPr>
          <w:rFonts w:ascii="Arial" w:cs="Arial" w:eastAsia="Arial" w:hAnsi="Arial"/>
          <w:sz w:val="18"/>
          <w:szCs w:val="18"/>
          <w:color w:val="auto"/>
        </w:rPr>
        <w:t>Our policy is to assess the recoverability of long-lived assets when there are indications of potential impairment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undiscounted cash flows estimated to be generated by those assets are less than the carrying value of such assets.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Property and equipment—</w:t>
      </w:r>
      <w:r>
        <w:rPr>
          <w:rFonts w:ascii="Arial" w:cs="Arial" w:eastAsia="Arial" w:hAnsi="Arial"/>
          <w:sz w:val="18"/>
          <w:szCs w:val="18"/>
          <w:color w:val="auto"/>
        </w:rPr>
        <w:t>Property and equipment are recorded at cost. Expenditures for repairs and maintenance are charged to income as incurred.</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amortization are computed using the straight-line and accelerated methods over the estimated useful lives of the assets, which range from 12 to 40 years for building and improvements and 3 to 10 years for machinery and equipment.</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Intangible assets—</w:t>
      </w:r>
      <w:r>
        <w:rPr>
          <w:rFonts w:ascii="Arial" w:cs="Arial" w:eastAsia="Arial" w:hAnsi="Arial"/>
          <w:sz w:val="16"/>
          <w:szCs w:val="16"/>
          <w:color w:val="auto"/>
        </w:rPr>
        <w:t>Indefinite life intangible assets are comprised of tradenames, while finite life intangible assets are comprised of patents. The ratable</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of the goodwill associated with acquisitions and other intangible assets with indefinite lives was replaced with periodic tests for impairment with our adoption of Statement of Financial Accounting Standards (“SFAS”) No. 142, “Goodwill and Other Intangible Assets” on January 1, 2002. Other intangible assets with finite lives are being amortized on a straight-line basis over their estimated useful lives, which range from 5 to 17 years. In accordance with SFAS No. 142, we ceased amortization of goodwill and intangible assets with indefinite lives effective January 1, 2002. In the fourth</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quarter of 2006, we completed our annual tests for impairment and determined that the fair values of these net assets are in excess of the carrying values of such assets.</w:t>
      </w:r>
    </w:p>
    <w:p>
      <w:pPr>
        <w:spacing w:after="0" w:line="132"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Cash Surrender Value of Life Insurance</w:t>
      </w:r>
      <w:r>
        <w:rPr>
          <w:rFonts w:ascii="Arial" w:cs="Arial" w:eastAsia="Arial" w:hAnsi="Arial"/>
          <w:sz w:val="18"/>
          <w:szCs w:val="18"/>
          <w:color w:val="auto"/>
        </w:rPr>
        <w:t>—We have whole life insurance policies in force on the lives of six former shareholders of certain subsidiaries.</w:t>
      </w:r>
      <w:r>
        <w:rPr>
          <w:rFonts w:ascii="Arial" w:cs="Arial" w:eastAsia="Arial" w:hAnsi="Arial"/>
          <w:sz w:val="18"/>
          <w:szCs w:val="18"/>
          <w:i w:val="1"/>
          <w:iCs w:val="1"/>
          <w:color w:val="auto"/>
        </w:rPr>
        <w:t xml:space="preserve"> </w:t>
      </w:r>
      <w:r>
        <w:rPr>
          <w:rFonts w:ascii="Arial" w:cs="Arial" w:eastAsia="Arial" w:hAnsi="Arial"/>
          <w:sz w:val="18"/>
          <w:szCs w:val="18"/>
          <w:color w:val="auto"/>
        </w:rPr>
        <w:t>These policies were purchased by these subsidiaries prior to their acquisition by CECO Environmental, Inc. in 1999 and were originally intended to provide funding for repurchasing shares in the event of the death of a shareholder. The policies are fully paid up and the cash surrender values have been borrowed to pay premiums and interest on the policy loans, and to provide an occasional low cost source of financing for the Company. Interest on the policy loans is recorded to interest expense and the loan amounts on the cash surrender values are increased to cover payment of this expense. The net value of these policies, reported as other long term assets, was $357,000, $384,000 and $425,000 as of December 31, 2006, 2005 and 2004, respectively. The net cash surrender value approximates fair value.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Deferred charges</w:t>
      </w:r>
      <w:r>
        <w:rPr>
          <w:rFonts w:ascii="Arial" w:cs="Arial" w:eastAsia="Arial" w:hAnsi="Arial"/>
          <w:sz w:val="16"/>
          <w:szCs w:val="16"/>
          <w:color w:val="auto"/>
        </w:rPr>
        <w:t>—Deferred charges primarily represent deferred financing costs, which are amortized to interest expense over the life of the related loan.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$109,000, $71,000 and $405,000 for 2006, 2005 and 2004, respectively.</w:t>
      </w:r>
    </w:p>
    <w:p>
      <w:pPr>
        <w:spacing w:after="0" w:line="16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Instruments—</w:t>
      </w:r>
      <w:r>
        <w:rPr>
          <w:rFonts w:ascii="Arial" w:cs="Arial" w:eastAsia="Arial" w:hAnsi="Arial"/>
          <w:sz w:val="16"/>
          <w:szCs w:val="16"/>
          <w:color w:val="auto"/>
        </w:rPr>
        <w:t>On January 1, 2001, we adopted Statement of Financial Accounting Standards (“SFAS”) No. 133, “Accounting for Derivative</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and Hedging Activities,” as amended by SFAS No. 138, “Accounting for Certain Derivative Instruments and Certain Hedging Activities”. Under this guidance all derivative instruments, including those embedded in other contracts are recognized as either assets or liabilities and those financial instruments are measured at fair value. The accounting for changes in the fair value of derivatives depends on their intended use and designation.</w:t>
      </w:r>
    </w:p>
    <w:p>
      <w:pPr>
        <w:spacing w:after="0" w:line="11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are exposed to market risk from changes in interest rates. Our policy is to manage interest rate costs using a mix of fixed and variable rate debt. To manage this mix in a cost-efficient manner, we may enter into interest rate swaps or other hedge type arrangements, in which we agree to exchange, at specified intervals, the difference between fixed and variable interest amounts calculated by reference to an agreed-upon notional principal amount. Our interest rate swaps matured in 2002 and were not replaced.</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Revenues from contracts, representing the majority of our revenues, are recognized on the percentage of completion method,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the percentage of contract costs incurred to date compared to estimated total contract costs for each contract. This method is used because management considers contract costs to be the best available measure of progress on these contracts. Our remaining revenues are recognized when risk and title passes to the customer, which is generally upon shipment of product.</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Contract costs include direct material, labor costs and those indirect costs related to contract performance, such as indirect labor, supplies, tools and repairs. Selling and administrative costs are charged to expense as incurred. Provisions for estimated losses on uncompleted contracts are made in the period in which such losses are determined. Changes in job performance, job conditions and estimated profitability may result in revisions to contract revenue and costs and are recognized in the period in which the revisions are made. Our reserve for estimated losses on uncompleted contracts is $79,000, $6,000 and $12,000 as of December 31, 2006, 2005 and 2004, respectively.</w:t>
      </w:r>
    </w:p>
    <w:p>
      <w:pPr>
        <w:spacing w:after="0" w:line="14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asset, “Costs and estimated earnings in excess of billings on uncompleted contracts,” represents revenues recognized in excess of amounts billed. The liability, “Billings in excess of costs and estimated earnings on uncompleted contracts,” represents billings in excess of revenues recognized.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i w:val="1"/>
          <w:iCs w:val="1"/>
          <w:color w:val="auto"/>
        </w:rPr>
        <w:t>Claims</w:t>
      </w:r>
      <w:r>
        <w:rPr>
          <w:rFonts w:ascii="Arial" w:cs="Arial" w:eastAsia="Arial" w:hAnsi="Arial"/>
          <w:sz w:val="16"/>
          <w:szCs w:val="16"/>
          <w:color w:val="auto"/>
        </w:rPr>
        <w:t>—The Company recognizes certain significant claims for recovery of incurred costs when it is probable that the claim will result in additional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 revenue and when the amount of the claim can be reliably estimated. Unapproved change orders are accounted for in revenue and cost when it is probable that the costs will be recovered through a change in the contract price. In circumstances where recovery is considered probable but the revenues cannot be reliably estimated, costs attributable to change orders are deferred pending determination of contract price. Claims against customers are recognized as income by us when collectibility of the claim is probable and the amount can be reasonably estimated.</w:t>
      </w:r>
    </w:p>
    <w:p>
      <w:pPr>
        <w:spacing w:after="0" w:line="11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Cost of sales amounts include materials, direct labor and associated benefits, inbound freight charges, purchasing and receiving, inspection,</w:t>
      </w:r>
      <w:r>
        <w:rPr>
          <w:rFonts w:ascii="Arial" w:cs="Arial" w:eastAsia="Arial" w:hAnsi="Arial"/>
          <w:sz w:val="16"/>
          <w:szCs w:val="16"/>
          <w:i w:val="1"/>
          <w:iCs w:val="1"/>
          <w:color w:val="auto"/>
        </w:rPr>
        <w:t xml:space="preserve"> </w:t>
      </w:r>
      <w:r>
        <w:rPr>
          <w:rFonts w:ascii="Arial" w:cs="Arial" w:eastAsia="Arial" w:hAnsi="Arial"/>
          <w:sz w:val="16"/>
          <w:szCs w:val="16"/>
          <w:color w:val="auto"/>
        </w:rPr>
        <w:t>warehousing and internal transfer costs. Customer freight charges are included in sales and actual freight expenses are included in cost of sales.</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—Deferred income taxes are provided using the liability method whereby deferred tax assets are recognized for deductible temporary</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differences and operating loss and tax credit carryforwards and deferred tax liabilities are recognized for taxable temporary differences. Temporary differences are the differences between the reported amounts of assets and liabilities and their tax bases. Deferred tax assets and liabilities are adjusted for the effects of changes in tax laws and rates on the date of enactment.</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color w:val="auto"/>
        </w:rPr>
        <w:t>Selling and administrative expenses—</w:t>
      </w:r>
      <w:r>
        <w:rPr>
          <w:rFonts w:ascii="Arial" w:cs="Arial" w:eastAsia="Arial" w:hAnsi="Arial"/>
          <w:sz w:val="18"/>
          <w:szCs w:val="18"/>
          <w:color w:val="auto"/>
        </w:rPr>
        <w:t>Selling and administrative expenses include sales and administrative wages and associated benefits, selling and office</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bad debt expense and change in life insurance cash surrender value.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Advertising costs—</w:t>
      </w:r>
      <w:r>
        <w:rPr>
          <w:rFonts w:ascii="Arial" w:cs="Arial" w:eastAsia="Arial" w:hAnsi="Arial"/>
          <w:sz w:val="18"/>
          <w:szCs w:val="18"/>
          <w:color w:val="auto"/>
        </w:rPr>
        <w:t>Advertising costs are charged to operations in the year incurred and totaled $283,000, $157,000 and $120,000 in 2006, 2005 and 2004,</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3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—Research and development costs are charged to expense as incurred. The amounts charged to operations were $0, $10,000 and</w:t>
      </w:r>
      <w:r>
        <w:rPr>
          <w:rFonts w:ascii="Arial" w:cs="Arial" w:eastAsia="Arial" w:hAnsi="Arial"/>
          <w:sz w:val="18"/>
          <w:szCs w:val="18"/>
          <w:i w:val="1"/>
          <w:iCs w:val="1"/>
          <w:color w:val="auto"/>
        </w:rPr>
        <w:t xml:space="preserve"> </w:t>
      </w:r>
      <w:r>
        <w:rPr>
          <w:rFonts w:ascii="Arial" w:cs="Arial" w:eastAsia="Arial" w:hAnsi="Arial"/>
          <w:sz w:val="18"/>
          <w:szCs w:val="18"/>
          <w:color w:val="auto"/>
        </w:rPr>
        <w:t>$16,000 in 2006, 2005 and 2004, respectively.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Earnings per share</w:t>
      </w:r>
      <w:r>
        <w:rPr>
          <w:rFonts w:ascii="Arial" w:cs="Arial" w:eastAsia="Arial" w:hAnsi="Arial"/>
          <w:sz w:val="16"/>
          <w:szCs w:val="16"/>
          <w:color w:val="auto"/>
        </w:rPr>
        <w:t>—For the year ended December 31, 2006, basic weighted average common shares outstanding were 11,260,459, while diluted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shares outstanding were 12,890,401. For the years ended December 31, 2005 and 2004, both basic weighted average common shares outstanding and diluted weighted average common shares outstanding were 9,993,260 and 9,989,666, respectively. We consider outstanding options and warrants in computing diluted net loss per share only when they are dilutive. Options and warrants to purchase 3,548,700 and 3,553,700 shares for the years ended December 31, 2005 and 2004, respectively, were not included in the computation of diluted earnings per share due to their having an anti-dilutive effect. There were no adjustments to net income (loss) for the basic or diluted earnings per share computations for any year presented.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number of shares outstanding for calculation of earnings per share (EPS) is as follows:</w:t>
      </w:r>
    </w:p>
    <w:p>
      <w:pPr>
        <w:spacing w:after="0" w:line="8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0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2004</w:t>
            </w: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outstanding-basic</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11,260,459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9,993,260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9,989,666</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Effect of potentially dilutive securities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1,629,942</w:t>
            </w:r>
          </w:p>
        </w:tc>
        <w:tc>
          <w:tcPr>
            <w:tcW w:w="9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ind w:right="2"/>
              <w:spacing w:after="0"/>
              <w:rPr>
                <w:sz w:val="20"/>
                <w:szCs w:val="20"/>
                <w:color w:val="auto"/>
              </w:rPr>
            </w:pPr>
            <w:r>
              <w:rPr>
                <w:rFonts w:ascii="Arial" w:cs="Arial" w:eastAsia="Arial" w:hAnsi="Arial"/>
                <w:sz w:val="18"/>
                <w:szCs w:val="18"/>
                <w:color w:val="auto"/>
              </w:rPr>
              <w:t>—</w:t>
            </w:r>
          </w:p>
        </w:tc>
      </w:tr>
      <w:tr>
        <w:trPr>
          <w:trHeight w:val="27"/>
        </w:trPr>
        <w:tc>
          <w:tcPr>
            <w:tcW w:w="6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outstanding-diluted</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12,890,401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9,993,260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9,989,666</w:t>
            </w:r>
          </w:p>
        </w:tc>
      </w:tr>
      <w:tr>
        <w:trPr>
          <w:trHeight w:val="20"/>
        </w:trPr>
        <w:tc>
          <w:tcPr>
            <w:tcW w:w="6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Stock-based compensation</w:t>
      </w:r>
      <w:r>
        <w:rPr>
          <w:rFonts w:ascii="Arial" w:cs="Arial" w:eastAsia="Arial" w:hAnsi="Arial"/>
          <w:sz w:val="18"/>
          <w:szCs w:val="18"/>
          <w:color w:val="auto"/>
        </w:rPr>
        <w:t>—The Company adopted Statement of Financial Accounting Standards (SFAS) No. 123(R), “Share-Based Payment,”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2006. SFAS No. 123(R) requires public entities to measure the cost of employee services received in exchange for an award of equity instruments and recognize this cost over the period during which an employee is required to provide the services. The Company has adopted SFAS No. 123(R) using the “modified prospective application” as defined in the Statement, and therefore financial statements from periods ending prior to January 1, 2006 have not been restated. As a result of adopting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SFAS No. 123(R) on January 1, 2006, the Company’s income before income taxes for the year ended December 31, 2006 was $143,000 lower and net income was $94,000 lower than if it had continued to account for share-based compensation under APB No. 25. Basic and diluted net income per share for the year ended December 31, 2006 would have been increased from $.27 to $.29 and $.24 to $.25 respectively if the Company had not adopted SFAS No. 123(R). See further discussion in Note 11.</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Prior to January 1, 2006, the Company applied the provisions of Accounting Principles Board Opinion No. 25 (APB No. 25), “Accounting for Stock Issued to Employees.” Accordingly, no compensation expense was reflected in the financial statements as the exercise price of options granted to employees and non-employee directors equaled the fair market value of the Company’s common shares on the date of grant. The Company had adopted the disclosure-only provisions of SFAS No. 123, “Accounting for Stock Based Compensation.”</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If the Company had adopted the expense recognition provisions of SFAS No. 123 prior to January 1, 2006, net income and earnings per share for the twelve month period ended December 31, 2005 would have been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 except earnings per share)</w:t>
            </w:r>
          </w:p>
        </w:tc>
        <w:tc>
          <w:tcPr>
            <w:tcW w:w="940" w:type="dxa"/>
            <w:vAlign w:val="bottom"/>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year ended 12/31/05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9260" w:type="dxa"/>
            <w:vAlign w:val="bottom"/>
          </w:tcPr>
          <w:p>
            <w:pPr>
              <w:ind w:left="440"/>
              <w:spacing w:after="0"/>
              <w:rPr>
                <w:sz w:val="20"/>
                <w:szCs w:val="20"/>
                <w:color w:val="auto"/>
              </w:rPr>
            </w:pPr>
            <w:r>
              <w:rPr>
                <w:rFonts w:ascii="Arial" w:cs="Arial" w:eastAsia="Arial" w:hAnsi="Arial"/>
                <w:sz w:val="18"/>
                <w:szCs w:val="18"/>
                <w:color w:val="auto"/>
              </w:rPr>
              <w:t>Add: Stock-based compensation expense included in reported net income, net of related tax effects</w:t>
            </w: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8"/>
              </w:rPr>
              <w:t>Deduct: Total stock-based compensation determined under the fair value based method for all awards, net of tax</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effects</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9260" w:type="dxa"/>
            <w:vAlign w:val="bottom"/>
            <w:vMerge w:val="restart"/>
          </w:tcPr>
          <w:p>
            <w:pPr>
              <w:spacing w:after="0"/>
              <w:rPr>
                <w:sz w:val="20"/>
                <w:szCs w:val="20"/>
                <w:color w:val="auto"/>
              </w:rPr>
            </w:pPr>
            <w:r>
              <w:rPr>
                <w:rFonts w:ascii="Arial" w:cs="Arial" w:eastAsia="Arial" w:hAnsi="Arial"/>
                <w:sz w:val="18"/>
                <w:szCs w:val="18"/>
                <w:color w:val="auto"/>
              </w:rPr>
              <w:t>Proforma net income (loss)</w:t>
            </w:r>
          </w:p>
        </w:tc>
        <w:tc>
          <w:tcPr>
            <w:tcW w:w="9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 and diluted</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60" w:type="dxa"/>
            <w:vAlign w:val="bottom"/>
          </w:tcPr>
          <w:p>
            <w:pPr>
              <w:ind w:left="440"/>
              <w:spacing w:after="0"/>
              <w:rPr>
                <w:sz w:val="20"/>
                <w:szCs w:val="20"/>
                <w:color w:val="auto"/>
              </w:rPr>
            </w:pPr>
            <w:r>
              <w:rPr>
                <w:rFonts w:ascii="Arial" w:cs="Arial" w:eastAsia="Arial" w:hAnsi="Arial"/>
                <w:sz w:val="18"/>
                <w:szCs w:val="18"/>
                <w:color w:val="auto"/>
              </w:rPr>
              <w:t>As reported</w:t>
            </w:r>
          </w:p>
        </w:tc>
        <w:tc>
          <w:tcPr>
            <w:tcW w:w="14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9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 forma</w:t>
            </w:r>
          </w:p>
        </w:tc>
        <w:tc>
          <w:tcPr>
            <w:tcW w:w="14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New Financial Accounting Pronouncements Adopted</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SFAS 151</w:t>
      </w:r>
      <w:r>
        <w:rPr>
          <w:rFonts w:ascii="Arial" w:cs="Arial" w:eastAsia="Arial" w:hAnsi="Arial"/>
          <w:sz w:val="16"/>
          <w:szCs w:val="16"/>
          <w:color w:val="auto"/>
        </w:rPr>
        <w:t>—In November 2004 the Financial Accounting Standards Board (FASB) issued SFAS No. 151, “Inventory Costs—and amendment of ARB No.</w:t>
      </w:r>
      <w:r>
        <w:rPr>
          <w:rFonts w:ascii="Arial" w:cs="Arial" w:eastAsia="Arial" w:hAnsi="Arial"/>
          <w:sz w:val="16"/>
          <w:szCs w:val="16"/>
          <w:i w:val="1"/>
          <w:iCs w:val="1"/>
          <w:color w:val="auto"/>
        </w:rPr>
        <w:t xml:space="preserve"> </w:t>
      </w:r>
      <w:r>
        <w:rPr>
          <w:rFonts w:ascii="Arial" w:cs="Arial" w:eastAsia="Arial" w:hAnsi="Arial"/>
          <w:sz w:val="16"/>
          <w:szCs w:val="16"/>
          <w:color w:val="auto"/>
        </w:rPr>
        <w:t>43, Chapter 4.” SFAS No. 151 requires abnormal amounts of idle facility expense, freight, handling costs and wasted material (spoilage) to be recognized as current-period charges. SFAS No. 151 also requires that the allocation of fixed production overheads to the costs of conversion be based on the normal capacity of the production facilities. SFAS No. 151 was effective for inventory costs incurred by the Company beginning on January 1, 2006. The adoption of SFAS No. 151 did not have a material effect on our Consolidated Financial Statements.</w:t>
      </w:r>
    </w:p>
    <w:p>
      <w:pPr>
        <w:spacing w:after="0" w:line="1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SFAS 123(R)</w:t>
      </w:r>
      <w:r>
        <w:rPr>
          <w:rFonts w:ascii="Arial" w:cs="Arial" w:eastAsia="Arial" w:hAnsi="Arial"/>
          <w:sz w:val="16"/>
          <w:szCs w:val="16"/>
          <w:color w:val="auto"/>
        </w:rPr>
        <w:t>—In December 2004 the FASB issued SFAS No. 123(R), “Share-Based Payment.” SFAS No. 123(R) is a revision of SFAS 123,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for Stock-Based Compensation,” and supersedes APB Opinion No. 25, “Accounting for Stock Issued to Employees.” The new standard, which was effective for the Company beginning January 1, 2006, requires public entities to measure the cost of employee services received in exchange for an award of equity instruments and recognize this cost over the period during which an employee is required to provide the services. On March 29, 2005, the SEC issued SAB No. 107, which summarizes the views of the SEC staff regarding the interaction between SFAS No. 123(R) and certain SEC rules and regulations and provides the SEC staff’s views regarding the valuation of share-based payment arrangements for public companies. The Company has adopted SFAS No. 123(R) using the “modified prospective application” as defined in the Statement, and therefore financial statements from periods ending prior to January 1, 2006 have not been restated. The adoption of SFAS No. 123(R) resulted in stock option expense of $143,000 in the year ended December 31, 2006. No similar expense was recorded in fiscal 2005. Additional effects on the Company’s consolidated financial statements of adopting SFAS No. 123(R) are discussed in Note 11.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FIN 47</w:t>
      </w:r>
      <w:r>
        <w:rPr>
          <w:rFonts w:ascii="Arial" w:cs="Arial" w:eastAsia="Arial" w:hAnsi="Arial"/>
          <w:sz w:val="18"/>
          <w:szCs w:val="18"/>
          <w:color w:val="auto"/>
        </w:rPr>
        <w:t>—In March 2005, the FASB issued FASB Interpretation No. 47, “Accounting for Conditional Asset Retirement Obligations—an interpretation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FASB Statement No. 143” (FIN 47). This Interpretation clarifies that an entity is required to recognize a liability for a legal obligation to perform asset retirement activities when the retirement is conditional on a future event and if the liability’s fair value can be reasonably estimated. The adoption of this Statement did not have a material effect on our Consolidated Financial Statements.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SFAS 154</w:t>
      </w:r>
      <w:r>
        <w:rPr>
          <w:rFonts w:ascii="Arial" w:cs="Arial" w:eastAsia="Arial" w:hAnsi="Arial"/>
          <w:sz w:val="16"/>
          <w:szCs w:val="16"/>
          <w:color w:val="auto"/>
        </w:rPr>
        <w:t>—In May 2005, the FASB issued SFAS No. 154, “Accounting Changes and Error Corrections —a Replacement of APB Opinion No. 20 and</w:t>
      </w:r>
      <w:r>
        <w:rPr>
          <w:rFonts w:ascii="Arial" w:cs="Arial" w:eastAsia="Arial" w:hAnsi="Arial"/>
          <w:sz w:val="16"/>
          <w:szCs w:val="16"/>
          <w:i w:val="1"/>
          <w:iCs w:val="1"/>
          <w:color w:val="auto"/>
        </w:rPr>
        <w:t xml:space="preserve"> </w:t>
      </w:r>
      <w:r>
        <w:rPr>
          <w:rFonts w:ascii="Arial" w:cs="Arial" w:eastAsia="Arial" w:hAnsi="Arial"/>
          <w:sz w:val="16"/>
          <w:szCs w:val="16"/>
          <w:color w:val="auto"/>
        </w:rPr>
        <w:t>FASB Statement No. 3.” This Statement replaces APB Opinion No. 20, “Accounting Changes,” and FASB Statement No. 3, “Reporting Accounting Changes in Interim Financial Statements,” and changes the requirements for the accounting for and reporting of a change in accounting principle. This Statement requires retrospective application to prior periods’ financial statements of changes in accounting principle, unless it is impracticable to determine either the period-specific effects or the cumulative effect of the change. This Statement applies to all voluntary changes in accounting principle. It also applies to changes required by an accounting pronouncement in the unusual instance that the pronouncement does not include specific transition provisions. This Statement is effective for accounting changes and error corrections made in fiscal years beginning after December 15, 2005. The adoption of this Statement did not have a material effect on our Consolidated Financial Statements.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SFAS 158</w:t>
      </w:r>
      <w:r>
        <w:rPr>
          <w:rFonts w:ascii="Arial" w:cs="Arial" w:eastAsia="Arial" w:hAnsi="Arial"/>
          <w:sz w:val="16"/>
          <w:szCs w:val="16"/>
          <w:color w:val="auto"/>
        </w:rPr>
        <w:t>—In September 2006 the FASB issued SFAS No. 158, “Employers’ Accounting for Defined Benefit Pension and Other Postretirement Plans—an</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of FASB Statements No. 87, 88, 106 and 132(R),” which was effective in our annual report for the year ended December 31, 2006. The new standard requires employers to recognize the overfunded or underfunded status of a defined benefit postretirement plan as an asset or liability in its statement of financial position and to recognize changes in that funded status in the year in which the changes occur through other comprehensive earnings. It also requires disclosure of certain effects on net periodic benefit cost for the next fiscal year that arise from delayed recognition of the gains or losses, prior service costs or credits and transition assets or obligations. The effects of our adoption of this standard are detailed in Note 12, “Pension and Employee Benefit Plans.”</w:t>
      </w:r>
    </w:p>
    <w:p>
      <w:pPr>
        <w:spacing w:after="0" w:line="12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i w:val="1"/>
          <w:iCs w:val="1"/>
          <w:color w:val="auto"/>
        </w:rPr>
        <w:t>SAB 108</w:t>
      </w:r>
      <w:r>
        <w:rPr>
          <w:rFonts w:ascii="Arial" w:cs="Arial" w:eastAsia="Arial" w:hAnsi="Arial"/>
          <w:sz w:val="16"/>
          <w:szCs w:val="16"/>
          <w:color w:val="auto"/>
        </w:rPr>
        <w:t>—As of December 31, 2006, we adopted Securities and Exchange Commission Staff Accounting Bulletin No. 108 (SAB 108), “Considering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Effects of Prior Year Misstatements When Quantifying Misstatements in Current Year Financial Statements.” SAB 108 requires the quantification of misstatements based on their impact to both the balance sheet and the income statement to determine materiality. The guidance provides for a one-time cumulative effect adjustment to correct for misstatements for errors that were not deemed material under a prior approach but are material under the SAB 108 approach. The adoption of SAB 108 did not have an effect on our consolidated results of operations, financial position, or cash flows.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Accounting Pronouncements Recently Issued</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FIN 48</w:t>
      </w:r>
      <w:r>
        <w:rPr>
          <w:rFonts w:ascii="Arial" w:cs="Arial" w:eastAsia="Arial" w:hAnsi="Arial"/>
          <w:sz w:val="16"/>
          <w:szCs w:val="16"/>
          <w:color w:val="auto"/>
        </w:rPr>
        <w:t>—In June 2006, the FASB issued FASB Interpretation No. 48 (FIN 48), Accounting for Uncertainty in Income Taxes—an interpretation of FASB</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109. FIN 48 clarifies the accounting for uncertainty in income taxes recognized in an enterprise’s financial statements in accordance with FASB Statement No. 109, Accounting for Income Taxes. FIN 48 prescribes a comprehensive model for recognizing, measuring, presenting and disclosing in the financial statements tax positions taken or expected to be taken on a tax return. If there are changes in net assets as a result of application of FIN 48 these will be accounted for as an adjustment to retained earnings. Additional disclosures about the amounts of such liabilities will be required also. The Company is required to adopt FIN 48 in the first quarter of 2007. Management is currently assessing the impact of FIN 48 on its consolidated financial position and results of operations and has not determined if the adoption of FIN 48 will have a material effect on its financial statements.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SFAS 157</w:t>
      </w:r>
      <w:r>
        <w:rPr>
          <w:rFonts w:ascii="Arial" w:cs="Arial" w:eastAsia="Arial" w:hAnsi="Arial"/>
          <w:sz w:val="18"/>
          <w:szCs w:val="18"/>
          <w:color w:val="auto"/>
        </w:rPr>
        <w:t>—In September 2006 the FASB issued SFAS No. 157, “Fair Value Measurements” (“SFAS No. 157”). SFAS No. 157 clarifies the principle that</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 SFAS 157 is effective for the Company’s fiscal year beginning January 1, 2008, with early adoption permitted. The Company is in the process of evaluating SFAS No. 157.</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SFAS 159</w:t>
      </w:r>
      <w:r>
        <w:rPr>
          <w:rFonts w:ascii="Arial" w:cs="Arial" w:eastAsia="Arial" w:hAnsi="Arial"/>
          <w:sz w:val="16"/>
          <w:szCs w:val="16"/>
          <w:color w:val="auto"/>
        </w:rPr>
        <w:t>—In February 2007, the FASB issued SFAS No. 159, “The Fair Value Option for Financial Assets and Financial Liabilities”. This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provides companies with an option to report selected financial assets and liabilities at fair value in an effort to reduce both complexity in accounting for financial instruments and the volatility in earnings caused by measuring related assets and liabilities differently. SFAS No. 159 also establishes presentation and disclosure requirements designed to facilitate comparisons between companies that choose different measurement attributes for similar types of assets and liabilities. SFAS No. 159 requires entities to display the fair value of those assets and liabilities for which the entity has chosen to use fair value on the face of the balance sheet. This Statement is effective for fiscal years beginning after November 15, 2007, with early adoption permitted as of the beginning of the previous fiscal year provided that the choice is made within the first 120 days of that fiscal year and provided that SFAS No. 157 is also adopted early. The adoption of this Statement is not expected to have a material effect on our Consolidated Financial Statements.</w:t>
      </w:r>
    </w:p>
    <w:p>
      <w:pPr>
        <w:spacing w:after="0" w:line="1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Financial Instruments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financial instruments consist primarily of investments in cash and cash equivalents, receivables and certain other assets, such as cash surrender life insurance, as well as obligations under accounts payable, long-term debt and subordinated notes. The carrying values of these financial instruments approximate fair value at December 31, 2006, 2005 and 2004 except for subordinated notes for which fair value was $5,141,000, $7,307,000 and $7,142,000 at December 31, 2006, 2005 and 2004, respectively.</w:t>
      </w:r>
    </w:p>
    <w:p>
      <w:pPr>
        <w:spacing w:after="0" w:line="14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Most of the debt obligations approximate their reported carrying amounts based on future payments discounted at current interest rates for similar obligations or interest rates which fluctuate with the market.</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fair value of marketable securities, all of which are restricted for bonding purposes, at December 31, 2006, 2005 and 2004 totaled $0, $0 and $99,000 respectively. The carrying values of these financial instruments approximate fair value at December 31, 2006.</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Concentrations of credit risk:</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Financial instruments that potentially subject us to credit risk consist principally of cash and accounts receivable. We maintain cash and cash equivalents with various major financial institutions.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perform periodic evaluations of the financial institutions in which our cash is invested. Concentrations of credit risk with respect to trade and contract receivables are limited due to the large number of customers and various geographic areas. Additionally, we perform ongoing credit evaluations of our customers’ financial condition.</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Union Contracts: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2006, the Company’s continuing operations included approximately 649 employees. Approximately 486 employees are represented by international or independent labor unions, under various contracts that expire in the years 2007 through 2009.</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58"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Accounts Receivable</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6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Contract receivables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24,604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10,933</w:t>
            </w:r>
          </w:p>
        </w:tc>
        <w:tc>
          <w:tcPr>
            <w:tcW w:w="6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2"/>
        </w:trPr>
        <w:tc>
          <w:tcPr>
            <w:tcW w:w="87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26,925</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13,151</w:t>
            </w:r>
          </w:p>
        </w:tc>
        <w:tc>
          <w:tcPr>
            <w:tcW w:w="6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Balances billed, but not paid by customers under retainage provisions in contracts, amounted to approximately $198,000, $374,000 and $549,000 at December 31, 2006, 2005 and 2004, respectively. Retainage receivables on contracts in progress are generally collected within year.</w:t>
      </w:r>
    </w:p>
    <w:p>
      <w:pPr>
        <w:spacing w:after="0" w:line="85"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Provision for doubtful accounts was approximately $297,000, $136,000 and $283,000 during 2006, 2005 and 2004, respectively, while accounts charged to the allowance were $273,000, $130,000 and $236,000 during 2006, 2005 and 2004, respectively.</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Costs and Estimated Earnings on Uncompleted Contracts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4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2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 on uncompleted contracts</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$ 76,655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$ 34,292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Estimated earnings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84,292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39,839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Less billings to date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w w:val="86"/>
              </w:rPr>
              <w:t>(83,085)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89"/>
              </w:rPr>
              <w:t>(38,924)</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ind w:left="460"/>
              <w:spacing w:after="0"/>
              <w:rPr>
                <w:sz w:val="20"/>
                <w:szCs w:val="20"/>
                <w:color w:val="auto"/>
              </w:rPr>
            </w:pPr>
            <w:r>
              <w:rPr>
                <w:rFonts w:ascii="Arial" w:cs="Arial" w:eastAsia="Arial" w:hAnsi="Arial"/>
                <w:sz w:val="18"/>
                <w:szCs w:val="18"/>
                <w:color w:val="auto"/>
              </w:rPr>
              <w:t>Included in the accompanying consolidated balance sheets under the following captions:</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40" w:type="dxa"/>
            <w:vAlign w:val="bottom"/>
            <w:gridSpan w:val="2"/>
            <w:vMerge w:val="continue"/>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$ 10,766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ind w:left="460"/>
              <w:spacing w:after="0"/>
              <w:rPr>
                <w:sz w:val="20"/>
                <w:szCs w:val="20"/>
                <w:color w:val="auto"/>
              </w:rPr>
            </w:pPr>
            <w:r>
              <w:rPr>
                <w:rFonts w:ascii="Arial" w:cs="Arial" w:eastAsia="Arial" w:hAnsi="Arial"/>
                <w:sz w:val="18"/>
                <w:szCs w:val="18"/>
                <w:color w:val="auto"/>
              </w:rPr>
              <w:t>Billings in excess of costs and estimated earnings on uncompleted contracts</w:t>
            </w:r>
          </w:p>
        </w:tc>
        <w:tc>
          <w:tcPr>
            <w:tcW w:w="1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84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(9,559)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(3,766)</w:t>
            </w:r>
          </w:p>
        </w:tc>
        <w:tc>
          <w:tcPr>
            <w:tcW w:w="0" w:type="dxa"/>
            <w:vAlign w:val="bottom"/>
          </w:tcPr>
          <w:p>
            <w:pPr>
              <w:spacing w:after="0"/>
              <w:rPr>
                <w:sz w:val="1"/>
                <w:szCs w:val="1"/>
                <w:color w:val="auto"/>
              </w:rPr>
            </w:pPr>
          </w:p>
        </w:tc>
      </w:tr>
      <w:tr>
        <w:trPr>
          <w:trHeight w:val="28"/>
        </w:trPr>
        <w:tc>
          <w:tcPr>
            <w:tcW w:w="4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Inventories</w:t>
            </w: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84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784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Raw material and subassemblies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$1,743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Finished goods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ind w:right="180"/>
              <w:spacing w:after="0"/>
              <w:rPr>
                <w:sz w:val="20"/>
                <w:szCs w:val="20"/>
                <w:color w:val="auto"/>
              </w:rPr>
            </w:pPr>
            <w:r>
              <w:rPr>
                <w:rFonts w:ascii="Arial" w:cs="Arial" w:eastAsia="Arial" w:hAnsi="Arial"/>
                <w:sz w:val="18"/>
                <w:szCs w:val="18"/>
                <w:color w:val="auto"/>
              </w:rPr>
              <w:t>285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Parts for resale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727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Obsolescence allowance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40" w:firstLine="456"/>
        <w:spacing w:after="0" w:line="332" w:lineRule="auto"/>
        <w:rPr>
          <w:sz w:val="20"/>
          <w:szCs w:val="20"/>
          <w:color w:val="auto"/>
        </w:rPr>
      </w:pPr>
      <w:r>
        <w:rPr>
          <w:rFonts w:ascii="Arial" w:cs="Arial" w:eastAsia="Arial" w:hAnsi="Arial"/>
          <w:sz w:val="16"/>
          <w:szCs w:val="16"/>
          <w:color w:val="auto"/>
        </w:rPr>
        <w:t>Amounts credited to the allowance for obsolete inventory and charged to cost of sales amounted to $0, $0 and $110,000 during 2006, 2005 and 2004, respectively. Items charged to the allowance for inventory recoveries were $0, $10,000 and $0 during 2006, 2005 and 2004, respectively.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Property and Equipment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center"/>
              <w:ind w:right="16"/>
              <w:spacing w:after="0"/>
              <w:rPr>
                <w:sz w:val="20"/>
                <w:szCs w:val="20"/>
                <w:color w:val="auto"/>
              </w:rPr>
            </w:pPr>
            <w:r>
              <w:rPr>
                <w:rFonts w:ascii="Arial" w:cs="Arial" w:eastAsia="Arial" w:hAnsi="Arial"/>
                <w:sz w:val="14"/>
                <w:szCs w:val="14"/>
                <w:b w:val="1"/>
                <w:bCs w:val="1"/>
                <w:color w:val="auto"/>
                <w:w w:val="89"/>
              </w:rPr>
              <w:t>2006</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bottom w:val="single" w:sz="8" w:color="auto"/>
            </w:tcBorders>
            <w:gridSpan w:val="3"/>
          </w:tcPr>
          <w:p>
            <w:pPr>
              <w:jc w:val="right"/>
              <w:ind w:right="76"/>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1,460</w:t>
            </w:r>
          </w:p>
        </w:tc>
        <w:tc>
          <w:tcPr>
            <w:tcW w:w="5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4,210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12,031</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w w:val="87"/>
              </w:rPr>
              <w:t>17,701</w:t>
            </w:r>
          </w:p>
        </w:tc>
        <w:tc>
          <w:tcPr>
            <w:tcW w:w="5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16,887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w w:val="91"/>
              </w:rPr>
              <w:t>(9,171)</w:t>
            </w:r>
          </w:p>
        </w:tc>
        <w:tc>
          <w:tcPr>
            <w:tcW w:w="500" w:type="dxa"/>
            <w:vAlign w:val="bottom"/>
            <w:shd w:val="clear" w:color="auto" w:fill="CCEEFF"/>
          </w:tcPr>
          <w:p>
            <w:pPr>
              <w:spacing w:after="0"/>
              <w:rPr>
                <w:sz w:val="18"/>
                <w:szCs w:val="18"/>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8,530</w:t>
            </w:r>
          </w:p>
        </w:tc>
        <w:tc>
          <w:tcPr>
            <w:tcW w:w="500" w:type="dxa"/>
            <w:vAlign w:val="bottom"/>
          </w:tcPr>
          <w:p>
            <w:pPr>
              <w:spacing w:after="0"/>
              <w:rPr>
                <w:sz w:val="19"/>
                <w:szCs w:val="19"/>
                <w:color w:val="auto"/>
              </w:rPr>
            </w:pPr>
          </w:p>
        </w:tc>
        <w:tc>
          <w:tcPr>
            <w:tcW w:w="160" w:type="dxa"/>
            <w:vAlign w:val="bottom"/>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8,796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60"/>
              <w:spacing w:after="0"/>
              <w:rPr>
                <w:sz w:val="20"/>
                <w:szCs w:val="20"/>
                <w:color w:val="auto"/>
              </w:rPr>
            </w:pPr>
            <w:r>
              <w:rPr>
                <w:rFonts w:ascii="Arial" w:cs="Arial" w:eastAsia="Arial" w:hAnsi="Arial"/>
                <w:sz w:val="18"/>
                <w:szCs w:val="18"/>
                <w:color w:val="auto"/>
                <w:w w:val="95"/>
              </w:rPr>
              <w:t>Depreciation expense was $1.1 million, $1.1 million and $1.1 million for 2006, 2005 and 2004, respectively.</w:t>
            </w: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5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7.  Goodwill and Intangible Assets</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858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89"/>
              </w:rPr>
              <w:t>2006</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4"/>
              </w:rPr>
              <w:t>9,527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9,527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ind w:left="460"/>
              <w:spacing w:after="0"/>
              <w:rPr>
                <w:sz w:val="20"/>
                <w:szCs w:val="20"/>
                <w:color w:val="auto"/>
              </w:rPr>
            </w:pPr>
            <w:r>
              <w:rPr>
                <w:rFonts w:ascii="Arial" w:cs="Arial" w:eastAsia="Arial" w:hAnsi="Arial"/>
                <w:sz w:val="18"/>
                <w:szCs w:val="18"/>
                <w:color w:val="auto"/>
              </w:rPr>
              <w:t>Intangible assets—finite life</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8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center"/>
              <w:ind w:left="74"/>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w w:val="84"/>
              </w:rPr>
              <w:t>1,342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$1,346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500"/>
              <w:spacing w:after="0"/>
              <w:rPr>
                <w:sz w:val="20"/>
                <w:szCs w:val="20"/>
                <w:color w:val="auto"/>
              </w:rPr>
            </w:pPr>
            <w:r>
              <w:rPr>
                <w:rFonts w:ascii="Arial" w:cs="Arial" w:eastAsia="Arial" w:hAnsi="Arial"/>
                <w:sz w:val="18"/>
                <w:szCs w:val="18"/>
                <w:color w:val="auto"/>
              </w:rPr>
              <w:t>576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assets—indefinite life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center"/>
              <w:ind w:left="74"/>
              <w:spacing w:after="0"/>
              <w:rPr>
                <w:sz w:val="20"/>
                <w:szCs w:val="20"/>
                <w:color w:val="auto"/>
              </w:rPr>
            </w:pPr>
            <w:r>
              <w:rPr>
                <w:rFonts w:ascii="Arial" w:cs="Arial" w:eastAsia="Arial" w:hAnsi="Arial"/>
                <w:sz w:val="18"/>
                <w:szCs w:val="18"/>
                <w:u w:val="single" w:color="auto"/>
                <w:color w:val="auto"/>
                <w:w w:val="99"/>
              </w:rPr>
              <w:t>$</w:t>
            </w:r>
          </w:p>
        </w:tc>
        <w:tc>
          <w:tcPr>
            <w:tcW w:w="9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4"/>
              </w:rPr>
              <w:t>1,395</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Indefinite life intangible assets are comprised of tradenames, while finite life intangible assets are comprised of patents. Amortization expense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$78,000, $79,000 and $79,000 for 2006, 2005 and 2004, respectively. Amortization of finite life intangible assets over the next five years is $78,000 in 2007,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$77,000 in 2008, 2009, 2010 and 2011.</w:t>
      </w:r>
    </w:p>
    <w:p>
      <w:pPr>
        <w:spacing w:after="0" w:line="240"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Accounts Payable and Accrued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50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2006</w:t>
            </w: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5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$ 13,125</w:t>
            </w:r>
          </w:p>
        </w:tc>
        <w:tc>
          <w:tcPr>
            <w:tcW w:w="4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Compensation and related benefits</w:t>
            </w: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2,897</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5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Other accrued expenses</w:t>
            </w:r>
          </w:p>
        </w:tc>
        <w:tc>
          <w:tcPr>
            <w:tcW w:w="50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$ 17,879</w:t>
            </w:r>
          </w:p>
        </w:tc>
        <w:tc>
          <w:tcPr>
            <w:tcW w:w="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$ 12,017</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  Debt</w:t>
            </w:r>
          </w:p>
        </w:tc>
        <w:tc>
          <w:tcPr>
            <w:tcW w:w="50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220" w:type="dxa"/>
            <w:vAlign w:val="bottom"/>
            <w:gridSpan w:val="2"/>
            <w:vMerge w:val="continue"/>
          </w:tcPr>
          <w:p>
            <w:pPr>
              <w:spacing w:after="0"/>
              <w:rPr>
                <w:sz w:val="24"/>
                <w:szCs w:val="24"/>
                <w:color w:val="auto"/>
              </w:rPr>
            </w:pPr>
          </w:p>
        </w:tc>
        <w:tc>
          <w:tcPr>
            <w:tcW w:w="5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4220" w:type="dxa"/>
            <w:vAlign w:val="bottom"/>
            <w:gridSpan w:val="2"/>
          </w:tcPr>
          <w:p>
            <w:pPr>
              <w:ind w:left="460"/>
              <w:spacing w:after="0"/>
              <w:rPr>
                <w:sz w:val="20"/>
                <w:szCs w:val="20"/>
                <w:color w:val="auto"/>
              </w:rPr>
            </w:pPr>
            <w:r>
              <w:rPr>
                <w:rFonts w:ascii="Arial" w:cs="Arial" w:eastAsia="Arial" w:hAnsi="Arial"/>
                <w:sz w:val="14"/>
                <w:szCs w:val="14"/>
                <w:b w:val="1"/>
                <w:bCs w:val="1"/>
                <w:color w:val="auto"/>
              </w:rPr>
              <w:t>$ in thousands</w:t>
            </w:r>
          </w:p>
        </w:tc>
        <w:tc>
          <w:tcPr>
            <w:tcW w:w="5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Bank credit facility</w:t>
            </w:r>
          </w:p>
        </w:tc>
        <w:tc>
          <w:tcPr>
            <w:tcW w:w="5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10,591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6,782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Less current portion</w:t>
            </w:r>
          </w:p>
        </w:tc>
        <w:tc>
          <w:tcPr>
            <w:tcW w:w="5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ind w:left="100"/>
              <w:spacing w:after="0"/>
              <w:rPr>
                <w:sz w:val="20"/>
                <w:szCs w:val="20"/>
                <w:color w:val="auto"/>
              </w:rPr>
            </w:pPr>
            <w:r>
              <w:rPr>
                <w:rFonts w:ascii="Arial" w:cs="Arial" w:eastAsia="Arial" w:hAnsi="Arial"/>
                <w:sz w:val="16"/>
                <w:szCs w:val="16"/>
                <w:color w:val="auto"/>
                <w:w w:val="74"/>
              </w:rPr>
              <w:t>(568)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51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9,971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6,214</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200" w:type="dxa"/>
            <w:vAlign w:val="bottom"/>
            <w:gridSpan w:val="3"/>
          </w:tcPr>
          <w:p>
            <w:pPr>
              <w:jc w:val="right"/>
              <w:ind w:right="3452"/>
              <w:spacing w:after="0"/>
              <w:rPr>
                <w:sz w:val="20"/>
                <w:szCs w:val="20"/>
                <w:color w:val="auto"/>
              </w:rPr>
            </w:pPr>
            <w:r>
              <w:rPr>
                <w:rFonts w:ascii="Arial" w:cs="Arial" w:eastAsia="Arial" w:hAnsi="Arial"/>
                <w:sz w:val="18"/>
                <w:szCs w:val="18"/>
                <w:color w:val="auto"/>
              </w:rPr>
              <w:t>F-17</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obtained a new credit facility (the “Bank Facility”) on December 29, 2005. The credit agreement was entered into by CECO Environmental Corp., the CECO group of companies and Fifth Third Bank, an Ohio banking corporation (“Fifth Third Bank”). On June 8, 2006 we amended the Bank Facility pursuant to a First Amendment to Credit Agreement (“Amendment”). H.M. White, Inc., a wholly owned subsidiary of CECO Group, Inc., was added as a borrower. The Amendment amended the Bank Facility by, among other things 1) extending the maturity date of the Credit Agreement from January 31, 2007 to January 31, 2009, 2) lowering the interest rate on the revolving loan and term loan from the prime rate plus 2.25% and the prime rate plus 2.0%, respectively, to either prime plus 0.5% or LIBOR plus 2.75%, at our option, and 3) establishing an incentive pricing grid pegged to performance.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December 31, 2006, the revolving credit line, permits borrowings of up to the lesser of 1) $13 million less outstanding letters of credit, or 2) borrowings which are limited to 70% of eligible accounts receivable, plus 50% of eligible inventory, minus outstanding letters of credit. Amounts unused and available under our revolving credit facility were $3.9 and $4.3 million at December 31, 2006 and 2005, respectively. Amounts borrowed were $8.1 and $3.7 million at December 31, 2006 and 2005, respectively. Amounts outstanding under letters of credit were $909,000 and $979,000 at December 31, 2006 and 2005, respectively. The line of credit matures January 31, 2007.</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further amended the Facility pursuant to a Second Amendment to the Credit Agreement (“Second Amendment”) dated February 28, 2007. Effox, Inc., a wholly owned subsidiary of CECO Group, Inc., was added as a borrower. The Second Amendment amended the Bank Facility by, among other things 1) extending the maturity date of the Credit Agreement from January 31, 2009 to January 31, 2010, 2) increasing the maximum revolving loan commitment from $13.0 million to $20.0 million, and 3) adding a second term loan in the aggregate amount of $5.0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Maturities of all long-term debt over the next five years are estimated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8"/>
        </w:trPr>
        <w:tc>
          <w:tcPr>
            <w:tcW w:w="7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90"/>
              </w:rPr>
              <w:t>Maturities</w:t>
            </w:r>
          </w:p>
        </w:tc>
      </w:tr>
      <w:tr>
        <w:trPr>
          <w:trHeight w:val="149"/>
        </w:trPr>
        <w:tc>
          <w:tcPr>
            <w:tcW w:w="7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2"/>
              </w:rPr>
              <w:t>in thousands</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136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2008</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620</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2010</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8,059</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Also as disclosed in Note 17, on February 28, 2007, the Company and Effox, Inc. entered into an Asset Purchase Agreement whereby the Company acquired substantially all of the assets of Effox, Inc. The maturity of the debt incurred in connection with the acquisition is $563,000 in 2007, $1.0 million in 2008, $1.1 million in 2009 and $4.4 million in 2010.</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property and equipment, accounts receivable, investments and inventory serve as collateral for our bank debt. Our debt agreements contain customary covenants and events of default.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5"/>
          <w:szCs w:val="15"/>
          <w:b w:val="1"/>
          <w:bCs w:val="1"/>
          <w:color w:val="auto"/>
        </w:rPr>
        <w:t>Subordinated Notes</w:t>
      </w:r>
    </w:p>
    <w:p>
      <w:pPr>
        <w:spacing w:after="0" w:line="9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due 2008, 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$ 1,000</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Subordinated Notes due 2008, 12%</w:t>
            </w:r>
          </w:p>
        </w:tc>
        <w:tc>
          <w:tcPr>
            <w:tcW w:w="1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3,876</w:t>
            </w:r>
          </w:p>
        </w:tc>
        <w:tc>
          <w:tcPr>
            <w:tcW w:w="4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5,343</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 due 2008, 12%</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1,025</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0" w:type="dxa"/>
            <w:vAlign w:val="bottom"/>
          </w:tcPr>
          <w:p>
            <w:pPr>
              <w:spacing w:after="0"/>
              <w:rPr>
                <w:sz w:val="18"/>
                <w:szCs w:val="18"/>
                <w:color w:val="auto"/>
              </w:rPr>
            </w:pPr>
          </w:p>
        </w:tc>
      </w:tr>
      <w:tr>
        <w:trPr>
          <w:trHeight w:val="221"/>
        </w:trPr>
        <w:tc>
          <w:tcPr>
            <w:tcW w:w="9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84"/>
              </w:rPr>
              <w:t>4,901</w:t>
            </w:r>
          </w:p>
        </w:tc>
        <w:tc>
          <w:tcPr>
            <w:tcW w:w="4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7,633</w:t>
            </w:r>
          </w:p>
        </w:tc>
      </w:tr>
      <w:tr>
        <w:trPr>
          <w:trHeight w:val="218"/>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r>
      <w:tr>
        <w:trPr>
          <w:trHeight w:val="222"/>
        </w:trPr>
        <w:tc>
          <w:tcPr>
            <w:tcW w:w="90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spacing w:after="0"/>
              <w:rPr>
                <w:sz w:val="20"/>
                <w:szCs w:val="20"/>
                <w:color w:val="auto"/>
              </w:rPr>
            </w:pPr>
            <w:r>
              <w:rPr>
                <w:rFonts w:ascii="Arial" w:cs="Arial" w:eastAsia="Arial" w:hAnsi="Arial"/>
                <w:sz w:val="18"/>
                <w:szCs w:val="18"/>
                <w:color w:val="auto"/>
                <w:w w:val="84"/>
              </w:rPr>
              <w:t>4,901</w:t>
            </w:r>
          </w:p>
        </w:tc>
        <w:tc>
          <w:tcPr>
            <w:tcW w:w="4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$ 6,633</w:t>
            </w:r>
          </w:p>
        </w:tc>
      </w:tr>
      <w:tr>
        <w:trPr>
          <w:trHeight w:val="20"/>
        </w:trPr>
        <w:tc>
          <w:tcPr>
            <w:tcW w:w="9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$5 million subordinated debt that was provided to us in connection with the Kirk &amp; Blum transaction in December 1999 included investments of $4 million by Green Diamond, $500,000 by ICS Trustee Services, Ltd. and $500,000 by Harvey Sandler. On May 30, 2006, CECO entered into a letter agreement with Fifth Third Bank, CECO’s lender, permitting CECO to pay accrued interest and unpaid interest on, and the entire unpaid principal balance of, all of the indebtedness and other obligations owing by CECO to each of ICS Trustee Services Ltd. and Harvey Sandler and on May 31, 2006, CECO repaid in full the ICS and Sandler Subordinated Debt using proceeds from the exercise of warrants of approximately $893,000 and advances under Fifth Third Bank loan proceeds in the aggregate approximate amount of $167,000.</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September 30, 2003, an additional $1.2 million of subordinated debt was raised from Green Diamond, a related party, with a maturity of April 30, 2005 and an interest rate of 6% per annum. On December 30, 2004, the principal balance of the notes owed to Green Diamond was increased for the unpaid accrued interest. The principal balance for the $4.0 million subordinated note was increased by the accrued interest of $1.4 million to $5.4 million and the principal balance for the $1.2 million subordinated note was increased by $90,000 to $1.3 million. In connection with the December 29, 2005 credit facility, the maturity was extended to April 1, 2007.</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28, 2006, the Company and Green Diamond further amended the subordinated notes to extend the maturity date under both notes from April 1, 2007 to July 1, 2008, which was later amended to January 31, 2010 on March 27, 2007. In consideration for such extension, the interest rate under Replacement Note 1 was increased from 6% to 12%. As additional consideration for the extension, the Company issued warrants for 250,000 shares of common stock to Green Diamond under a Warrant Agreement on December 28, 2006. The fair value of the warrants was determined to be $842,000 at the date of issuance and the subordinated debt was discounted by such amount. The discount will be amortized as a component of interest expense over the remaining term of the notes. Green Diamond is an affiliate of Phillip DeZwirek and Jason DeZwirek, both of whom are executive officers and directors of CECO.</w:t>
      </w:r>
    </w:p>
    <w:p>
      <w:pPr>
        <w:spacing w:after="0" w:line="195" w:lineRule="exact"/>
        <w:rPr>
          <w:sz w:val="20"/>
          <w:szCs w:val="20"/>
          <w:color w:val="auto"/>
        </w:rPr>
      </w:pPr>
    </w:p>
    <w:p>
      <w:pPr>
        <w:ind w:right="9380" w:firstLine="8"/>
        <w:spacing w:after="0" w:line="391" w:lineRule="auto"/>
        <w:tabs>
          <w:tab w:leader="none" w:pos="38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 Equity Equity Compensation</w:t>
      </w:r>
    </w:p>
    <w:p>
      <w:pPr>
        <w:spacing w:after="0" w:line="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On January 1, 2006, the Company adopted SFAS No. 123(R), “Share-Based Payment,” which requires the Company to record the cost of employee services received in exchange for an award of equity instruments based on the grant date fair value and to recognize this cost in the financial statements over the period during which an employee is required to provide services. The Company has adopted SFAS No. 123(R) using the “modified prospective application” as defined in the Statement, and therefore financial statements for periods ending prior to January 1, 2006 have not been restated. Prior to January 1, 2006, the Company had applied provisions of Accounting Principles Board Opinion No. 25, (“Accounting for Stock Issued to Employees”) and booked no</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compensation expense in the financial statements. The Company adopted the disclosure-only provisions of Statement of Financial Accounting Standards No. 123 (SFAS No. 123), “Accounting for Stock Based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has an equity compensation plan that was approved by shareholders which covers all of its full-time employees, outside directors and advisors. The options granted or stock awards made pursuant to this plan are granted at fair market value or greater at date of grant of award and are issued as new shares by the Company’s transfer agent. Options granted to non-employee directors typically vest at 5,000 shares per year and options granted to employees typically become exercisable at 20% or 25% per year beginning one year after the date of grant. The Stock Option Committee may, at its discretion, establish other vesting periods when appropriate. The number of shares reserved for issuance is 1.5 million, of which 1.1 million shares were available for future grant or award as of December 31, 2006. This plan allows for the grant of incentive stock options and non-qualified stock options. As of December 31, 2006, a total of 282,605 options for common shares were outstanding and of these, a total of 102,605 options for common shares were vested and exercisable.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SFAS No. 123 was effective for the Company through December 31, 2005 and required, at a minimum, pro forma disclosures of expense for stock-based awards based on their fair values. See Note 1 for this information. The fair value of each option on the date of grant was estimated using the Black-Scholes option pricing model.</w:t>
      </w:r>
    </w:p>
    <w:p>
      <w:pPr>
        <w:spacing w:after="0" w:line="140"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SFAS No. 123(R) requires stock option expense to be recorded on the financial statements for all reporting periods beginning after January 1, 2006. Accordingly, an expense of $143,000 was recorded in the year ended December 31, 2006. Basic and diluted net income per share for the year ended December 31, 2006 would have been increased from $.27 to $.29 and $.24 to $.25 respectively if the Company had not adopted SFAS No. 123(R). No similar expense was recorded in fiscal 2005. No equity compensation expense has been capitalized in inventory or fixed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granted prior to January 1, 2006:</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Prior to January 1, 2006, the Company applied the provisions of APB No. 25 and no compensation expense was recorded in the financial statements. The Company had adopted the disclosure-only provisions of SFAS 123, Accounting for Stock-Based Compensation.</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awards granted in prior years, the Company utilized the Black-Scholes option pricing model to determine grant-date fair value, using the following assumptions:</w:t>
      </w:r>
    </w:p>
    <w:p>
      <w:pPr>
        <w:spacing w:after="0" w:line="51" w:lineRule="exact"/>
        <w:rPr>
          <w:sz w:val="20"/>
          <w:szCs w:val="20"/>
          <w:color w:val="auto"/>
        </w:rPr>
      </w:pPr>
    </w:p>
    <w:p>
      <w:pPr>
        <w:ind w:left="900" w:right="820" w:hanging="325"/>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Expected Volatilities of 67% through 70% were used based upon the historical volatility of the Company’s stock price for a period of time commensurate with the expected terms of the options. The frequency of price observations was based on weekly values.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Expected Terms were 10 years.</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Risk-Free Interest Rates were based upon the implied yields currently available on U.S. Treasury zero-coupon issues with a remaining term equal to the Expected Term.</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assumptions were made for Expected Dividends as the Company has not historically paid dividends. This will be re-evaluated if and when dividends are expected to be paid.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Compensation cost for the outstanding stock options as of January 1, 2006, for which the requisite service has not been rendered, will be recognized over their remaining vesting periods. The compensation cost for these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outstanding options will be based upon their originally calculated fair values as used in pro forma disclosures under SFAS 123, except that the Company will discontinue its previous method of recognizing forfeitures only as they occur. As of January 1, 2006, the Company has estimated the number of these outstanding options which will be forfeited prior to vesting and has accordingly adjusted compensation expense for these options going forward.</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As no compensation expense has previously been recorded in the Company’s financial statements for these outstanding options, no cumulative effect of a change in accounting principle is required as of January 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granted after adoption of SFAS 123(R):</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For awards granted during the year ended December 31, 2006, the Company utilized the Black-Scholes option pricing model to determine grant-date fair value, using the following assumptions:</w:t>
      </w:r>
    </w:p>
    <w:p>
      <w:pPr>
        <w:spacing w:after="0" w:line="51" w:lineRule="exact"/>
        <w:rPr>
          <w:sz w:val="20"/>
          <w:szCs w:val="20"/>
          <w:color w:val="auto"/>
        </w:rPr>
      </w:pPr>
    </w:p>
    <w:p>
      <w:pPr>
        <w:ind w:left="900" w:right="2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Expected Volatility of 60% was used based upon the historical volatility of the Company’s stock price for a period of time commensurate with the expected terms of the options. The frequency of price observations was based on weekly values.</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Expected Terms of 6.5 years for options that vest in 3 years and 7.5 years for options that vest in 5 years for “plain vanilla” were calculated using the simplified method as permitted under the guidelines of SAB 107.</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Risk-Free Interest Rate of 5.16% for options that vest in 3 years was based upon the implied yields currently available on U.S. Treasury zero-coupon issues with a remaining term equal to the Expected Term.</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 assumptions were made for Expected Dividends as the Company has not historically paid dividends. This will be re-evaluated if and when dividends are expected to be paid.</w:t>
      </w:r>
    </w:p>
    <w:p>
      <w:pPr>
        <w:spacing w:after="0" w:line="132" w:lineRule="exact"/>
        <w:rPr>
          <w:sz w:val="20"/>
          <w:szCs w:val="20"/>
          <w:color w:val="auto"/>
        </w:rPr>
      </w:pPr>
    </w:p>
    <w:p>
      <w:pPr>
        <w:ind w:right="380" w:firstLine="456"/>
        <w:spacing w:after="0" w:line="255" w:lineRule="auto"/>
        <w:rPr>
          <w:sz w:val="20"/>
          <w:szCs w:val="20"/>
          <w:color w:val="auto"/>
        </w:rPr>
      </w:pPr>
      <w:r>
        <w:rPr>
          <w:rFonts w:ascii="Arial" w:cs="Arial" w:eastAsia="Arial" w:hAnsi="Arial"/>
          <w:sz w:val="18"/>
          <w:szCs w:val="18"/>
          <w:color w:val="auto"/>
        </w:rPr>
        <w:t>The fair value of the granted options is recorded as compensation expense on a straight-line basis over the vesting period of the option. The amount of compensation cost recognized at any date (for graded-vesting options) is at least equal to the portion of the grant-date value of the award that is vested at that date. As required under SFAS 123(R), the Company estimated that 7.0% of the options granted to officers and directors and 20% of the options granted to employees in the year ended December 31, 2006 will be forfeited prior to vesting and has adjusted compensation expense accordingly. This estimate will be reviewed periodically and updated as necessary.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related to all stock options for the year ended December 31, 2006 is shown in the table below:</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Weighted</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Weighted</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3"/>
              </w:rPr>
              <w:t>Average</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Remaining</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(Shares in thousands)</w:t>
            </w: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Exercise</w:t>
            </w: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55"/>
        </w:trPr>
        <w:tc>
          <w:tcPr>
            <w:tcW w:w="3160" w:type="dxa"/>
            <w:vAlign w:val="bottom"/>
            <w:tcBorders>
              <w:bottom w:val="single" w:sz="8" w:color="auto"/>
            </w:tcBorders>
            <w:vMerge w:val="continue"/>
          </w:tcPr>
          <w:p>
            <w:pPr>
              <w:spacing w:after="0"/>
              <w:rPr>
                <w:sz w:val="13"/>
                <w:szCs w:val="13"/>
                <w:color w:val="auto"/>
              </w:rPr>
            </w:pPr>
          </w:p>
        </w:tc>
        <w:tc>
          <w:tcPr>
            <w:tcW w:w="1960" w:type="dxa"/>
            <w:vAlign w:val="bottom"/>
            <w:tcBorders>
              <w:bottom w:val="single" w:sz="8" w:color="auto"/>
            </w:tcBorders>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8" w:lineRule="exact"/>
              <w:rPr>
                <w:sz w:val="20"/>
                <w:szCs w:val="20"/>
                <w:color w:val="auto"/>
              </w:rPr>
            </w:pPr>
            <w:r>
              <w:rPr>
                <w:rFonts w:ascii="Arial" w:cs="Arial" w:eastAsia="Arial" w:hAnsi="Arial"/>
                <w:sz w:val="14"/>
                <w:szCs w:val="14"/>
                <w:b w:val="1"/>
                <w:bCs w:val="1"/>
                <w:color w:val="auto"/>
                <w:w w:val="76"/>
              </w:rPr>
              <w:t>Shares</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Price</w:t>
            </w:r>
          </w:p>
        </w:tc>
        <w:tc>
          <w:tcPr>
            <w:tcW w:w="560" w:type="dxa"/>
            <w:vAlign w:val="bottom"/>
          </w:tcPr>
          <w:p>
            <w:pPr>
              <w:spacing w:after="0"/>
              <w:rPr>
                <w:sz w:val="13"/>
                <w:szCs w:val="13"/>
                <w:color w:val="auto"/>
              </w:rPr>
            </w:pPr>
          </w:p>
        </w:tc>
        <w:tc>
          <w:tcPr>
            <w:tcW w:w="7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7"/>
              </w:rPr>
              <w:t>Term</w:t>
            </w:r>
          </w:p>
        </w:tc>
        <w:tc>
          <w:tcPr>
            <w:tcW w:w="560" w:type="dxa"/>
            <w:vAlign w:val="bottom"/>
          </w:tcPr>
          <w:p>
            <w:pPr>
              <w:spacing w:after="0"/>
              <w:rPr>
                <w:sz w:val="13"/>
                <w:szCs w:val="13"/>
                <w:color w:val="auto"/>
              </w:rPr>
            </w:pPr>
          </w:p>
        </w:tc>
        <w:tc>
          <w:tcPr>
            <w:tcW w:w="600" w:type="dxa"/>
            <w:vAlign w:val="bottom"/>
            <w:tcBorders>
              <w:bottom w:val="single" w:sz="8" w:color="auto"/>
            </w:tcBorders>
          </w:tcPr>
          <w:p>
            <w:pPr>
              <w:jc w:val="center"/>
              <w:spacing w:after="0" w:line="148" w:lineRule="exact"/>
              <w:rPr>
                <w:sz w:val="20"/>
                <w:szCs w:val="20"/>
                <w:color w:val="auto"/>
              </w:rPr>
            </w:pPr>
            <w:r>
              <w:rPr>
                <w:rFonts w:ascii="Arial" w:cs="Arial" w:eastAsia="Arial" w:hAnsi="Arial"/>
                <w:sz w:val="14"/>
                <w:szCs w:val="14"/>
                <w:b w:val="1"/>
                <w:bCs w:val="1"/>
                <w:color w:val="auto"/>
                <w:w w:val="88"/>
              </w:rPr>
              <w:t>($000)</w:t>
            </w: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12/31/05</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2.64</w:t>
            </w: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7.31</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Forfeitures</w:t>
            </w:r>
          </w:p>
        </w:tc>
        <w:tc>
          <w:tcPr>
            <w:tcW w:w="1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Exercised</w:t>
            </w:r>
          </w:p>
        </w:tc>
        <w:tc>
          <w:tcPr>
            <w:tcW w:w="3200" w:type="dxa"/>
            <w:vAlign w:val="bottom"/>
            <w:gridSpan w:val="4"/>
          </w:tcPr>
          <w:p>
            <w:pPr>
              <w:jc w:val="right"/>
              <w:ind w:right="240"/>
              <w:spacing w:after="0"/>
              <w:rPr>
                <w:sz w:val="20"/>
                <w:szCs w:val="20"/>
                <w:color w:val="auto"/>
              </w:rPr>
            </w:pPr>
            <w:r>
              <w:rPr>
                <w:rFonts w:ascii="Arial" w:cs="Arial" w:eastAsia="Arial" w:hAnsi="Arial"/>
                <w:sz w:val="18"/>
                <w:szCs w:val="18"/>
                <w:color w:val="auto"/>
              </w:rPr>
              <w:t>(101)</w:t>
            </w: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2.78</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12/31/06</w:t>
            </w:r>
          </w:p>
        </w:tc>
        <w:tc>
          <w:tcPr>
            <w:tcW w:w="2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4.51</w:t>
            </w:r>
          </w:p>
        </w:tc>
        <w:tc>
          <w:tcPr>
            <w:tcW w:w="1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8.1 years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$ 1,260</w:t>
            </w:r>
          </w:p>
        </w:tc>
        <w:tc>
          <w:tcPr>
            <w:tcW w:w="0" w:type="dxa"/>
            <w:vAlign w:val="bottom"/>
          </w:tcPr>
          <w:p>
            <w:pPr>
              <w:spacing w:after="0"/>
              <w:rPr>
                <w:sz w:val="1"/>
                <w:szCs w:val="1"/>
                <w:color w:val="auto"/>
              </w:rPr>
            </w:pPr>
          </w:p>
        </w:tc>
      </w:tr>
      <w:tr>
        <w:trPr>
          <w:trHeight w:val="222"/>
        </w:trPr>
        <w:tc>
          <w:tcPr>
            <w:tcW w:w="3160" w:type="dxa"/>
            <w:vAlign w:val="bottom"/>
          </w:tcPr>
          <w:p>
            <w:pPr>
              <w:spacing w:after="0"/>
              <w:rPr>
                <w:sz w:val="20"/>
                <w:szCs w:val="20"/>
                <w:color w:val="auto"/>
              </w:rPr>
            </w:pPr>
            <w:r>
              <w:rPr>
                <w:rFonts w:ascii="Arial" w:cs="Arial" w:eastAsia="Arial" w:hAnsi="Arial"/>
                <w:sz w:val="18"/>
                <w:szCs w:val="18"/>
                <w:color w:val="auto"/>
              </w:rPr>
              <w:t>Exercisable at 12/31/06</w:t>
            </w:r>
          </w:p>
        </w:tc>
        <w:tc>
          <w:tcPr>
            <w:tcW w:w="2920" w:type="dxa"/>
            <w:vAlign w:val="bottom"/>
            <w:gridSpan w:val="3"/>
          </w:tcPr>
          <w:p>
            <w:pPr>
              <w:jc w:val="right"/>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19"/>
                <w:szCs w:val="19"/>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8"/>
                <w:szCs w:val="18"/>
                <w:color w:val="auto"/>
              </w:rPr>
              <w:t>2.29</w:t>
            </w: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6.5 years</w:t>
            </w:r>
          </w:p>
        </w:tc>
        <w:tc>
          <w:tcPr>
            <w:tcW w:w="60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356"/>
        </w:trPr>
        <w:tc>
          <w:tcPr>
            <w:tcW w:w="3160" w:type="dxa"/>
            <w:vAlign w:val="bottom"/>
          </w:tcPr>
          <w:p>
            <w:pPr>
              <w:spacing w:after="0"/>
              <w:rPr>
                <w:sz w:val="24"/>
                <w:szCs w:val="24"/>
                <w:color w:val="auto"/>
              </w:rPr>
            </w:pPr>
          </w:p>
        </w:tc>
        <w:tc>
          <w:tcPr>
            <w:tcW w:w="3200" w:type="dxa"/>
            <w:vAlign w:val="bottom"/>
            <w:gridSpan w:val="4"/>
          </w:tcPr>
          <w:p>
            <w:pPr>
              <w:jc w:val="right"/>
              <w:ind w:right="1400"/>
              <w:spacing w:after="0"/>
              <w:rPr>
                <w:sz w:val="20"/>
                <w:szCs w:val="20"/>
                <w:color w:val="auto"/>
              </w:rPr>
            </w:pPr>
            <w:r>
              <w:rPr>
                <w:rFonts w:ascii="Arial" w:cs="Arial" w:eastAsia="Arial" w:hAnsi="Arial"/>
                <w:sz w:val="18"/>
                <w:szCs w:val="18"/>
                <w:color w:val="auto"/>
              </w:rPr>
              <w:t>F-21</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received $281,000 of cash from employees who exercised 101,000 options during the year ended December 31, 2006. The intrinsic value of these exercised options totaled $610,000.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future compensation expense of unvested options at December 31, 2006 is approximately $540,000. These options have an expected term of 9.0 years and the weighted average period over which these options will be expensed is 2.0 years.</w:t>
      </w:r>
    </w:p>
    <w:p>
      <w:pPr>
        <w:spacing w:after="0" w:line="132"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We may grant the right to purchase restricted shares of our common stock. Such shares are subject to restriction on transfer under Federal securities laws. During October 2001, we granted options to Jason Louis DeZwirek, a related party and a member of the Board of Directors, to purchase up to 25,000 shares of our common stock, exercisable at any time between April 5, 2002 and October 5, 2011, inclusive, at a price of $2.01, the fair market value at date of grant. Mr. DeZwirek exercised these options on January 6, 2006.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6" w:lineRule="exact"/>
        <w:rPr>
          <w:sz w:val="20"/>
          <w:szCs w:val="20"/>
          <w:color w:val="auto"/>
        </w:rPr>
      </w:pPr>
    </w:p>
    <w:p>
      <w:pPr>
        <w:jc w:val="both"/>
        <w:ind w:right="180" w:firstLine="456"/>
        <w:spacing w:after="0" w:line="291" w:lineRule="auto"/>
        <w:rPr>
          <w:sz w:val="20"/>
          <w:szCs w:val="20"/>
          <w:color w:val="auto"/>
        </w:rPr>
      </w:pPr>
      <w:r>
        <w:rPr>
          <w:rFonts w:ascii="Arial" w:cs="Arial" w:eastAsia="Arial" w:hAnsi="Arial"/>
          <w:sz w:val="16"/>
          <w:szCs w:val="16"/>
          <w:color w:val="auto"/>
        </w:rPr>
        <w:t>Prior to 2005, we maintained an Employee Stock Purchase Plan for all employees meeting certain eligibility criteria. Under the Plan, eligible employees could purchase through the initial twelve-month offering and through a series of semiannual offerings, each October and April, commencing October 1, 1999, shares of our common stock, subject to certain limitations. The purchase price of each share was 85% of the lesser of its fair market value on the first business day or the last business day of the offering period. The aggregate number of whole shares of common stock allowed to be purchased under the option could not exceed 10% of the employee’s base compensation. There were 250,000 shares made available for purchase under the plan. During 2004 we issued 8,285 shares under this plan at amounts that approximated fair value. We terminated the plan during the first part of 2005.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31, 2001, we issued 706,668 shares of common stock at a price of $3.00 per share, and issued detachable stock warrants to purchase 353,334 shares of common stock at an initial exercise price of $3.60 per share to a group of accredited investors (the “Investors”). Gross proceeds of $2,120,000 were received from the issuance of these shares and were used to pay down the bank credit facility.</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right to purchase shares under the warrants vest immediately upon the issuance of the warrants, and the warrants contain various features to protect the Investors in the event of a merger or consolidation and from dilution in the event of a stock issuance at prices below the exercise price.</w:t>
      </w:r>
    </w:p>
    <w:p>
      <w:pPr>
        <w:spacing w:after="0" w:line="8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prepared and filed with the SEC a registration statement within 90 days of the issuance of such warrants and caused the registration statement to become effective within 150 days of the issuance.</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connection with this transaction, we were required to issue additional shares based on an earnings formula computed from fiscal year 2002 results (as defined in the Investors’ Subscription Agreement) to the Investors, at no additional cost to the Investors. Based on the results of the earnings formula, approximately 382,000 additional shares were issued to the Investors in 2003.</w:t>
      </w:r>
    </w:p>
    <w:p>
      <w:pPr>
        <w:spacing w:after="0" w:line="1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In connection with the issuance of the common shares and warrants to the investors, we estimated $440,000 of issuance costs and issued warrants to purchase 14,000 shares of common stock at an initial exercise price of $3.60. The total issuance costs including the fair value of the warrants to purchase 14,000 shares of common stock were allocated to common stock, detachable stock warrants and contingent stock warrants based on their respective fair market values.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2006, investors exercised warrants for 366,564 of our common stock. We received $1.3 million of proceeds from the exercise of such Warrants, which proceeds were used as working capital. As a result of this exercise the December 31, 2006 fair value of these warrants was reduced to $0 and $842,000 was recorded as other income in the 2006 consolidated financial statements.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Former K&amp;B Shareholders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In December 1999, as part of their employment contracts, warrants were granted to three of the former owners of K&amp;B to purchase a total of 1,000,000 shares of our common stock at an exercise price of $2.9375 per share which was the fair market value on the date granted. These warrants become exercisable at the rate of 25% per year over the four years following December 1999. The warrants have a term of ten years.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Related Party and Other</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December 1999, warrants were issued to the subordinated lenders (see Note 10) to purchase up to 1,000,000 shares (500,000 of which are related party at December 31, 2006 of our common stock for $2.25 per share which was the fair market value on the date granted. As noted above, these warrants were exercised in 2001. In connection with such warrants, the subordinated lenders were granted certain registration rights with respect to their warrants and shares of our common stock into which the warrants are convertible. Our management valued the detachable stock warrants at $1.8 million and discounted the subordinated debt obligations by such amount (see Note 10) and recorded additional capital in excess of par value at December 31, 1999.</w:t>
      </w:r>
    </w:p>
    <w:p>
      <w:pPr>
        <w:spacing w:after="0" w:line="1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December 28, 2006, the Company and Green Diamond further amended the subordinated notes to extend the maturity date under both notes from April 1, 2007 to July 1, 2008, which was later amended to January 31, 2010 on March 27, 2007. In consideration for such extension, the interest rate under Replacement Note 1 was increased from 6% to 12%. As additional consideration for the extension, the Company issued warrants for 250,000 shares of common stock to Green Diamond under a Warrant Agreement on December 28, 2006. The fair value of the warrants was determined to be $842,000 at the date of issuance and the subordinated debt was discounted by such amount. The discount will be amortized as a component of interest expense over the remaining term of the notes. Green Diamond is an affiliate of Phillip DeZwirek and Jason DeZwirek, both of whom are executive officers and directors of CECO.</w:t>
      </w:r>
    </w:p>
    <w:p>
      <w:pPr>
        <w:spacing w:after="0" w:line="12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issuance of these warrants did not affect net income in 2006 and they should not be confused with the detachable stock warrants issued to Investors on December 31, 2001, which were exercised in 2006 resulting in $842,000 of non-cash other income.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Chief Executive Officer</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January 1999, warrants were issued to the Chief Executive Officer to purchase 500,000 shares of the Company’s common stock at an exercise price of $3.00 per share. Prior to 1999, warrants were issued to the Chief Executive Officer to purchase 1,250,000 shares, at exercise prices ranging from $1.625 to $2.75 per share. In August 2000, warrants were issued to the Chief Executive Officer to purchase 500,000 shares at an exercise price of $2.06 per share. The warrants expire 10 years from the date of issuance.</w:t>
      </w:r>
    </w:p>
    <w:p>
      <w:pPr>
        <w:spacing w:after="0" w:line="143" w:lineRule="exact"/>
        <w:rPr>
          <w:sz w:val="20"/>
          <w:szCs w:val="20"/>
          <w:color w:val="auto"/>
        </w:rPr>
      </w:pPr>
    </w:p>
    <w:p>
      <w:pPr>
        <w:jc w:val="center"/>
        <w:spacing w:after="0" w:line="440" w:lineRule="auto"/>
        <w:rPr>
          <w:sz w:val="20"/>
          <w:szCs w:val="20"/>
          <w:color w:val="auto"/>
        </w:rPr>
      </w:pPr>
      <w:r>
        <w:rPr>
          <w:rFonts w:ascii="Arial" w:cs="Arial" w:eastAsia="Arial" w:hAnsi="Arial"/>
          <w:sz w:val="18"/>
          <w:szCs w:val="18"/>
          <w:color w:val="auto"/>
        </w:rPr>
        <w:t>In December 2001, the Green Diamond Oil Corp. exercised warrants to purchase 800,000 shares at a price of $2.25 per share as previously disclosed. F-23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6, 2006, the Chief Executive Officer elected to exercise warrants for 1,000,000 shares of common stock for an aggregate amount of $1,718,750 paid to us. Proceeds from these exercises were used by us to pay accrued interest on the Green Diamond subordinated notes.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Treasury Stock</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2002, we purchased 37,300 shares of our common stock as treasury shares at a total cost of $118,000. During the fourth quarter of 2004 we retired 626,000 shares of common stock previously held as treasury shares.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Pension and Employee Benefit Plans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sponsor a non-contributory defined benefit pension plan for certain union employees. The plan is funded in accordance with the funding requirements of the Employee Retirement Income Security Act of 1974.</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also sponsor a post-retirement health care plan for office employees retiring before January 1, 1990. The plan allows retirees who have attained the age of 65 to elect the type of coverage desired.</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Effective with our 2006 year-end reporting, we adopted SFAS No. 158, “Employers’ Accounting for Defined Benefit Pension Plans and Other Postretirement Plans, an Amendment of FASB Statements No. 87, 88, 106 and 132(R),” which requires the recognition of the funded status of each defined benefit pension plan and other postretirement benefit plans on the consolidated balance sheet. Each overfunded plan is recognized as an asset and each underfunded plan is recognized as a liability. The initial impact of the standard, due to unrecognized prior service costs or credits and net actuarial gains or losses, as well as subsequent changes in the funded status, is recognized as a component of accumulated other comprehensive loss (AOCL) in shareholders’ equity. Additional minimum pension liabilities (AML) and related intangible assets are also derecognized upon adoption of the new standard. SFAS No. 158 does not permit retrospective application to prior periods. The following table summarizes the effect of required changes on our defined benefit pension plan as of December 31, 2006, prior to the adoption of SFAS No. 158, as well as the impact of the initial adoption of the standard: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adoption</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w w:val="98"/>
              </w:rPr>
              <w:t>After adoption</w:t>
            </w:r>
          </w:p>
        </w:tc>
      </w:tr>
      <w:tr>
        <w:trPr>
          <w:trHeight w:val="175"/>
        </w:trPr>
        <w:tc>
          <w:tcPr>
            <w:tcW w:w="55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1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of SFAS No. 158</w:t>
            </w:r>
          </w:p>
        </w:tc>
        <w:tc>
          <w:tcPr>
            <w:tcW w:w="96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of SFAS No. 158</w:t>
            </w:r>
          </w:p>
        </w:tc>
        <w:tc>
          <w:tcPr>
            <w:tcW w:w="60" w:type="dxa"/>
            <w:vAlign w:val="bottom"/>
          </w:tcPr>
          <w:p>
            <w:pPr>
              <w:spacing w:after="0"/>
              <w:rPr>
                <w:sz w:val="15"/>
                <w:szCs w:val="15"/>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included in deferred charges and other assets</w:t>
            </w:r>
          </w:p>
        </w:tc>
        <w:tc>
          <w:tcPr>
            <w:tcW w:w="15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w:t>
            </w:r>
          </w:p>
        </w:tc>
        <w:tc>
          <w:tcPr>
            <w:tcW w:w="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Defined benefit liabilities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2"/>
          </w:tcPr>
          <w:p>
            <w:pPr>
              <w:jc w:val="right"/>
              <w:ind w:right="900"/>
              <w:spacing w:after="0"/>
              <w:rPr>
                <w:sz w:val="20"/>
                <w:szCs w:val="20"/>
                <w:color w:val="auto"/>
              </w:rPr>
            </w:pPr>
            <w:r>
              <w:rPr>
                <w:rFonts w:ascii="Arial" w:cs="Arial" w:eastAsia="Arial" w:hAnsi="Arial"/>
                <w:sz w:val="18"/>
                <w:szCs w:val="18"/>
                <w:color w:val="auto"/>
              </w:rPr>
              <w:t>(1,828)</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(294)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(2,122)</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associated with AOCL</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60" w:type="dxa"/>
            <w:vAlign w:val="bottom"/>
            <w:shd w:val="clear" w:color="auto" w:fill="CCEEFF"/>
          </w:tcPr>
          <w:p>
            <w:pPr>
              <w:spacing w:after="0"/>
              <w:rPr>
                <w:sz w:val="18"/>
                <w:szCs w:val="18"/>
                <w:color w:val="auto"/>
              </w:rPr>
            </w:pPr>
          </w:p>
        </w:tc>
      </w:tr>
      <w:tr>
        <w:trPr>
          <w:trHeight w:val="222"/>
        </w:trPr>
        <w:tc>
          <w:tcPr>
            <w:tcW w:w="5540" w:type="dxa"/>
            <w:vAlign w:val="bottom"/>
          </w:tcPr>
          <w:p>
            <w:pPr>
              <w:spacing w:after="0"/>
              <w:rPr>
                <w:sz w:val="20"/>
                <w:szCs w:val="20"/>
                <w:color w:val="auto"/>
              </w:rPr>
            </w:pPr>
            <w:r>
              <w:rPr>
                <w:rFonts w:ascii="Arial" w:cs="Arial" w:eastAsia="Arial" w:hAnsi="Arial"/>
                <w:sz w:val="18"/>
                <w:szCs w:val="18"/>
                <w:color w:val="auto"/>
              </w:rPr>
              <w:t>AOCL, net of tax</w:t>
            </w: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1,065</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1,273</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effect of required changes on our post-retirement health care plan as of December 31, 2006, prior to the adoption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SFAS No. 158, as well as the impact of the initial adoption of the standard: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adoption</w:t>
            </w: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1"/>
              </w:rPr>
              <w:t>After adoption</w:t>
            </w:r>
          </w:p>
        </w:tc>
      </w:tr>
      <w:tr>
        <w:trPr>
          <w:trHeight w:val="175"/>
        </w:trPr>
        <w:tc>
          <w:tcPr>
            <w:tcW w:w="634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4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of SFAS No. 158</w:t>
            </w:r>
          </w:p>
        </w:tc>
        <w:tc>
          <w:tcPr>
            <w:tcW w:w="96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Adjustments</w:t>
            </w: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of SFAS No. 158</w:t>
            </w:r>
          </w:p>
        </w:tc>
        <w:tc>
          <w:tcPr>
            <w:tcW w:w="60" w:type="dxa"/>
            <w:vAlign w:val="bottom"/>
          </w:tcPr>
          <w:p>
            <w:pPr>
              <w:spacing w:after="0"/>
              <w:rPr>
                <w:sz w:val="15"/>
                <w:szCs w:val="15"/>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w w:val="95"/>
              </w:rPr>
              <w:t>Defined benefit liabilities included in accounts payable and other accrued expenses</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w:t>
            </w: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Defined benefit liabilities</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(378)</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(341)</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associated with AOCL</w:t>
            </w: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r>
      <w:tr>
        <w:trPr>
          <w:trHeight w:val="222"/>
        </w:trPr>
        <w:tc>
          <w:tcPr>
            <w:tcW w:w="6340" w:type="dxa"/>
            <w:vAlign w:val="bottom"/>
          </w:tcPr>
          <w:p>
            <w:pPr>
              <w:spacing w:after="0"/>
              <w:rPr>
                <w:sz w:val="20"/>
                <w:szCs w:val="20"/>
                <w:color w:val="auto"/>
              </w:rPr>
            </w:pPr>
            <w:r>
              <w:rPr>
                <w:rFonts w:ascii="Arial" w:cs="Arial" w:eastAsia="Arial" w:hAnsi="Arial"/>
                <w:sz w:val="18"/>
                <w:szCs w:val="18"/>
                <w:color w:val="auto"/>
              </w:rPr>
              <w:t>AOCL, net of tax</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r>
      <w:tr>
        <w:trPr>
          <w:trHeight w:val="356"/>
        </w:trPr>
        <w:tc>
          <w:tcPr>
            <w:tcW w:w="6340" w:type="dxa"/>
            <w:vAlign w:val="bottom"/>
          </w:tcPr>
          <w:p>
            <w:pPr>
              <w:ind w:left="5540"/>
              <w:spacing w:after="0"/>
              <w:rPr>
                <w:sz w:val="20"/>
                <w:szCs w:val="20"/>
                <w:color w:val="auto"/>
              </w:rPr>
            </w:pPr>
            <w:r>
              <w:rPr>
                <w:rFonts w:ascii="Arial" w:cs="Arial" w:eastAsia="Arial" w:hAnsi="Arial"/>
                <w:sz w:val="18"/>
                <w:szCs w:val="18"/>
                <w:color w:val="auto"/>
              </w:rPr>
              <w:t>F-24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set forth the plans’ changes in benefit obligations, plan assets and funded status on the measurement dates, December 31, 2006 and 2005, and amounts recognized in our consolidated balance sheets as of those dates.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4"/>
                <w:szCs w:val="14"/>
                <w:color w:val="auto"/>
              </w:rPr>
            </w:pPr>
          </w:p>
        </w:tc>
        <w:tc>
          <w:tcPr>
            <w:tcW w:w="15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Other Benefits</w:t>
            </w:r>
          </w:p>
        </w:tc>
        <w:tc>
          <w:tcPr>
            <w:tcW w:w="0" w:type="dxa"/>
            <w:vAlign w:val="bottom"/>
          </w:tcPr>
          <w:p>
            <w:pPr>
              <w:spacing w:after="0"/>
              <w:rPr>
                <w:sz w:val="1"/>
                <w:szCs w:val="1"/>
                <w:color w:val="auto"/>
              </w:rPr>
            </w:pPr>
          </w:p>
        </w:tc>
      </w:tr>
      <w:tr>
        <w:trPr>
          <w:trHeight w:val="142"/>
        </w:trPr>
        <w:tc>
          <w:tcPr>
            <w:tcW w:w="6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 in thousands</w:t>
            </w: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2006</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2005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Change in projected benefit obligation: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Projected benefit obligation at beginning of year</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w w:val="97"/>
              </w:rPr>
              <w:t>5,064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4,914</w:t>
            </w:r>
          </w:p>
        </w:tc>
        <w:tc>
          <w:tcPr>
            <w:tcW w:w="34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$ 461</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$ 500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Interest cost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1160" w:type="dxa"/>
            <w:vAlign w:val="bottom"/>
            <w:gridSpan w:val="3"/>
          </w:tcPr>
          <w:p>
            <w:pPr>
              <w:jc w:val="right"/>
              <w:ind w:right="540"/>
              <w:spacing w:after="0"/>
              <w:rPr>
                <w:sz w:val="20"/>
                <w:szCs w:val="20"/>
                <w:color w:val="auto"/>
              </w:rPr>
            </w:pPr>
            <w:r>
              <w:rPr>
                <w:rFonts w:ascii="Arial" w:cs="Arial" w:eastAsia="Arial" w:hAnsi="Arial"/>
                <w:sz w:val="18"/>
                <w:szCs w:val="18"/>
                <w:color w:val="auto"/>
              </w:rPr>
              <w:t>24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Actuarial (gain)/loss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 at end of year</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5,806</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5,064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Change in plan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value of plan assets at beginning of year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7"/>
              </w:rPr>
              <w:t>3,649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3,304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Actual return on plan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157</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Employer contribution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420"/>
              <w:spacing w:after="0"/>
              <w:rPr>
                <w:sz w:val="20"/>
                <w:szCs w:val="20"/>
                <w:color w:val="auto"/>
              </w:rPr>
            </w:pPr>
            <w:r>
              <w:rPr>
                <w:rFonts w:ascii="Arial" w:cs="Arial" w:eastAsia="Arial" w:hAnsi="Arial"/>
                <w:sz w:val="18"/>
                <w:szCs w:val="18"/>
                <w:color w:val="auto"/>
              </w:rPr>
              <w:t>Benefits paid</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(210)</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(72)</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4,243</w:t>
            </w: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3,649</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80" w:type="dxa"/>
            <w:vAlign w:val="bottom"/>
            <w:gridSpan w:val="2"/>
          </w:tcPr>
          <w:p>
            <w:pPr>
              <w:spacing w:after="0"/>
              <w:rPr>
                <w:sz w:val="20"/>
                <w:szCs w:val="20"/>
                <w:color w:val="auto"/>
              </w:rPr>
            </w:pPr>
            <w:r>
              <w:rPr>
                <w:rFonts w:ascii="Arial" w:cs="Arial" w:eastAsia="Arial" w:hAnsi="Arial"/>
                <w:sz w:val="18"/>
                <w:szCs w:val="18"/>
                <w:color w:val="auto"/>
              </w:rPr>
              <w:t>Funded status</w:t>
            </w:r>
          </w:p>
        </w:tc>
        <w:tc>
          <w:tcPr>
            <w:tcW w:w="1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(1,563)</w:t>
            </w:r>
          </w:p>
        </w:tc>
        <w:tc>
          <w:tcPr>
            <w:tcW w:w="10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(1,415)</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Unrecognized prior service cost</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Unrecognized net actuarial loss/(gain)</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1,613</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prepaid pension cost/(accrued benefit liability)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Amounts recognized in the consolidated balance sheets consist of:</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Prepaid pension cost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 —</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Intangible asset included in deferred charges and other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Defined benefit liabilities included in accounts payable and accrued expenses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Defined benefit liabilities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(2,122)</w:t>
            </w: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(1,371)</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(341)</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 associated with AOCL</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AOCL, net of tax</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1,273</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(384)</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(432)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assumptions at December 31:</w:t>
            </w:r>
          </w:p>
        </w:tc>
        <w:tc>
          <w:tcPr>
            <w:tcW w:w="1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80" w:type="dxa"/>
            <w:vAlign w:val="bottom"/>
            <w:gridSpan w:val="2"/>
            <w:vMerge w:val="continue"/>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5.75%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Expected long-term rate of return on assets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9"/>
                <w:szCs w:val="19"/>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The basis of the long-term rate of return assumption reflects the current asset mix for the pension plan of approximately 35% debt securities and 65% equity securities with assumed average annual returns of approximately 5% to 6% for debt securities and 10% to 12% for equity securities. The investment portfolio for the pension plan will be adjusted periodically to maintain the current ratios of debt securities and equity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securities. Additional consideration is given to the historical returns for the pension plan as well as future long range projections of investment returns for each asset category.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accumulated benefit obligation for our defined benefit plans was $5.5 million and $4.8 million at December 31, 2006 and 2005, respectively.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Information with respect to our plans which have accumulated benefit obligations in excess of plan assets at December 31, 2006 and 2005 is as follows:</w:t>
      </w:r>
    </w:p>
    <w:p>
      <w:pPr>
        <w:spacing w:after="0" w:line="22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tcPr>
          <w:p>
            <w:pPr>
              <w:spacing w:after="0"/>
              <w:rPr>
                <w:sz w:val="20"/>
                <w:szCs w:val="20"/>
                <w:color w:val="auto"/>
              </w:rPr>
            </w:pPr>
            <w:r>
              <w:rPr>
                <w:rFonts w:ascii="Arial" w:cs="Arial" w:eastAsia="Arial" w:hAnsi="Arial"/>
                <w:sz w:val="14"/>
                <w:szCs w:val="14"/>
                <w:b w:val="1"/>
                <w:bCs w:val="1"/>
                <w:color w:val="auto"/>
              </w:rPr>
              <w:t>$ in thousands</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4"/>
                <w:szCs w:val="1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3"/>
              </w:rPr>
              <w:t>$ 5,806</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$ 5,064</w:t>
            </w:r>
          </w:p>
        </w:tc>
        <w:tc>
          <w:tcPr>
            <w:tcW w:w="20" w:type="dxa"/>
            <w:vAlign w:val="bottom"/>
          </w:tcPr>
          <w:p>
            <w:pPr>
              <w:spacing w:after="0"/>
              <w:rPr>
                <w:sz w:val="18"/>
                <w:szCs w:val="18"/>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5,537</w:t>
            </w:r>
          </w:p>
        </w:tc>
        <w:tc>
          <w:tcPr>
            <w:tcW w:w="540" w:type="dxa"/>
            <w:vAlign w:val="bottom"/>
          </w:tcPr>
          <w:p>
            <w:pPr>
              <w:jc w:val="right"/>
              <w:spacing w:after="0"/>
              <w:rPr>
                <w:sz w:val="20"/>
                <w:szCs w:val="20"/>
                <w:color w:val="auto"/>
              </w:rPr>
            </w:pPr>
            <w:r>
              <w:rPr>
                <w:rFonts w:ascii="Arial" w:cs="Arial" w:eastAsia="Arial" w:hAnsi="Arial"/>
                <w:sz w:val="18"/>
                <w:szCs w:val="18"/>
                <w:color w:val="auto"/>
              </w:rPr>
              <w:t>4,770</w:t>
            </w:r>
          </w:p>
        </w:tc>
        <w:tc>
          <w:tcPr>
            <w:tcW w:w="20" w:type="dxa"/>
            <w:vAlign w:val="bottom"/>
          </w:tcPr>
          <w:p>
            <w:pPr>
              <w:spacing w:after="0"/>
              <w:rPr>
                <w:sz w:val="18"/>
                <w:szCs w:val="18"/>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4,243</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current assumptions, estimated contributions of $570,000 may be required in 2007 for the pension plan and $62,000 for the retiree healthcare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65"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Included in other comprehensive income, net of related tax effect, were an increase in the minimum liability of $482,000 in 2006 and an increase of $33,000 in 2005.</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Benefits under the plans are not based on wages and, therefore, future wage adjustments have no effect on the projected benefit obligations.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details of net periodic benefit cost for pension benefits included in the accompanying consolidated statements of operations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2006, 2005 and 2004 are as follows: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0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2880" w:type="dxa"/>
            <w:vAlign w:val="bottom"/>
          </w:tcPr>
          <w:p>
            <w:pPr>
              <w:spacing w:after="0"/>
              <w:rPr>
                <w:sz w:val="14"/>
                <w:szCs w:val="14"/>
                <w:color w:val="auto"/>
              </w:rPr>
            </w:pPr>
          </w:p>
        </w:tc>
        <w:tc>
          <w:tcPr>
            <w:tcW w:w="42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$ 129</w:t>
            </w: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$ 131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Interest cost</w:t>
            </w:r>
          </w:p>
        </w:tc>
        <w:tc>
          <w:tcPr>
            <w:tcW w:w="3640" w:type="dxa"/>
            <w:vAlign w:val="bottom"/>
            <w:gridSpan w:val="3"/>
          </w:tcPr>
          <w:p>
            <w:pPr>
              <w:jc w:val="right"/>
              <w:ind w:right="340"/>
              <w:spacing w:after="0"/>
              <w:rPr>
                <w:sz w:val="20"/>
                <w:szCs w:val="20"/>
                <w:color w:val="auto"/>
              </w:rPr>
            </w:pPr>
            <w:r>
              <w:rPr>
                <w:rFonts w:ascii="Arial" w:cs="Arial" w:eastAsia="Arial" w:hAnsi="Arial"/>
                <w:sz w:val="18"/>
                <w:szCs w:val="18"/>
                <w:color w:val="auto"/>
              </w:rPr>
              <w:t>285</w:t>
            </w: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277</w:t>
            </w:r>
          </w:p>
        </w:tc>
        <w:tc>
          <w:tcPr>
            <w:tcW w:w="42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(338)</w:t>
            </w:r>
          </w:p>
        </w:tc>
        <w:tc>
          <w:tcPr>
            <w:tcW w:w="13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(303)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Net amortization and deferral</w:t>
            </w:r>
          </w:p>
        </w:tc>
        <w:tc>
          <w:tcPr>
            <w:tcW w:w="28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660"/>
              <w:spacing w:after="0"/>
              <w:rPr>
                <w:sz w:val="20"/>
                <w:szCs w:val="20"/>
                <w:color w:val="auto"/>
              </w:rPr>
            </w:pPr>
            <w:r>
              <w:rPr>
                <w:rFonts w:ascii="Arial" w:cs="Arial" w:eastAsia="Arial" w:hAnsi="Arial"/>
                <w:sz w:val="18"/>
                <w:szCs w:val="18"/>
                <w:color w:val="auto"/>
              </w:rPr>
              <w:t>94</w:t>
            </w:r>
          </w:p>
        </w:tc>
        <w:tc>
          <w:tcPr>
            <w:tcW w:w="42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36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w:t>
            </w: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$ 199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net loss, transition (asset)/obligation, and prior service cost for the defined benefit pension plan will be amortized from accumulated other comprehensive income into net periodic benefit cost during 2007 are $141,000, $0 and $8,000, respectively.</w:t>
      </w:r>
    </w:p>
    <w:p>
      <w:pPr>
        <w:spacing w:after="0" w:line="13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net periodic benefit cost (representing interest cost only) for the post-retirement plan included in the accompanying consolidated statements of operations was $25,000, $26,000 and $29,000 for the years ended December 31, 2006, 2005 and 2004 respectively.</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Pension plan assets are invested in trusts comprised primarily of investments in various debt and equity funds. A fiduciary committee establishes the target asset mix and monitors asset performance. The expected rate of return on assets includes the determination of a real rate of return for equity and fixed income investment applied to the portfolio based on their relative weighting, increased by an underlying inflation rate.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health care costs have no effect on the plan as future increases are assumed by the retirees.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40"/>
          </w:cols>
          <w:pgMar w:left="240" w:top="459" w:right="3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ind w:left="2580"/>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defined benefit pension plan asset allocation by asset category is as follows:</w:t>
      </w:r>
    </w:p>
    <w:p>
      <w:pPr>
        <w:spacing w:after="0" w:line="221"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Target</w:t>
      </w:r>
    </w:p>
    <w:p>
      <w:pPr>
        <w:spacing w:after="0" w:line="2" w:lineRule="exact"/>
        <w:rPr>
          <w:sz w:val="20"/>
          <w:szCs w:val="20"/>
          <w:color w:val="auto"/>
        </w:rPr>
      </w:pPr>
    </w:p>
    <w:p>
      <w:pPr>
        <w:jc w:val="center"/>
        <w:ind w:left="8240"/>
        <w:spacing w:after="0"/>
        <w:rPr>
          <w:sz w:val="20"/>
          <w:szCs w:val="20"/>
          <w:color w:val="auto"/>
        </w:rPr>
      </w:pPr>
      <w:r>
        <w:rPr>
          <w:rFonts w:ascii="Arial" w:cs="Arial" w:eastAsia="Arial" w:hAnsi="Arial"/>
          <w:sz w:val="12"/>
          <w:szCs w:val="12"/>
          <w:b w:val="1"/>
          <w:bCs w:val="1"/>
          <w:color w:val="auto"/>
        </w:rPr>
        <w:t>Allocation</w:t>
      </w:r>
    </w:p>
    <w:p>
      <w:pPr>
        <w:spacing w:after="0" w:line="10"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Percentage of</w:t>
      </w:r>
    </w:p>
    <w:p>
      <w:pPr>
        <w:spacing w:after="0" w:line="1" w:lineRule="exact"/>
        <w:rPr>
          <w:sz w:val="20"/>
          <w:szCs w:val="20"/>
          <w:color w:val="auto"/>
        </w:rPr>
      </w:pPr>
    </w:p>
    <w:p>
      <w:pPr>
        <w:jc w:val="center"/>
        <w:ind w:right="620"/>
        <w:spacing w:after="0"/>
        <w:rPr>
          <w:sz w:val="20"/>
          <w:szCs w:val="20"/>
          <w:color w:val="auto"/>
        </w:rPr>
      </w:pPr>
      <w:r>
        <w:rPr>
          <w:rFonts w:ascii="Arial" w:cs="Arial" w:eastAsia="Arial" w:hAnsi="Arial"/>
          <w:sz w:val="14"/>
          <w:szCs w:val="14"/>
          <w:b w:val="1"/>
          <w:bCs w:val="1"/>
          <w:color w:val="auto"/>
        </w:rPr>
        <w:t>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635</wp:posOffset>
            </wp:positionV>
            <wp:extent cx="81470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tabs>
          <w:tab w:leader="none" w:pos="960" w:val="left"/>
        </w:tabs>
        <w:rPr>
          <w:sz w:val="20"/>
          <w:szCs w:val="20"/>
          <w:color w:val="auto"/>
        </w:rPr>
      </w:pPr>
      <w:r>
        <w:rPr>
          <w:rFonts w:ascii="Arial" w:cs="Arial" w:eastAsia="Arial" w:hAnsi="Arial"/>
          <w:sz w:val="12"/>
          <w:szCs w:val="12"/>
          <w:b w:val="1"/>
          <w:bCs w:val="1"/>
          <w:color w:val="auto"/>
        </w:rPr>
        <w:t>2006</w:t>
      </w:r>
      <w:r>
        <w:rPr>
          <w:sz w:val="20"/>
          <w:szCs w:val="20"/>
          <w:color w:val="auto"/>
        </w:rPr>
        <w:tab/>
      </w:r>
      <w:r>
        <w:rPr>
          <w:rFonts w:ascii="Arial" w:cs="Arial" w:eastAsia="Arial" w:hAnsi="Arial"/>
          <w:sz w:val="12"/>
          <w:szCs w:val="12"/>
          <w:b w:val="1"/>
          <w:bCs w:val="1"/>
          <w:color w:val="auto"/>
        </w:rPr>
        <w:t>2005</w:t>
      </w:r>
    </w:p>
    <w:p>
      <w:pPr>
        <w:spacing w:after="0" w:line="23" w:lineRule="exact"/>
        <w:rPr>
          <w:sz w:val="20"/>
          <w:szCs w:val="20"/>
          <w:color w:val="auto"/>
        </w:rPr>
      </w:pPr>
    </w:p>
    <w:p>
      <w:pPr>
        <w:sectPr>
          <w:pgSz w:w="11900" w:h="16838" w:orient="portrait"/>
          <w:cols w:equalWidth="0" w:num="2">
            <w:col w:w="8840" w:space="700"/>
            <w:col w:w="1880"/>
          </w:cols>
          <w:pgMar w:left="240" w:top="459" w:right="239" w:bottom="1440" w:gutter="0" w:footer="0" w:header="0"/>
        </w:sectPr>
      </w:pPr>
    </w:p>
    <w:tbl>
      <w:tblPr>
        <w:tblLayout w:type="fixed"/>
        <w:tblInd w:w="460" w:type="dxa"/>
        <w:tblCellMar>
          <w:top w:w="0" w:type="dxa"/>
          <w:left w:w="0" w:type="dxa"/>
          <w:bottom w:w="0" w:type="dxa"/>
          <w:right w:w="0" w:type="dxa"/>
        </w:tblCellMar>
      </w:tblPr>
      <w:tr>
        <w:trPr>
          <w:trHeight w:val="210"/>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Category:</w:t>
            </w:r>
          </w:p>
        </w:tc>
        <w:tc>
          <w:tcPr>
            <w:tcW w:w="6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Equity Securities</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55%</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and cash</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w:t>
            </w: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77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vMerge w:val="continue"/>
          </w:tcPr>
          <w:p>
            <w:pPr>
              <w:spacing w:after="0"/>
              <w:rPr>
                <w:sz w:val="19"/>
                <w:szCs w:val="19"/>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w w:val="91"/>
              </w:rPr>
              <w:t>100%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Estimated pension plan cash obligations are $264,000, $275,000, $299,000, $314,000 and $341,000 for 2007 – 2011, respectively, and a total of $2,077,000 for the years 2012 through 2016.</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connection with collective bargaining agreements, we participate with other companies in defined benefit pension plans. These plans cover substantially all of our Kirk &amp; Blum contracted union employees not covered in the aforementioned plan. If we were to withdraw from participation in these multi-employer plans, we would be required to contribute our share of the plans’ unfunded benefit obligation. We have no intention of withdrawing from any plan and, therefore, no liability has been provided in the accompanying consolidated financial statements.</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Amounts charged to pension expense under the above plans including the multi-employer plans totaled $3.4 million, $1.9 million and $1.9 million for 2006, 2005 and 2004, respectively.</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July 2006, we merged the K&amp;B and CFI’s profit sharing and 401(k) savings retirement plans for non-union employees. The merged plan covers substantially all employees who have 6 months of service, completed 1,000 hours of service and who have attained 21 years of age. The Plan allows us to make discretionary contributions and provides for employee salary deferrals of up to 22%. We provide matching contributions of 50% of the first 6% of employee contributions. We also made matching contributions and discretionary contributions of $202,000 during 2006. In prior years, we made matching contributions and discretionary contributions of $52,000 and $45,000 during 2005 and 2004, respectively to the K&amp;B plan, and $27,000 and $27,000 during 2005 and 2004, respectively to the CFI plan.</w:t>
      </w:r>
    </w:p>
    <w:p>
      <w:pPr>
        <w:spacing w:after="0" w:line="219" w:lineRule="exact"/>
        <w:rPr>
          <w:sz w:val="20"/>
          <w:szCs w:val="20"/>
          <w:color w:val="auto"/>
        </w:rPr>
      </w:pPr>
    </w:p>
    <w:p>
      <w:pPr>
        <w:ind w:left="400" w:hanging="392"/>
        <w:spacing w:after="0"/>
        <w:tabs>
          <w:tab w:leader="none" w:pos="4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0"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Rent</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lease certain facilities on a year-to-year basis. We also have future annual minimum rental commitments under noncancellable operating leases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w:t>
            </w:r>
          </w:p>
        </w:tc>
        <w:tc>
          <w:tcPr>
            <w:tcW w:w="5940" w:type="dxa"/>
            <w:vAlign w:val="bottom"/>
            <w:tcBorders>
              <w:bottom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Commitment</w:t>
            </w:r>
          </w:p>
        </w:tc>
      </w:tr>
      <w:tr>
        <w:trPr>
          <w:trHeight w:val="136"/>
        </w:trPr>
        <w:tc>
          <w:tcPr>
            <w:tcW w:w="3180" w:type="dxa"/>
            <w:vAlign w:val="bottom"/>
          </w:tcPr>
          <w:p>
            <w:pPr>
              <w:spacing w:after="0"/>
              <w:rPr>
                <w:sz w:val="11"/>
                <w:szCs w:val="11"/>
                <w:color w:val="auto"/>
              </w:rPr>
            </w:pPr>
          </w:p>
        </w:tc>
        <w:tc>
          <w:tcPr>
            <w:tcW w:w="7400" w:type="dxa"/>
            <w:vAlign w:val="bottom"/>
            <w:gridSpan w:val="2"/>
          </w:tcPr>
          <w:p>
            <w:pPr>
              <w:spacing w:after="0"/>
              <w:rPr>
                <w:sz w:val="11"/>
                <w:szCs w:val="11"/>
                <w:color w:val="auto"/>
              </w:rPr>
            </w:pPr>
          </w:p>
        </w:tc>
        <w:tc>
          <w:tcPr>
            <w:tcW w:w="100" w:type="dxa"/>
            <w:vAlign w:val="bottom"/>
            <w:tcBorders>
              <w:top w:val="single" w:sz="8" w:color="auto"/>
            </w:tcBorders>
          </w:tcPr>
          <w:p>
            <w:pPr>
              <w:spacing w:after="0" w:line="136"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1"/>
                <w:szCs w:val="1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500" w:type="dxa"/>
            <w:vAlign w:val="bottom"/>
            <w:gridSpan w:val="3"/>
            <w:shd w:val="clear" w:color="auto" w:fill="CCEEFF"/>
          </w:tcPr>
          <w:p>
            <w:pPr>
              <w:ind w:left="74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2008</w:t>
            </w:r>
          </w:p>
        </w:tc>
        <w:tc>
          <w:tcPr>
            <w:tcW w:w="5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686</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2010</w:t>
            </w:r>
          </w:p>
        </w:tc>
        <w:tc>
          <w:tcPr>
            <w:tcW w:w="5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571</w:t>
            </w:r>
          </w:p>
        </w:tc>
        <w:tc>
          <w:tcPr>
            <w:tcW w:w="20" w:type="dxa"/>
            <w:vAlign w:val="bottom"/>
          </w:tcPr>
          <w:p>
            <w:pPr>
              <w:spacing w:after="0"/>
              <w:rPr>
                <w:sz w:val="18"/>
                <w:szCs w:val="18"/>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59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74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20" w:type="dxa"/>
            <w:vAlign w:val="bottom"/>
          </w:tcPr>
          <w:p>
            <w:pPr>
              <w:spacing w:after="0"/>
              <w:rPr>
                <w:sz w:val="19"/>
                <w:szCs w:val="19"/>
                <w:color w:val="auto"/>
              </w:rPr>
            </w:pPr>
          </w:p>
        </w:tc>
      </w:tr>
      <w:tr>
        <w:trPr>
          <w:trHeight w:val="20"/>
        </w:trPr>
        <w:tc>
          <w:tcPr>
            <w:tcW w:w="3180" w:type="dxa"/>
            <w:vAlign w:val="bottom"/>
          </w:tcPr>
          <w:p>
            <w:pPr>
              <w:spacing w:after="0" w:line="20" w:lineRule="exact"/>
              <w:rPr>
                <w:sz w:val="1"/>
                <w:szCs w:val="1"/>
                <w:color w:val="auto"/>
              </w:rPr>
            </w:pPr>
          </w:p>
        </w:tc>
        <w:tc>
          <w:tcPr>
            <w:tcW w:w="740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3180" w:type="dxa"/>
            <w:vAlign w:val="bottom"/>
          </w:tcPr>
          <w:p>
            <w:pPr>
              <w:spacing w:after="0"/>
              <w:rPr>
                <w:sz w:val="24"/>
                <w:szCs w:val="24"/>
                <w:color w:val="auto"/>
              </w:rPr>
            </w:pPr>
          </w:p>
        </w:tc>
        <w:tc>
          <w:tcPr>
            <w:tcW w:w="7500" w:type="dxa"/>
            <w:vAlign w:val="bottom"/>
            <w:gridSpan w:val="3"/>
          </w:tcPr>
          <w:p>
            <w:pPr>
              <w:ind w:left="2360"/>
              <w:spacing w:after="0"/>
              <w:rPr>
                <w:sz w:val="20"/>
                <w:szCs w:val="20"/>
                <w:color w:val="auto"/>
              </w:rPr>
            </w:pPr>
            <w:r>
              <w:rPr>
                <w:rFonts w:ascii="Arial" w:cs="Arial" w:eastAsia="Arial" w:hAnsi="Arial"/>
                <w:sz w:val="18"/>
                <w:szCs w:val="18"/>
                <w:color w:val="auto"/>
              </w:rPr>
              <w:t>F-27</w:t>
            </w: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Also as disclosed in Note 17, on February 28, 2007, the Company and Effox, Inc. entered into an Asset Purchase Agreement whereby the Company acquired substantially all of the assets of Effox, Inc. The future annual minimum rental commitments incurred in connection with the acquisition are $343,000 in 2007, $436,000 in 2008, $460,000 in 2009, $484,000 in 2010 and $464,000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rent expense under all operating leases for 2006, 2005 and 2004 was $766,000, $613,000 and $671,000, respectively.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December 1999, we entered into five-year employment agreements with three of the former owners of K&amp;B. In 2001, these agreements were amended by extending the term one additional year. In December 2005 these agreements expired and new agreements were entered into with two of the three former owners in May and June of 2006.</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new agreements provide for annual salaries and a bonus, for each of the next three years, based on an incentive compensation plan tied to financial performance and attainment of goals. No amounts have been paid in connection with these employment agreements.</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provision (benefit) consisted of the following for the years ended December 31: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14"/>
                <w:szCs w:val="14"/>
                <w:color w:val="auto"/>
              </w:rPr>
            </w:pP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5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Federal</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$1,420</w:t>
            </w:r>
          </w:p>
        </w:tc>
        <w:tc>
          <w:tcPr>
            <w:tcW w:w="2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1,959</w:t>
            </w:r>
          </w:p>
        </w:tc>
        <w:tc>
          <w:tcPr>
            <w:tcW w:w="2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91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34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Federal</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(553)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440"/>
              <w:spacing w:after="0"/>
              <w:rPr>
                <w:sz w:val="20"/>
                <w:szCs w:val="20"/>
                <w:color w:val="auto"/>
              </w:rPr>
            </w:pPr>
            <w:r>
              <w:rPr>
                <w:rFonts w:ascii="Arial" w:cs="Arial" w:eastAsia="Arial" w:hAnsi="Arial"/>
                <w:sz w:val="18"/>
                <w:szCs w:val="18"/>
                <w:color w:val="auto"/>
              </w:rPr>
              <w:t>The income tax provision (benefit) differs from the statutory rate due to the following:</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12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2006</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46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Tax expense (benefit) at statutory rate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$1,653</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Increase (decrease) in tax resulting from:</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 income tax, net of federal benefit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Permanent differences, principally warrants and interest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1,768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647</w:t>
            </w:r>
          </w:p>
        </w:tc>
        <w:tc>
          <w:tcPr>
            <w:tcW w:w="5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90"/>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vMerge w:val="restart"/>
          </w:tcPr>
          <w:p>
            <w:pPr>
              <w:ind w:left="5520"/>
              <w:spacing w:after="0"/>
              <w:rPr>
                <w:sz w:val="20"/>
                <w:szCs w:val="20"/>
                <w:color w:val="auto"/>
              </w:rPr>
            </w:pPr>
            <w:r>
              <w:rPr>
                <w:rFonts w:ascii="Arial" w:cs="Arial" w:eastAsia="Arial" w:hAnsi="Arial"/>
                <w:sz w:val="18"/>
                <w:szCs w:val="18"/>
                <w:color w:val="auto"/>
              </w:rPr>
              <w:t>F-28</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1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Deferred income taxes reflect the future tax consequences of temporary differences between the carrying amounts of assets and liabilities for financial reporting purposes and the amounts used for income tax purposes. The net deferred tax liability consisted of the following at December 31:</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40" w:type="dxa"/>
            <w:vAlign w:val="bottom"/>
            <w:gridSpan w:val="2"/>
          </w:tcPr>
          <w:p>
            <w:pPr>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6"/>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 (liabilities) attributable to:</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state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Reserves on assets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9840" w:type="dxa"/>
            <w:vAlign w:val="bottom"/>
            <w:gridSpan w:val="2"/>
          </w:tcPr>
          <w:p>
            <w:pPr>
              <w:spacing w:after="0"/>
              <w:rPr>
                <w:sz w:val="20"/>
                <w:szCs w:val="20"/>
                <w:color w:val="auto"/>
              </w:rPr>
            </w:pPr>
            <w:r>
              <w:rPr>
                <w:rFonts w:ascii="Arial" w:cs="Arial" w:eastAsia="Arial" w:hAnsi="Arial"/>
                <w:sz w:val="18"/>
                <w:szCs w:val="18"/>
                <w:color w:val="auto"/>
              </w:rPr>
              <w:t>Current deferred tax asset (included in prepaid expenses and other current assets)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 (liabilities) attributable to:</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(2,638)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Goodwill and intangibles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(1,408)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Non-compete agreement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Minimum pension and postretirement liability</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856</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and state net operating loss carryforwards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20" w:type="dxa"/>
            <w:vAlign w:val="bottom"/>
          </w:tcPr>
          <w:p>
            <w:pPr>
              <w:ind w:left="420"/>
              <w:spacing w:after="0"/>
              <w:rPr>
                <w:sz w:val="20"/>
                <w:szCs w:val="20"/>
                <w:color w:val="auto"/>
              </w:rPr>
            </w:pPr>
            <w:r>
              <w:rPr>
                <w:rFonts w:ascii="Arial" w:cs="Arial" w:eastAsia="Arial" w:hAnsi="Arial"/>
                <w:sz w:val="18"/>
                <w:szCs w:val="18"/>
                <w:color w:val="auto"/>
              </w:rPr>
              <w:t>AMT credit carryforward</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20" w:type="dxa"/>
            <w:vAlign w:val="bottom"/>
            <w:shd w:val="clear" w:color="auto" w:fill="CCEEFF"/>
          </w:tcPr>
          <w:p>
            <w:pPr>
              <w:spacing w:after="0"/>
              <w:rPr>
                <w:sz w:val="20"/>
                <w:szCs w:val="20"/>
                <w:color w:val="auto"/>
              </w:rPr>
            </w:pPr>
            <w:r>
              <w:rPr>
                <w:rFonts w:ascii="Arial" w:cs="Arial" w:eastAsia="Arial" w:hAnsi="Arial"/>
                <w:sz w:val="18"/>
                <w:szCs w:val="18"/>
                <w:color w:val="auto"/>
              </w:rPr>
              <w:t>Net noncurrent deferred income tax liability</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(2,527)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(3,143)</w:t>
            </w:r>
          </w:p>
        </w:tc>
        <w:tc>
          <w:tcPr>
            <w:tcW w:w="0" w:type="dxa"/>
            <w:vAlign w:val="bottom"/>
          </w:tcPr>
          <w:p>
            <w:pPr>
              <w:spacing w:after="0"/>
              <w:rPr>
                <w:sz w:val="1"/>
                <w:szCs w:val="1"/>
                <w:color w:val="auto"/>
              </w:rPr>
            </w:pPr>
          </w:p>
        </w:tc>
      </w:tr>
      <w:tr>
        <w:trPr>
          <w:trHeight w:val="20"/>
        </w:trPr>
        <w:tc>
          <w:tcPr>
            <w:tcW w:w="984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liability</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8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(2,199)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(2,689)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Gross deferred tax assets were $2.0 and $2.0 million at December 31, 2006 and 2005, respectively. Gross deferred tax liabilities were $4.2 and $4.7 million at December 31, 2006 and 2005,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Federal net operating loss carryforwards of approximately $992,000 at December 31, 2006 to be utilized in future years, which begin to expire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file a consolidated Federal income tax return.</w:t>
      </w:r>
    </w:p>
    <w:p>
      <w:pPr>
        <w:spacing w:after="0" w:line="24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Related Party Transactions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2006, we reimbursed Green Diamond Oil Corp. $5,000 per month for January – March, and $10,000 per month for April – December for use of the space and other office expenses of our Toronto office. In 2006, 2005 and 2004, reimbursements were $105,000, $60,000 and $60,000 respectively. During 2006, 2005 and 2004, we paid fees of $334,000, $340,000 and $340,000 respectively, to Green Diamond for management consulting services. These services were provided by Phillip DeZwirek, the Chief Executive Officer and Chairman of our Board, through Green Diamond.</w:t>
      </w:r>
    </w:p>
    <w:p>
      <w:pPr>
        <w:spacing w:after="0" w:line="18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5"/>
          <w:szCs w:val="15"/>
          <w:b w:val="1"/>
          <w:bCs w:val="1"/>
          <w:color w:val="auto"/>
        </w:rPr>
        <w:t>Backlog of Uncompleted Contracts from Continuing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backlog of uncompleted contracts from continuing operations was $97.1 million and $28.9 million at December 31, 2006 and 2005, respectively.</w:t>
      </w:r>
    </w:p>
    <w:p>
      <w:pPr>
        <w:spacing w:after="0" w:line="26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On February 28, 2007, CECO Environmental Corp. (the “Company”), CECO Acquisition Corp. (“Acquisition”), an indirectly owned subsidiary of the Company, and Effox, Inc. (“Effox”) entered into an Asset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2006, 2005, 2004</w:t>
      </w:r>
    </w:p>
    <w:p>
      <w:pPr>
        <w:spacing w:after="0" w:line="164"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Purchase Agreement (“APA”), pursuant to which Acquisition acquired substantially all of the assets of Effox (the “Asset Purchase”), including the design, manufacture, and sale of its damper and expansion joint products and the furnishing of installation services to customers and any goodwill associated therewith.</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completed the Asset Purchase on February 28, 2007, pursuant to the terms of the APA, by which Acquisition purchased substantially all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assets of Effox. Acquisition paid $7,004,960, which is $6,775,000 minus the Estimated Adjustment Amount, as defined in the APA, plus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$725,000 which was placed in escrow. Acquisition also agreed to pay a three year earn out payment. The earn out payment is not to exceed $1.0 million and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on the amount by which annual fiscal year gross profits of the purchased operations of Effox exceed $5,833,333 for the first period of March 1, 2007</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December 31, 2007 and exceed $7.0 million for each of 2008 and 2009 fiscal years.</w:t>
      </w:r>
    </w:p>
    <w:p>
      <w:pPr>
        <w:spacing w:after="0" w:line="24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6"/>
          <w:szCs w:val="16"/>
          <w:b w:val="1"/>
          <w:bCs w:val="1"/>
          <w:color w:val="auto"/>
        </w:rPr>
        <w:t>Quarterly Financial Data (unaudited)</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quarterly financial data are unaudited, but in the opinion of management include all necessary adjustments for a fair presentation of the interim results, which are subject to significant seasonal variations.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First</w:t>
            </w: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Second</w:t>
            </w:r>
          </w:p>
        </w:tc>
        <w:tc>
          <w:tcPr>
            <w:tcW w:w="580" w:type="dxa"/>
            <w:vAlign w:val="bottom"/>
          </w:tcPr>
          <w:p>
            <w:pPr>
              <w:jc w:val="right"/>
              <w:ind w:right="36"/>
              <w:spacing w:after="0"/>
              <w:rPr>
                <w:sz w:val="20"/>
                <w:szCs w:val="20"/>
                <w:color w:val="auto"/>
              </w:rPr>
            </w:pPr>
            <w:r>
              <w:rPr>
                <w:rFonts w:ascii="Arial" w:cs="Arial" w:eastAsia="Arial" w:hAnsi="Arial"/>
                <w:sz w:val="14"/>
                <w:szCs w:val="14"/>
                <w:b w:val="1"/>
                <w:bCs w:val="1"/>
                <w:color w:val="auto"/>
              </w:rPr>
              <w:t>Third</w:t>
            </w:r>
          </w:p>
        </w:tc>
        <w:tc>
          <w:tcPr>
            <w:tcW w:w="34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Fourth</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 in thousands except per share data</w:t>
            </w:r>
          </w:p>
        </w:tc>
        <w:tc>
          <w:tcPr>
            <w:tcW w:w="2600" w:type="dxa"/>
            <w:vAlign w:val="bottom"/>
          </w:tcPr>
          <w:p>
            <w:pPr>
              <w:spacing w:after="0"/>
              <w:rPr>
                <w:sz w:val="15"/>
                <w:szCs w:val="15"/>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Quarter</w:t>
            </w: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Quarter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8"/>
              </w:rPr>
              <w:t>Quarter</w:t>
            </w:r>
          </w:p>
        </w:tc>
        <w:tc>
          <w:tcPr>
            <w:tcW w:w="34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5"/>
                <w:szCs w:val="15"/>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2006</w:t>
            </w:r>
          </w:p>
        </w:tc>
        <w:tc>
          <w:tcPr>
            <w:tcW w:w="26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Sales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$24,382</w:t>
            </w:r>
          </w:p>
        </w:tc>
        <w:tc>
          <w:tcPr>
            <w:tcW w:w="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$31,745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$37,734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$41,498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(736)</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1,562</w:t>
            </w:r>
          </w:p>
        </w:tc>
        <w:tc>
          <w:tcPr>
            <w:tcW w:w="580" w:type="dxa"/>
            <w:vAlign w:val="bottom"/>
          </w:tcPr>
          <w:p>
            <w:pPr>
              <w:jc w:val="right"/>
              <w:spacing w:after="0"/>
              <w:rPr>
                <w:sz w:val="20"/>
                <w:szCs w:val="20"/>
                <w:color w:val="auto"/>
              </w:rPr>
            </w:pPr>
            <w:r>
              <w:rPr>
                <w:rFonts w:ascii="Arial" w:cs="Arial" w:eastAsia="Arial" w:hAnsi="Arial"/>
                <w:sz w:val="18"/>
                <w:szCs w:val="18"/>
                <w:color w:val="auto"/>
              </w:rPr>
              <w:t>1,067</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1,201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w:t>
            </w: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(0.07)</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Diluted earnings (loss) per share .</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(0.07)</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0.12</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0.09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2005</w:t>
            </w:r>
          </w:p>
        </w:tc>
        <w:tc>
          <w:tcPr>
            <w:tcW w:w="2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Sales</w:t>
            </w:r>
          </w:p>
        </w:tc>
        <w:tc>
          <w:tcPr>
            <w:tcW w:w="3180" w:type="dxa"/>
            <w:vAlign w:val="bottom"/>
            <w:gridSpan w:val="2"/>
          </w:tcPr>
          <w:p>
            <w:pPr>
              <w:jc w:val="right"/>
              <w:spacing w:after="0"/>
              <w:rPr>
                <w:sz w:val="20"/>
                <w:szCs w:val="20"/>
                <w:color w:val="auto"/>
              </w:rPr>
            </w:pPr>
            <w:r>
              <w:rPr>
                <w:rFonts w:ascii="Arial" w:cs="Arial" w:eastAsia="Arial" w:hAnsi="Arial"/>
                <w:sz w:val="18"/>
                <w:szCs w:val="18"/>
                <w:color w:val="auto"/>
              </w:rPr>
              <w:t>$15,055</w:t>
            </w:r>
          </w:p>
        </w:tc>
        <w:tc>
          <w:tcPr>
            <w:tcW w:w="4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$20,015</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$23,442</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$23,009</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81,521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(960)</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Net income (loss)</w:t>
            </w:r>
          </w:p>
        </w:tc>
        <w:tc>
          <w:tcPr>
            <w:tcW w:w="3600" w:type="dxa"/>
            <w:vAlign w:val="bottom"/>
            <w:gridSpan w:val="3"/>
          </w:tcPr>
          <w:p>
            <w:pPr>
              <w:jc w:val="right"/>
              <w:ind w:right="360"/>
              <w:spacing w:after="0"/>
              <w:rPr>
                <w:sz w:val="20"/>
                <w:szCs w:val="20"/>
                <w:color w:val="auto"/>
              </w:rPr>
            </w:pPr>
            <w:r>
              <w:rPr>
                <w:rFonts w:ascii="Arial" w:cs="Arial" w:eastAsia="Arial" w:hAnsi="Arial"/>
                <w:sz w:val="18"/>
                <w:szCs w:val="18"/>
                <w:color w:val="auto"/>
              </w:rPr>
              <w:t>(632)</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235</w:t>
            </w:r>
          </w:p>
        </w:tc>
        <w:tc>
          <w:tcPr>
            <w:tcW w:w="580" w:type="dxa"/>
            <w:vAlign w:val="bottom"/>
          </w:tcPr>
          <w:p>
            <w:pPr>
              <w:jc w:val="right"/>
              <w:spacing w:after="0"/>
              <w:rPr>
                <w:sz w:val="20"/>
                <w:szCs w:val="20"/>
                <w:color w:val="auto"/>
              </w:rPr>
            </w:pPr>
            <w:r>
              <w:rPr>
                <w:rFonts w:ascii="Arial" w:cs="Arial" w:eastAsia="Arial" w:hAnsi="Arial"/>
                <w:sz w:val="18"/>
                <w:szCs w:val="18"/>
                <w:color w:val="auto"/>
              </w:rPr>
              <w:t>355</w:t>
            </w:r>
          </w:p>
        </w:tc>
        <w:tc>
          <w:tcPr>
            <w:tcW w:w="1320" w:type="dxa"/>
            <w:vAlign w:val="bottom"/>
            <w:gridSpan w:val="3"/>
          </w:tcPr>
          <w:p>
            <w:pPr>
              <w:jc w:val="right"/>
              <w:ind w:right="340"/>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(loss) per share</w:t>
            </w:r>
          </w:p>
        </w:tc>
        <w:tc>
          <w:tcPr>
            <w:tcW w:w="36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(0.06)</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3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00" w:type="dxa"/>
            <w:vAlign w:val="bottom"/>
            <w:gridSpan w:val="3"/>
          </w:tcPr>
          <w:p>
            <w:pPr>
              <w:jc w:val="right"/>
              <w:ind w:right="1980"/>
              <w:spacing w:after="0"/>
              <w:rPr>
                <w:sz w:val="20"/>
                <w:szCs w:val="20"/>
                <w:color w:val="auto"/>
              </w:rPr>
            </w:pPr>
            <w:r>
              <w:rPr>
                <w:rFonts w:ascii="Arial" w:cs="Arial" w:eastAsia="Arial" w:hAnsi="Arial"/>
                <w:sz w:val="18"/>
                <w:szCs w:val="18"/>
                <w:color w:val="auto"/>
              </w:rPr>
              <w:t>F-30</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10.37</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04" w:lineRule="exact"/>
        <w:rPr>
          <w:sz w:val="20"/>
          <w:szCs w:val="20"/>
          <w:color w:val="auto"/>
        </w:rPr>
      </w:pPr>
    </w:p>
    <w:p>
      <w:pPr>
        <w:ind w:right="440" w:firstLine="456"/>
        <w:spacing w:after="0" w:line="221" w:lineRule="auto"/>
        <w:rPr>
          <w:sz w:val="20"/>
          <w:szCs w:val="20"/>
          <w:color w:val="auto"/>
        </w:rPr>
      </w:pPr>
      <w:r>
        <w:rPr>
          <w:rFonts w:ascii="Arial" w:cs="Arial" w:eastAsia="Arial" w:hAnsi="Arial"/>
          <w:sz w:val="18"/>
          <w:szCs w:val="18"/>
          <w:color w:val="auto"/>
        </w:rPr>
        <w:t>This agreement (“Agreement”) is entered into as of the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 by and between CECO Environmental Corp., a Delaware corporation (“</w:t>
      </w:r>
      <w:r>
        <w:rPr>
          <w:rFonts w:ascii="Arial" w:cs="Arial" w:eastAsia="Arial" w:hAnsi="Arial"/>
          <w:sz w:val="18"/>
          <w:szCs w:val="18"/>
          <w:u w:val="single" w:color="auto"/>
          <w:color w:val="auto"/>
        </w:rPr>
        <w:t>CECO</w:t>
      </w:r>
      <w:r>
        <w:rPr>
          <w:rFonts w:ascii="Arial" w:cs="Arial" w:eastAsia="Arial" w:hAnsi="Arial"/>
          <w:sz w:val="18"/>
          <w:szCs w:val="18"/>
          <w:color w:val="auto"/>
        </w:rPr>
        <w:t>”), and RICHARD J. BLUM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CECO and Employee entered into an Employment Agreement as of May 30, 2006 (“Original Agreement”) with an effective date of January 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and the parties desire to amend such Original Agreement as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CECO Group, Inc. (“</w:t>
      </w:r>
      <w:r>
        <w:rPr>
          <w:rFonts w:ascii="Arial" w:cs="Arial" w:eastAsia="Arial" w:hAnsi="Arial"/>
          <w:sz w:val="18"/>
          <w:szCs w:val="18"/>
          <w:u w:val="single" w:color="auto"/>
          <w:color w:val="auto"/>
        </w:rPr>
        <w:t>CEC</w:t>
      </w:r>
      <w:r>
        <w:rPr>
          <w:rFonts w:ascii="Arial" w:cs="Arial" w:eastAsia="Arial" w:hAnsi="Arial"/>
          <w:sz w:val="18"/>
          <w:szCs w:val="18"/>
          <w:color w:val="auto"/>
        </w:rPr>
        <w:t>”) is a wholly-owned subsidiary of CECO;</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CEC, CECO and the other direct and indirect subsidiaries of CECO, including without limitation, The Kirk and Blum Manufacturing Company (“</w:t>
      </w:r>
      <w:r>
        <w:rPr>
          <w:rFonts w:ascii="Arial" w:cs="Arial" w:eastAsia="Arial" w:hAnsi="Arial"/>
          <w:sz w:val="16"/>
          <w:szCs w:val="16"/>
          <w:u w:val="single" w:color="auto"/>
          <w:color w:val="auto"/>
        </w:rPr>
        <w:t>K&amp;B</w:t>
      </w:r>
      <w:r>
        <w:rPr>
          <w:rFonts w:ascii="Arial" w:cs="Arial" w:eastAsia="Arial" w:hAnsi="Arial"/>
          <w:sz w:val="16"/>
          <w:szCs w:val="16"/>
          <w:color w:val="auto"/>
        </w:rPr>
        <w:t>” and collectively with all of the foregoing, the “</w:t>
      </w:r>
      <w:r>
        <w:rPr>
          <w:rFonts w:ascii="Arial" w:cs="Arial" w:eastAsia="Arial" w:hAnsi="Arial"/>
          <w:sz w:val="16"/>
          <w:szCs w:val="16"/>
          <w:u w:val="single" w:color="auto"/>
          <w:color w:val="auto"/>
        </w:rPr>
        <w:t>Companies</w:t>
      </w:r>
      <w:r>
        <w:rPr>
          <w:rFonts w:ascii="Arial" w:cs="Arial" w:eastAsia="Arial" w:hAnsi="Arial"/>
          <w:sz w:val="16"/>
          <w:szCs w:val="16"/>
          <w:color w:val="auto"/>
        </w:rPr>
        <w:t>”) are engaged in the business of acquiring and operating businesses that engage in engineering, designing, manufacturing or installation services in the air pollution control industry including without limitation of the foregoing, (a) fabrication and installation of industrial ventilation, dust, fume and mist control systems, as well as automotive spray booth systems, industrial and process piping and other industrial sheet metal work, (b) fabrication of parts, subassemblies or customized products for air pollution and non-air pollution applications from sheet, plate and structural steel, (c) the provision of standard and non-standard components for contractors and companies that design and/or install their own air pollution control equipment, or (d) engineering services concentrated in the industrial ventilation area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118" w:lineRule="exact"/>
        <w:rPr>
          <w:sz w:val="20"/>
          <w:szCs w:val="20"/>
          <w:color w:val="auto"/>
        </w:rPr>
      </w:pPr>
    </w:p>
    <w:p>
      <w:pPr>
        <w:ind w:left="460" w:right="2840"/>
        <w:spacing w:after="0" w:line="438" w:lineRule="auto"/>
        <w:rPr>
          <w:sz w:val="20"/>
          <w:szCs w:val="20"/>
          <w:color w:val="auto"/>
        </w:rPr>
      </w:pPr>
      <w:r>
        <w:rPr>
          <w:rFonts w:ascii="Arial" w:cs="Arial" w:eastAsia="Arial" w:hAnsi="Arial"/>
          <w:sz w:val="18"/>
          <w:szCs w:val="18"/>
          <w:color w:val="auto"/>
        </w:rPr>
        <w:t>Employee has been employed by CEC pursuant to an Employment Agreement, which expired as of the date hereof; The parties desire that Employee be employed by CECO to assist in the Business;</w:t>
      </w:r>
    </w:p>
    <w:p>
      <w:pPr>
        <w:spacing w:after="0" w:line="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Such employment constitutes a confidential relationship wherein Employee will become familiar with and aware of information as to the specific manner of doing business and the potential acquisition candidates of the Companies and their affiliates and future plans with respect thereto, all of which information is secret and proprietary and constitutes valuable goodwill of the Companies and their affiliates;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Employee recognizes that the success of Companies’ Business is dependent upon the maintenance of a number of proprietary trade secrets, including the identity of customers and potential acquisition candidates, the confidential information regarding and analysis of such candidates and the financial data of the Companies or either of them or their affiliates, and that the protection of these proprietary trade secrets is of critical importance to the Companies; and</w:t>
      </w:r>
    </w:p>
    <w:p>
      <w:pPr>
        <w:spacing w:after="0" w:line="1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Employee recognizes that the Companies will sustain great loss and damage if he should violate the provisions of this Agreement. Further, monetary</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damages for such losses would be extremely difficult to measure and would therefore be likely to be inadequate for any violation of this Agreement by Employee;</w:t>
      </w:r>
    </w:p>
    <w:p>
      <w:pPr>
        <w:sectPr>
          <w:pgSz w:w="11900" w:h="16838" w:orient="portrait"/>
          <w:cols w:equalWidth="0" w:num="1">
            <w:col w:w="11420"/>
          </w:cols>
          <w:pgMar w:left="240" w:top="125" w:right="239" w:bottom="1440" w:gutter="0" w:footer="0" w:header="0"/>
        </w:sectPr>
      </w:pPr>
    </w:p>
    <w:bookmarkStart w:id="85" w:name="page86"/>
    <w:bookmarkEnd w:id="85"/>
    <w:p>
      <w:pPr>
        <w:ind w:left="5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good and valuable consideration the parties hereby agree as follows:</w:t>
      </w:r>
    </w:p>
    <w:p>
      <w:pPr>
        <w:spacing w:after="0" w:line="171"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firstLine="921"/>
        <w:spacing w:after="0" w:line="286" w:lineRule="auto"/>
        <w:tabs>
          <w:tab w:leader="none" w:pos="1079" w:val="left"/>
        </w:tabs>
        <w:numPr>
          <w:ilvl w:val="1"/>
          <w:numId w:val="35"/>
        </w:numPr>
        <w:rPr>
          <w:rFonts w:ascii="Arial" w:cs="Arial" w:eastAsia="Arial" w:hAnsi="Arial"/>
          <w:sz w:val="16"/>
          <w:szCs w:val="16"/>
          <w:color w:val="auto"/>
        </w:rPr>
      </w:pPr>
      <w:r>
        <w:rPr>
          <w:rFonts w:ascii="Arial" w:cs="Arial" w:eastAsia="Arial" w:hAnsi="Arial"/>
          <w:sz w:val="16"/>
          <w:szCs w:val="16"/>
          <w:u w:val="single" w:color="auto"/>
          <w:color w:val="auto"/>
        </w:rPr>
        <w:t>Positions</w:t>
      </w:r>
      <w:r>
        <w:rPr>
          <w:rFonts w:ascii="Arial" w:cs="Arial" w:eastAsia="Arial" w:hAnsi="Arial"/>
          <w:sz w:val="16"/>
          <w:szCs w:val="16"/>
          <w:color w:val="auto"/>
        </w:rPr>
        <w:t>. During the term of this Agreement, the Employee agrees to serve as President and Chief Operating Officer of CECO and the Chief Executive Officer and President of CEC, and in such other positions which Employee shall agree to accept during the Term. Employee shall (i) report directly to the board of directors and the CEO of CECO, (ii) maintain the level of duties and responsibilities as in effect as of the Effective Date, or such higher level of duties and responsibilities as Employee may be assigned during the Term and (iii) will perform such others duties as may be assigned to him from time to time by the board of directors or CEO of CECO. During his employment, Employee shall devote his full time and best efforts to promote and further the business and services of CECO and the other Companies. Employee shall faithfully adhere to, execute and fulfill all policies established by CECO’s board of directors. Employee shall not, during his employment hereunder, be engaged in any business or perform any services in any capacity other than for CECO or the other Companies, whether or not they interfere with his duties to CECO, without the prior approval of the Board of Directors of CECO, except that no such approval shall be required with respect to volunteer activities for organizations with charitable purposes or passive investment activity; provided that such activities do not interfere with his duties for CECO and are only occasionally during business hours. Without limiting the generality of any other provisions hereunder, under no circumstances shall Employee accept any form of remuneration from any business owner or broker with respect to any matter related to the Business of the Companies.</w:t>
      </w:r>
    </w:p>
    <w:p>
      <w:pPr>
        <w:spacing w:after="0" w:line="124" w:lineRule="exact"/>
        <w:rPr>
          <w:rFonts w:ascii="Arial" w:cs="Arial" w:eastAsia="Arial" w:hAnsi="Arial"/>
          <w:sz w:val="16"/>
          <w:szCs w:val="16"/>
          <w:color w:val="auto"/>
        </w:rPr>
      </w:pPr>
    </w:p>
    <w:p>
      <w:pPr>
        <w:ind w:left="1100" w:hanging="179"/>
        <w:spacing w:after="0"/>
        <w:tabs>
          <w:tab w:leader="none" w:pos="1100" w:val="left"/>
        </w:tabs>
        <w:numPr>
          <w:ilvl w:val="1"/>
          <w:numId w:val="35"/>
        </w:numPr>
        <w:rPr>
          <w:rFonts w:ascii="Arial" w:cs="Arial" w:eastAsia="Arial" w:hAnsi="Arial"/>
          <w:sz w:val="18"/>
          <w:szCs w:val="18"/>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During each year of the Term, Employee shall be nominated as a member of the board of directors of CECO.</w:t>
      </w:r>
    </w:p>
    <w:p>
      <w:pPr>
        <w:spacing w:after="0" w:line="171" w:lineRule="exact"/>
        <w:rPr>
          <w:rFonts w:ascii="Arial" w:cs="Arial" w:eastAsia="Arial" w:hAnsi="Arial"/>
          <w:sz w:val="18"/>
          <w:szCs w:val="18"/>
          <w:color w:val="auto"/>
        </w:rPr>
      </w:pPr>
    </w:p>
    <w:p>
      <w:pPr>
        <w:ind w:right="100" w:firstLine="464"/>
        <w:spacing w:after="0" w:line="254"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the Employee and the Employee hereby agrees to serve the Company in accordance with the terms and conditions set forth herein, for a period commencing as of the Effective Date and ending December 31, 2008 (the “Initial Term”). Commencing December 31, 2008, and each December 31 thereafter, the term of this Agreement shall automatically be extended for one (1) additional year (each, a “Renewal Term”), unless at least six months prior to the termination of the then current term, the Company or the Employee shall have given notice in accordance with Section 14 hereof that it or he does not wish to extend the term of the Agreement. (The Initial Term and all the Renewal Terms are collectively sometimes referred to as the “Term.”)</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CECO shall compensate Employee as follows: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Salary</w:t>
      </w:r>
      <w:r>
        <w:rPr>
          <w:rFonts w:ascii="Arial" w:cs="Arial" w:eastAsia="Arial" w:hAnsi="Arial"/>
          <w:sz w:val="18"/>
          <w:szCs w:val="18"/>
          <w:color w:val="auto"/>
        </w:rPr>
        <w:t>. For his services during the Term, CECO shall pay to Employee a base salary (“Base Salary”) of $275,000 per year, payable in accordance with CECO’s standard payroll practices, but no less frequently than in monthly installments, and which may be increased from time to time in the discretion of the board of directors of CECO. CECO agrees that Employee’s base salary shall be reviewed no less frequently than once every 12 months. The payment of salary and any bonuses paid hereunder shall be subject to all</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86" w:name="page87"/>
    <w:bookmarkEnd w:id="86"/>
    <w:p>
      <w:pPr>
        <w:ind w:right="8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state and local withholding taxes, social security tax deductions and other general obligations. Employee may be entitled to receive additional compensation from CECO in such form and only to the extent explicitly set forth below.</w:t>
      </w:r>
    </w:p>
    <w:p>
      <w:pPr>
        <w:spacing w:after="0" w:line="132" w:lineRule="exact"/>
        <w:rPr>
          <w:sz w:val="20"/>
          <w:szCs w:val="20"/>
          <w:color w:val="auto"/>
        </w:rPr>
      </w:pPr>
    </w:p>
    <w:p>
      <w:pPr>
        <w:ind w:right="360" w:firstLine="913"/>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Other Compensation</w:t>
      </w:r>
      <w:r>
        <w:rPr>
          <w:rFonts w:ascii="Arial" w:cs="Arial" w:eastAsia="Arial" w:hAnsi="Arial"/>
          <w:sz w:val="16"/>
          <w:szCs w:val="16"/>
          <w:color w:val="auto"/>
        </w:rPr>
        <w:t>. Employee shall be entitled to participate, on the same terms as other non-union, executive employees of CECO, in any medical, dental or other health plan, 401(k) plan, stock option plan, profit-sharing plan and life insurance plan that CECO may adopt or maintain for such employees, any of which plans may be changed, terminated or eliminated by CECO at any time in their sole discretion.</w:t>
      </w:r>
    </w:p>
    <w:p>
      <w:pPr>
        <w:spacing w:after="0" w:line="10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CECO shall reimburse Employee for properly documented expenses that are incurred by Employee on behalf of CECO in accordance with corporate policies in effect from time to time.</w:t>
      </w:r>
    </w:p>
    <w:p>
      <w:pPr>
        <w:spacing w:after="0" w:line="132"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Employee’s employment hereunder, Employee shall receive a monthly car allowance of $452 biweekly, or such greater amount as determined by the Compensation Committee of CECO. Such allowance shall be treated as additional compensation for Employee and be reported on his Form W-2 as such.</w:t>
      </w:r>
    </w:p>
    <w:p>
      <w:pPr>
        <w:spacing w:after="0" w:line="140" w:lineRule="exact"/>
        <w:rPr>
          <w:sz w:val="20"/>
          <w:szCs w:val="20"/>
          <w:color w:val="auto"/>
        </w:rPr>
      </w:pPr>
    </w:p>
    <w:p>
      <w:pPr>
        <w:ind w:right="580" w:firstLine="913"/>
        <w:spacing w:after="0" w:line="30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Incentive Compensation Agreement</w:t>
      </w:r>
      <w:r>
        <w:rPr>
          <w:rFonts w:ascii="Arial" w:cs="Arial" w:eastAsia="Arial" w:hAnsi="Arial"/>
          <w:sz w:val="16"/>
          <w:szCs w:val="16"/>
          <w:color w:val="auto"/>
        </w:rPr>
        <w:t>. Employee shall be eligible to participate in any CECO Incentive Compensation Program that CECO establishes, on such terms as are set forth in any such plan (“Bonus Compensation”). Notwithstanding anything contained herein to the contrary, Bonus Compensation shall not be paid until the amount of Bonus Compensation, if any, is determined in accordance with the terms of such plan.</w:t>
      </w:r>
    </w:p>
    <w:p>
      <w:pPr>
        <w:spacing w:after="0" w:line="10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Right to Change Plans</w:t>
      </w:r>
      <w:r>
        <w:rPr>
          <w:rFonts w:ascii="Arial" w:cs="Arial" w:eastAsia="Arial" w:hAnsi="Arial"/>
          <w:sz w:val="18"/>
          <w:szCs w:val="18"/>
          <w:color w:val="auto"/>
        </w:rPr>
        <w:t>. CECO shall not be obligated to institute, maintain, or refrain from changing, amending, or discontinuing any benefit plan, program, or perquisite, so long as such changes are equally applicable to all executive employees of CECO.</w:t>
      </w:r>
    </w:p>
    <w:p>
      <w:pPr>
        <w:spacing w:after="0" w:line="132" w:lineRule="exact"/>
        <w:rPr>
          <w:sz w:val="20"/>
          <w:szCs w:val="20"/>
          <w:color w:val="auto"/>
        </w:rPr>
      </w:pPr>
    </w:p>
    <w:p>
      <w:pPr>
        <w:ind w:right="4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Employee shall be entitled to four (4) weeks of paid vacation in each full calendar year of employment at times mutually acceptable to Employee and CECO. Vacation shall be earned ratably over the course of a calendar year, and unused vacation time cannot be carried forward past December 31 of any year without the prior written consent of CECO.</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Termination by CECO</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913"/>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CECO may terminate this Agreement at any time for Cause, in which case Employee shall be entitled to receive Base Salary accrued through the date of such termination. Any of the following shall constitute “</w:t>
      </w:r>
      <w:r>
        <w:rPr>
          <w:rFonts w:ascii="Arial" w:cs="Arial" w:eastAsia="Arial" w:hAnsi="Arial"/>
          <w:sz w:val="18"/>
          <w:szCs w:val="18"/>
          <w:u w:val="single" w:color="auto"/>
          <w:color w:val="auto"/>
        </w:rPr>
        <w:t>Cause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firstLine="421"/>
        <w:spacing w:after="0" w:line="268" w:lineRule="auto"/>
        <w:tabs>
          <w:tab w:leader="none" w:pos="1549"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material breach by Employee of any of the terms of this Agreement where such breach is not cured within thirty (30) days after written notice of such breach is delivered to Employee;</w:t>
      </w:r>
    </w:p>
    <w:p>
      <w:pPr>
        <w:spacing w:after="0" w:line="50" w:lineRule="exact"/>
        <w:rPr>
          <w:rFonts w:ascii="Arial" w:cs="Arial" w:eastAsia="Arial" w:hAnsi="Arial"/>
          <w:sz w:val="18"/>
          <w:szCs w:val="18"/>
          <w:color w:val="auto"/>
        </w:rPr>
      </w:pPr>
    </w:p>
    <w:p>
      <w:pPr>
        <w:ind w:left="920" w:right="640" w:firstLine="421"/>
        <w:spacing w:after="0" w:line="268" w:lineRule="auto"/>
        <w:tabs>
          <w:tab w:leader="none" w:pos="1598" w:val="left"/>
        </w:tabs>
        <w:numPr>
          <w:ilvl w:val="2"/>
          <w:numId w:val="36"/>
        </w:numPr>
        <w:rPr>
          <w:rFonts w:ascii="Arial" w:cs="Arial" w:eastAsia="Arial" w:hAnsi="Arial"/>
          <w:sz w:val="18"/>
          <w:szCs w:val="18"/>
          <w:color w:val="auto"/>
        </w:rPr>
      </w:pPr>
      <w:r>
        <w:rPr>
          <w:rFonts w:ascii="Arial" w:cs="Arial" w:eastAsia="Arial" w:hAnsi="Arial"/>
          <w:sz w:val="18"/>
          <w:szCs w:val="18"/>
          <w:color w:val="auto"/>
        </w:rPr>
        <w:t>any breach by Employee of any of the terms of his non-competition agreement set forth in Section 9 with CECO or the Employee Innovations and Proprietary Rights Assignment Agreement between Employee and CECO;</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87" w:name="page88"/>
    <w:bookmarkEnd w:id="87"/>
    <w:p>
      <w:pPr>
        <w:ind w:left="900" w:right="160" w:firstLine="421"/>
        <w:spacing w:after="0" w:line="259" w:lineRule="auto"/>
        <w:tabs>
          <w:tab w:leader="none" w:pos="1627" w:val="left"/>
        </w:tabs>
        <w:numPr>
          <w:ilvl w:val="1"/>
          <w:numId w:val="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intoxication with alcohol or drugs while on the premises of CECO or any of the Companies or any customer or potential customer to the extent that in the reasonable judgment of management, Employee is abusive or his ability to perform his duties and responsibilities under this Agreement is impaired;</w:t>
      </w:r>
    </w:p>
    <w:p>
      <w:pPr>
        <w:spacing w:after="0" w:line="59" w:lineRule="exact"/>
        <w:rPr>
          <w:rFonts w:ascii="Arial" w:cs="Arial" w:eastAsia="Arial" w:hAnsi="Arial"/>
          <w:sz w:val="18"/>
          <w:szCs w:val="18"/>
          <w:color w:val="auto"/>
        </w:rPr>
      </w:pPr>
    </w:p>
    <w:p>
      <w:pPr>
        <w:ind w:left="900" w:right="520" w:firstLine="421"/>
        <w:spacing w:after="0" w:line="332" w:lineRule="auto"/>
        <w:tabs>
          <w:tab w:leader="none" w:pos="1617" w:val="left"/>
        </w:tabs>
        <w:numPr>
          <w:ilvl w:val="1"/>
          <w:numId w:val="37"/>
        </w:numPr>
        <w:rPr>
          <w:rFonts w:ascii="Arial" w:cs="Arial" w:eastAsia="Arial" w:hAnsi="Arial"/>
          <w:sz w:val="16"/>
          <w:szCs w:val="16"/>
          <w:color w:val="auto"/>
        </w:rPr>
      </w:pPr>
      <w:r>
        <w:rPr>
          <w:rFonts w:ascii="Arial" w:cs="Arial" w:eastAsia="Arial" w:hAnsi="Arial"/>
          <w:sz w:val="16"/>
          <w:szCs w:val="16"/>
          <w:color w:val="auto"/>
        </w:rPr>
        <w:t>conviction of a felony or any misdemeanor involving dishonesty, theft, the failure to tell the truth, other unethical behavior, racial prejudice, drugs, alcohol, sexual misconduct or any other crime likely to result in public disparagement with respect to any of the Companies;</w:t>
      </w:r>
    </w:p>
    <w:p>
      <w:pPr>
        <w:spacing w:after="0" w:line="4" w:lineRule="exact"/>
        <w:rPr>
          <w:rFonts w:ascii="Arial" w:cs="Arial" w:eastAsia="Arial" w:hAnsi="Arial"/>
          <w:sz w:val="16"/>
          <w:szCs w:val="16"/>
          <w:color w:val="auto"/>
        </w:rPr>
      </w:pPr>
    </w:p>
    <w:p>
      <w:pPr>
        <w:ind w:left="1560" w:hanging="239"/>
        <w:spacing w:after="0"/>
        <w:tabs>
          <w:tab w:leader="none" w:pos="15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intentional misappropriation of property belonging to CECO or any of the Companies;</w:t>
      </w:r>
    </w:p>
    <w:p>
      <w:pPr>
        <w:spacing w:after="0" w:line="90" w:lineRule="exact"/>
        <w:rPr>
          <w:rFonts w:ascii="Arial" w:cs="Arial" w:eastAsia="Arial" w:hAnsi="Arial"/>
          <w:sz w:val="18"/>
          <w:szCs w:val="18"/>
          <w:color w:val="auto"/>
        </w:rPr>
      </w:pPr>
    </w:p>
    <w:p>
      <w:pPr>
        <w:ind w:left="900" w:right="280" w:firstLine="421"/>
        <w:spacing w:after="0" w:line="268" w:lineRule="auto"/>
        <w:tabs>
          <w:tab w:leader="none" w:pos="1617" w:val="left"/>
        </w:tabs>
        <w:numPr>
          <w:ilvl w:val="1"/>
          <w:numId w:val="37"/>
        </w:numPr>
        <w:rPr>
          <w:rFonts w:ascii="Arial" w:cs="Arial" w:eastAsia="Arial" w:hAnsi="Arial"/>
          <w:sz w:val="18"/>
          <w:szCs w:val="18"/>
          <w:color w:val="auto"/>
        </w:rPr>
      </w:pPr>
      <w:r>
        <w:rPr>
          <w:rFonts w:ascii="Arial" w:cs="Arial" w:eastAsia="Arial" w:hAnsi="Arial"/>
          <w:sz w:val="18"/>
          <w:szCs w:val="18"/>
          <w:color w:val="auto"/>
        </w:rPr>
        <w:t>illegal business practices in connection with any of CECO or the Companies’ businesses which could have a material adverse effect on CEC’s, CECO’s, CECO’s or any of the Companies’ or their business or financial position or reputation;</w:t>
      </w:r>
    </w:p>
    <w:p>
      <w:pPr>
        <w:spacing w:after="0" w:line="50" w:lineRule="exact"/>
        <w:rPr>
          <w:rFonts w:ascii="Arial" w:cs="Arial" w:eastAsia="Arial" w:hAnsi="Arial"/>
          <w:sz w:val="18"/>
          <w:szCs w:val="18"/>
          <w:color w:val="auto"/>
        </w:rPr>
      </w:pPr>
    </w:p>
    <w:p>
      <w:pPr>
        <w:ind w:left="900" w:right="80" w:firstLine="421"/>
        <w:spacing w:after="0" w:line="259" w:lineRule="auto"/>
        <w:tabs>
          <w:tab w:leader="none" w:pos="166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excessive absence of Employee from his employment during usual business hours for reasons other than vacation, disability or sickness after written notice thereof is delivered to Employee describing the nature of such excess absences and affording Employee one more opportunity to avoid excess absences; or</w:t>
      </w:r>
    </w:p>
    <w:p>
      <w:pPr>
        <w:spacing w:after="0" w:line="59" w:lineRule="exact"/>
        <w:rPr>
          <w:rFonts w:ascii="Arial" w:cs="Arial" w:eastAsia="Arial" w:hAnsi="Arial"/>
          <w:sz w:val="18"/>
          <w:szCs w:val="18"/>
          <w:color w:val="auto"/>
        </w:rPr>
      </w:pPr>
    </w:p>
    <w:p>
      <w:pPr>
        <w:ind w:left="900" w:right="160" w:firstLine="421"/>
        <w:spacing w:after="0" w:line="268" w:lineRule="auto"/>
        <w:tabs>
          <w:tab w:leader="none" w:pos="17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failure of Employee to obey directions of the Board of Directors of CECO or chief executive officer of CECO, provided that Employee has been given written notice of such directions.</w:t>
      </w:r>
    </w:p>
    <w:p>
      <w:pPr>
        <w:spacing w:after="0" w:line="131" w:lineRule="exact"/>
        <w:rPr>
          <w:rFonts w:ascii="Arial" w:cs="Arial" w:eastAsia="Arial" w:hAnsi="Arial"/>
          <w:sz w:val="18"/>
          <w:szCs w:val="18"/>
          <w:color w:val="auto"/>
        </w:rPr>
      </w:pPr>
    </w:p>
    <w:p>
      <w:pPr>
        <w:ind w:left="-20" w:right="40" w:firstLine="921"/>
        <w:spacing w:after="0" w:line="254" w:lineRule="auto"/>
        <w:tabs>
          <w:tab w:leader="none" w:pos="114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CECO may terminate the employment of Employee, and this Agreement, without Cause at any time, in which event CECO shall pay to Employee, in full satisfaction of CECO’s obligations to Employee under this Agreement, the compensation accrued but unpaid, including without limitation an amount equal to the amount he would have received as Bonus Compensation upon its determination, pro rated through the date of the termination of his employment, and shall continue to pay Base Salary for a period paid of twelve (12) months as if he had remained employed by CECO for such twelve (12) months. Subject to Section 16 herein, such amounts shall be earned and paid rateably over the applicable period in accordance with CECO’s regular payroll practices.</w:t>
      </w:r>
    </w:p>
    <w:p>
      <w:pPr>
        <w:spacing w:after="0" w:line="144" w:lineRule="exact"/>
        <w:rPr>
          <w:rFonts w:ascii="Arial" w:cs="Arial" w:eastAsia="Arial" w:hAnsi="Arial"/>
          <w:sz w:val="18"/>
          <w:szCs w:val="18"/>
          <w:color w:val="auto"/>
        </w:rPr>
      </w:pPr>
    </w:p>
    <w:p>
      <w:pPr>
        <w:ind w:left="-20" w:firstLine="921"/>
        <w:spacing w:after="0" w:line="289" w:lineRule="auto"/>
        <w:tabs>
          <w:tab w:leader="none" w:pos="1132"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Breach by CECO</w:t>
      </w:r>
      <w:r>
        <w:rPr>
          <w:rFonts w:ascii="Arial" w:cs="Arial" w:eastAsia="Arial" w:hAnsi="Arial"/>
          <w:sz w:val="16"/>
          <w:szCs w:val="16"/>
          <w:color w:val="auto"/>
        </w:rPr>
        <w:t>. Employee may terminate his employment with CECO if CECO shall (i) materially breach any of its obligations and responsibilities under this Agreement and such breach shall be continuing, (ii) relocate the location of Employee’s regular work place to a location more than 35 miles from its current location in Cincinnati, Ohio (excluding travel in the course of performing Employee’s duties), (iii) demote the Employee to a less prestigious position without the mutual agreement of CECO and the Employee, and (iv) materially reduce Employee’s Base Salary below $275,000 (collectively, “</w:t>
      </w:r>
      <w:r>
        <w:rPr>
          <w:rFonts w:ascii="Arial" w:cs="Arial" w:eastAsia="Arial" w:hAnsi="Arial"/>
          <w:sz w:val="16"/>
          <w:szCs w:val="16"/>
          <w:u w:val="single" w:color="auto"/>
          <w:color w:val="auto"/>
        </w:rPr>
        <w:t>Breach by CECO</w:t>
      </w:r>
      <w:r>
        <w:rPr>
          <w:rFonts w:ascii="Arial" w:cs="Arial" w:eastAsia="Arial" w:hAnsi="Arial"/>
          <w:sz w:val="16"/>
          <w:szCs w:val="16"/>
          <w:color w:val="auto"/>
        </w:rPr>
        <w:t>”); provided, that, Employee shall not terminate his employment under this paragraph (c) unless he shall first have delivered to CEC a written notice setting forth with particularity the basis for such termination and shall have given the Board of Directors of CEC an opportunity to meet with Employee and, if curable, to cure such breach within thirty (30) days following delivery of such written notice. If Employee’s employment is terminated by reason of Breach by CECO, CECO shall pay the Employee his full accrued and unpaid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88" w:name="page89"/>
    <w:bookmarkEnd w:id="88"/>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compensation, including without limitation an amount equal to the amount he would have received as Bonus Compensation upon its determination, pro rated through the date of such termination, and shall continue to pay Base Salary for a period of twelve (12) months as if he had remained employed by CECO for such twelve (12) months. Subject to Section 16 herein, such amounts shall be earned and paid rateably over the applicable period in accordance with CECO’s regular payroll practices.</w:t>
      </w:r>
    </w:p>
    <w:p>
      <w:pPr>
        <w:spacing w:after="0" w:line="143" w:lineRule="exact"/>
        <w:rPr>
          <w:sz w:val="20"/>
          <w:szCs w:val="20"/>
          <w:color w:val="auto"/>
        </w:rPr>
      </w:pPr>
    </w:p>
    <w:p>
      <w:pPr>
        <w:ind w:right="80" w:firstLine="464"/>
        <w:spacing w:after="0" w:line="289" w:lineRule="auto"/>
        <w:tabs>
          <w:tab w:leader="none" w:pos="632"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Termination on Account of Death or Disability</w:t>
      </w:r>
      <w:r>
        <w:rPr>
          <w:rFonts w:ascii="Arial" w:cs="Arial" w:eastAsia="Arial" w:hAnsi="Arial"/>
          <w:sz w:val="16"/>
          <w:szCs w:val="16"/>
          <w:color w:val="auto"/>
        </w:rPr>
        <w:t>. If Employee dies during the Term, this Agreement shall terminate, and CECO shall pay to the estate of Employee his accrued but unpaid compensation, including without limitation an amount equal to the amount he would have received as Bonus Compensation upon its determination, pro rated through the date of his death. The Board of Directors of CECO may elect to terminate the engagement of Employee for “</w:t>
      </w:r>
      <w:r>
        <w:rPr>
          <w:rFonts w:ascii="Arial" w:cs="Arial" w:eastAsia="Arial" w:hAnsi="Arial"/>
          <w:sz w:val="16"/>
          <w:szCs w:val="16"/>
          <w:u w:val="single" w:color="auto"/>
          <w:color w:val="auto"/>
        </w:rPr>
        <w:t>disability</w:t>
      </w:r>
      <w:r>
        <w:rPr>
          <w:rFonts w:ascii="Arial" w:cs="Arial" w:eastAsia="Arial" w:hAnsi="Arial"/>
          <w:sz w:val="16"/>
          <w:szCs w:val="16"/>
          <w:color w:val="auto"/>
        </w:rPr>
        <w:t>,” if Employee is no longer able to perform the duties of his position due to illness, accident or other physical or mental condition and such disability is expected to continue, with or without interruption, for a period of six months, or such greater period as may be required by any applicable law. If the Board of Directors of CECO determines that Employee is so disabled, it shall deliver notice to Employee and CECO shall pay to Employee his accrued but unpaid compensation, including without limitation an amount equal to the amount he would have received as Bonus Compensation upon its determination, pro rated through the date of the termination of his employment hereunder in full satisfaction of CECO’s obligations to Employee under this Agreement.</w:t>
      </w:r>
    </w:p>
    <w:p>
      <w:pPr>
        <w:spacing w:after="0" w:line="118"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Termination by Employee</w:t>
      </w:r>
      <w:r>
        <w:rPr>
          <w:rFonts w:ascii="Arial" w:cs="Arial" w:eastAsia="Arial" w:hAnsi="Arial"/>
          <w:sz w:val="18"/>
          <w:szCs w:val="18"/>
          <w:color w:val="auto"/>
        </w:rPr>
        <w:t>. Employee may terminate his employment at any time upon ninety (90) days prior written notice. If he does so other than as a result of a Breach by CECO, CECO shall pay to him the Base Salary accrued but unpaid through the date of such termination of his employment in full satisfaction of CECO’s obligations to Employee under this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Confidentiality</w:t>
      </w:r>
      <w:r>
        <w:rPr>
          <w:rFonts w:ascii="Arial" w:cs="Arial" w:eastAsia="Arial" w:hAnsi="Arial"/>
          <w:sz w:val="18"/>
          <w:szCs w:val="18"/>
          <w:color w:val="auto"/>
        </w:rPr>
        <w:t>. Except in the furtherance of the business of the Companies, during and at all times after Employee’s employment:</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0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Employee shall not disclose to any person or entity, without CECO’s prior written consent, any confidential or secret proprietary information, whether prepared by him or others.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Employee shall not directly or indirectly use any such proprietary information other than as directed by CECO in writing.</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Employee shall not remove confidential or secret proprietary information from the premises of CECO without the prior written consent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CECO.</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termination of his employment for whatever reason, with or without Cause, Employee will promptly deliver to CECO all originals and copies (whether in note, memo or other document form or on video, audio or computer tapes or discs or otherwise) of confidential or secret proprietary information in his possession, custody or control, whether prepared by him or others.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Confidential or secret proprietary information includes, but is not limited to:</w:t>
      </w:r>
    </w:p>
    <w:p>
      <w:pPr>
        <w:spacing w:after="0" w:line="90" w:lineRule="exact"/>
        <w:rPr>
          <w:sz w:val="20"/>
          <w:szCs w:val="20"/>
          <w:color w:val="auto"/>
        </w:rPr>
      </w:pPr>
    </w:p>
    <w:p>
      <w:pPr>
        <w:ind w:left="460" w:right="120" w:firstLine="443"/>
        <w:spacing w:after="0" w:line="256" w:lineRule="auto"/>
        <w:tabs>
          <w:tab w:leader="none" w:pos="1108"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name of any company or business, all or any substantial part of which is or at any time was a candidate for potential acquisition by any of the Companies, together with all analyses and other information which any of the Companies has generated, compiled or otherwise obtained with respect to such candidate, business or potential acquisition, or with respect to the potential effect of such acquisition on the business, assets, financial results or prospects of any of the Companies;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89" w:name="page90"/>
    <w:bookmarkEnd w:id="89"/>
    <w:p>
      <w:pPr>
        <w:ind w:left="1120" w:hanging="25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pricing and management methods;</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finances, strategies, systems, research, surveys, plans, reports, recommendations and conclusions;</w:t>
      </w:r>
    </w:p>
    <w:p>
      <w:pPr>
        <w:spacing w:after="0" w:line="90" w:lineRule="exact"/>
        <w:rPr>
          <w:rFonts w:ascii="Arial" w:cs="Arial" w:eastAsia="Arial" w:hAnsi="Arial"/>
          <w:sz w:val="18"/>
          <w:szCs w:val="18"/>
          <w:color w:val="auto"/>
        </w:rPr>
      </w:pPr>
    </w:p>
    <w:p>
      <w:pPr>
        <w:ind w:left="420" w:right="40" w:firstLine="443"/>
        <w:spacing w:after="0" w:line="259" w:lineRule="auto"/>
        <w:tabs>
          <w:tab w:leader="none" w:pos="11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names of, arrangements with, or other information relating to, the Companies’ customers, equipment suppliers, manufacturers, financiers, owners or operators, representatives and other persons who have business relationships with the Companies or who are prospects for business relationships with any of the Companies;</w:t>
      </w:r>
    </w:p>
    <w:p>
      <w:pPr>
        <w:spacing w:after="0" w:line="59" w:lineRule="exact"/>
        <w:rPr>
          <w:rFonts w:ascii="Arial" w:cs="Arial" w:eastAsia="Arial" w:hAnsi="Arial"/>
          <w:sz w:val="18"/>
          <w:szCs w:val="18"/>
          <w:color w:val="auto"/>
        </w:rPr>
      </w:pPr>
    </w:p>
    <w:p>
      <w:pPr>
        <w:ind w:left="1120" w:hanging="257"/>
        <w:spacing w:after="0"/>
        <w:tabs>
          <w:tab w:leader="none" w:pos="11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technical information, work products and know-how; and</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cost, operating, and other management information systems, and other software and programming.</w:t>
      </w:r>
    </w:p>
    <w:p>
      <w:pPr>
        <w:spacing w:after="0" w:line="171" w:lineRule="exact"/>
        <w:rPr>
          <w:rFonts w:ascii="Arial" w:cs="Arial" w:eastAsia="Arial" w:hAnsi="Arial"/>
          <w:sz w:val="18"/>
          <w:szCs w:val="18"/>
          <w:color w:val="auto"/>
        </w:rPr>
      </w:pPr>
    </w:p>
    <w:p>
      <w:pPr>
        <w:ind w:left="-40" w:firstLine="921"/>
        <w:spacing w:after="0" w:line="268" w:lineRule="auto"/>
        <w:tabs>
          <w:tab w:leader="none" w:pos="1048" w:val="left"/>
        </w:tabs>
        <w:numPr>
          <w:ilvl w:val="2"/>
          <w:numId w:val="41"/>
        </w:numPr>
        <w:rPr>
          <w:rFonts w:ascii="Arial" w:cs="Arial" w:eastAsia="Arial" w:hAnsi="Arial"/>
          <w:sz w:val="18"/>
          <w:szCs w:val="18"/>
          <w:color w:val="auto"/>
        </w:rPr>
      </w:pPr>
      <w:r>
        <w:rPr>
          <w:rFonts w:ascii="Arial" w:cs="Arial" w:eastAsia="Arial" w:hAnsi="Arial"/>
          <w:sz w:val="18"/>
          <w:szCs w:val="18"/>
          <w:u w:val="single" w:color="auto"/>
          <w:color w:val="auto"/>
        </w:rPr>
        <w:t>Employee Inventions</w:t>
      </w:r>
      <w:r>
        <w:rPr>
          <w:rFonts w:ascii="Arial" w:cs="Arial" w:eastAsia="Arial" w:hAnsi="Arial"/>
          <w:sz w:val="18"/>
          <w:szCs w:val="18"/>
          <w:color w:val="auto"/>
        </w:rPr>
        <w:t xml:space="preserve">. Employee shall enter into an Employee Innovations and Proprietary Rights Assignment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12" w:lineRule="exact"/>
        <w:rPr>
          <w:rFonts w:ascii="Arial" w:cs="Arial" w:eastAsia="Arial" w:hAnsi="Arial"/>
          <w:sz w:val="18"/>
          <w:szCs w:val="18"/>
          <w:color w:val="auto"/>
        </w:rPr>
      </w:pPr>
    </w:p>
    <w:p>
      <w:pPr>
        <w:ind w:left="600" w:hanging="176"/>
        <w:spacing w:after="0"/>
        <w:tabs>
          <w:tab w:leader="none" w:pos="6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Non-Compete; Non-Solicitation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900" w:firstLine="921"/>
        <w:spacing w:after="0" w:line="332" w:lineRule="auto"/>
        <w:tabs>
          <w:tab w:leader="none" w:pos="1039" w:val="left"/>
        </w:tabs>
        <w:numPr>
          <w:ilvl w:val="2"/>
          <w:numId w:val="42"/>
        </w:numPr>
        <w:rPr>
          <w:rFonts w:ascii="Arial" w:cs="Arial" w:eastAsia="Arial" w:hAnsi="Arial"/>
          <w:sz w:val="16"/>
          <w:szCs w:val="16"/>
          <w:color w:val="auto"/>
        </w:rPr>
      </w:pPr>
      <w:r>
        <w:rPr>
          <w:rFonts w:ascii="Arial" w:cs="Arial" w:eastAsia="Arial" w:hAnsi="Arial"/>
          <w:sz w:val="16"/>
          <w:szCs w:val="16"/>
          <w:u w:val="single" w:color="auto"/>
          <w:color w:val="auto"/>
        </w:rPr>
        <w:t>Non-Compete</w:t>
      </w:r>
      <w:r>
        <w:rPr>
          <w:rFonts w:ascii="Arial" w:cs="Arial" w:eastAsia="Arial" w:hAnsi="Arial"/>
          <w:sz w:val="16"/>
          <w:szCs w:val="16"/>
          <w:color w:val="auto"/>
        </w:rPr>
        <w:t>. Employee agrees that during the term of his employment and for a period of two (2) years following his termination of employment with CECO for any or no reason he will not Participate in any Restricted Business in the Restricted Territory.</w:t>
      </w:r>
    </w:p>
    <w:p>
      <w:pPr>
        <w:spacing w:after="0" w:line="4" w:lineRule="exact"/>
        <w:rPr>
          <w:rFonts w:ascii="Arial" w:cs="Arial" w:eastAsia="Arial" w:hAnsi="Arial"/>
          <w:sz w:val="16"/>
          <w:szCs w:val="16"/>
          <w:color w:val="auto"/>
        </w:rPr>
      </w:pPr>
    </w:p>
    <w:p>
      <w:pPr>
        <w:ind w:left="880" w:right="80" w:firstLine="421"/>
        <w:spacing w:after="0" w:line="290" w:lineRule="auto"/>
        <w:tabs>
          <w:tab w:leader="none" w:pos="1509" w:val="left"/>
        </w:tabs>
        <w:numPr>
          <w:ilvl w:val="3"/>
          <w:numId w:val="42"/>
        </w:numPr>
        <w:rPr>
          <w:rFonts w:ascii="Arial" w:cs="Arial" w:eastAsia="Arial" w:hAnsi="Arial"/>
          <w:sz w:val="16"/>
          <w:szCs w:val="16"/>
          <w:color w:val="auto"/>
        </w:rPr>
      </w:pPr>
      <w:r>
        <w:rPr>
          <w:rFonts w:ascii="Arial" w:cs="Arial" w:eastAsia="Arial" w:hAnsi="Arial"/>
          <w:sz w:val="16"/>
          <w:szCs w:val="16"/>
          <w:color w:val="auto"/>
        </w:rPr>
        <w:t>For purposes of this Agreement, the term “Participate” means to have any direct or indirect interest in a Restricted Business, whether as an officer, director, member, manager, employee, partner, proprietor, agent, representative, independent contractor, consultant, franchiser, franchisee, creditor, owner, advisor or otherwise, or to participate in the financing, operation, management or control of, any person, firm, partnership, corporation, entity or business that engages or participates in a Restricted Business; provided, however, that the term “Participate” shall not include passive ownership of less than five percent (5%) of a class of stock of a publicly-held corporation which is traded on a national securities exchange or in the over-the-counter market, provided that Employee may not sell any shares of such stock unless such shares of stock were held by Employee for a period of at least twelve (12) months; and</w:t>
      </w:r>
    </w:p>
    <w:p>
      <w:pPr>
        <w:spacing w:after="0" w:line="37" w:lineRule="exact"/>
        <w:rPr>
          <w:rFonts w:ascii="Arial" w:cs="Arial" w:eastAsia="Arial" w:hAnsi="Arial"/>
          <w:sz w:val="16"/>
          <w:szCs w:val="16"/>
          <w:color w:val="auto"/>
        </w:rPr>
      </w:pPr>
    </w:p>
    <w:p>
      <w:pPr>
        <w:ind w:left="880" w:right="40" w:firstLine="421"/>
        <w:spacing w:after="0" w:line="256" w:lineRule="auto"/>
        <w:tabs>
          <w:tab w:leader="none" w:pos="1558" w:val="left"/>
        </w:tabs>
        <w:numPr>
          <w:ilvl w:val="3"/>
          <w:numId w:val="42"/>
        </w:numPr>
        <w:rPr>
          <w:rFonts w:ascii="Arial" w:cs="Arial" w:eastAsia="Arial" w:hAnsi="Arial"/>
          <w:sz w:val="18"/>
          <w:szCs w:val="18"/>
          <w:color w:val="auto"/>
        </w:rPr>
      </w:pPr>
      <w:r>
        <w:rPr>
          <w:rFonts w:ascii="Arial" w:cs="Arial" w:eastAsia="Arial" w:hAnsi="Arial"/>
          <w:sz w:val="18"/>
          <w:szCs w:val="18"/>
          <w:color w:val="auto"/>
        </w:rPr>
        <w:t>For purposes of this Agreement, the term “Restricted Business” means any enterprise, business or venture engaged in or which proposes to engage in the distribution, service, or sale of any products or services of the same type or nature as, or are otherwise competitive with, those which are distributed, serviced or sold by any of the Companies at any time during the twelve (12) months prior to the termination of the Employee’s engagement with CECO; and</w:t>
      </w:r>
    </w:p>
    <w:p>
      <w:pPr>
        <w:spacing w:after="0" w:line="62" w:lineRule="exact"/>
        <w:rPr>
          <w:rFonts w:ascii="Arial" w:cs="Arial" w:eastAsia="Arial" w:hAnsi="Arial"/>
          <w:sz w:val="18"/>
          <w:szCs w:val="18"/>
          <w:color w:val="auto"/>
        </w:rPr>
      </w:pPr>
    </w:p>
    <w:p>
      <w:pPr>
        <w:ind w:left="880" w:right="40" w:firstLine="421"/>
        <w:spacing w:after="0" w:line="259" w:lineRule="auto"/>
        <w:tabs>
          <w:tab w:leader="none" w:pos="1607" w:val="left"/>
        </w:tabs>
        <w:numPr>
          <w:ilvl w:val="3"/>
          <w:numId w:val="42"/>
        </w:numPr>
        <w:rPr>
          <w:rFonts w:ascii="Arial" w:cs="Arial" w:eastAsia="Arial" w:hAnsi="Arial"/>
          <w:sz w:val="18"/>
          <w:szCs w:val="18"/>
          <w:color w:val="auto"/>
        </w:rPr>
      </w:pPr>
      <w:r>
        <w:rPr>
          <w:rFonts w:ascii="Arial" w:cs="Arial" w:eastAsia="Arial" w:hAnsi="Arial"/>
          <w:sz w:val="18"/>
          <w:szCs w:val="18"/>
          <w:color w:val="auto"/>
        </w:rPr>
        <w:t>For purposes of this Agreement, “Restricted Territory” shall mean anywhere worldwide. Employee acknowledges and agrees that with the use of technology that is available today, this worldwide restriction is reasonable and necessary because any services or products that are or will be offered by the Companies are or will be for sale throughout the world.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80" w:top="280" w:right="259" w:bottom="1440" w:gutter="0" w:footer="0" w:header="0"/>
        </w:sectPr>
      </w:pPr>
    </w:p>
    <w:bookmarkStart w:id="90" w:name="page91"/>
    <w:bookmarkEnd w:id="90"/>
    <w:p>
      <w:pPr>
        <w:ind w:right="60" w:firstLine="913"/>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8"/>
          <w:szCs w:val="18"/>
          <w:u w:val="single" w:color="auto"/>
          <w:color w:val="auto"/>
        </w:rPr>
        <w:t>Non-Solicitation</w:t>
      </w:r>
      <w:r>
        <w:rPr>
          <w:rFonts w:ascii="Arial" w:cs="Arial" w:eastAsia="Arial" w:hAnsi="Arial"/>
          <w:sz w:val="18"/>
          <w:szCs w:val="18"/>
          <w:color w:val="auto"/>
        </w:rPr>
        <w:t>. Employee agrees that, during the time of Employee’s employment with CECO and for a period ending two (2) years after the termination of Employee’s employment for any reason whatsoever or for no reason, whether voluntary or involuntary, Employee will not (i) induce or attempt to induce any customer, supplier, licensee or business relation of any of the Companies to cease doing business with the Companies, or in any way interfere with the relationship between any customer, supplier, licensee, or business relation of the Companies; or (ii) solicit, attempt to solicit, induce, encourage, hire or take any other action that is intended to induce or encourage any then current employee or independent contractor to terminate his or her employment or consulting relationship with any of the Companies.</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covenants on the part of Employee contained in this Section 9 shall be construed as an agreement independent of any other provision in this Agreement, and the existence of any claim or cause of action of Employee against CECO, whether predicated on this Agreement or otherwise, shall not constitute a defense to the enforcement by Employer of this covenant. Employee acknowledges that part of the consideration for the forgoing covenants is Employee’s compensation during the term of employment provided in the Agreement. Employee further acknowledges that the foregoing restrictions placed upon him are necessary and reasonable in scope and duration to protect the goodwill of CECO, and that he will be in a position to earn a livelihood without violating the foregoing restrictions and that it has been made clear to him on behalf of CECO that his ability to earn a livelihood without violating such restrictions is a material condition to his employment or continuation of his employment by CECO.</w:t>
      </w:r>
    </w:p>
    <w:p>
      <w:pPr>
        <w:spacing w:after="0" w:line="118" w:lineRule="exact"/>
        <w:rPr>
          <w:sz w:val="20"/>
          <w:szCs w:val="20"/>
          <w:color w:val="auto"/>
        </w:rPr>
      </w:pPr>
    </w:p>
    <w:p>
      <w:pPr>
        <w:ind w:right="60" w:firstLine="464"/>
        <w:spacing w:after="0" w:line="294"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Damages, etc</w:t>
      </w:r>
      <w:r>
        <w:rPr>
          <w:rFonts w:ascii="Arial" w:cs="Arial" w:eastAsia="Arial" w:hAnsi="Arial"/>
          <w:sz w:val="16"/>
          <w:szCs w:val="16"/>
          <w:color w:val="auto"/>
        </w:rPr>
        <w:t>. The parties acknowledge that monetary damages will be inadequate and the Companies will be irreparably damaged if the provisions of this Agreement are not specifically enforced. CECO shall be entitled, among other remedies, (a) without any bond or other security being required, to an injunction restraining any violation of this Agreement by Employee and by any person or entity to whom Employee provides or proposes to provide any services in violation of this Agreement, and (b) to require Employee to hold in a constructive trust, account for and pay over to CECO all compensation and other benefits which Employee shall derive as a result of any action or omission which is a violation of any provision of this Agreement.</w:t>
      </w:r>
    </w:p>
    <w:p>
      <w:pPr>
        <w:spacing w:after="0" w:line="115" w:lineRule="exact"/>
        <w:rPr>
          <w:rFonts w:ascii="Arial" w:cs="Arial" w:eastAsia="Arial" w:hAnsi="Arial"/>
          <w:sz w:val="16"/>
          <w:szCs w:val="16"/>
          <w:color w:val="auto"/>
        </w:rPr>
      </w:pPr>
    </w:p>
    <w:p>
      <w:pPr>
        <w:ind w:right="40" w:firstLine="464"/>
        <w:spacing w:after="0" w:line="294" w:lineRule="auto"/>
        <w:tabs>
          <w:tab w:leader="none" w:pos="713"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one or more of the provisions of this Agreement shall be held by a court of competent jurisdiction or other authority to be invalid, illegal or unenforceable in any respect, the validity, legality and enforceability of the remaining provisions hereof shall not in any way be affected or impaired thereby; such court or other authority is hereby authorized and directed to modify or amend the invalid, illegal or unenforceable provision to the minimum extent necessary to render it valid and enforceable and to achieve as fully as lawful the intention of such provision, and such provision, as so modified or amended, shall be valid and binding upon the parties.</w:t>
      </w:r>
    </w:p>
    <w:p>
      <w:pPr>
        <w:spacing w:after="0" w:line="115" w:lineRule="exact"/>
        <w:rPr>
          <w:rFonts w:ascii="Arial" w:cs="Arial" w:eastAsia="Arial" w:hAnsi="Arial"/>
          <w:sz w:val="16"/>
          <w:szCs w:val="16"/>
          <w:color w:val="auto"/>
        </w:rPr>
      </w:pPr>
    </w:p>
    <w:p>
      <w:pPr>
        <w:ind w:right="20" w:firstLine="464"/>
        <w:spacing w:after="0" w:line="291" w:lineRule="auto"/>
        <w:tabs>
          <w:tab w:leader="none" w:pos="7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All products, records, designs, plans, manuals, “field guides”, memoranda, lists and other property delivered to Employee by or on behalf of any of the Companies or by their customers, including, but not limited to, customers obtained for any of them by Employee, and all records compiled by Employee which pertain to the business of any of the Companies, or any of their customers, whether or not confidential, shall be and remain the property of the Companies, and be subject at all times to the discretion and control of the Companies. Likewise, all correspondence with customers or representatives, reports, records, charts, advertising materials, and any data collected by Employee, or by or on behalf of any of the Companies or their representatives, whether or not confidential, shall be delivered promptly to CECO without request by it upon termination of Employee’s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91" w:name="page92"/>
    <w:bookmarkEnd w:id="91"/>
    <w:p>
      <w:pPr>
        <w:ind w:firstLine="464"/>
        <w:spacing w:after="0" w:line="288" w:lineRule="auto"/>
        <w:tabs>
          <w:tab w:leader="none" w:pos="72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Suits Against the Companies</w:t>
      </w:r>
      <w:r>
        <w:rPr>
          <w:rFonts w:ascii="Arial" w:cs="Arial" w:eastAsia="Arial" w:hAnsi="Arial"/>
          <w:sz w:val="16"/>
          <w:szCs w:val="16"/>
          <w:color w:val="auto"/>
        </w:rPr>
        <w:t>. Both during and after the term of his employment hereunder, Employee covenants that he will not bring suit or file counterclaims against the Companies or any of them for corporate misconduct, unless both of the following shall have occurred: (a) Employee shall have first made written demand to the Board of Director of CEC to investigate and deal with such misconduct, and (b) such Board of Directors shall have failed within 30 days after the date of receipt of such demand to establish a Special Litigation Committee, consisting exclusively of outside directors, to investigate and deal with such misconduct. Without limiting the generality of and to further implement the foregoing, Employee irrevocably and unconditionally consents at the option of either of the Companies to the entry of temporary restraining orders and temporary and permanent injunctions, without posting bond or other security, against the filing of any action or counterclaim which is prohibited hereunder. The opinion of such Board of Directors shall be binding and conclusive on the determination of which directors constitute “outside directors”, and the determination of the Special Litigation Committee shall be binding and conclusive on all matters relating to the actual or alleged misconduct which is referred to it as aforesaid.</w:t>
      </w:r>
    </w:p>
    <w:p>
      <w:pPr>
        <w:spacing w:after="0" w:line="119" w:lineRule="exact"/>
        <w:rPr>
          <w:rFonts w:ascii="Arial" w:cs="Arial" w:eastAsia="Arial" w:hAnsi="Arial"/>
          <w:sz w:val="16"/>
          <w:szCs w:val="16"/>
          <w:color w:val="auto"/>
        </w:rPr>
      </w:pPr>
    </w:p>
    <w:p>
      <w:pPr>
        <w:ind w:right="40" w:firstLine="464"/>
        <w:spacing w:after="0" w:line="290" w:lineRule="auto"/>
        <w:tabs>
          <w:tab w:leader="none" w:pos="720"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Cooperation in Proceedings</w:t>
      </w:r>
      <w:r>
        <w:rPr>
          <w:rFonts w:ascii="Arial" w:cs="Arial" w:eastAsia="Arial" w:hAnsi="Arial"/>
          <w:sz w:val="16"/>
          <w:szCs w:val="16"/>
          <w:color w:val="auto"/>
        </w:rPr>
        <w:t>. During and after the termination of Employee’s employment, Employee shall for reasonable compensation consistent with his compensation from CECO cooperate fully and at reasonable times with any of the Companies in all litigation and regulatory proceedings with respect to which any of the Companies seeks Employee’s assistance and as to which Employee has any knowledge or involvement. Without limiting the generality of the foregoing, Employee shall be available to testify at such litigations and other proceedings, and will cooperate with counsel to the Companies in preparing materials and offering advice in such litigation and other proceedings. Except as required by law, and then only upon reasonable prior written notice to CECO, Employee shall not in any way cooperate or assist any person or entity in any matter which is adverse to any of the Companies or to any person who was at any time an officer or director of any of the Companies.</w:t>
      </w:r>
    </w:p>
    <w:p>
      <w:pPr>
        <w:spacing w:after="0" w:line="118" w:lineRule="exact"/>
        <w:rPr>
          <w:rFonts w:ascii="Arial" w:cs="Arial" w:eastAsia="Arial" w:hAnsi="Arial"/>
          <w:sz w:val="16"/>
          <w:szCs w:val="16"/>
          <w:color w:val="auto"/>
        </w:rPr>
      </w:pPr>
    </w:p>
    <w:p>
      <w:pPr>
        <w:jc w:val="center"/>
        <w:ind w:right="60" w:firstLine="464"/>
        <w:spacing w:after="0" w:line="305" w:lineRule="auto"/>
        <w:tabs>
          <w:tab w:leader="none" w:pos="720" w:val="left"/>
        </w:tabs>
        <w:numPr>
          <w:ilvl w:val="1"/>
          <w:numId w:val="44"/>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demands, claims, and other communications hereunder shall be in writing and will be deemed duly given when personally delivered, the next business day when deposited with Federal Express or other nationally recognized overnight courier service delivery prepaid or five</w:t>
      </w:r>
    </w:p>
    <w:p>
      <w:pPr>
        <w:ind w:left="260" w:hanging="252"/>
        <w:spacing w:after="0"/>
        <w:tabs>
          <w:tab w:leader="none" w:pos="2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business days after being sent by registered mail, return receipt requested, postage prepaid, and addressed to the intended recipient as set forth below:</w:t>
      </w:r>
    </w:p>
    <w:p>
      <w:pPr>
        <w:spacing w:after="0" w:line="228" w:lineRule="exact"/>
        <w:rPr>
          <w:sz w:val="20"/>
          <w:szCs w:val="20"/>
          <w:color w:val="auto"/>
        </w:rPr>
      </w:pPr>
    </w:p>
    <w:p>
      <w:pPr>
        <w:spacing w:after="0"/>
        <w:tabs>
          <w:tab w:leader="none" w:pos="4340" w:val="left"/>
        </w:tabs>
        <w:rPr>
          <w:sz w:val="20"/>
          <w:szCs w:val="20"/>
          <w:color w:val="auto"/>
        </w:rPr>
      </w:pPr>
      <w:r>
        <w:rPr>
          <w:rFonts w:ascii="Arial" w:cs="Arial" w:eastAsia="Arial" w:hAnsi="Arial"/>
          <w:sz w:val="18"/>
          <w:szCs w:val="18"/>
          <w:color w:val="auto"/>
        </w:rPr>
        <w:t>If to Employee:</w:t>
      </w:r>
      <w:r>
        <w:rPr>
          <w:sz w:val="20"/>
          <w:szCs w:val="20"/>
          <w:color w:val="auto"/>
        </w:rPr>
        <w:tab/>
      </w:r>
      <w:r>
        <w:rPr>
          <w:rFonts w:ascii="Arial" w:cs="Arial" w:eastAsia="Arial" w:hAnsi="Arial"/>
          <w:sz w:val="16"/>
          <w:szCs w:val="16"/>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Richard J.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2540</wp:posOffset>
            </wp:positionV>
            <wp:extent cx="282130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609727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wp:posOffset>
            </wp:positionV>
            <wp:extent cx="60972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097270" cy="8890"/>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440055</wp:posOffset>
            </wp:positionV>
            <wp:extent cx="282130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If to CECO:</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CECO Environmental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3120 Forrer Street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Copy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Leslie J. Weiss, Esq.</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Sugar, Friedberg &amp; Felsenthal</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w:t>
      </w:r>
    </w:p>
    <w:p>
      <w:pPr>
        <w:sectPr>
          <w:pgSz w:w="11900" w:h="16838" w:orient="portrait"/>
          <w:cols w:equalWidth="0" w:num="2">
            <w:col w:w="4440" w:space="720"/>
            <w:col w:w="6240"/>
          </w:cols>
          <w:pgMar w:left="240" w:top="280" w:right="25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6"/>
          <w:szCs w:val="16"/>
          <w:color w:val="auto"/>
        </w:rPr>
        <w:t>Cincinnati, Ohio 45209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 North LaSalle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-198120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Suite 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60602</w:t>
      </w:r>
    </w:p>
    <w:p>
      <w:pPr>
        <w:spacing w:after="0" w:line="188" w:lineRule="exact"/>
        <w:rPr>
          <w:sz w:val="20"/>
          <w:szCs w:val="20"/>
          <w:color w:val="auto"/>
        </w:rPr>
      </w:pPr>
    </w:p>
    <w:p>
      <w:pPr>
        <w:sectPr>
          <w:pgSz w:w="11900" w:h="16838" w:orient="portrait"/>
          <w:cols w:equalWidth="0" w:num="2">
            <w:col w:w="4440" w:space="720"/>
            <w:col w:w="6220"/>
          </w:cols>
          <w:pgMar w:left="240" w:top="280" w:right="279" w:bottom="1440" w:gutter="0" w:footer="0" w:header="0"/>
        </w:sectPr>
      </w:pPr>
    </w:p>
    <w:p>
      <w:pPr>
        <w:ind w:right="280"/>
        <w:spacing w:after="0" w:line="268" w:lineRule="auto"/>
        <w:rPr>
          <w:sz w:val="20"/>
          <w:szCs w:val="20"/>
          <w:color w:val="auto"/>
        </w:rPr>
      </w:pPr>
      <w:r>
        <w:rPr>
          <w:rFonts w:ascii="Arial" w:cs="Arial" w:eastAsia="Arial" w:hAnsi="Arial"/>
          <w:sz w:val="18"/>
          <w:szCs w:val="18"/>
          <w:color w:val="auto"/>
        </w:rPr>
        <w:t>Either party may change the address to which notices, requests, demands, claims, and other communications hereunder are to be delivered by giving the other party notice in the manner herein set forth.</w:t>
      </w:r>
    </w:p>
    <w:p>
      <w:pPr>
        <w:spacing w:after="0" w:line="132" w:lineRule="exact"/>
        <w:rPr>
          <w:sz w:val="20"/>
          <w:szCs w:val="20"/>
          <w:color w:val="auto"/>
        </w:rPr>
      </w:pPr>
    </w:p>
    <w:p>
      <w:pPr>
        <w:ind w:right="80" w:firstLine="464"/>
        <w:spacing w:after="0" w:line="287"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Compliance with IRC Section 409A</w:t>
      </w:r>
      <w:r>
        <w:rPr>
          <w:rFonts w:ascii="Arial" w:cs="Arial" w:eastAsia="Arial" w:hAnsi="Arial"/>
          <w:sz w:val="16"/>
          <w:szCs w:val="16"/>
          <w:color w:val="auto"/>
        </w:rPr>
        <w:t>. Notwithstanding anything herein to the contrary, (i) if at the time of Employee’s termination of employment with CECO Employee is a “specified employee” as defined in Section 409A of the Internal Revenue Code of 1986, as amended (the “Code”) and the deferral of the commencement of any payments or benefits otherwise payable hereunder as a result of such termination of employment is necessary in order to prevent any accelerated or additional tax under Section 409A of the Code, then CECO will defer the commencement of the payment of any such payments or benefits hereunder (without any reduction in such payments or benefits ultimately paid or provided to Employee) until the date that is six months following Employee’s termination of employment with CECO (or the earliest date as is permitted under Section 409A of the Code) and (ii) if any other payments of money or other benefits due to Employee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without any additional liability for CECO, in a manner, determined by the Compensation Committee of CECO, that does not cause such an accelerated or additional tax.</w:t>
      </w:r>
    </w:p>
    <w:p>
      <w:pPr>
        <w:spacing w:after="0" w:line="122" w:lineRule="exact"/>
        <w:rPr>
          <w:rFonts w:ascii="Arial" w:cs="Arial" w:eastAsia="Arial" w:hAnsi="Arial"/>
          <w:sz w:val="16"/>
          <w:szCs w:val="16"/>
          <w:color w:val="auto"/>
        </w:rPr>
      </w:pPr>
    </w:p>
    <w:p>
      <w:pPr>
        <w:ind w:left="720" w:hanging="256"/>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8 through 24 shall survive the termination of this Agreement.</w:t>
      </w:r>
    </w:p>
    <w:p>
      <w:pPr>
        <w:spacing w:after="0" w:line="171" w:lineRule="exact"/>
        <w:rPr>
          <w:rFonts w:ascii="Arial" w:cs="Arial" w:eastAsia="Arial" w:hAnsi="Arial"/>
          <w:sz w:val="18"/>
          <w:szCs w:val="18"/>
          <w:color w:val="auto"/>
        </w:rPr>
      </w:pPr>
    </w:p>
    <w:p>
      <w:pPr>
        <w:ind w:right="100" w:firstLine="464"/>
        <w:spacing w:after="0" w:line="259" w:lineRule="auto"/>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Employee represents that he has furnished to CECO copies of all agreements which restrict or limit or could restrict or limit his services for CECO at any time during the term. However, nothing in this Agreement shall be construed to render an opinion as to the interpretation or validity of any agreements with prior employers purporting to restrict or limit Employee’s services for CECO.</w:t>
      </w:r>
    </w:p>
    <w:p>
      <w:pPr>
        <w:spacing w:after="0" w:line="140" w:lineRule="exact"/>
        <w:rPr>
          <w:rFonts w:ascii="Arial" w:cs="Arial" w:eastAsia="Arial" w:hAnsi="Arial"/>
          <w:sz w:val="18"/>
          <w:szCs w:val="18"/>
          <w:color w:val="auto"/>
        </w:rPr>
      </w:pPr>
    </w:p>
    <w:p>
      <w:pPr>
        <w:ind w:firstLine="464"/>
        <w:spacing w:after="0" w:line="287" w:lineRule="auto"/>
        <w:tabs>
          <w:tab w:leader="none" w:pos="720"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in accordance with the laws of the State of Ohio without giving effect to any choice or conflict of law provision or rule, whether of the State of Ohio or any other jurisdiction, that would cause the application of the laws of any jurisdiction other than the State of Ohio. In the event of any dispute or claim relating to arising out of Employee’s employment relationship with CECO, Employee’s stock options, his non-compete or the termination of Employee’s employment relationship with CECO (including, without limitation of the foregoing, any claim of wrongful termination or age, sex disability, race or other discrimination), Employee and CECO agree that (i) all such disputes shall be fully and finally resolved by binding arbitration conducted by the American Arbitration Association in Cincinnati, Ohio, and (ii) each waives his or its rights to have such dispute tried by a court or a jury. </w:t>
      </w:r>
      <w:r>
        <w:rPr>
          <w:rFonts w:ascii="Arial" w:cs="Arial" w:eastAsia="Arial" w:hAnsi="Arial"/>
          <w:sz w:val="16"/>
          <w:szCs w:val="16"/>
          <w:b w:val="1"/>
          <w:bCs w:val="1"/>
          <w:color w:val="auto"/>
        </w:rPr>
        <w:t>RIGHT TO TRIAL BY JURY IS WAIVED.</w:t>
      </w:r>
      <w:r>
        <w:rPr>
          <w:rFonts w:ascii="Arial" w:cs="Arial" w:eastAsia="Arial" w:hAnsi="Arial"/>
          <w:sz w:val="16"/>
          <w:szCs w:val="16"/>
          <w:color w:val="auto"/>
        </w:rPr>
        <w:t xml:space="preserve"> However, Employee and CECO agree that this arbitration provision shall not apply to any disputes or claims relating to or arising out of the misuse or misappropriation of CECO’s or any Companies’ trade secrets, proprietary information, other proprietary rights or property. With respect to each such dispute, each of the parties submits to the jurisdiction of any state court sitting in Cincinnati, Ohio or the United States District Court for the Southern District of Ohio.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type w:val="continuous"/>
        </w:sectPr>
      </w:pPr>
    </w:p>
    <w:bookmarkStart w:id="93" w:name="page94"/>
    <w:bookmarkEnd w:id="93"/>
    <w:p>
      <w:pPr>
        <w:jc w:val="both"/>
        <w:ind w:firstLine="464"/>
        <w:spacing w:after="0" w:line="25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Succession and Assignment</w:t>
      </w:r>
      <w:r>
        <w:rPr>
          <w:rFonts w:ascii="Arial" w:cs="Arial" w:eastAsia="Arial" w:hAnsi="Arial"/>
          <w:sz w:val="18"/>
          <w:szCs w:val="18"/>
          <w:color w:val="auto"/>
        </w:rPr>
        <w:t>. This Agreement shall be binding upon and inure to the benefit of the parties named herein and their respective heirs, legal representatives, successors and permitted assigns. Employee may not assign either this Agreement or any of Employee’s rights, interests or obligations hereunder. CECO may assign any or all of its rights and interests hereunder to any person or entity that acquires the business of CECO or any Company, or to any entity with which such company merges or consolidates.</w:t>
      </w:r>
    </w:p>
    <w:p>
      <w:pPr>
        <w:spacing w:after="0" w:line="143" w:lineRule="exact"/>
        <w:rPr>
          <w:rFonts w:ascii="Arial" w:cs="Arial" w:eastAsia="Arial" w:hAnsi="Arial"/>
          <w:sz w:val="18"/>
          <w:szCs w:val="18"/>
          <w:color w:val="auto"/>
        </w:rPr>
      </w:pPr>
    </w:p>
    <w:p>
      <w:pPr>
        <w:ind w:right="200" w:firstLine="464"/>
        <w:spacing w:after="0" w:line="26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will constitute one and the same agreement.</w:t>
      </w:r>
    </w:p>
    <w:p>
      <w:pPr>
        <w:spacing w:after="0" w:line="131" w:lineRule="exact"/>
        <w:rPr>
          <w:rFonts w:ascii="Arial" w:cs="Arial" w:eastAsia="Arial" w:hAnsi="Arial"/>
          <w:sz w:val="18"/>
          <w:szCs w:val="18"/>
          <w:color w:val="auto"/>
        </w:rPr>
      </w:pPr>
    </w:p>
    <w:p>
      <w:pPr>
        <w:ind w:right="740" w:firstLine="464"/>
        <w:spacing w:after="0" w:line="26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31" w:lineRule="exact"/>
        <w:rPr>
          <w:rFonts w:ascii="Arial" w:cs="Arial" w:eastAsia="Arial" w:hAnsi="Arial"/>
          <w:sz w:val="18"/>
          <w:szCs w:val="18"/>
          <w:color w:val="auto"/>
        </w:rPr>
      </w:pPr>
    </w:p>
    <w:p>
      <w:pPr>
        <w:ind w:right="500" w:firstLine="464"/>
        <w:spacing w:after="0" w:line="268"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of a breach of any provision of this Agreement shall not operate or be construed to be a waiver of any other provision or of a subsequent or prior breach of this Agreement.</w:t>
      </w:r>
    </w:p>
    <w:p>
      <w:pPr>
        <w:spacing w:after="0" w:line="131" w:lineRule="exact"/>
        <w:rPr>
          <w:rFonts w:ascii="Arial" w:cs="Arial" w:eastAsia="Arial" w:hAnsi="Arial"/>
          <w:sz w:val="18"/>
          <w:szCs w:val="18"/>
          <w:color w:val="auto"/>
        </w:rPr>
      </w:pPr>
    </w:p>
    <w:p>
      <w:pPr>
        <w:ind w:right="40" w:firstLine="464"/>
        <w:spacing w:after="0" w:line="25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of the parties with respect to the subject matter hereof and supersedes all prior or contemporaneous negotiations, correspondence, understandings and agreements between the parties regarding the subject matter of this Agreement, including the Original Agreement. This Agreement may not be amended or modified or any provision waived except in a writing signed by both parties and supported by new consideration.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date first above set forth.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Vice President Finance and Administration and CFO</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Richard J.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Richard J. Blum, Employee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10.38</w:t>
      </w:r>
    </w:p>
    <w:p>
      <w:pPr>
        <w:spacing w:after="0" w:line="17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CECO Environmental, Inc.</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2006 EXECUTIVE INCENTIVE COMPENSATION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(the “Plan”)</w:t>
      </w:r>
    </w:p>
    <w:p>
      <w:pPr>
        <w:spacing w:after="0" w:line="182"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96"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The principal purposes of this Plan (the “Plan”) are to assist CECO Environmental Corp. (“CECO”) in attracting, motivating and retaining officers who have significant responsibility for the growth and long-term success of CECO and its subsidiaries and divisions (collectively, the “Company”) by providing incentive awards that ensure a strong pay-for-performance linkage for such officers.</w:t>
      </w:r>
    </w:p>
    <w:p>
      <w:pPr>
        <w:spacing w:after="0" w:line="256"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96" w:lineRule="exact"/>
        <w:rPr>
          <w:sz w:val="20"/>
          <w:szCs w:val="20"/>
          <w:color w:val="auto"/>
        </w:rPr>
      </w:pPr>
    </w:p>
    <w:p>
      <w:pPr>
        <w:ind w:right="240" w:firstLine="913"/>
        <w:spacing w:after="0" w:line="298" w:lineRule="auto"/>
        <w:rPr>
          <w:sz w:val="20"/>
          <w:szCs w:val="20"/>
          <w:color w:val="auto"/>
        </w:rPr>
      </w:pPr>
      <w:r>
        <w:rPr>
          <w:rFonts w:ascii="Arial" w:cs="Arial" w:eastAsia="Arial" w:hAnsi="Arial"/>
          <w:sz w:val="16"/>
          <w:szCs w:val="16"/>
          <w:color w:val="auto"/>
        </w:rPr>
        <w:t>The Plan shall be administered by the Compensation Committee of the Board of Directors of CECO (the “Committee”). The Committee shall be appointed by the Board of Directors and shall consist of not less than two members of the Board who meet the definition of “non-employee director” under the provisions of the Securities Exchange Act of 1934, as amended or the regulations or rules thereunder, and each of whom is “independent” as set forth in the applicable rules and regulations of the Securities and Exchange Commission and Nasdaq.</w:t>
      </w:r>
    </w:p>
    <w:p>
      <w:pPr>
        <w:spacing w:after="0" w:line="113"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The Committee shall have all the powers vested in it by the terms of this Plan, such powers to include the authority (within the limitations described herein) to select the persons to be granted awards under the Plan, to determine the time when awards will be granted, to determine the performance goals, to determine whether objectives and conditions for earning awards have been met, and to determine whether an award or payment of an award should be reduced or eliminated.</w:t>
      </w:r>
    </w:p>
    <w:p>
      <w:pPr>
        <w:spacing w:after="0" w:line="14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Committee shall have full power and authority to administer and interpret the Plan and to adopt such rules, regulations, agreements, guidelines and instruments for the administration of the Plan and for the conduct of its business as the Committee deems necessary or advisable. The Committee’s interpretations of the Plan, and all actions taken and determinations made by the Committee pursuant to the powers vested in it hereunder, shall be conclusive and binding on all parties concerned, including CECO, its shareholders and any person receiving an award under the Plan.</w:t>
      </w:r>
    </w:p>
    <w:p>
      <w:pPr>
        <w:spacing w:after="0" w:line="228"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Generally, all executive officers of the Company are eligible to participate in the Plan for any fiscal year. The Committee, however, shall select the officers of the Company to whom awards may from time to time be granted under this Plan.</w:t>
      </w:r>
    </w:p>
    <w:p>
      <w:pPr>
        <w:sectPr>
          <w:pgSz w:w="11900" w:h="16838" w:orient="portrait"/>
          <w:cols w:equalWidth="0" w:num="1">
            <w:col w:w="11420"/>
          </w:cols>
          <w:pgMar w:left="240" w:top="125" w:right="239" w:bottom="1440" w:gutter="0" w:footer="0" w:header="0"/>
        </w:sectPr>
      </w:pPr>
    </w:p>
    <w:bookmarkStart w:id="95" w:name="page96"/>
    <w:bookmarkEnd w:id="95"/>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Awards.</w:t>
      </w:r>
    </w:p>
    <w:p>
      <w:pPr>
        <w:spacing w:after="0" w:line="96" w:lineRule="exact"/>
        <w:rPr>
          <w:rFonts w:ascii="Arial" w:cs="Arial" w:eastAsia="Arial" w:hAnsi="Arial"/>
          <w:sz w:val="18"/>
          <w:szCs w:val="18"/>
          <w:b w:val="1"/>
          <w:bCs w:val="1"/>
          <w:color w:val="auto"/>
        </w:rPr>
      </w:pPr>
    </w:p>
    <w:p>
      <w:pPr>
        <w:ind w:firstLine="921"/>
        <w:spacing w:after="0" w:line="291" w:lineRule="auto"/>
        <w:tabs>
          <w:tab w:leader="none" w:pos="1148" w:val="left"/>
        </w:tabs>
        <w:numPr>
          <w:ilvl w:val="1"/>
          <w:numId w:val="51"/>
        </w:numPr>
        <w:rPr>
          <w:rFonts w:ascii="Arial" w:cs="Arial" w:eastAsia="Arial" w:hAnsi="Arial"/>
          <w:sz w:val="16"/>
          <w:szCs w:val="16"/>
          <w:color w:val="auto"/>
        </w:rPr>
      </w:pPr>
      <w:r>
        <w:rPr>
          <w:rFonts w:ascii="Arial" w:cs="Arial" w:eastAsia="Arial" w:hAnsi="Arial"/>
          <w:sz w:val="16"/>
          <w:szCs w:val="16"/>
          <w:color w:val="auto"/>
        </w:rPr>
        <w:t>Types of Awards. The Committee may grant awards to eligible officers, subject to the terms and conditions set forth in the Plan. The awards shall be based on performance targets established for a fiscal year (each, a “Performance Period”), commencing with fiscal year 2006. Each eligible officer may receive a bonus if and only if the performance targets established by the Committee are attained. Notwithstanding anything contained herein to the contrary and notwithstanding that the performance targets have been obtained and/or the individual awards have been calculated, no officer that was deemed a participant of the Plan for a Performance Period may receive an award for such Performance Period unless he is employed by the Company as of December 31 of such Performance Period, unless specifically set forth in a separate agreement.</w:t>
      </w:r>
    </w:p>
    <w:p>
      <w:pPr>
        <w:spacing w:after="0" w:line="120" w:lineRule="exact"/>
        <w:rPr>
          <w:rFonts w:ascii="Arial" w:cs="Arial" w:eastAsia="Arial" w:hAnsi="Arial"/>
          <w:sz w:val="16"/>
          <w:szCs w:val="16"/>
          <w:color w:val="auto"/>
        </w:rPr>
      </w:pPr>
    </w:p>
    <w:p>
      <w:pPr>
        <w:ind w:right="20" w:firstLine="921"/>
        <w:spacing w:after="0" w:line="286" w:lineRule="auto"/>
        <w:tabs>
          <w:tab w:leader="none" w:pos="1162" w:val="left"/>
        </w:tabs>
        <w:numPr>
          <w:ilvl w:val="1"/>
          <w:numId w:val="51"/>
        </w:numPr>
        <w:rPr>
          <w:rFonts w:ascii="Arial" w:cs="Arial" w:eastAsia="Arial" w:hAnsi="Arial"/>
          <w:sz w:val="16"/>
          <w:szCs w:val="16"/>
          <w:color w:val="auto"/>
        </w:rPr>
      </w:pPr>
      <w:r>
        <w:rPr>
          <w:rFonts w:ascii="Arial" w:cs="Arial" w:eastAsia="Arial" w:hAnsi="Arial"/>
          <w:sz w:val="16"/>
          <w:szCs w:val="16"/>
          <w:color w:val="auto"/>
        </w:rPr>
        <w:t>Performance Targets. The Committee shall establish and approve performance targets for awards for each Performance Period within 90 days of the commencement of an applicable Performance Period, or as soon as practicable thereafter. At the time the performance target(s) are selected, the Committee shall provide, in terms of a formula or standard for each eligible participant, and for any person who may become an eligible participant after the performance target(s) are set, the method of computing the specific amount that will represent the maximum amount of an award to the participants if the performance target(s) are attained. Performance targets may be established in terms of specified levels of any of the following business measures: stock price, market share, sales revenue, earnings, cash flow, sales volume, earnings per share, return on equity, return on assets, return on sales, return on invested capital, economic value added, net earnings, income from operations, total shareholder return, gross margin, and/or costs. Performance targets may also be based on subjective individual goals established by a participant, management, and the Committee. Performance targets may be applied with respect to the Company as a whole, a participant, or a subsidiary, division, department, region, function or business unit of the Company in which the participant is employed and may be measured on an absolute basis or relative to a peer-group or index. The achievement of any individual goal shall be evaluated by management and such evaluation should be used by the Committee to determine the amount of an award granted pursuant to the individual goals. Any individual goal performance targets may be modified throughout the Performance Period by the Committee in its discretion. Participants in the Plan may participate in either or both of any objective or individual performance based awards, in the discretion of the Committee.</w:t>
      </w:r>
    </w:p>
    <w:p>
      <w:pPr>
        <w:spacing w:after="0" w:line="120" w:lineRule="exact"/>
        <w:rPr>
          <w:rFonts w:ascii="Arial" w:cs="Arial" w:eastAsia="Arial" w:hAnsi="Arial"/>
          <w:sz w:val="16"/>
          <w:szCs w:val="16"/>
          <w:color w:val="auto"/>
        </w:rPr>
      </w:pPr>
    </w:p>
    <w:p>
      <w:pPr>
        <w:ind w:right="260" w:firstLine="921"/>
        <w:spacing w:after="0" w:line="259" w:lineRule="auto"/>
        <w:tabs>
          <w:tab w:leader="none" w:pos="114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Adjustments. The Committee may adjust the performance targets in consultation with the CEO of CECO or provide for the manner in which performance will be measured against the performance targets to reflect the impact of specified corporate transactions (such as a stock split or stock dividend), special charges, accounting or tax law changes and other extraordinary or nonrecurring events.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96" w:name="page97"/>
    <w:bookmarkEnd w:id="96"/>
    <w:p>
      <w:pPr>
        <w:ind w:left="-8" w:right="20" w:firstLine="921"/>
        <w:spacing w:after="0" w:line="335" w:lineRule="auto"/>
        <w:tabs>
          <w:tab w:leader="none" w:pos="1154" w:val="left"/>
        </w:tabs>
        <w:numPr>
          <w:ilvl w:val="1"/>
          <w:numId w:val="52"/>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Partial Participation. If the Committee selects an executive officer to participate in the Plan after the adoption of the Plan and the performance target(s) are established for a Performance Period, the Committee may grant an award which may or may not be, in the discretion of the Committee, proportionately adjusted based on the period of actual service during the applicable Performance Period and on such other terms as determined by the Committee.</w:t>
      </w:r>
    </w:p>
    <w:p>
      <w:pPr>
        <w:spacing w:after="0" w:line="88" w:lineRule="exact"/>
        <w:rPr>
          <w:rFonts w:ascii="Arial" w:cs="Arial" w:eastAsia="Arial" w:hAnsi="Arial"/>
          <w:sz w:val="15"/>
          <w:szCs w:val="15"/>
          <w:color w:val="auto"/>
        </w:rPr>
      </w:pPr>
    </w:p>
    <w:p>
      <w:pPr>
        <w:ind w:left="-8" w:right="120" w:firstLine="921"/>
        <w:spacing w:after="0" w:line="359" w:lineRule="auto"/>
        <w:tabs>
          <w:tab w:leader="none" w:pos="1144" w:val="left"/>
        </w:tabs>
        <w:numPr>
          <w:ilvl w:val="1"/>
          <w:numId w:val="52"/>
        </w:numPr>
        <w:rPr>
          <w:rFonts w:ascii="Arial" w:cs="Arial" w:eastAsia="Arial" w:hAnsi="Arial"/>
          <w:sz w:val="16"/>
          <w:szCs w:val="16"/>
          <w:color w:val="auto"/>
        </w:rPr>
      </w:pPr>
      <w:r>
        <w:rPr>
          <w:rFonts w:ascii="Arial" w:cs="Arial" w:eastAsia="Arial" w:hAnsi="Arial"/>
          <w:sz w:val="16"/>
          <w:szCs w:val="16"/>
          <w:color w:val="auto"/>
        </w:rPr>
        <w:t>Payment of Awards. Awards will be payable in cash each year upon certification by the Committee that the specified performance targets for the preceding fiscal year were achieved, provided that payments shall be made not later than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each year for the preceding fiscal year.</w:t>
      </w:r>
    </w:p>
    <w:p>
      <w:pPr>
        <w:spacing w:after="0" w:line="15" w:lineRule="exact"/>
        <w:rPr>
          <w:rFonts w:ascii="Arial" w:cs="Arial" w:eastAsia="Arial" w:hAnsi="Arial"/>
          <w:sz w:val="16"/>
          <w:szCs w:val="16"/>
          <w:color w:val="auto"/>
        </w:rPr>
      </w:pPr>
    </w:p>
    <w:p>
      <w:pPr>
        <w:jc w:val="both"/>
        <w:ind w:left="-8" w:right="180" w:firstLine="921"/>
        <w:spacing w:after="0" w:line="259" w:lineRule="auto"/>
        <w:tabs>
          <w:tab w:leader="none" w:pos="1124" w:val="left"/>
        </w:tabs>
        <w:numPr>
          <w:ilvl w:val="1"/>
          <w:numId w:val="52"/>
        </w:numPr>
        <w:rPr>
          <w:rFonts w:ascii="Arial" w:cs="Arial" w:eastAsia="Arial" w:hAnsi="Arial"/>
          <w:sz w:val="18"/>
          <w:szCs w:val="18"/>
          <w:color w:val="auto"/>
        </w:rPr>
      </w:pPr>
      <w:r>
        <w:rPr>
          <w:rFonts w:ascii="Arial" w:cs="Arial" w:eastAsia="Arial" w:hAnsi="Arial"/>
          <w:sz w:val="18"/>
          <w:szCs w:val="18"/>
          <w:color w:val="auto"/>
        </w:rPr>
        <w:t>Negative Discretion. Notwithstanding the achievement by the Company of the specified performance targets, the Committee has the discretion, by participant, to reduce, some or all of an award that would be otherwise paid if such award would otherwise violate any loan agreement or other agreement to which CECO is a party, or any applicable Nasdaq or SEC law, rule, or regulation.</w:t>
      </w:r>
    </w:p>
    <w:p>
      <w:pPr>
        <w:spacing w:after="0" w:line="255" w:lineRule="exact"/>
        <w:rPr>
          <w:rFonts w:ascii="Arial" w:cs="Arial" w:eastAsia="Arial" w:hAnsi="Arial"/>
          <w:sz w:val="18"/>
          <w:szCs w:val="18"/>
          <w:color w:val="auto"/>
        </w:rPr>
      </w:pPr>
    </w:p>
    <w:p>
      <w:pPr>
        <w:ind w:left="452" w:hanging="452"/>
        <w:spacing w:after="0"/>
        <w:tabs>
          <w:tab w:leader="none" w:pos="4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96" w:lineRule="exact"/>
        <w:rPr>
          <w:rFonts w:ascii="Arial" w:cs="Arial" w:eastAsia="Arial" w:hAnsi="Arial"/>
          <w:sz w:val="18"/>
          <w:szCs w:val="18"/>
          <w:b w:val="1"/>
          <w:bCs w:val="1"/>
          <w:color w:val="auto"/>
        </w:rPr>
      </w:pPr>
    </w:p>
    <w:p>
      <w:pPr>
        <w:ind w:left="1152" w:hanging="239"/>
        <w:spacing w:after="0"/>
        <w:tabs>
          <w:tab w:leader="none" w:pos="1152" w:val="left"/>
        </w:tabs>
        <w:numPr>
          <w:ilvl w:val="1"/>
          <w:numId w:val="53"/>
        </w:numPr>
        <w:rPr>
          <w:rFonts w:ascii="Arial" w:cs="Arial" w:eastAsia="Arial" w:hAnsi="Arial"/>
          <w:sz w:val="18"/>
          <w:szCs w:val="18"/>
          <w:color w:val="auto"/>
        </w:rPr>
      </w:pPr>
      <w:r>
        <w:rPr>
          <w:rFonts w:ascii="Arial" w:cs="Arial" w:eastAsia="Arial" w:hAnsi="Arial"/>
          <w:sz w:val="18"/>
          <w:szCs w:val="18"/>
          <w:color w:val="auto"/>
        </w:rPr>
        <w:t>Guidelines. The Committee may adopt from time to time written policies for its implementation of the Plan.</w:t>
      </w:r>
    </w:p>
    <w:p>
      <w:pPr>
        <w:spacing w:after="0" w:line="171" w:lineRule="exact"/>
        <w:rPr>
          <w:rFonts w:ascii="Arial" w:cs="Arial" w:eastAsia="Arial" w:hAnsi="Arial"/>
          <w:sz w:val="18"/>
          <w:szCs w:val="18"/>
          <w:color w:val="auto"/>
        </w:rPr>
      </w:pPr>
    </w:p>
    <w:p>
      <w:pPr>
        <w:ind w:left="-8" w:firstLine="921"/>
        <w:spacing w:after="0" w:line="268" w:lineRule="auto"/>
        <w:tabs>
          <w:tab w:leader="none" w:pos="115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Delegation of Administrative Authority. Subject to the laws, rules, and regulations of Nasdaq and the SEC, the Committee, as it deems necessary, may delegate its responsibilities for administering the Plan to Company executives.</w:t>
      </w:r>
    </w:p>
    <w:p>
      <w:pPr>
        <w:spacing w:after="0" w:line="131" w:lineRule="exact"/>
        <w:rPr>
          <w:rFonts w:ascii="Arial" w:cs="Arial" w:eastAsia="Arial" w:hAnsi="Arial"/>
          <w:sz w:val="18"/>
          <w:szCs w:val="18"/>
          <w:color w:val="auto"/>
        </w:rPr>
      </w:pPr>
    </w:p>
    <w:p>
      <w:pPr>
        <w:ind w:left="-8" w:right="460" w:firstLine="921"/>
        <w:spacing w:after="0" w:line="268" w:lineRule="auto"/>
        <w:tabs>
          <w:tab w:leader="none" w:pos="11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Restriction on Transfer. Awards (or interests therein) to a participant or amounts payable with respect to a participant under the Plan are not subject to assignment or alienation, whether voluntary or involuntary.</w:t>
      </w:r>
    </w:p>
    <w:p>
      <w:pPr>
        <w:spacing w:after="0" w:line="131" w:lineRule="exact"/>
        <w:rPr>
          <w:rFonts w:ascii="Arial" w:cs="Arial" w:eastAsia="Arial" w:hAnsi="Arial"/>
          <w:sz w:val="18"/>
          <w:szCs w:val="18"/>
          <w:color w:val="auto"/>
        </w:rPr>
      </w:pPr>
    </w:p>
    <w:p>
      <w:pPr>
        <w:ind w:left="-8" w:right="360" w:firstLine="921"/>
        <w:spacing w:after="0" w:line="268" w:lineRule="auto"/>
        <w:tabs>
          <w:tab w:leader="none" w:pos="1150" w:val="left"/>
        </w:tabs>
        <w:numPr>
          <w:ilvl w:val="1"/>
          <w:numId w:val="53"/>
        </w:numPr>
        <w:rPr>
          <w:rFonts w:ascii="Arial" w:cs="Arial" w:eastAsia="Arial" w:hAnsi="Arial"/>
          <w:sz w:val="18"/>
          <w:szCs w:val="18"/>
          <w:color w:val="auto"/>
        </w:rPr>
      </w:pPr>
      <w:r>
        <w:rPr>
          <w:rFonts w:ascii="Arial" w:cs="Arial" w:eastAsia="Arial" w:hAnsi="Arial"/>
          <w:sz w:val="18"/>
          <w:szCs w:val="18"/>
          <w:color w:val="auto"/>
        </w:rPr>
        <w:t>Withholding Taxes. CECO or any subsidiary or division thereof, as appropriate, shall have the right to deduct from all awards hereunder any federal, state, local or foreign taxes required by law to be withheld with respect to such awards.</w:t>
      </w:r>
    </w:p>
    <w:p>
      <w:pPr>
        <w:spacing w:after="0" w:line="131" w:lineRule="exact"/>
        <w:rPr>
          <w:rFonts w:ascii="Arial" w:cs="Arial" w:eastAsia="Arial" w:hAnsi="Arial"/>
          <w:sz w:val="18"/>
          <w:szCs w:val="18"/>
          <w:color w:val="auto"/>
        </w:rPr>
      </w:pPr>
    </w:p>
    <w:p>
      <w:pPr>
        <w:ind w:left="-8" w:right="40" w:firstLine="921"/>
        <w:spacing w:after="0" w:line="259" w:lineRule="auto"/>
        <w:tabs>
          <w:tab w:leader="none" w:pos="1144" w:val="left"/>
        </w:tabs>
        <w:numPr>
          <w:ilvl w:val="1"/>
          <w:numId w:val="53"/>
        </w:numPr>
        <w:rPr>
          <w:rFonts w:ascii="Arial" w:cs="Arial" w:eastAsia="Arial" w:hAnsi="Arial"/>
          <w:sz w:val="18"/>
          <w:szCs w:val="18"/>
          <w:color w:val="auto"/>
        </w:rPr>
      </w:pPr>
      <w:r>
        <w:rPr>
          <w:rFonts w:ascii="Arial" w:cs="Arial" w:eastAsia="Arial" w:hAnsi="Arial"/>
          <w:sz w:val="18"/>
          <w:szCs w:val="18"/>
          <w:color w:val="auto"/>
        </w:rPr>
        <w:t>No Rights to Awards. Except as set forth herein, no Company employee or other person shall have any claim or right to be granted an award under the Plan. Neither the Plan nor any action taken hereunder shall be construed as giving any employee any right to be retained in the employ of CECO or any of its subsidiaries, divisions or affiliates.</w:t>
      </w:r>
    </w:p>
    <w:p>
      <w:pPr>
        <w:spacing w:after="0" w:line="140" w:lineRule="exact"/>
        <w:rPr>
          <w:rFonts w:ascii="Arial" w:cs="Arial" w:eastAsia="Arial" w:hAnsi="Arial"/>
          <w:sz w:val="18"/>
          <w:szCs w:val="18"/>
          <w:color w:val="auto"/>
        </w:rPr>
      </w:pPr>
    </w:p>
    <w:p>
      <w:pPr>
        <w:ind w:left="-8" w:right="380" w:firstLine="921"/>
        <w:spacing w:after="0" w:line="268" w:lineRule="auto"/>
        <w:tabs>
          <w:tab w:leader="none" w:pos="11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Costs and Expenses. The cost and expenses of administering the Plan shall be borne by the Company and not charged to any award or to any participant receiving an award.</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80" w:right="259" w:bottom="1440" w:gutter="0" w:footer="0" w:header="0"/>
        </w:sectPr>
      </w:pPr>
    </w:p>
    <w:bookmarkStart w:id="97" w:name="page98"/>
    <w:bookmarkEnd w:id="97"/>
    <w:p>
      <w:pPr>
        <w:ind w:firstLine="921"/>
        <w:spacing w:after="0" w:line="268" w:lineRule="auto"/>
        <w:tabs>
          <w:tab w:leader="none" w:pos="1162" w:val="left"/>
        </w:tabs>
        <w:numPr>
          <w:ilvl w:val="1"/>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Funding of Plan. The Plan shall be unfunded. The Company shall not be required to establish any special or separate fund or to make any other segregation of assets to assure the payment of any award under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Governing Law. The Plan and all rights and awards hereunder shall be construed in accordance with and governed by the laws of the state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Delaware.</w:t>
      </w:r>
    </w:p>
    <w:p>
      <w:pPr>
        <w:spacing w:after="0" w:line="280" w:lineRule="exact"/>
        <w:rPr>
          <w:rFonts w:ascii="Arial" w:cs="Arial" w:eastAsia="Arial" w:hAnsi="Arial"/>
          <w:sz w:val="16"/>
          <w:szCs w:val="16"/>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Amendments and Termination.</w:t>
      </w:r>
    </w:p>
    <w:p>
      <w:pPr>
        <w:spacing w:after="0" w:line="96" w:lineRule="exact"/>
        <w:rPr>
          <w:rFonts w:ascii="Arial" w:cs="Arial" w:eastAsia="Arial" w:hAnsi="Arial"/>
          <w:sz w:val="18"/>
          <w:szCs w:val="18"/>
          <w:b w:val="1"/>
          <w:bCs w:val="1"/>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Effective Date. The Plan shall become effective on the date it is approved by CECO’s Board of Directors.</w:t>
      </w:r>
    </w:p>
    <w:p>
      <w:pPr>
        <w:spacing w:after="0" w:line="171" w:lineRule="exact"/>
        <w:rPr>
          <w:rFonts w:ascii="Arial" w:cs="Arial" w:eastAsia="Arial" w:hAnsi="Arial"/>
          <w:sz w:val="18"/>
          <w:szCs w:val="18"/>
          <w:color w:val="auto"/>
        </w:rPr>
      </w:pPr>
    </w:p>
    <w:p>
      <w:pPr>
        <w:ind w:right="480" w:firstLine="921"/>
        <w:spacing w:after="0" w:line="268" w:lineRule="auto"/>
        <w:tabs>
          <w:tab w:leader="none" w:pos="115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Amendments. The Committee may at any time amend the Plan in whole or in part, but no such action shall adversely affect any rights or obligations with respect to any awards theretofore made under the Plan.</w:t>
      </w:r>
    </w:p>
    <w:p>
      <w:pPr>
        <w:spacing w:after="0" w:line="131" w:lineRule="exact"/>
        <w:rPr>
          <w:rFonts w:ascii="Arial" w:cs="Arial" w:eastAsia="Arial" w:hAnsi="Arial"/>
          <w:sz w:val="18"/>
          <w:szCs w:val="18"/>
          <w:color w:val="auto"/>
        </w:rPr>
      </w:pPr>
    </w:p>
    <w:p>
      <w:pPr>
        <w:ind w:left="1160" w:hanging="239"/>
        <w:spacing w:after="0"/>
        <w:tabs>
          <w:tab w:leader="none" w:pos="11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Termination. The Plan shall continue in effect until terminated by the Board.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280"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AMENDED AND RESTATED EMPLOYMENT AGREEMENT</w:t>
      </w:r>
    </w:p>
    <w:p>
      <w:pPr>
        <w:spacing w:after="0" w:line="204" w:lineRule="exact"/>
        <w:rPr>
          <w:sz w:val="20"/>
          <w:szCs w:val="20"/>
          <w:color w:val="auto"/>
        </w:rPr>
      </w:pPr>
    </w:p>
    <w:p>
      <w:pPr>
        <w:ind w:right="440" w:firstLine="456"/>
        <w:spacing w:after="0" w:line="221" w:lineRule="auto"/>
        <w:rPr>
          <w:sz w:val="20"/>
          <w:szCs w:val="20"/>
          <w:color w:val="auto"/>
        </w:rPr>
      </w:pPr>
      <w:r>
        <w:rPr>
          <w:rFonts w:ascii="Arial" w:cs="Arial" w:eastAsia="Arial" w:hAnsi="Arial"/>
          <w:sz w:val="18"/>
          <w:szCs w:val="18"/>
          <w:color w:val="auto"/>
        </w:rPr>
        <w:t>This agreement (“Agreement”) is entered into as of the 26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2007 by and between CECO Environmental Corp., a Delaware corporation (“</w:t>
      </w:r>
      <w:r>
        <w:rPr>
          <w:rFonts w:ascii="Arial" w:cs="Arial" w:eastAsia="Arial" w:hAnsi="Arial"/>
          <w:sz w:val="18"/>
          <w:szCs w:val="18"/>
          <w:u w:val="single" w:color="auto"/>
          <w:color w:val="auto"/>
        </w:rPr>
        <w:t>CECO</w:t>
      </w:r>
      <w:r>
        <w:rPr>
          <w:rFonts w:ascii="Arial" w:cs="Arial" w:eastAsia="Arial" w:hAnsi="Arial"/>
          <w:sz w:val="18"/>
          <w:szCs w:val="18"/>
          <w:color w:val="auto"/>
        </w:rPr>
        <w:t>”), and DAVID D. BLUM (the “</w:t>
      </w:r>
      <w:r>
        <w:rPr>
          <w:rFonts w:ascii="Arial" w:cs="Arial" w:eastAsia="Arial" w:hAnsi="Arial"/>
          <w:sz w:val="18"/>
          <w:szCs w:val="18"/>
          <w:u w:val="single" w:color="auto"/>
          <w:color w:val="auto"/>
        </w:rPr>
        <w:t>Employee</w:t>
      </w:r>
      <w:r>
        <w:rPr>
          <w:rFonts w:ascii="Arial" w:cs="Arial" w:eastAsia="Arial" w:hAnsi="Arial"/>
          <w:sz w:val="18"/>
          <w:szCs w:val="18"/>
          <w:color w:val="auto"/>
        </w:rPr>
        <w: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CECO and Employee entered into an Employment Agreement as of May 30, 2006 (“Original Agreement”) with an effective date of January 1, 2006 (“Effective Date”) and the parties desire to amend such Original Agreement as set forth herein;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CECO Group, Inc. (“</w:t>
      </w:r>
      <w:r>
        <w:rPr>
          <w:rFonts w:ascii="Arial" w:cs="Arial" w:eastAsia="Arial" w:hAnsi="Arial"/>
          <w:sz w:val="18"/>
          <w:szCs w:val="18"/>
          <w:u w:val="single" w:color="auto"/>
          <w:color w:val="auto"/>
        </w:rPr>
        <w:t>CEC</w:t>
      </w:r>
      <w:r>
        <w:rPr>
          <w:rFonts w:ascii="Arial" w:cs="Arial" w:eastAsia="Arial" w:hAnsi="Arial"/>
          <w:sz w:val="18"/>
          <w:szCs w:val="18"/>
          <w:color w:val="auto"/>
        </w:rPr>
        <w:t>”) is a wholly-owned subsidiary of CECO;</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CEC, CECO and the other direct and indirect subsidiaries of CECO, including without limitation, The Kirk and Blum Manufacturing Company (“</w:t>
      </w:r>
      <w:r>
        <w:rPr>
          <w:rFonts w:ascii="Arial" w:cs="Arial" w:eastAsia="Arial" w:hAnsi="Arial"/>
          <w:sz w:val="16"/>
          <w:szCs w:val="16"/>
          <w:u w:val="single" w:color="auto"/>
          <w:color w:val="auto"/>
        </w:rPr>
        <w:t>K&amp;B</w:t>
      </w:r>
      <w:r>
        <w:rPr>
          <w:rFonts w:ascii="Arial" w:cs="Arial" w:eastAsia="Arial" w:hAnsi="Arial"/>
          <w:sz w:val="16"/>
          <w:szCs w:val="16"/>
          <w:color w:val="auto"/>
        </w:rPr>
        <w:t>” and collectively with all of the foregoing, the “</w:t>
      </w:r>
      <w:r>
        <w:rPr>
          <w:rFonts w:ascii="Arial" w:cs="Arial" w:eastAsia="Arial" w:hAnsi="Arial"/>
          <w:sz w:val="16"/>
          <w:szCs w:val="16"/>
          <w:u w:val="single" w:color="auto"/>
          <w:color w:val="auto"/>
        </w:rPr>
        <w:t>Companies</w:t>
      </w:r>
      <w:r>
        <w:rPr>
          <w:rFonts w:ascii="Arial" w:cs="Arial" w:eastAsia="Arial" w:hAnsi="Arial"/>
          <w:sz w:val="16"/>
          <w:szCs w:val="16"/>
          <w:color w:val="auto"/>
        </w:rPr>
        <w:t>”) are engaged in the business of acquiring and operating businesses that engage in engineering, designing, manufacturing or installation services in the air pollution control industry including without limitation of the foregoing, (a) fabrication and installation of industrial ventilation, dust, fume and mist control systems, as well as automotive spray booth systems, industrial and process piping and other industrial sheet metal work, (b) fabrication of parts, subassemblies or customized products for air pollution and non-air pollution applications from sheet, plate and structural steel, (c) the provision of standard and non-standard components for contractors and companies that design and/or install their own air pollution control equipment, or (d) engineering services concentrated in the industrial ventilation area (the “</w:t>
      </w:r>
      <w:r>
        <w:rPr>
          <w:rFonts w:ascii="Arial" w:cs="Arial" w:eastAsia="Arial" w:hAnsi="Arial"/>
          <w:sz w:val="16"/>
          <w:szCs w:val="16"/>
          <w:u w:val="single" w:color="auto"/>
          <w:color w:val="auto"/>
        </w:rPr>
        <w:t>Business</w:t>
      </w:r>
      <w:r>
        <w:rPr>
          <w:rFonts w:ascii="Arial" w:cs="Arial" w:eastAsia="Arial" w:hAnsi="Arial"/>
          <w:sz w:val="16"/>
          <w:szCs w:val="16"/>
          <w:color w:val="auto"/>
        </w:rPr>
        <w:t>”);</w:t>
      </w:r>
    </w:p>
    <w:p>
      <w:pPr>
        <w:spacing w:after="0" w:line="118" w:lineRule="exact"/>
        <w:rPr>
          <w:sz w:val="20"/>
          <w:szCs w:val="20"/>
          <w:color w:val="auto"/>
        </w:rPr>
      </w:pPr>
    </w:p>
    <w:p>
      <w:pPr>
        <w:ind w:left="460" w:right="2840"/>
        <w:spacing w:after="0" w:line="438" w:lineRule="auto"/>
        <w:rPr>
          <w:sz w:val="20"/>
          <w:szCs w:val="20"/>
          <w:color w:val="auto"/>
        </w:rPr>
      </w:pPr>
      <w:r>
        <w:rPr>
          <w:rFonts w:ascii="Arial" w:cs="Arial" w:eastAsia="Arial" w:hAnsi="Arial"/>
          <w:sz w:val="18"/>
          <w:szCs w:val="18"/>
          <w:color w:val="auto"/>
        </w:rPr>
        <w:t>Employee has been employed by CEC pursuant to an Employment Agreement, which expired as of the date hereof; The parties desire that Employee be employed by CECO to assist in the Business;</w:t>
      </w:r>
    </w:p>
    <w:p>
      <w:pPr>
        <w:spacing w:after="0" w:line="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Such employment constitutes a confidential relationship wherein Employee will become familiar with and aware of information as to the specific manner of doing business and the potential acquisition candidates of the Companies and their affiliates and future plans with respect thereto, all of which information is secret and proprietary and constitutes valuable goodwill of the Companies and their affiliates;</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Employee recognizes that the success of Companies’ Business is dependent upon the maintenance of a number of proprietary trade secrets, including the identity of customers and potential acquisition candidates, the confidential information regarding and analysis of such candidates and the financial data of the Companies or either of them or their affiliates, and that the protection of these proprietary trade secrets is of critical importance to the Companies; and</w:t>
      </w:r>
    </w:p>
    <w:p>
      <w:pPr>
        <w:spacing w:after="0" w:line="10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Employee recognizes that the Companies will sustain great loss and damage if he should violate the provisions of this Agreement. Further, monetary</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damages for such losses would be extremely difficult to measure and would therefore be likely to be inadequate for any violation of this Agreement by Employee;</w:t>
      </w:r>
    </w:p>
    <w:p>
      <w:pPr>
        <w:sectPr>
          <w:pgSz w:w="11900" w:h="16838" w:orient="portrait"/>
          <w:cols w:equalWidth="0" w:num="1">
            <w:col w:w="11420"/>
          </w:cols>
          <w:pgMar w:left="240" w:top="125" w:right="239" w:bottom="1440" w:gutter="0" w:footer="0" w:header="0"/>
        </w:sectPr>
      </w:pPr>
    </w:p>
    <w:bookmarkStart w:id="99" w:name="page100"/>
    <w:bookmarkEnd w:id="99"/>
    <w:p>
      <w:pPr>
        <w:ind w:left="540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good and valuable consideration the parties hereby agree as follows:</w:t>
      </w:r>
    </w:p>
    <w:p>
      <w:pPr>
        <w:spacing w:after="0" w:line="171" w:lineRule="exact"/>
        <w:rPr>
          <w:sz w:val="20"/>
          <w:szCs w:val="20"/>
          <w:color w:val="auto"/>
        </w:rPr>
      </w:pPr>
    </w:p>
    <w:p>
      <w:pPr>
        <w:ind w:left="640" w:hanging="176"/>
        <w:spacing w:after="0"/>
        <w:tabs>
          <w:tab w:leader="none" w:pos="64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9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u w:val="single" w:color="auto"/>
          <w:color w:val="auto"/>
        </w:rPr>
        <w:t>Positions</w:t>
      </w:r>
      <w:r>
        <w:rPr>
          <w:rFonts w:ascii="Arial" w:cs="Arial" w:eastAsia="Arial" w:hAnsi="Arial"/>
          <w:sz w:val="16"/>
          <w:szCs w:val="16"/>
          <w:color w:val="auto"/>
        </w:rPr>
        <w:t>. During the term of this Agreement, the Employee agrees to serve as a Senior Vice President of CECO and the President of K&amp;B, and in such other positions which Employee shall agree to accept during the Term. Employee shall (i) report directly to the President of CECO, (ii) maintain the level of duties and responsibilities as in effect as of the Effective Date, or such higher level of duties and responsibilities as Employee may be assigned during the Term and (iii) will perform such others duties as may be assigned to him from time to time by the board of directors, President or CEO of CECO. During his employment, Employee shall devote his full time and best efforts to promote and further the business and services of CECO and the other Companies. Employee shall faithfully adhere to, execute and fulfill all policies established by CECO’s board of directors. Employee shall not, during his employment hereunder, be engaged in any business or perform any services in any capacity other than for CECO or the other Companies, whether or not they interfere with his duties to CECO, without the prior approval of the Board of Directors of CECO, except that no such approval shall be required with respect to volunteer activities for organizations with charitable purposes or passive investment activity; provided that such activities do not interfere with his duties for CECO and are only occasionally during business hours. Without limiting the generality of any other provisions hereunder, under no circumstances shall Employee accept any form of remuneration from any business owner or broker with respect to any matter related to the Business of the Companies.</w:t>
      </w:r>
    </w:p>
    <w:p>
      <w:pPr>
        <w:spacing w:after="0" w:line="127" w:lineRule="exact"/>
        <w:rPr>
          <w:sz w:val="20"/>
          <w:szCs w:val="20"/>
          <w:color w:val="auto"/>
        </w:rPr>
      </w:pPr>
    </w:p>
    <w:p>
      <w:pPr>
        <w:ind w:right="80" w:firstLine="464"/>
        <w:spacing w:after="0" w:line="254" w:lineRule="auto"/>
        <w:tabs>
          <w:tab w:leader="none" w:pos="632"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Company hereby agrees to employ the Employee and the Employee hereby agrees to serve the Company in accordance with the terms and conditions set forth herein, for a period commencing as of the Effective Date and ending December 31, 2008 (the “Initial Term”). Commencing December 31, 2008, and each December 31 thereafter, the term of this Agreement shall automatically be extended for one (1) additional year (each, a “Renewal Term”), unless at least six months prior to the termination of the then current term, the Company or the Employee shall have given notice in accordance with Section 14 hereof that it or he does not wish to extend the term of the Agreement. (The Initial Term and all the Renewal Terms are collectively sometimes referred to as the “Term.”)</w:t>
      </w:r>
    </w:p>
    <w:p>
      <w:pPr>
        <w:spacing w:after="0" w:line="144" w:lineRule="exact"/>
        <w:rPr>
          <w:rFonts w:ascii="Arial" w:cs="Arial" w:eastAsia="Arial" w:hAnsi="Arial"/>
          <w:sz w:val="18"/>
          <w:szCs w:val="18"/>
          <w:color w:val="auto"/>
        </w:rPr>
      </w:pPr>
    </w:p>
    <w:p>
      <w:pPr>
        <w:ind w:left="640" w:hanging="176"/>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Compensation</w:t>
      </w:r>
      <w:r>
        <w:rPr>
          <w:rFonts w:ascii="Arial" w:cs="Arial" w:eastAsia="Arial" w:hAnsi="Arial"/>
          <w:sz w:val="18"/>
          <w:szCs w:val="18"/>
          <w:color w:val="auto"/>
        </w:rPr>
        <w:t>. During the Term, CECO shall compensate Employee as follows:</w:t>
      </w:r>
    </w:p>
    <w:p>
      <w:pPr>
        <w:spacing w:after="0" w:line="90" w:lineRule="exact"/>
        <w:rPr>
          <w:rFonts w:ascii="Arial" w:cs="Arial" w:eastAsia="Arial" w:hAnsi="Arial"/>
          <w:sz w:val="18"/>
          <w:szCs w:val="18"/>
          <w:color w:val="auto"/>
        </w:rPr>
      </w:pPr>
    </w:p>
    <w:p>
      <w:pPr>
        <w:ind w:right="60" w:firstLine="913"/>
        <w:spacing w:after="0" w:line="294"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Salary</w:t>
      </w:r>
      <w:r>
        <w:rPr>
          <w:rFonts w:ascii="Arial" w:cs="Arial" w:eastAsia="Arial" w:hAnsi="Arial"/>
          <w:sz w:val="16"/>
          <w:szCs w:val="16"/>
          <w:color w:val="auto"/>
        </w:rPr>
        <w:t>. For his services during the Term, CECO shall pay to Employee a base salary (“Base Salary”) of $200,000 per year, payable in accordance with CECO’s standard payroll practices, but no less frequently than in monthly installments, and which may be increased from time to time in the discretion of the board of directors of CECO. CECO agrees that Employee’s base salary shall be reviewed no less frequently than once every 12 months. The payment of salary and any bonuses paid hereunder shall be subject to all federal, state and local withholding taxes, social security tax deductions and other general obligations. Employee may be entitled to receive additional compensation from CECO in such form and only to the extent explicitly set forth below.</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00" w:name="page101"/>
    <w:bookmarkEnd w:id="100"/>
    <w:p>
      <w:pPr>
        <w:ind w:right="360" w:firstLine="913"/>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6"/>
          <w:szCs w:val="16"/>
          <w:u w:val="single" w:color="auto"/>
          <w:color w:val="auto"/>
        </w:rPr>
        <w:t>Other Compensation</w:t>
      </w:r>
      <w:r>
        <w:rPr>
          <w:rFonts w:ascii="Arial" w:cs="Arial" w:eastAsia="Arial" w:hAnsi="Arial"/>
          <w:sz w:val="16"/>
          <w:szCs w:val="16"/>
          <w:color w:val="auto"/>
        </w:rPr>
        <w:t>. Employee shall be entitled to participate, on the same terms as other non-union, executive employees of CECO, in any medical, dental or other health plan, 401(k) plan, stock option plan, profit-sharing plan and life insurance plan that CECO may adopt or maintain for such employees, any of which plans may be changed, terminated or eliminated by CECO at any time in their sole discretion.</w:t>
      </w:r>
    </w:p>
    <w:p>
      <w:pPr>
        <w:spacing w:after="0" w:line="10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Reimbursement of Expenses</w:t>
      </w:r>
      <w:r>
        <w:rPr>
          <w:rFonts w:ascii="Arial" w:cs="Arial" w:eastAsia="Arial" w:hAnsi="Arial"/>
          <w:sz w:val="18"/>
          <w:szCs w:val="18"/>
          <w:color w:val="auto"/>
        </w:rPr>
        <w:t>. CECO shall reimburse Employee for properly documented expenses that are incurred by Employee on behalf of CECO in accordance with corporate policies in effect from time to time.</w:t>
      </w:r>
    </w:p>
    <w:p>
      <w:pPr>
        <w:spacing w:after="0" w:line="132" w:lineRule="exact"/>
        <w:rPr>
          <w:sz w:val="20"/>
          <w:szCs w:val="20"/>
          <w:color w:val="auto"/>
        </w:rPr>
      </w:pPr>
    </w:p>
    <w:p>
      <w:pPr>
        <w:ind w:right="400" w:firstLine="913"/>
        <w:spacing w:after="0" w:line="259"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Automobile Allowance</w:t>
      </w:r>
      <w:r>
        <w:rPr>
          <w:rFonts w:ascii="Arial" w:cs="Arial" w:eastAsia="Arial" w:hAnsi="Arial"/>
          <w:sz w:val="18"/>
          <w:szCs w:val="18"/>
          <w:color w:val="auto"/>
        </w:rPr>
        <w:t>. During the Term of Employee’s employment hereunder, Employee shall receive a monthly car allowance of $452 biweekly, or such greater amount as determined by the Compensation Committee of CECO. Such allowance shall be treated as additional compensation for Employee and be reported on his Form W-2 as such.</w:t>
      </w:r>
    </w:p>
    <w:p>
      <w:pPr>
        <w:spacing w:after="0" w:line="140" w:lineRule="exact"/>
        <w:rPr>
          <w:sz w:val="20"/>
          <w:szCs w:val="20"/>
          <w:color w:val="auto"/>
        </w:rPr>
      </w:pPr>
    </w:p>
    <w:p>
      <w:pPr>
        <w:ind w:right="600" w:firstLine="913"/>
        <w:spacing w:after="0" w:line="306"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Incentive Compensation Agreement</w:t>
      </w:r>
      <w:r>
        <w:rPr>
          <w:rFonts w:ascii="Arial" w:cs="Arial" w:eastAsia="Arial" w:hAnsi="Arial"/>
          <w:sz w:val="16"/>
          <w:szCs w:val="16"/>
          <w:color w:val="auto"/>
        </w:rPr>
        <w:t>. Employee shall be eligible to participate in any CECO Incentive Compensation Program that CECO establishes, on such terms as are set forth in any such plan (“Bonus Compensation”). Notwithstanding anything contained herein to the contrary, Bonus Compensation shall not be paid until the amount of Bonus Compensation, if any, is determined in accordance with the terms of such plan.</w:t>
      </w:r>
    </w:p>
    <w:p>
      <w:pPr>
        <w:spacing w:after="0" w:line="107"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u w:val="single" w:color="auto"/>
          <w:color w:val="auto"/>
        </w:rPr>
        <w:t>Right to Change Plans</w:t>
      </w:r>
      <w:r>
        <w:rPr>
          <w:rFonts w:ascii="Arial" w:cs="Arial" w:eastAsia="Arial" w:hAnsi="Arial"/>
          <w:sz w:val="18"/>
          <w:szCs w:val="18"/>
          <w:color w:val="auto"/>
        </w:rPr>
        <w:t>. CECO shall not be obligated to institute, maintain, or refrain from changing, amending, or discontinuing any benefit plan, program, or perquisite, so long as such changes are equally applicable to all executive employees of CECO.</w:t>
      </w:r>
    </w:p>
    <w:p>
      <w:pPr>
        <w:spacing w:after="0" w:line="132" w:lineRule="exact"/>
        <w:rPr>
          <w:sz w:val="20"/>
          <w:szCs w:val="20"/>
          <w:color w:val="auto"/>
        </w:rPr>
      </w:pPr>
    </w:p>
    <w:p>
      <w:pPr>
        <w:ind w:right="40" w:firstLine="464"/>
        <w:spacing w:after="0" w:line="259" w:lineRule="auto"/>
        <w:tabs>
          <w:tab w:leader="none" w:pos="63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Employee shall be entitled to four (4) weeks of paid vacation in each full calendar year of employment at times mutually acceptable to Employee and CECO. Vacation shall be earned ratably over the course of a calendar year, and unused vacation time cannot be carried forward past December 31 of any year without the prior written consent of CECO.</w:t>
      </w:r>
    </w:p>
    <w:p>
      <w:pPr>
        <w:spacing w:after="0" w:line="221" w:lineRule="exact"/>
        <w:rPr>
          <w:rFonts w:ascii="Arial" w:cs="Arial" w:eastAsia="Arial" w:hAnsi="Arial"/>
          <w:sz w:val="18"/>
          <w:szCs w:val="18"/>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Termination by CECO</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right="320" w:firstLine="913"/>
        <w:spacing w:after="0" w:line="268"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for Cause</w:t>
      </w:r>
      <w:r>
        <w:rPr>
          <w:rFonts w:ascii="Arial" w:cs="Arial" w:eastAsia="Arial" w:hAnsi="Arial"/>
          <w:sz w:val="18"/>
          <w:szCs w:val="18"/>
          <w:color w:val="auto"/>
        </w:rPr>
        <w:t>. CECO may terminate this Agreement at any time for Cause, in which case Employee shall be entitled to receive Base Salary accrued through the date of such termination. Any of the following shall constitute “</w:t>
      </w:r>
      <w:r>
        <w:rPr>
          <w:rFonts w:ascii="Arial" w:cs="Arial" w:eastAsia="Arial" w:hAnsi="Arial"/>
          <w:sz w:val="18"/>
          <w:szCs w:val="18"/>
          <w:u w:val="single" w:color="auto"/>
          <w:color w:val="auto"/>
        </w:rPr>
        <w:t>Cause</w:t>
      </w:r>
      <w:r>
        <w:rPr>
          <w:rFonts w:ascii="Arial" w:cs="Arial" w:eastAsia="Arial" w:hAnsi="Arial"/>
          <w:sz w:val="18"/>
          <w:szCs w:val="18"/>
          <w:color w:val="auto"/>
        </w:rPr>
        <w:t>”:</w:t>
      </w:r>
    </w:p>
    <w:p>
      <w:pPr>
        <w:spacing w:after="0" w:line="50" w:lineRule="exact"/>
        <w:rPr>
          <w:rFonts w:ascii="Arial" w:cs="Arial" w:eastAsia="Arial" w:hAnsi="Arial"/>
          <w:sz w:val="18"/>
          <w:szCs w:val="18"/>
          <w:color w:val="auto"/>
        </w:rPr>
      </w:pPr>
    </w:p>
    <w:p>
      <w:pPr>
        <w:ind w:left="920" w:firstLine="421"/>
        <w:spacing w:after="0" w:line="268" w:lineRule="auto"/>
        <w:tabs>
          <w:tab w:leader="none" w:pos="1549"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material breach by Employee of any of the terms of this Agreement where such breach is not cured within thirty (30) days after written notice of such breach is delivered to Employee;</w:t>
      </w:r>
    </w:p>
    <w:p>
      <w:pPr>
        <w:spacing w:after="0" w:line="50" w:lineRule="exact"/>
        <w:rPr>
          <w:rFonts w:ascii="Arial" w:cs="Arial" w:eastAsia="Arial" w:hAnsi="Arial"/>
          <w:sz w:val="18"/>
          <w:szCs w:val="18"/>
          <w:color w:val="auto"/>
        </w:rPr>
      </w:pPr>
    </w:p>
    <w:p>
      <w:pPr>
        <w:ind w:left="920" w:right="640" w:firstLine="421"/>
        <w:spacing w:after="0" w:line="268" w:lineRule="auto"/>
        <w:tabs>
          <w:tab w:leader="none" w:pos="1598"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breach by Employee of any of the terms of his non-competition agreement set forth in Section 9 with CECO or the Employee Innovations and Proprietary Rights Assignment Agreement between Employee and CECO;</w:t>
      </w:r>
    </w:p>
    <w:p>
      <w:pPr>
        <w:spacing w:after="0" w:line="50" w:lineRule="exact"/>
        <w:rPr>
          <w:rFonts w:ascii="Arial" w:cs="Arial" w:eastAsia="Arial" w:hAnsi="Arial"/>
          <w:sz w:val="18"/>
          <w:szCs w:val="18"/>
          <w:color w:val="auto"/>
        </w:rPr>
      </w:pPr>
    </w:p>
    <w:p>
      <w:pPr>
        <w:ind w:left="920" w:right="100" w:firstLine="421"/>
        <w:spacing w:after="0" w:line="259" w:lineRule="auto"/>
        <w:tabs>
          <w:tab w:leader="none" w:pos="1647"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intoxication with alcohol or drugs while on the premises of CECO or any of the Companies or any customer or potential customer to the extent that in the reasonable judgment of management, Employee is abusive or his ability to perform his duties and responsibilities under this Agreement is impaired;</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101" w:name="page102"/>
    <w:bookmarkEnd w:id="101"/>
    <w:p>
      <w:pPr>
        <w:ind w:left="900" w:right="520" w:firstLine="421"/>
        <w:spacing w:after="0" w:line="332" w:lineRule="auto"/>
        <w:tabs>
          <w:tab w:leader="none" w:pos="1617" w:val="left"/>
        </w:tabs>
        <w:numPr>
          <w:ilvl w:val="1"/>
          <w:numId w:val="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conviction of a felony or any misdemeanor involving dishonesty, theft, the failure to tell the truth, other unethical behavior, racial prejudice, drugs, alcohol, sexual misconduct or any other crime likely to result in public disparagement with respect to any of the Companies;</w:t>
      </w:r>
    </w:p>
    <w:p>
      <w:pPr>
        <w:spacing w:after="0" w:line="4" w:lineRule="exact"/>
        <w:rPr>
          <w:rFonts w:ascii="Arial" w:cs="Arial" w:eastAsia="Arial" w:hAnsi="Arial"/>
          <w:sz w:val="16"/>
          <w:szCs w:val="16"/>
          <w:color w:val="auto"/>
        </w:rPr>
      </w:pPr>
    </w:p>
    <w:p>
      <w:pPr>
        <w:ind w:left="1560" w:hanging="239"/>
        <w:spacing w:after="0"/>
        <w:tabs>
          <w:tab w:leader="none" w:pos="15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intentional misappropriation of property belonging to CECO or any of the Companies;</w:t>
      </w:r>
    </w:p>
    <w:p>
      <w:pPr>
        <w:spacing w:after="0" w:line="90" w:lineRule="exact"/>
        <w:rPr>
          <w:rFonts w:ascii="Arial" w:cs="Arial" w:eastAsia="Arial" w:hAnsi="Arial"/>
          <w:sz w:val="18"/>
          <w:szCs w:val="18"/>
          <w:color w:val="auto"/>
        </w:rPr>
      </w:pPr>
    </w:p>
    <w:p>
      <w:pPr>
        <w:ind w:left="900" w:right="280" w:firstLine="421"/>
        <w:spacing w:after="0" w:line="268" w:lineRule="auto"/>
        <w:tabs>
          <w:tab w:leader="none" w:pos="161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illegal business practices in connection with any of CECO or the Companies’ businesses which could have a material adverse effect on CEC’s, CECO’s, CECO’s or any of the Companies’ or their business or financial position or reputation;</w:t>
      </w:r>
    </w:p>
    <w:p>
      <w:pPr>
        <w:spacing w:after="0" w:line="50" w:lineRule="exact"/>
        <w:rPr>
          <w:rFonts w:ascii="Arial" w:cs="Arial" w:eastAsia="Arial" w:hAnsi="Arial"/>
          <w:sz w:val="18"/>
          <w:szCs w:val="18"/>
          <w:color w:val="auto"/>
        </w:rPr>
      </w:pPr>
    </w:p>
    <w:p>
      <w:pPr>
        <w:ind w:left="900" w:right="80" w:firstLine="421"/>
        <w:spacing w:after="0" w:line="259" w:lineRule="auto"/>
        <w:tabs>
          <w:tab w:leader="none" w:pos="1666" w:val="left"/>
        </w:tabs>
        <w:numPr>
          <w:ilvl w:val="1"/>
          <w:numId w:val="59"/>
        </w:numPr>
        <w:rPr>
          <w:rFonts w:ascii="Arial" w:cs="Arial" w:eastAsia="Arial" w:hAnsi="Arial"/>
          <w:sz w:val="18"/>
          <w:szCs w:val="18"/>
          <w:color w:val="auto"/>
        </w:rPr>
      </w:pPr>
      <w:r>
        <w:rPr>
          <w:rFonts w:ascii="Arial" w:cs="Arial" w:eastAsia="Arial" w:hAnsi="Arial"/>
          <w:sz w:val="18"/>
          <w:szCs w:val="18"/>
          <w:color w:val="auto"/>
        </w:rPr>
        <w:t>excessive absence of Employee from his employment during usual business hours for reasons other than vacation, disability or sickness after written notice thereof is delivered to Employee describing the nature of such excess absences and affording Employee one more opportunity to avoid excess absences; or</w:t>
      </w:r>
    </w:p>
    <w:p>
      <w:pPr>
        <w:spacing w:after="0" w:line="59" w:lineRule="exact"/>
        <w:rPr>
          <w:rFonts w:ascii="Arial" w:cs="Arial" w:eastAsia="Arial" w:hAnsi="Arial"/>
          <w:sz w:val="18"/>
          <w:szCs w:val="18"/>
          <w:color w:val="auto"/>
        </w:rPr>
      </w:pPr>
    </w:p>
    <w:p>
      <w:pPr>
        <w:ind w:left="900" w:right="160" w:firstLine="421"/>
        <w:spacing w:after="0" w:line="268" w:lineRule="auto"/>
        <w:tabs>
          <w:tab w:leader="none" w:pos="1715" w:val="left"/>
        </w:tabs>
        <w:numPr>
          <w:ilvl w:val="1"/>
          <w:numId w:val="59"/>
        </w:numPr>
        <w:rPr>
          <w:rFonts w:ascii="Arial" w:cs="Arial" w:eastAsia="Arial" w:hAnsi="Arial"/>
          <w:sz w:val="18"/>
          <w:szCs w:val="18"/>
          <w:color w:val="auto"/>
        </w:rPr>
      </w:pPr>
      <w:r>
        <w:rPr>
          <w:rFonts w:ascii="Arial" w:cs="Arial" w:eastAsia="Arial" w:hAnsi="Arial"/>
          <w:sz w:val="18"/>
          <w:szCs w:val="18"/>
          <w:color w:val="auto"/>
        </w:rPr>
        <w:t>failure of Employee to obey directions of the Board of Directors of CECO or chief executive officer of CECO, provided that Employee has been given written notice of such directions.</w:t>
      </w:r>
    </w:p>
    <w:p>
      <w:pPr>
        <w:spacing w:after="0" w:line="131" w:lineRule="exact"/>
        <w:rPr>
          <w:rFonts w:ascii="Arial" w:cs="Arial" w:eastAsia="Arial" w:hAnsi="Arial"/>
          <w:sz w:val="18"/>
          <w:szCs w:val="18"/>
          <w:color w:val="auto"/>
        </w:rPr>
      </w:pPr>
    </w:p>
    <w:p>
      <w:pPr>
        <w:ind w:left="-20" w:right="60" w:firstLine="921"/>
        <w:spacing w:after="0" w:line="254" w:lineRule="auto"/>
        <w:tabs>
          <w:tab w:leader="none" w:pos="113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Termination Without Cause</w:t>
      </w:r>
      <w:r>
        <w:rPr>
          <w:rFonts w:ascii="Arial" w:cs="Arial" w:eastAsia="Arial" w:hAnsi="Arial"/>
          <w:sz w:val="18"/>
          <w:szCs w:val="18"/>
          <w:color w:val="auto"/>
        </w:rPr>
        <w:t>. CECO may terminate the employment of Employee, and this Agreement, without Cause at any time, in which event CECO shall pay to Employee, in full satisfaction of CECO’s obligations to Employee under this Agreement, the compensation accrued but unpaid, including without limitation an amount equal to the amount he would have received as Bonus Compensation upon its determination, pro rated through the date of the termination of his employment, and shall continue to pay Base Salary for a period paid of twelve (12) months as if he had remained employed by CECO for such twelve (12) months. Subject to Section 16 herein, such amounts shall be earned and paid rateably over the applicable period in accordance with CECO’s regular payroll practices.</w:t>
      </w:r>
    </w:p>
    <w:p>
      <w:pPr>
        <w:spacing w:after="0" w:line="144" w:lineRule="exact"/>
        <w:rPr>
          <w:sz w:val="20"/>
          <w:szCs w:val="20"/>
          <w:color w:val="auto"/>
        </w:rPr>
      </w:pPr>
    </w:p>
    <w:p>
      <w:pPr>
        <w:ind w:left="-20" w:firstLine="921"/>
        <w:spacing w:after="0" w:line="286" w:lineRule="auto"/>
        <w:tabs>
          <w:tab w:leader="none" w:pos="1132"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Breach by CECO</w:t>
      </w:r>
      <w:r>
        <w:rPr>
          <w:rFonts w:ascii="Arial" w:cs="Arial" w:eastAsia="Arial" w:hAnsi="Arial"/>
          <w:sz w:val="16"/>
          <w:szCs w:val="16"/>
          <w:color w:val="auto"/>
        </w:rPr>
        <w:t>. Employee may terminate his employment with CECO if CECO shall (i) materially breach any of its obligations and responsibilities under this Agreement and such breach shall be continuing, (ii) relocate the location of Employee’s regular work place to a location more than 35 miles from its current location in Cincinnati, Ohio (excluding travel in the course of performing Employee’s duties), (iii) demote the Employee to a less prestigious position without the mutual agreement of CECO and the Employee, and (iv) materially reduce Employee’s Base Salary below $200,000 (collectively, “</w:t>
      </w:r>
      <w:r>
        <w:rPr>
          <w:rFonts w:ascii="Arial" w:cs="Arial" w:eastAsia="Arial" w:hAnsi="Arial"/>
          <w:sz w:val="16"/>
          <w:szCs w:val="16"/>
          <w:u w:val="single" w:color="auto"/>
          <w:color w:val="auto"/>
        </w:rPr>
        <w:t>Breach by CECO</w:t>
      </w:r>
      <w:r>
        <w:rPr>
          <w:rFonts w:ascii="Arial" w:cs="Arial" w:eastAsia="Arial" w:hAnsi="Arial"/>
          <w:sz w:val="16"/>
          <w:szCs w:val="16"/>
          <w:color w:val="auto"/>
        </w:rPr>
        <w:t>”); provided, that, Employee shall not terminate his employment under this paragraph (c) unless he shall first have delivered to CEC a written notice setting forth with particularity the basis for such termination and shall have given the Board of Directors of CEC an opportunity to meet with Employee and, if curable, to cure such breach within thirty (30) days following delivery of such written notice. If Employee’s employment is terminated by reason of Breach by CECO, CECO shall pay the Employee his full accrued and unpaid compensation, including without limitation an amount equal to the amount he would have received as Bonus Compensation upon its determination, pro rated through the date of such termination, and shall continue to pay Base Salary for a period of twelve (12) months as if he had remained employed by CECO for such twelve (12) months. Subject to Section 16 herein, such amounts shall be earned and paid rateably over the applicable period in accordance with CECO’s regular payroll practices.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102" w:name="page103"/>
    <w:bookmarkEnd w:id="102"/>
    <w:p>
      <w:pPr>
        <w:ind w:right="80" w:firstLine="464"/>
        <w:spacing w:after="0" w:line="289" w:lineRule="auto"/>
        <w:tabs>
          <w:tab w:leader="none" w:pos="632" w:val="left"/>
        </w:tabs>
        <w:numPr>
          <w:ilvl w:val="0"/>
          <w:numId w:val="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Termination on Account of Death or Disability</w:t>
      </w:r>
      <w:r>
        <w:rPr>
          <w:rFonts w:ascii="Arial" w:cs="Arial" w:eastAsia="Arial" w:hAnsi="Arial"/>
          <w:sz w:val="16"/>
          <w:szCs w:val="16"/>
          <w:color w:val="auto"/>
        </w:rPr>
        <w:t>. If Employee dies during the Term, this Agreement shall terminate, and CECO shall pay to the estate of Employee his accrued but unpaid compensation, including without limitation an amount equal to the amount he would have received as Bonus Compensation upon its determination, pro rated through the date of his death. The Board of Directors of CECO may elect to terminate the engagement of Employee for “</w:t>
      </w:r>
      <w:r>
        <w:rPr>
          <w:rFonts w:ascii="Arial" w:cs="Arial" w:eastAsia="Arial" w:hAnsi="Arial"/>
          <w:sz w:val="16"/>
          <w:szCs w:val="16"/>
          <w:u w:val="single" w:color="auto"/>
          <w:color w:val="auto"/>
        </w:rPr>
        <w:t>disability</w:t>
      </w:r>
      <w:r>
        <w:rPr>
          <w:rFonts w:ascii="Arial" w:cs="Arial" w:eastAsia="Arial" w:hAnsi="Arial"/>
          <w:sz w:val="16"/>
          <w:szCs w:val="16"/>
          <w:color w:val="auto"/>
        </w:rPr>
        <w:t>,” if Employee is no longer able to perform the duties of his position due to illness, accident or other physical or mental condition and such disability is expected to continue, with or without interruption, for a period of six months, or such greater period as may be required by any applicable law. If the Board of Directors of CECO determines that Employee is so disabled, it shall deliver notice to Employee and CECO shall pay to Employee his accrued but unpaid compensation, including without limitation an amount equal to the amount he would have received as Bonus Compensation upon its determination, pro rated through the date of the termination of his employment hereunder in full satisfaction of CECO’s obligations to Employee under this Agreement.</w:t>
      </w:r>
    </w:p>
    <w:p>
      <w:pPr>
        <w:spacing w:after="0" w:line="118" w:lineRule="exact"/>
        <w:rPr>
          <w:rFonts w:ascii="Arial" w:cs="Arial" w:eastAsia="Arial" w:hAnsi="Arial"/>
          <w:sz w:val="16"/>
          <w:szCs w:val="16"/>
          <w:color w:val="auto"/>
        </w:rPr>
      </w:pPr>
    </w:p>
    <w:p>
      <w:pPr>
        <w:ind w:right="80" w:firstLine="464"/>
        <w:spacing w:after="0" w:line="259" w:lineRule="auto"/>
        <w:tabs>
          <w:tab w:leader="none" w:pos="632"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Termination by Employee</w:t>
      </w:r>
      <w:r>
        <w:rPr>
          <w:rFonts w:ascii="Arial" w:cs="Arial" w:eastAsia="Arial" w:hAnsi="Arial"/>
          <w:sz w:val="18"/>
          <w:szCs w:val="18"/>
          <w:color w:val="auto"/>
        </w:rPr>
        <w:t>. Employee may terminate his employment at any time upon ninety (90) days prior written notice. If he does so other than as a result of a Breach by CECO, CECO shall pay to him the Base Salary accrued but unpaid through the date of such termination of his employment in full satisfaction of CECO’s obligations to Employee under this Agreement.</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Confidentiality</w:t>
      </w:r>
      <w:r>
        <w:rPr>
          <w:rFonts w:ascii="Arial" w:cs="Arial" w:eastAsia="Arial" w:hAnsi="Arial"/>
          <w:sz w:val="18"/>
          <w:szCs w:val="18"/>
          <w:color w:val="auto"/>
        </w:rPr>
        <w:t>. Except in the furtherance of the business of the Companies, during and at all times after Employee’s employment:</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108"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shall not disclose to any person or entity, without CECO’s prior written consent, any confidential or secret proprietary information, whether prepared by him or others.</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shall not directly or indirectly use any such proprietary information other than as directed by CECO in writing.</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1"/>
          <w:numId w:val="62"/>
        </w:numPr>
        <w:rPr>
          <w:rFonts w:ascii="Arial" w:cs="Arial" w:eastAsia="Arial" w:hAnsi="Arial"/>
          <w:sz w:val="16"/>
          <w:szCs w:val="16"/>
          <w:color w:val="auto"/>
        </w:rPr>
      </w:pPr>
      <w:r>
        <w:rPr>
          <w:rFonts w:ascii="Arial" w:cs="Arial" w:eastAsia="Arial" w:hAnsi="Arial"/>
          <w:sz w:val="16"/>
          <w:szCs w:val="16"/>
          <w:color w:val="auto"/>
        </w:rPr>
        <w:t>Employee shall not remove confidential or secret proprietary information from the premises of CECO without the prior written consent of</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CECO.</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Upon termination of his employment for whatever reason, with or without Cause, Employee will promptly deliver to CECO all originals and copies (whether in note, memo or other document form or on video, audio or computer tapes or discs or otherwise) of confidential or secret proprietary information in his possession, custody or control, whether prepared by him or others.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Confidential or secret proprietary information includes, but is not limited to:</w:t>
      </w:r>
    </w:p>
    <w:p>
      <w:pPr>
        <w:spacing w:after="0" w:line="90" w:lineRule="exact"/>
        <w:rPr>
          <w:sz w:val="20"/>
          <w:szCs w:val="20"/>
          <w:color w:val="auto"/>
        </w:rPr>
      </w:pPr>
    </w:p>
    <w:p>
      <w:pPr>
        <w:ind w:left="460" w:right="120" w:firstLine="443"/>
        <w:spacing w:after="0" w:line="256" w:lineRule="auto"/>
        <w:tabs>
          <w:tab w:leader="none" w:pos="110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name of any company or business, all or any substantial part of which is or at any time was a candidate for potential acquisition by any of the Companies, together with all analyses and other information which any of the Companies has generated, compiled or otherwise obtained with respect to such candidate, business or potential acquisition, or with respect to the potential effect of such acquisition on the business, assets, financial results or prospects of any of the Companies;</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business, pricing and management methods;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3" w:name="page104"/>
    <w:bookmarkEnd w:id="103"/>
    <w:p>
      <w:pPr>
        <w:ind w:left="1160" w:hanging="29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finances, strategies, systems, research, surveys, plans, reports, recommendations and conclusions;</w:t>
      </w:r>
    </w:p>
    <w:p>
      <w:pPr>
        <w:spacing w:after="0" w:line="90" w:lineRule="exact"/>
        <w:rPr>
          <w:rFonts w:ascii="Arial" w:cs="Arial" w:eastAsia="Arial" w:hAnsi="Arial"/>
          <w:sz w:val="18"/>
          <w:szCs w:val="18"/>
          <w:color w:val="auto"/>
        </w:rPr>
      </w:pPr>
    </w:p>
    <w:p>
      <w:pPr>
        <w:ind w:left="420" w:right="20" w:firstLine="443"/>
        <w:spacing w:after="0" w:line="259" w:lineRule="auto"/>
        <w:tabs>
          <w:tab w:leader="none" w:pos="1156" w:val="left"/>
        </w:tabs>
        <w:numPr>
          <w:ilvl w:val="1"/>
          <w:numId w:val="64"/>
        </w:numPr>
        <w:rPr>
          <w:rFonts w:ascii="Arial" w:cs="Arial" w:eastAsia="Arial" w:hAnsi="Arial"/>
          <w:sz w:val="18"/>
          <w:szCs w:val="18"/>
          <w:color w:val="auto"/>
        </w:rPr>
      </w:pPr>
      <w:r>
        <w:rPr>
          <w:rFonts w:ascii="Arial" w:cs="Arial" w:eastAsia="Arial" w:hAnsi="Arial"/>
          <w:sz w:val="18"/>
          <w:szCs w:val="18"/>
          <w:color w:val="auto"/>
        </w:rPr>
        <w:t>names of, arrangements with, or other information relating to, the Companies’ customers, equipment suppliers, manufacturers, financiers, owners or operators, representatives and other persons who have business relationships with the Companies or who are prospects for business relationships with any of the Companies;</w:t>
      </w:r>
    </w:p>
    <w:p>
      <w:pPr>
        <w:spacing w:after="0" w:line="59" w:lineRule="exact"/>
        <w:rPr>
          <w:rFonts w:ascii="Arial" w:cs="Arial" w:eastAsia="Arial" w:hAnsi="Arial"/>
          <w:sz w:val="18"/>
          <w:szCs w:val="18"/>
          <w:color w:val="auto"/>
        </w:rPr>
      </w:pPr>
    </w:p>
    <w:p>
      <w:pPr>
        <w:ind w:left="1120" w:hanging="257"/>
        <w:spacing w:after="0"/>
        <w:tabs>
          <w:tab w:leader="none" w:pos="11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technical information, work products and know-how; and</w:t>
      </w:r>
    </w:p>
    <w:p>
      <w:pPr>
        <w:spacing w:after="0" w:line="90" w:lineRule="exact"/>
        <w:rPr>
          <w:rFonts w:ascii="Arial" w:cs="Arial" w:eastAsia="Arial" w:hAnsi="Arial"/>
          <w:sz w:val="18"/>
          <w:szCs w:val="18"/>
          <w:color w:val="auto"/>
        </w:rPr>
      </w:pPr>
    </w:p>
    <w:p>
      <w:pPr>
        <w:ind w:left="1160" w:hanging="297"/>
        <w:spacing w:after="0"/>
        <w:tabs>
          <w:tab w:leader="none" w:pos="1160" w:val="left"/>
        </w:tabs>
        <w:numPr>
          <w:ilvl w:val="1"/>
          <w:numId w:val="64"/>
        </w:numPr>
        <w:rPr>
          <w:rFonts w:ascii="Arial" w:cs="Arial" w:eastAsia="Arial" w:hAnsi="Arial"/>
          <w:sz w:val="18"/>
          <w:szCs w:val="18"/>
          <w:color w:val="auto"/>
        </w:rPr>
      </w:pPr>
      <w:r>
        <w:rPr>
          <w:rFonts w:ascii="Arial" w:cs="Arial" w:eastAsia="Arial" w:hAnsi="Arial"/>
          <w:sz w:val="18"/>
          <w:szCs w:val="18"/>
          <w:color w:val="auto"/>
        </w:rPr>
        <w:t>cost, operating, and other management information systems, and other software and programming.</w:t>
      </w:r>
    </w:p>
    <w:p>
      <w:pPr>
        <w:spacing w:after="0" w:line="171" w:lineRule="exact"/>
        <w:rPr>
          <w:rFonts w:ascii="Arial" w:cs="Arial" w:eastAsia="Arial" w:hAnsi="Arial"/>
          <w:sz w:val="18"/>
          <w:szCs w:val="18"/>
          <w:color w:val="auto"/>
        </w:rPr>
      </w:pPr>
    </w:p>
    <w:p>
      <w:pPr>
        <w:ind w:left="-40" w:firstLine="921"/>
        <w:spacing w:after="0" w:line="268" w:lineRule="auto"/>
        <w:tabs>
          <w:tab w:leader="none" w:pos="1039" w:val="left"/>
        </w:tabs>
        <w:numPr>
          <w:ilvl w:val="2"/>
          <w:numId w:val="64"/>
        </w:numPr>
        <w:rPr>
          <w:rFonts w:ascii="Arial" w:cs="Arial" w:eastAsia="Arial" w:hAnsi="Arial"/>
          <w:sz w:val="18"/>
          <w:szCs w:val="18"/>
          <w:color w:val="auto"/>
        </w:rPr>
      </w:pPr>
      <w:r>
        <w:rPr>
          <w:rFonts w:ascii="Arial" w:cs="Arial" w:eastAsia="Arial" w:hAnsi="Arial"/>
          <w:sz w:val="18"/>
          <w:szCs w:val="18"/>
          <w:u w:val="single" w:color="auto"/>
          <w:color w:val="auto"/>
        </w:rPr>
        <w:t>Employee Inventions</w:t>
      </w:r>
      <w:r>
        <w:rPr>
          <w:rFonts w:ascii="Arial" w:cs="Arial" w:eastAsia="Arial" w:hAnsi="Arial"/>
          <w:sz w:val="18"/>
          <w:szCs w:val="18"/>
          <w:color w:val="auto"/>
        </w:rPr>
        <w:t xml:space="preserve">. Employee shall enter into an Employee Innovations and Proprietary Rights Assignment Agreement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212" w:lineRule="exact"/>
        <w:rPr>
          <w:rFonts w:ascii="Arial" w:cs="Arial" w:eastAsia="Arial" w:hAnsi="Arial"/>
          <w:sz w:val="18"/>
          <w:szCs w:val="18"/>
          <w:color w:val="auto"/>
        </w:rPr>
      </w:pPr>
    </w:p>
    <w:p>
      <w:pPr>
        <w:ind w:left="600" w:hanging="176"/>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Non-Compete; Non-Solicitation</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0" w:right="880" w:firstLine="921"/>
        <w:spacing w:after="0" w:line="332" w:lineRule="auto"/>
        <w:tabs>
          <w:tab w:leader="none" w:pos="1039" w:val="left"/>
        </w:tabs>
        <w:numPr>
          <w:ilvl w:val="2"/>
          <w:numId w:val="65"/>
        </w:numPr>
        <w:rPr>
          <w:rFonts w:ascii="Arial" w:cs="Arial" w:eastAsia="Arial" w:hAnsi="Arial"/>
          <w:sz w:val="16"/>
          <w:szCs w:val="16"/>
          <w:color w:val="auto"/>
        </w:rPr>
      </w:pPr>
      <w:r>
        <w:rPr>
          <w:rFonts w:ascii="Arial" w:cs="Arial" w:eastAsia="Arial" w:hAnsi="Arial"/>
          <w:sz w:val="16"/>
          <w:szCs w:val="16"/>
          <w:u w:val="single" w:color="auto"/>
          <w:color w:val="auto"/>
        </w:rPr>
        <w:t>Non-Compete</w:t>
      </w:r>
      <w:r>
        <w:rPr>
          <w:rFonts w:ascii="Arial" w:cs="Arial" w:eastAsia="Arial" w:hAnsi="Arial"/>
          <w:sz w:val="16"/>
          <w:szCs w:val="16"/>
          <w:color w:val="auto"/>
        </w:rPr>
        <w:t>. Employee agrees that during the term of his employment and for a period of two (2) years following his termination of employment with CECO for any or no reason he will not Participate in any Restricted Business in the Restricted Territory.</w:t>
      </w:r>
    </w:p>
    <w:p>
      <w:pPr>
        <w:spacing w:after="0" w:line="4" w:lineRule="exact"/>
        <w:rPr>
          <w:rFonts w:ascii="Arial" w:cs="Arial" w:eastAsia="Arial" w:hAnsi="Arial"/>
          <w:sz w:val="16"/>
          <w:szCs w:val="16"/>
          <w:color w:val="auto"/>
        </w:rPr>
      </w:pPr>
    </w:p>
    <w:p>
      <w:pPr>
        <w:ind w:left="880" w:right="60" w:firstLine="421"/>
        <w:spacing w:after="0" w:line="290" w:lineRule="auto"/>
        <w:tabs>
          <w:tab w:leader="none" w:pos="1509" w:val="left"/>
        </w:tabs>
        <w:numPr>
          <w:ilvl w:val="3"/>
          <w:numId w:val="65"/>
        </w:numPr>
        <w:rPr>
          <w:rFonts w:ascii="Arial" w:cs="Arial" w:eastAsia="Arial" w:hAnsi="Arial"/>
          <w:sz w:val="16"/>
          <w:szCs w:val="16"/>
          <w:color w:val="auto"/>
        </w:rPr>
      </w:pPr>
      <w:r>
        <w:rPr>
          <w:rFonts w:ascii="Arial" w:cs="Arial" w:eastAsia="Arial" w:hAnsi="Arial"/>
          <w:sz w:val="16"/>
          <w:szCs w:val="16"/>
          <w:color w:val="auto"/>
        </w:rPr>
        <w:t>For purposes of this Agreement, the term “Participate” means to have any direct or indirect interest in a Restricted Business, whether as an officer, director, member, manager, employee, partner, proprietor, agent, representative, independent contractor, consultant, franchiser, franchisee, creditor, owner, advisor or otherwise, or to participate in the financing, operation, management or control of, any person, firm, partnership, corporation, entity or business that engages or participates in a Restricted Business; provided, however, that the term “Participate” shall not include passive ownership of less than five percent (5%) of a class of stock of a publicly-held corporation which is traded on a national securities exchange or in the over-the-counter market, provided that Employee may not sell any shares of such stock unless such shares of stock were held by Employee for a period of at least twelve (12) months; and</w:t>
      </w:r>
    </w:p>
    <w:p>
      <w:pPr>
        <w:spacing w:after="0" w:line="37" w:lineRule="exact"/>
        <w:rPr>
          <w:rFonts w:ascii="Arial" w:cs="Arial" w:eastAsia="Arial" w:hAnsi="Arial"/>
          <w:sz w:val="16"/>
          <w:szCs w:val="16"/>
          <w:color w:val="auto"/>
        </w:rPr>
      </w:pPr>
    </w:p>
    <w:p>
      <w:pPr>
        <w:ind w:left="880" w:right="20" w:firstLine="421"/>
        <w:spacing w:after="0" w:line="256" w:lineRule="auto"/>
        <w:tabs>
          <w:tab w:leader="none" w:pos="1558" w:val="left"/>
        </w:tabs>
        <w:numPr>
          <w:ilvl w:val="3"/>
          <w:numId w:val="65"/>
        </w:numPr>
        <w:rPr>
          <w:rFonts w:ascii="Arial" w:cs="Arial" w:eastAsia="Arial" w:hAnsi="Arial"/>
          <w:sz w:val="18"/>
          <w:szCs w:val="18"/>
          <w:color w:val="auto"/>
        </w:rPr>
      </w:pPr>
      <w:r>
        <w:rPr>
          <w:rFonts w:ascii="Arial" w:cs="Arial" w:eastAsia="Arial" w:hAnsi="Arial"/>
          <w:sz w:val="18"/>
          <w:szCs w:val="18"/>
          <w:color w:val="auto"/>
        </w:rPr>
        <w:t>For purposes of this Agreement, the term “Restricted Business” means any enterprise, business or venture engaged in or which proposes to engage in the distribution, service, or sale of any products or services of the same type or nature as, or are otherwise competitive with, those which are distributed, serviced or sold by any of the Companies at any time during the twelve (12) months prior to the termination of the Employee’s engagement with CECO; and</w:t>
      </w:r>
    </w:p>
    <w:p>
      <w:pPr>
        <w:spacing w:after="0" w:line="62" w:lineRule="exact"/>
        <w:rPr>
          <w:rFonts w:ascii="Arial" w:cs="Arial" w:eastAsia="Arial" w:hAnsi="Arial"/>
          <w:sz w:val="18"/>
          <w:szCs w:val="18"/>
          <w:color w:val="auto"/>
        </w:rPr>
      </w:pPr>
    </w:p>
    <w:p>
      <w:pPr>
        <w:ind w:left="880" w:right="20" w:firstLine="421"/>
        <w:spacing w:after="0" w:line="259" w:lineRule="auto"/>
        <w:tabs>
          <w:tab w:leader="none" w:pos="1607" w:val="left"/>
        </w:tabs>
        <w:numPr>
          <w:ilvl w:val="3"/>
          <w:numId w:val="65"/>
        </w:numPr>
        <w:rPr>
          <w:rFonts w:ascii="Arial" w:cs="Arial" w:eastAsia="Arial" w:hAnsi="Arial"/>
          <w:sz w:val="18"/>
          <w:szCs w:val="18"/>
          <w:color w:val="auto"/>
        </w:rPr>
      </w:pPr>
      <w:r>
        <w:rPr>
          <w:rFonts w:ascii="Arial" w:cs="Arial" w:eastAsia="Arial" w:hAnsi="Arial"/>
          <w:sz w:val="18"/>
          <w:szCs w:val="18"/>
          <w:color w:val="auto"/>
        </w:rPr>
        <w:t>For purposes of this Agreement, “Restricted Territory” shall mean anywhere worldwide. Employee acknowledges and agrees that with the use of technology that is available today, this worldwide restriction is reasonable and necessary because any services or products that are or will be offered by the Companies are or will be for sale throughout the world.</w:t>
      </w:r>
    </w:p>
    <w:p>
      <w:pPr>
        <w:spacing w:after="0" w:line="140" w:lineRule="exact"/>
        <w:rPr>
          <w:rFonts w:ascii="Arial" w:cs="Arial" w:eastAsia="Arial" w:hAnsi="Arial"/>
          <w:sz w:val="18"/>
          <w:szCs w:val="18"/>
          <w:color w:val="auto"/>
        </w:rPr>
      </w:pPr>
    </w:p>
    <w:p>
      <w:pPr>
        <w:ind w:left="-40" w:right="220" w:firstLine="921"/>
        <w:spacing w:after="0" w:line="268" w:lineRule="auto"/>
        <w:tabs>
          <w:tab w:leader="none" w:pos="1048"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Employee agrees that, during the time of Employee’s employment with CECO and for a period ending two (2) years after the termination of Employee’s employment for any reason whatsoever or for no reason, whether voluntary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80" w:right="279" w:bottom="1440" w:gutter="0" w:footer="0" w:header="0"/>
        </w:sectPr>
      </w:pPr>
    </w:p>
    <w:bookmarkStart w:id="104" w:name="page105"/>
    <w:bookmarkEnd w:id="104"/>
    <w:p>
      <w:pPr>
        <w:ind w:right="32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involuntary, Employee will not (i) induce or attempt to induce any customer, supplier, licensee or business relation of any of the Companies to cease doing business with the Companies, or in any way interfere with the relationship between any customer, supplier, licensee, or business relation of the Companies; or</w:t>
      </w:r>
    </w:p>
    <w:p>
      <w:pPr>
        <w:ind w:right="260" w:firstLine="8"/>
        <w:spacing w:after="0" w:line="261" w:lineRule="auto"/>
        <w:tabs>
          <w:tab w:leader="none" w:pos="258"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solicit, attempt to solicit, induce, encourage, hire or take any other action that is intended to induce or encourage any then current employee or independent contractor to terminate his or her employment or consulting relationship with any of the Companies.</w:t>
      </w:r>
    </w:p>
    <w:p>
      <w:pPr>
        <w:spacing w:after="0" w:line="13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covenants on the part of Employee contained in this Section 9 shall be construed as an agreement independent of any other provision in this Agreement, and the existence of any claim or cause of action of Employee against CECO, whether predicated on this Agreement or otherwise, shall not constitute a defense to the enforcement by Employer of this covenant. Employee acknowledges that part of the consideration for the forgoing covenants is Employee’s compensation during the term of employment provided in the Agreement. Employee further acknowledges that the foregoing restrictions placed upon him are necessary and reasonable in scope and duration to protect the goodwill of CECO, and that he will be in a position to earn a livelihood without violating the foregoing restrictions and that it has been made clear to him on behalf of CECO that his ability to earn a livelihood without violating such restrictions is a material condition to his employment or continuation of his employment by CECO.</w:t>
      </w:r>
    </w:p>
    <w:p>
      <w:pPr>
        <w:spacing w:after="0" w:line="118" w:lineRule="exact"/>
        <w:rPr>
          <w:sz w:val="20"/>
          <w:szCs w:val="20"/>
          <w:color w:val="auto"/>
        </w:rPr>
      </w:pPr>
    </w:p>
    <w:p>
      <w:pPr>
        <w:ind w:right="60" w:firstLine="464"/>
        <w:spacing w:after="0" w:line="294" w:lineRule="auto"/>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Damages, etc</w:t>
      </w:r>
      <w:r>
        <w:rPr>
          <w:rFonts w:ascii="Arial" w:cs="Arial" w:eastAsia="Arial" w:hAnsi="Arial"/>
          <w:sz w:val="16"/>
          <w:szCs w:val="16"/>
          <w:color w:val="auto"/>
        </w:rPr>
        <w:t>. The parties acknowledge that monetary damages will be inadequate and the Companies will be irreparably damaged if the provisions of this Agreement are not specifically enforced. CECO shall be entitled, among other remedies, (a) without any bond or other security being required, to an injunction restraining any violation of this Agreement by Employee and by any person or entity to whom Employee provides or proposes to provide any services in violation of this Agreement, and (b) to require Employee to hold in a constructive trust, account for and pay over to CECO all compensation and other benefits which Employee shall derive as a result of any action or omission which is a violation of any provision of this Agreement.</w:t>
      </w:r>
    </w:p>
    <w:p>
      <w:pPr>
        <w:spacing w:after="0" w:line="115" w:lineRule="exact"/>
        <w:rPr>
          <w:rFonts w:ascii="Arial" w:cs="Arial" w:eastAsia="Arial" w:hAnsi="Arial"/>
          <w:sz w:val="16"/>
          <w:szCs w:val="16"/>
          <w:color w:val="auto"/>
        </w:rPr>
      </w:pPr>
    </w:p>
    <w:p>
      <w:pPr>
        <w:ind w:right="40" w:firstLine="464"/>
        <w:spacing w:after="0" w:line="294" w:lineRule="auto"/>
        <w:tabs>
          <w:tab w:leader="none" w:pos="713"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Enforceability</w:t>
      </w:r>
      <w:r>
        <w:rPr>
          <w:rFonts w:ascii="Arial" w:cs="Arial" w:eastAsia="Arial" w:hAnsi="Arial"/>
          <w:sz w:val="16"/>
          <w:szCs w:val="16"/>
          <w:color w:val="auto"/>
        </w:rPr>
        <w:t>. If any one or more of the provisions of this Agreement shall be held by a court of competent jurisdiction or other authority to be invalid, illegal or unenforceable in any respect, the validity, legality and enforceability of the remaining provisions hereof shall not in any way be affected or impaired thereby; such court or other authority is hereby authorized and directed to modify or amend the invalid, illegal or unenforceable provision to the minimum extent necessary to render it valid and enforceable and to achieve as fully as lawful the intention of such provision, and such provision, as so modified or amended, shall be valid and binding upon the parties.</w:t>
      </w:r>
    </w:p>
    <w:p>
      <w:pPr>
        <w:spacing w:after="0" w:line="115" w:lineRule="exact"/>
        <w:rPr>
          <w:rFonts w:ascii="Arial" w:cs="Arial" w:eastAsia="Arial" w:hAnsi="Arial"/>
          <w:sz w:val="16"/>
          <w:szCs w:val="16"/>
          <w:color w:val="auto"/>
        </w:rPr>
      </w:pPr>
    </w:p>
    <w:p>
      <w:pPr>
        <w:ind w:right="20" w:firstLine="464"/>
        <w:spacing w:after="0" w:line="291" w:lineRule="auto"/>
        <w:tabs>
          <w:tab w:leader="none" w:pos="720"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All products, records, designs, plans, manuals, “field guides”, memoranda, lists and other property delivered to Employee by or on behalf of any of the Companies or by their customers, including, but not limited to, customers obtained for any of them by Employee, and all records compiled by Employee which pertain to the business of any of the Companies, or any of their customers, whether or not confidential, shall be and remain the property of the Companies, and be subject at all times to the discretion and control of the Companies. Likewise, all correspondence with customers or representatives, reports, records, charts, advertising materials, and any data collected by Employee, or by or on behalf of any of the Companies or their representatives, whether or not confidential, shall be delivered promptly to CECO without request by it upon termination of Employee’s employment.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5" w:name="page106"/>
    <w:bookmarkEnd w:id="105"/>
    <w:p>
      <w:pPr>
        <w:ind w:firstLine="464"/>
        <w:spacing w:after="0" w:line="288" w:lineRule="auto"/>
        <w:tabs>
          <w:tab w:leader="none" w:pos="72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Suits Against the Companies</w:t>
      </w:r>
      <w:r>
        <w:rPr>
          <w:rFonts w:ascii="Arial" w:cs="Arial" w:eastAsia="Arial" w:hAnsi="Arial"/>
          <w:sz w:val="16"/>
          <w:szCs w:val="16"/>
          <w:color w:val="auto"/>
        </w:rPr>
        <w:t>. Both during and after the term of his employment hereunder, Employee covenants that he will not bring suit or file counterclaims against the Companies or any of them for corporate misconduct, unless both of the following shall have occurred: (a) Employee shall have first made written demand to the Board of Director of CEC to investigate and deal with such misconduct, and (b) such Board of Directors shall have failed within 30 days after the date of receipt of such demand to establish a Special Litigation Committee, consisting exclusively of outside directors, to investigate and deal with such misconduct. Without limiting the generality of and to further implement the foregoing, Employee irrevocably and unconditionally consents at the option of either of the Companies to the entry of temporary restraining orders and temporary and permanent injunctions, without posting bond or other security, against the filing of any action or counterclaim which is prohibited hereunder. The opinion of such Board of Directors shall be binding and conclusive on the determination of which directors constitute “outside directors”, and the determination of the Special Litigation Committee shall be binding and conclusive on all matters relating to the actual or alleged misconduct which is referred to it as aforesaid.</w:t>
      </w:r>
    </w:p>
    <w:p>
      <w:pPr>
        <w:spacing w:after="0" w:line="119" w:lineRule="exact"/>
        <w:rPr>
          <w:rFonts w:ascii="Arial" w:cs="Arial" w:eastAsia="Arial" w:hAnsi="Arial"/>
          <w:sz w:val="16"/>
          <w:szCs w:val="16"/>
          <w:color w:val="auto"/>
        </w:rPr>
      </w:pPr>
    </w:p>
    <w:p>
      <w:pPr>
        <w:ind w:right="40" w:firstLine="464"/>
        <w:spacing w:after="0" w:line="290" w:lineRule="auto"/>
        <w:tabs>
          <w:tab w:leader="none" w:pos="720"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t>Cooperation in Proceedings</w:t>
      </w:r>
      <w:r>
        <w:rPr>
          <w:rFonts w:ascii="Arial" w:cs="Arial" w:eastAsia="Arial" w:hAnsi="Arial"/>
          <w:sz w:val="16"/>
          <w:szCs w:val="16"/>
          <w:color w:val="auto"/>
        </w:rPr>
        <w:t>. During and after the termination of Employee’s employment, Employee shall for reasonable compensation consistent with his compensation from CECO cooperate fully and at reasonable times with any of the Companies in all litigation and regulatory proceedings with respect to which any of the Companies seeks Employee’s assistance and as to which Employee has any knowledge or involvement. Without limiting the generality of the foregoing, Employee shall be available to testify at such litigations and other proceedings, and will cooperate with counsel to the Companies in preparing materials and offering advice in such litigation and other proceedings. Except as required by law, and then only upon reasonable prior written notice to CECO, Employee shall not in any way cooperate or assist any person or entity in any matter which is adverse to any of the Companies or to any person who was at any time an officer or director of any of the Companies.</w:t>
      </w:r>
    </w:p>
    <w:p>
      <w:pPr>
        <w:spacing w:after="0" w:line="118" w:lineRule="exact"/>
        <w:rPr>
          <w:rFonts w:ascii="Arial" w:cs="Arial" w:eastAsia="Arial" w:hAnsi="Arial"/>
          <w:sz w:val="16"/>
          <w:szCs w:val="16"/>
          <w:color w:val="auto"/>
        </w:rPr>
      </w:pPr>
    </w:p>
    <w:p>
      <w:pPr>
        <w:jc w:val="center"/>
        <w:ind w:right="60" w:firstLine="464"/>
        <w:spacing w:after="0" w:line="305" w:lineRule="auto"/>
        <w:tabs>
          <w:tab w:leader="none" w:pos="720" w:val="left"/>
        </w:tabs>
        <w:numPr>
          <w:ilvl w:val="1"/>
          <w:numId w:val="6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requests, demands, claims, and other communications hereunder shall be in writing and will be deemed duly given when personally delivered, the next business day when deposited with Federal Express or other nationally recognized overnight courier service delivery prepaid or five</w:t>
      </w:r>
    </w:p>
    <w:p>
      <w:pPr>
        <w:ind w:left="260" w:hanging="252"/>
        <w:spacing w:after="0"/>
        <w:tabs>
          <w:tab w:leader="none" w:pos="2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business days after being sent by registered mail, return receipt requested, postage prepaid, and addressed to the intended recipient as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If to Employee: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D. Blum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7925 Annesdale Dr.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 45243</w:t>
      </w:r>
    </w:p>
    <w:p>
      <w:pPr>
        <w:sectPr>
          <w:pgSz w:w="11900" w:h="16838" w:orient="portrait"/>
          <w:cols w:equalWidth="0" w:num="1">
            <w:col w:w="11400"/>
          </w:cols>
          <w:pgMar w:left="240" w:top="280" w:right="25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If to CECO: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Copy to:</w:t>
      </w:r>
    </w:p>
    <w:p>
      <w:pPr>
        <w:spacing w:after="0" w:line="200" w:lineRule="exact"/>
        <w:rPr>
          <w:sz w:val="20"/>
          <w:szCs w:val="20"/>
          <w:color w:val="auto"/>
        </w:rPr>
      </w:pPr>
    </w:p>
    <w:p>
      <w:pPr>
        <w:sectPr>
          <w:pgSz w:w="11900" w:h="16838" w:orient="portrait"/>
          <w:cols w:equalWidth="0" w:num="2">
            <w:col w:w="3300" w:space="720"/>
            <w:col w:w="7380"/>
          </w:cols>
          <w:pgMar w:left="240" w:top="280"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CECO Environmental Corp.</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3120 Forrer Street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Leslie J. Weiss, Esq.</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Sugar, Friedberg &amp; Felsenthal</w:t>
      </w:r>
    </w:p>
    <w:p>
      <w:pPr>
        <w:spacing w:after="0" w:line="199" w:lineRule="exact"/>
        <w:rPr>
          <w:sz w:val="20"/>
          <w:szCs w:val="20"/>
          <w:color w:val="auto"/>
        </w:rPr>
      </w:pPr>
    </w:p>
    <w:p>
      <w:pPr>
        <w:sectPr>
          <w:pgSz w:w="11900" w:h="16838" w:orient="portrait"/>
          <w:cols w:equalWidth="0" w:num="2">
            <w:col w:w="3300" w:space="720"/>
            <w:col w:w="7380"/>
          </w:cols>
          <w:pgMar w:left="240" w:top="280"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00"/>
          </w:cols>
          <w:pgMar w:left="240" w:top="280" w:right="259" w:bottom="1440" w:gutter="0" w:footer="0" w:header="0"/>
          <w:type w:val="continuous"/>
        </w:sectPr>
      </w:pPr>
    </w:p>
    <w:bookmarkStart w:id="106" w:name="page107"/>
    <w:bookmarkEnd w:id="106"/>
    <w:p>
      <w:pPr>
        <w:spacing w:after="0"/>
        <w:rPr>
          <w:sz w:val="20"/>
          <w:szCs w:val="20"/>
          <w:color w:val="auto"/>
        </w:rPr>
      </w:pPr>
      <w:r>
        <w:rPr>
          <w:rFonts w:ascii="Arial" w:cs="Arial" w:eastAsia="Arial" w:hAnsi="Arial"/>
          <w:sz w:val="16"/>
          <w:szCs w:val="16"/>
          <w:color w:val="auto"/>
        </w:rPr>
        <w:t>Cincinnati, Ohio 45209</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Attn: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30 North LaSalle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-198120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Suite 3000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Chicago, Illinois 60602</w:t>
      </w:r>
    </w:p>
    <w:p>
      <w:pPr>
        <w:spacing w:after="0" w:line="200" w:lineRule="exact"/>
        <w:rPr>
          <w:sz w:val="20"/>
          <w:szCs w:val="20"/>
          <w:color w:val="auto"/>
        </w:rPr>
      </w:pPr>
    </w:p>
    <w:p>
      <w:pPr>
        <w:sectPr>
          <w:pgSz w:w="11900" w:h="16838" w:orient="portrait"/>
          <w:cols w:equalWidth="0" w:num="2">
            <w:col w:w="3180" w:space="720"/>
            <w:col w:w="7480"/>
          </w:cols>
          <w:pgMar w:left="240" w:top="280" w:right="279" w:bottom="1440" w:gutter="0" w:footer="0" w:header="0"/>
        </w:sectPr>
      </w:pPr>
    </w:p>
    <w:p>
      <w:pPr>
        <w:spacing w:after="0" w:line="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Either party may change the address to which notices, requests, demands, claims, and other communications hereunder are to be delivered by giving the other party notice in the manner herein set forth.</w:t>
      </w:r>
    </w:p>
    <w:p>
      <w:pPr>
        <w:spacing w:after="0" w:line="132" w:lineRule="exact"/>
        <w:rPr>
          <w:sz w:val="20"/>
          <w:szCs w:val="20"/>
          <w:color w:val="auto"/>
        </w:rPr>
      </w:pPr>
    </w:p>
    <w:p>
      <w:pPr>
        <w:ind w:right="80" w:firstLine="464"/>
        <w:spacing w:after="0" w:line="287"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Compliance with IRC Section 409A</w:t>
      </w:r>
      <w:r>
        <w:rPr>
          <w:rFonts w:ascii="Arial" w:cs="Arial" w:eastAsia="Arial" w:hAnsi="Arial"/>
          <w:sz w:val="16"/>
          <w:szCs w:val="16"/>
          <w:color w:val="auto"/>
        </w:rPr>
        <w:t>. Notwithstanding anything herein to the contrary, (i) if at the time of Employee’s termination of employment with CECO Employee is a “specified employee” as defined in Section 409A of the Internal Revenue Code of 1986, as amended (the “Code”) and the deferral of the commencement of any payments or benefits otherwise payable hereunder as a result of such termination of employment is necessary in order to prevent any accelerated or additional tax under Section 409A of the Code, then CECO will defer the commencement of the payment of any such payments or benefits hereunder (without any reduction in such payments or benefits ultimately paid or provided to Employee) until the date that is six months following Employee’s termination of employment with CECO (or the earliest date as is permitted under Section 409A of the Code) and (ii) if any other payments of money or other benefits due to Employee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without any additional liability for CECO, in a manner, determined by the Compensation Committee of CECO, that does not cause such an accelerated or additional tax.</w:t>
      </w:r>
    </w:p>
    <w:p>
      <w:pPr>
        <w:spacing w:after="0" w:line="122" w:lineRule="exact"/>
        <w:rPr>
          <w:rFonts w:ascii="Arial" w:cs="Arial" w:eastAsia="Arial" w:hAnsi="Arial"/>
          <w:sz w:val="16"/>
          <w:szCs w:val="16"/>
          <w:color w:val="auto"/>
        </w:rPr>
      </w:pPr>
    </w:p>
    <w:p>
      <w:pPr>
        <w:ind w:left="720" w:hanging="256"/>
        <w:spacing w:after="0"/>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Sections 8 through 24 shall survive the termination of this Agreement.</w:t>
      </w:r>
    </w:p>
    <w:p>
      <w:pPr>
        <w:spacing w:after="0" w:line="171" w:lineRule="exact"/>
        <w:rPr>
          <w:rFonts w:ascii="Arial" w:cs="Arial" w:eastAsia="Arial" w:hAnsi="Arial"/>
          <w:sz w:val="18"/>
          <w:szCs w:val="18"/>
          <w:color w:val="auto"/>
        </w:rPr>
      </w:pPr>
    </w:p>
    <w:p>
      <w:pPr>
        <w:ind w:right="100" w:firstLine="464"/>
        <w:spacing w:after="0" w:line="259" w:lineRule="auto"/>
        <w:tabs>
          <w:tab w:leader="none" w:pos="7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 Employee represents that he has furnished to CECO copies of all agreements which restrict or limit or could restrict or limit his services for CECO at any time during the term. However, nothing in this Agreement shall be construed to render an opinion as to the interpretation or validity of any agreements with prior employers purporting to restrict or limit Employee’s services for CECO.</w:t>
      </w:r>
    </w:p>
    <w:p>
      <w:pPr>
        <w:spacing w:after="0" w:line="140" w:lineRule="exact"/>
        <w:rPr>
          <w:rFonts w:ascii="Arial" w:cs="Arial" w:eastAsia="Arial" w:hAnsi="Arial"/>
          <w:sz w:val="18"/>
          <w:szCs w:val="18"/>
          <w:color w:val="auto"/>
        </w:rPr>
      </w:pPr>
    </w:p>
    <w:p>
      <w:pPr>
        <w:ind w:firstLine="464"/>
        <w:spacing w:after="0" w:line="287" w:lineRule="auto"/>
        <w:tabs>
          <w:tab w:leader="none" w:pos="72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Governing Law</w:t>
      </w:r>
      <w:r>
        <w:rPr>
          <w:rFonts w:ascii="Arial" w:cs="Arial" w:eastAsia="Arial" w:hAnsi="Arial"/>
          <w:sz w:val="16"/>
          <w:szCs w:val="16"/>
          <w:color w:val="auto"/>
        </w:rPr>
        <w:t xml:space="preserve">. This Agreement shall be governed by and construed in accordance with the laws of the State of Ohio without giving effect to any choice or conflict of law provision or rule, whether of the State of Ohio or any other jurisdiction, that would cause the application of the laws of any jurisdiction other than the State of Ohio. In the event of any dispute or claim relating to arising out of Employee’s employment relationship with CECO, Employee’s stock options, his non-compete or the termination of Employee’s employment relationship with CECO (including, without limitation of the foregoing, any claim of wrongful termination or age, sex disability, race or other discrimination), Employee and CECO agree that (i) all such disputes shall be fully and finally resolved by binding arbitration conducted by the American Arbitration Association in Cincinnati, Ohio, and (ii) each waives his or its rights to have such dispute tried by a court or a jury. </w:t>
      </w:r>
      <w:r>
        <w:rPr>
          <w:rFonts w:ascii="Arial" w:cs="Arial" w:eastAsia="Arial" w:hAnsi="Arial"/>
          <w:sz w:val="16"/>
          <w:szCs w:val="16"/>
          <w:b w:val="1"/>
          <w:bCs w:val="1"/>
          <w:color w:val="auto"/>
        </w:rPr>
        <w:t>RIGHT TO TRIAL BY JURY IS WAIVED.</w:t>
      </w:r>
      <w:r>
        <w:rPr>
          <w:rFonts w:ascii="Arial" w:cs="Arial" w:eastAsia="Arial" w:hAnsi="Arial"/>
          <w:sz w:val="16"/>
          <w:szCs w:val="16"/>
          <w:color w:val="auto"/>
        </w:rPr>
        <w:t xml:space="preserve"> However, Employee and CECO agree that this arbitration provision shall not apply to any disputes or claims relating to or arising out of the misuse or misappropriation of CECO’s or any Companies’ trade secrets, proprietary information, other proprietary rights or property. With respect to each such dispute, each of the parties submits to the jurisdiction of any state court sitting in Cincinnati, Ohio or the United States District Court for the Southern District of Ohio.</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280" w:right="279" w:bottom="1440" w:gutter="0" w:footer="0" w:header="0"/>
          <w:type w:val="continuous"/>
        </w:sectPr>
      </w:pPr>
    </w:p>
    <w:bookmarkStart w:id="107" w:name="page108"/>
    <w:bookmarkEnd w:id="107"/>
    <w:p>
      <w:pPr>
        <w:jc w:val="both"/>
        <w:ind w:firstLine="464"/>
        <w:spacing w:after="0" w:line="256"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Succession and Assignment</w:t>
      </w:r>
      <w:r>
        <w:rPr>
          <w:rFonts w:ascii="Arial" w:cs="Arial" w:eastAsia="Arial" w:hAnsi="Arial"/>
          <w:sz w:val="18"/>
          <w:szCs w:val="18"/>
          <w:color w:val="auto"/>
        </w:rPr>
        <w:t>. This Agreement shall be binding upon and inure to the benefit of the parties named herein and their respective heirs, legal representatives, successors and permitted assigns. Employee may not assign either this Agreement or any of Employee’s rights, interests or obligations hereunder. CECO may assign any or all of its rights and interests hereunder to any person or entity that acquires the business of CECO or any Company, or to any entity with which such company merges or consolidates.</w:t>
      </w:r>
    </w:p>
    <w:p>
      <w:pPr>
        <w:spacing w:after="0" w:line="143" w:lineRule="exact"/>
        <w:rPr>
          <w:rFonts w:ascii="Arial" w:cs="Arial" w:eastAsia="Arial" w:hAnsi="Arial"/>
          <w:sz w:val="18"/>
          <w:szCs w:val="18"/>
          <w:color w:val="auto"/>
        </w:rPr>
      </w:pPr>
    </w:p>
    <w:p>
      <w:pPr>
        <w:ind w:right="200" w:firstLine="464"/>
        <w:spacing w:after="0" w:line="268"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will constitute one and the same agreement.</w:t>
      </w:r>
    </w:p>
    <w:p>
      <w:pPr>
        <w:spacing w:after="0" w:line="131" w:lineRule="exact"/>
        <w:rPr>
          <w:rFonts w:ascii="Arial" w:cs="Arial" w:eastAsia="Arial" w:hAnsi="Arial"/>
          <w:sz w:val="18"/>
          <w:szCs w:val="18"/>
          <w:color w:val="auto"/>
        </w:rPr>
      </w:pPr>
    </w:p>
    <w:p>
      <w:pPr>
        <w:ind w:right="740" w:firstLine="464"/>
        <w:spacing w:after="0" w:line="268"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contained in this Agreement are inserted for convenience only and shall not affect in any way the meaning or interpretation of this Agreement.</w:t>
      </w:r>
    </w:p>
    <w:p>
      <w:pPr>
        <w:spacing w:after="0" w:line="131" w:lineRule="exact"/>
        <w:rPr>
          <w:rFonts w:ascii="Arial" w:cs="Arial" w:eastAsia="Arial" w:hAnsi="Arial"/>
          <w:sz w:val="18"/>
          <w:szCs w:val="18"/>
          <w:color w:val="auto"/>
        </w:rPr>
      </w:pPr>
    </w:p>
    <w:p>
      <w:pPr>
        <w:ind w:right="500" w:firstLine="464"/>
        <w:spacing w:after="0" w:line="268"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waiver of a breach of any provision of this Agreement shall not operate or be construed to be a waiver of any other provision or of a subsequent or prior breach of this Agreement.</w:t>
      </w:r>
    </w:p>
    <w:p>
      <w:pPr>
        <w:spacing w:after="0" w:line="131" w:lineRule="exact"/>
        <w:rPr>
          <w:rFonts w:ascii="Arial" w:cs="Arial" w:eastAsia="Arial" w:hAnsi="Arial"/>
          <w:sz w:val="18"/>
          <w:szCs w:val="18"/>
          <w:color w:val="auto"/>
        </w:rPr>
      </w:pPr>
    </w:p>
    <w:p>
      <w:pPr>
        <w:ind w:right="40" w:firstLine="464"/>
        <w:spacing w:after="0" w:line="256" w:lineRule="auto"/>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contains the entire agreement of the parties with respect to the subject matter hereof and supersedes all prior or contemporaneous negotiations, correspondence, understandings and agreements between the parties regarding the subject matter of this Agreement, including the Original Agreement. This Agreement may not be amended or modified or any provision waived except in a writing signed by both parties and supported by new consideration.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Executed as of the date first above set forth.</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Its:</w:t>
      </w:r>
      <w:r>
        <w:rPr>
          <w:sz w:val="20"/>
          <w:szCs w:val="20"/>
          <w:color w:val="auto"/>
        </w:rPr>
        <w:tab/>
      </w:r>
      <w:r>
        <w:rPr>
          <w:rFonts w:ascii="Arial" w:cs="Arial" w:eastAsia="Arial" w:hAnsi="Arial"/>
          <w:sz w:val="16"/>
          <w:szCs w:val="16"/>
          <w:color w:val="auto"/>
        </w:rPr>
        <w:t>Vice President Finance and Administration and CFO</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 David D. 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David D. Blum, Employee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10.42</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1997 STOCK OPTION PLAN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is dated and made effective as of June 21,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RONALD E. KRIEG (“</w:t>
      </w: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Optionee on the date hereof is a Director of the Company or one of its Subsidiaries;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to grant a non-qualified stock option to Optionee to purchase shares of the Company’s Common Stock pursuant to the Company’s 1997 Stock Option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has authorized the grant of a non-qualified stock option to Optionee at a price of $7.30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84" w:lineRule="exact"/>
        <w:rPr>
          <w:sz w:val="20"/>
          <w:szCs w:val="20"/>
          <w:color w:val="auto"/>
        </w:rPr>
      </w:pPr>
    </w:p>
    <w:p>
      <w:pPr>
        <w:ind w:right="200" w:firstLine="464"/>
        <w:spacing w:after="0" w:line="262" w:lineRule="auto"/>
        <w:tabs>
          <w:tab w:leader="none" w:pos="632"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The Company hereby grants to Optionee as of the Effective Date the right and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up to fifteen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(15,000) shares of Option Stock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$7.30 per share on the terms and conditions set forth herein and subject to the terms and conditions of the Plan.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not defined in this Agreement shall have the meaning set forth in the Plan.</w:t>
      </w:r>
    </w:p>
    <w:p>
      <w:pPr>
        <w:spacing w:after="0" w:line="165"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Exercisability and Duration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and Exercise Period</w:t>
      </w:r>
      <w:r>
        <w:rPr>
          <w:rFonts w:ascii="Arial" w:cs="Arial" w:eastAsia="Arial" w:hAnsi="Arial"/>
          <w:sz w:val="18"/>
          <w:szCs w:val="18"/>
          <w:color w:val="auto"/>
        </w:rPr>
        <w:t>. The Option shall vest and become exercisable as follows:</w:t>
      </w:r>
    </w:p>
    <w:p>
      <w:pPr>
        <w:spacing w:after="0" w:line="90" w:lineRule="exact"/>
        <w:rPr>
          <w:rFonts w:ascii="Arial" w:cs="Arial" w:eastAsia="Arial" w:hAnsi="Arial"/>
          <w:sz w:val="18"/>
          <w:szCs w:val="18"/>
          <w:color w:val="auto"/>
        </w:rPr>
      </w:pPr>
    </w:p>
    <w:p>
      <w:pPr>
        <w:ind w:left="1920" w:hanging="440"/>
        <w:spacing w:after="0" w:line="268" w:lineRule="auto"/>
        <w:tabs>
          <w:tab w:leader="none" w:pos="19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2007, provided that the Optionee is a member of the Board of Directors of the Company as of such date;</w:t>
      </w:r>
    </w:p>
    <w:p>
      <w:pPr>
        <w:spacing w:after="0" w:line="50" w:lineRule="exact"/>
        <w:rPr>
          <w:rFonts w:ascii="Arial" w:cs="Arial" w:eastAsia="Arial" w:hAnsi="Arial"/>
          <w:sz w:val="18"/>
          <w:szCs w:val="18"/>
          <w:color w:val="auto"/>
        </w:rPr>
      </w:pPr>
    </w:p>
    <w:p>
      <w:pPr>
        <w:ind w:left="1920" w:hanging="440"/>
        <w:spacing w:after="0" w:line="268" w:lineRule="auto"/>
        <w:tabs>
          <w:tab w:leader="none" w:pos="1920" w:val="left"/>
        </w:tabs>
        <w:numPr>
          <w:ilvl w:val="2"/>
          <w:numId w:val="73"/>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2008, provided that the Optionee is a member of the Board of Directors of the Company as of such date;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09" w:name="page110"/>
    <w:bookmarkEnd w:id="109"/>
    <w:p>
      <w:pPr>
        <w:ind w:left="1920" w:hanging="440"/>
        <w:spacing w:after="0" w:line="268" w:lineRule="auto"/>
        <w:tabs>
          <w:tab w:leader="none" w:pos="1920"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5,000 options shall vest and become exercisable on June 21, 2009, provided that the Optionee is a member of the Board of Directors of the Company as of such date.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Unvested options may not be exercised.</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Expiration</w:t>
      </w:r>
      <w:r>
        <w:rPr>
          <w:rFonts w:ascii="Arial" w:cs="Arial" w:eastAsia="Arial" w:hAnsi="Arial"/>
          <w:sz w:val="16"/>
          <w:szCs w:val="16"/>
          <w:color w:val="auto"/>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June 21, 2016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must be exercised, if at all, on or before the Expiration Date.</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Lapse Upon Expiration</w:t>
      </w:r>
      <w:r>
        <w:rPr>
          <w:rFonts w:ascii="Arial" w:cs="Arial" w:eastAsia="Arial" w:hAnsi="Arial"/>
          <w:sz w:val="18"/>
          <w:szCs w:val="18"/>
          <w:color w:val="auto"/>
        </w:rPr>
        <w:t>. To the extent that this Option is not exercised prior to the Expiration Date, all rights of Optionee under this Option shall thereupon be forfeited.</w:t>
      </w:r>
    </w:p>
    <w:p>
      <w:pPr>
        <w:spacing w:after="0" w:line="126" w:lineRule="exact"/>
        <w:rPr>
          <w:sz w:val="20"/>
          <w:szCs w:val="20"/>
          <w:color w:val="auto"/>
        </w:rPr>
      </w:pPr>
    </w:p>
    <w:p>
      <w:pPr>
        <w:ind w:left="640" w:hanging="176"/>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60" w:firstLine="921"/>
        <w:spacing w:after="0" w:line="290" w:lineRule="auto"/>
        <w:tabs>
          <w:tab w:leader="none" w:pos="1079"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w:t>
      </w:r>
    </w:p>
    <w:p>
      <w:pPr>
        <w:spacing w:after="0" w:line="118" w:lineRule="exact"/>
        <w:rPr>
          <w:rFonts w:ascii="Arial" w:cs="Arial" w:eastAsia="Arial" w:hAnsi="Arial"/>
          <w:sz w:val="16"/>
          <w:szCs w:val="16"/>
          <w:color w:val="auto"/>
        </w:rPr>
      </w:pPr>
    </w:p>
    <w:p>
      <w:pPr>
        <w:ind w:firstLine="921"/>
        <w:spacing w:after="0" w:line="287" w:lineRule="auto"/>
        <w:tabs>
          <w:tab w:leader="none" w:pos="1088"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w:t>
      </w:r>
    </w:p>
    <w:p>
      <w:pPr>
        <w:spacing w:after="0" w:line="122" w:lineRule="exact"/>
        <w:rPr>
          <w:rFonts w:ascii="Arial" w:cs="Arial" w:eastAsia="Arial" w:hAnsi="Arial"/>
          <w:sz w:val="16"/>
          <w:szCs w:val="16"/>
          <w:color w:val="auto"/>
        </w:rPr>
      </w:pPr>
    </w:p>
    <w:p>
      <w:pPr>
        <w:ind w:right="240" w:firstLine="921"/>
        <w:spacing w:after="0" w:line="259" w:lineRule="auto"/>
        <w:tabs>
          <w:tab w:leader="none" w:pos="107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Stock Transfer Records</w:t>
      </w:r>
      <w:r>
        <w:rPr>
          <w:rFonts w:ascii="Arial" w:cs="Arial" w:eastAsia="Arial" w:hAnsi="Arial"/>
          <w:sz w:val="18"/>
          <w:szCs w:val="18"/>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0" w:name="page111"/>
    <w:bookmarkEnd w:id="110"/>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w:t>
      </w:r>
    </w:p>
    <w:p>
      <w:pPr>
        <w:spacing w:after="0" w:line="6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07" w:lineRule="exact"/>
        <w:rPr>
          <w:sz w:val="20"/>
          <w:szCs w:val="20"/>
          <w:color w:val="auto"/>
        </w:rPr>
      </w:pPr>
    </w:p>
    <w:p>
      <w:pPr>
        <w:ind w:left="640" w:hanging="176"/>
        <w:spacing w:after="0"/>
        <w:tabs>
          <w:tab w:leader="none" w:pos="6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140" w:firstLine="921"/>
        <w:spacing w:after="0" w:line="298" w:lineRule="auto"/>
        <w:tabs>
          <w:tab w:leader="none" w:pos="1079"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Rights to Employment and Rights as Shareholder</w:t>
      </w:r>
      <w:r>
        <w:rPr>
          <w:rFonts w:ascii="Arial" w:cs="Arial" w:eastAsia="Arial" w:hAnsi="Arial"/>
          <w:sz w:val="16"/>
          <w:szCs w:val="16"/>
          <w:color w:val="auto"/>
        </w:rPr>
        <w:t>.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08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w:t>
      </w:r>
    </w:p>
    <w:p>
      <w:pPr>
        <w:spacing w:after="0" w:line="140" w:lineRule="exact"/>
        <w:rPr>
          <w:rFonts w:ascii="Arial" w:cs="Arial" w:eastAsia="Arial" w:hAnsi="Arial"/>
          <w:sz w:val="18"/>
          <w:szCs w:val="18"/>
          <w:color w:val="auto"/>
        </w:rPr>
      </w:pPr>
    </w:p>
    <w:p>
      <w:pPr>
        <w:ind w:right="200" w:firstLine="921"/>
        <w:spacing w:after="0" w:line="335" w:lineRule="auto"/>
        <w:tabs>
          <w:tab w:leader="none" w:pos="1079" w:val="left"/>
        </w:tabs>
        <w:numPr>
          <w:ilvl w:val="1"/>
          <w:numId w:val="76"/>
        </w:numPr>
        <w:rPr>
          <w:rFonts w:ascii="Arial" w:cs="Arial" w:eastAsia="Arial" w:hAnsi="Arial"/>
          <w:sz w:val="15"/>
          <w:szCs w:val="15"/>
          <w:color w:val="auto"/>
        </w:rPr>
      </w:pPr>
      <w:r>
        <w:rPr>
          <w:rFonts w:ascii="Arial" w:cs="Arial" w:eastAsia="Arial" w:hAnsi="Arial"/>
          <w:sz w:val="15"/>
          <w:szCs w:val="15"/>
          <w:u w:val="single" w:color="auto"/>
          <w:color w:val="auto"/>
        </w:rPr>
        <w:t>Mergers, Recapitalization, Stock Splits, Etc.</w:t>
      </w:r>
      <w:r>
        <w:rPr>
          <w:rFonts w:ascii="Arial" w:cs="Arial" w:eastAsia="Arial" w:hAnsi="Arial"/>
          <w:sz w:val="15"/>
          <w:szCs w:val="15"/>
          <w:color w:val="auto"/>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w:t>
      </w:r>
    </w:p>
    <w:p>
      <w:pPr>
        <w:spacing w:after="0" w:line="88" w:lineRule="exact"/>
        <w:rPr>
          <w:rFonts w:ascii="Arial" w:cs="Arial" w:eastAsia="Arial" w:hAnsi="Arial"/>
          <w:sz w:val="15"/>
          <w:szCs w:val="15"/>
          <w:color w:val="auto"/>
        </w:rPr>
      </w:pPr>
    </w:p>
    <w:p>
      <w:pPr>
        <w:ind w:right="180" w:firstLine="921"/>
        <w:spacing w:after="0" w:line="259" w:lineRule="auto"/>
        <w:tabs>
          <w:tab w:leader="none" w:pos="1088"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w:t>
      </w:r>
    </w:p>
    <w:p>
      <w:pPr>
        <w:spacing w:after="0" w:line="140" w:lineRule="exact"/>
        <w:rPr>
          <w:rFonts w:ascii="Arial" w:cs="Arial" w:eastAsia="Arial" w:hAnsi="Arial"/>
          <w:sz w:val="18"/>
          <w:szCs w:val="18"/>
          <w:color w:val="auto"/>
        </w:rPr>
      </w:pPr>
    </w:p>
    <w:p>
      <w:pPr>
        <w:ind w:right="60" w:firstLine="921"/>
        <w:spacing w:after="0" w:line="298" w:lineRule="auto"/>
        <w:tabs>
          <w:tab w:leader="none" w:pos="1079"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1997 Stock Option Plan</w:t>
      </w:r>
      <w:r>
        <w:rPr>
          <w:rFonts w:ascii="Arial" w:cs="Arial" w:eastAsia="Arial" w:hAnsi="Arial"/>
          <w:sz w:val="16"/>
          <w:szCs w:val="16"/>
          <w:color w:val="auto"/>
        </w:rPr>
        <w:t>.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w:t>
      </w:r>
    </w:p>
    <w:p>
      <w:pPr>
        <w:spacing w:after="0" w:line="112" w:lineRule="exact"/>
        <w:rPr>
          <w:rFonts w:ascii="Arial" w:cs="Arial" w:eastAsia="Arial" w:hAnsi="Arial"/>
          <w:sz w:val="16"/>
          <w:szCs w:val="16"/>
          <w:color w:val="auto"/>
        </w:rPr>
      </w:pPr>
    </w:p>
    <w:p>
      <w:pPr>
        <w:ind w:right="40" w:firstLine="921"/>
        <w:spacing w:after="0" w:line="332" w:lineRule="auto"/>
        <w:tabs>
          <w:tab w:leader="none" w:pos="1059"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1" w:name="page112"/>
    <w:bookmarkEnd w:id="111"/>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shall bind and inure to the benefit of the Company and its successors and assigns and Optionee and any successor or successors of Optionee permitted Section 4(d) of this Agreement.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w:t>
      </w:r>
    </w:p>
    <w:p>
      <w:pPr>
        <w:spacing w:after="0" w:line="14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Entire Option</w:t>
      </w:r>
      <w:r>
        <w:rPr>
          <w:rFonts w:ascii="Arial" w:cs="Arial" w:eastAsia="Arial" w:hAnsi="Arial"/>
          <w:sz w:val="18"/>
          <w:szCs w:val="18"/>
          <w:color w:val="auto"/>
        </w:rPr>
        <w:t>.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144"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Governing Law</w:t>
      </w:r>
      <w:r>
        <w:rPr>
          <w:rFonts w:ascii="Arial" w:cs="Arial" w:eastAsia="Arial" w:hAnsi="Arial"/>
          <w:sz w:val="18"/>
          <w:szCs w:val="18"/>
          <w:color w:val="auto"/>
        </w:rPr>
        <w:t>. The Option shall be governed by and construed in accordance with the internal laws of the State of Delaware, without regard to that body of law pertaining to choice of law or conflict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2" w:name="page113"/>
    <w:bookmarkEnd w:id="1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on the day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CECO ENVIRONMENTAL CORP.</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OPTIONEE</w:t>
            </w:r>
          </w:p>
        </w:tc>
        <w:tc>
          <w:tcPr>
            <w:tcW w:w="0" w:type="dxa"/>
            <w:vAlign w:val="bottom"/>
          </w:tcPr>
          <w:p>
            <w:pPr>
              <w:spacing w:after="0"/>
              <w:rPr>
                <w:sz w:val="1"/>
                <w:szCs w:val="1"/>
                <w:color w:val="auto"/>
              </w:rPr>
            </w:pP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Phillip DeZwirek</w:t>
            </w:r>
          </w:p>
        </w:tc>
        <w:tc>
          <w:tcPr>
            <w:tcW w:w="22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Ronald E. Krieg</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Its:  CEO</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Ronald E. Krieg</w:t>
            </w:r>
          </w:p>
        </w:tc>
        <w:tc>
          <w:tcPr>
            <w:tcW w:w="0" w:type="dxa"/>
            <w:vAlign w:val="bottom"/>
          </w:tcPr>
          <w:p>
            <w:pPr>
              <w:spacing w:after="0"/>
              <w:rPr>
                <w:sz w:val="1"/>
                <w:szCs w:val="1"/>
                <w:color w:val="auto"/>
              </w:rPr>
            </w:pPr>
          </w:p>
        </w:tc>
      </w:tr>
      <w:tr>
        <w:trPr>
          <w:trHeight w:val="216"/>
        </w:trPr>
        <w:tc>
          <w:tcPr>
            <w:tcW w:w="4820" w:type="dxa"/>
            <w:vAlign w:val="bottom"/>
            <w:gridSpan w:val="2"/>
            <w:vMerge w:val="continue"/>
          </w:tcPr>
          <w:p>
            <w:pPr>
              <w:spacing w:after="0"/>
              <w:rPr>
                <w:sz w:val="18"/>
                <w:szCs w:val="18"/>
                <w:color w:val="auto"/>
              </w:rPr>
            </w:pP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4820" w:type="dxa"/>
            <w:vAlign w:val="bottom"/>
            <w:gridSpan w:val="2"/>
          </w:tcPr>
          <w:p>
            <w:pPr>
              <w:spacing w:after="0"/>
              <w:rPr>
                <w:sz w:val="20"/>
                <w:szCs w:val="20"/>
                <w:color w:val="auto"/>
              </w:rPr>
            </w:pPr>
            <w:r>
              <w:rPr>
                <w:rFonts w:ascii="Arial" w:cs="Arial" w:eastAsia="Arial" w:hAnsi="Arial"/>
                <w:sz w:val="18"/>
                <w:szCs w:val="18"/>
                <w:color w:val="auto"/>
              </w:rPr>
              <w:t>The Grant set forth in this Agreement</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has been approved by the Stock Option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Plan Committee of CECO Environmental</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Corp. 1997 Stock Option Plan</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232"/>
              <w:spacing w:after="0"/>
              <w:rPr>
                <w:sz w:val="20"/>
                <w:szCs w:val="20"/>
                <w:color w:val="auto"/>
              </w:rPr>
            </w:pPr>
            <w:r>
              <w:rPr>
                <w:rFonts w:ascii="Arial" w:cs="Arial" w:eastAsia="Arial" w:hAnsi="Arial"/>
                <w:sz w:val="18"/>
                <w:szCs w:val="18"/>
                <w:color w:val="auto"/>
              </w:rPr>
              <w:t>5</w:t>
            </w: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13" w:name="page114"/>
    <w:bookmarkEnd w:id="113"/>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STOCK OPTION PLAN (the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elect to purchase the number of shares of Common Stock of CECO ENVIRONMENTAL CORP. (the “Company”) as set forth below:</w:t>
      </w: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gridSpan w:val="4"/>
          </w:tcPr>
          <w:p>
            <w:pPr>
              <w:spacing w:after="0"/>
              <w:rPr>
                <w:sz w:val="20"/>
                <w:szCs w:val="20"/>
                <w:color w:val="auto"/>
              </w:rPr>
            </w:pPr>
            <w:r>
              <w:rPr>
                <w:rFonts w:ascii="Arial" w:cs="Arial" w:eastAsia="Arial" w:hAnsi="Arial"/>
                <w:sz w:val="18"/>
                <w:szCs w:val="18"/>
                <w:color w:val="auto"/>
              </w:rPr>
              <w:t>Optionee:</w:t>
            </w: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Number of Shares Purchased: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8"/>
          </w:tcPr>
          <w:p>
            <w:pPr>
              <w:spacing w:after="0" w:line="196" w:lineRule="exact"/>
              <w:rPr>
                <w:sz w:val="20"/>
                <w:szCs w:val="20"/>
                <w:color w:val="auto"/>
              </w:rPr>
            </w:pPr>
            <w:r>
              <w:rPr>
                <w:rFonts w:ascii="Arial" w:cs="Arial" w:eastAsia="Arial" w:hAnsi="Arial"/>
                <w:sz w:val="18"/>
                <w:szCs w:val="18"/>
                <w:color w:val="auto"/>
              </w:rPr>
              <w:t>Social Security Number:</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Purchase Price per Share: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gridSpan w:val="3"/>
          </w:tcPr>
          <w:p>
            <w:pPr>
              <w:spacing w:after="0" w:line="196" w:lineRule="exact"/>
              <w:rPr>
                <w:sz w:val="20"/>
                <w:szCs w:val="20"/>
                <w:color w:val="auto"/>
              </w:rPr>
            </w:pPr>
            <w:r>
              <w:rPr>
                <w:rFonts w:ascii="Arial" w:cs="Arial" w:eastAsia="Arial" w:hAnsi="Arial"/>
                <w:sz w:val="18"/>
                <w:szCs w:val="18"/>
                <w:color w:val="auto"/>
                <w:w w:val="90"/>
              </w:rPr>
              <w:t>Address: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Aggregate Purchase Price: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line="196" w:lineRule="exact"/>
              <w:rPr>
                <w:sz w:val="20"/>
                <w:szCs w:val="20"/>
                <w:color w:val="auto"/>
              </w:rPr>
            </w:pPr>
            <w:r>
              <w:rPr>
                <w:rFonts w:ascii="Arial" w:cs="Arial" w:eastAsia="Arial" w:hAnsi="Arial"/>
                <w:sz w:val="18"/>
                <w:szCs w:val="18"/>
                <w:color w:val="auto"/>
                <w:w w:val="87"/>
              </w:rPr>
              <w:t>Date of Option Agreement:</w:t>
            </w:r>
          </w:p>
        </w:tc>
        <w:tc>
          <w:tcPr>
            <w:tcW w:w="3100" w:type="dxa"/>
            <w:vAlign w:val="bottom"/>
            <w:tcBorders>
              <w:bottom w:val="single" w:sz="8" w:color="auto"/>
            </w:tcBorders>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20" w:type="dxa"/>
            <w:vAlign w:val="bottom"/>
            <w:gridSpan w:val="4"/>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60" w:type="dxa"/>
            <w:vAlign w:val="bottom"/>
          </w:tcPr>
          <w:p>
            <w:pPr>
              <w:spacing w:after="0"/>
              <w:rPr>
                <w:sz w:val="15"/>
                <w:szCs w:val="15"/>
                <w:color w:val="auto"/>
              </w:rPr>
            </w:pPr>
          </w:p>
        </w:tc>
        <w:tc>
          <w:tcPr>
            <w:tcW w:w="5020" w:type="dxa"/>
            <w:vAlign w:val="bottom"/>
            <w:gridSpan w:val="3"/>
          </w:tcPr>
          <w:p>
            <w:pPr>
              <w:spacing w:after="0" w:line="176" w:lineRule="exact"/>
              <w:rPr>
                <w:sz w:val="20"/>
                <w:szCs w:val="20"/>
                <w:color w:val="auto"/>
              </w:rPr>
            </w:pPr>
            <w:r>
              <w:rPr>
                <w:rFonts w:ascii="Arial" w:cs="Arial" w:eastAsia="Arial" w:hAnsi="Arial"/>
                <w:sz w:val="18"/>
                <w:szCs w:val="18"/>
                <w:color w:val="auto"/>
              </w:rPr>
              <w:t>Exact Name of Title to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02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gridSpan w:val="4"/>
          </w:tcPr>
          <w:p>
            <w:pPr>
              <w:spacing w:after="0" w:line="196" w:lineRule="exact"/>
              <w:rPr>
                <w:sz w:val="20"/>
                <w:szCs w:val="20"/>
                <w:color w:val="auto"/>
              </w:rPr>
            </w:pPr>
            <w:r>
              <w:rPr>
                <w:rFonts w:ascii="Arial" w:cs="Arial" w:eastAsia="Arial" w:hAnsi="Arial"/>
                <w:sz w:val="18"/>
                <w:szCs w:val="18"/>
                <w:color w:val="auto"/>
              </w:rPr>
              <w:t>Type of Option:</w:t>
            </w:r>
          </w:p>
        </w:tc>
        <w:tc>
          <w:tcPr>
            <w:tcW w:w="4020" w:type="dxa"/>
            <w:vAlign w:val="bottom"/>
            <w:gridSpan w:val="4"/>
            <w:vMerge w:val="continue"/>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40" w:hanging="288"/>
        <w:spacing w:after="0"/>
        <w:tabs>
          <w:tab w:leader="none" w:pos="1840" w:val="left"/>
        </w:tabs>
        <w:numPr>
          <w:ilvl w:val="1"/>
          <w:numId w:val="77"/>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211" w:lineRule="exact"/>
        <w:rPr>
          <w:rFonts w:ascii="MS PGothic" w:cs="MS PGothic" w:eastAsia="MS PGothic" w:hAnsi="MS PGothic"/>
          <w:sz w:val="18"/>
          <w:szCs w:val="18"/>
          <w:color w:val="auto"/>
        </w:rPr>
      </w:pPr>
    </w:p>
    <w:p>
      <w:pPr>
        <w:ind w:right="440" w:firstLine="8"/>
        <w:spacing w:after="0" w:line="268" w:lineRule="auto"/>
        <w:tabs>
          <w:tab w:leader="none" w:pos="17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Delivery of Purchase Price</w:t>
      </w:r>
      <w:r>
        <w:rPr>
          <w:rFonts w:ascii="Arial" w:cs="Arial" w:eastAsia="Arial" w:hAnsi="Arial"/>
          <w:sz w:val="18"/>
          <w:szCs w:val="18"/>
          <w:color w:val="auto"/>
        </w:rPr>
        <w:t>. Optionee hereby delivers to the Company the Aggregate Purchase Price, to the extent permitted in the Option Agreement (the “Option Agreement”), as follows (check as applicable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-441960</wp:posOffset>
            </wp:positionV>
            <wp:extent cx="1390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31" w:lineRule="exact"/>
        <w:rPr>
          <w:sz w:val="20"/>
          <w:szCs w:val="20"/>
          <w:color w:val="auto"/>
        </w:rPr>
      </w:pPr>
    </w:p>
    <w:p>
      <w:pPr>
        <w:ind w:left="460" w:hanging="452"/>
        <w:spacing w:after="0"/>
        <w:tabs>
          <w:tab w:leader="none" w:pos="460" w:val="left"/>
        </w:tabs>
        <w:numPr>
          <w:ilvl w:val="0"/>
          <w:numId w:val="78"/>
        </w:numPr>
        <w:rPr>
          <w:rFonts w:ascii="MS PGothic" w:cs="MS PGothic" w:eastAsia="MS PGothic" w:hAnsi="MS PGothic"/>
          <w:sz w:val="18"/>
          <w:szCs w:val="18"/>
          <w:color w:val="auto"/>
        </w:rPr>
      </w:pPr>
      <w:r>
        <w:rPr>
          <w:rFonts w:ascii="Arial" w:cs="Arial" w:eastAsia="Arial" w:hAnsi="Arial"/>
          <w:sz w:val="18"/>
          <w:szCs w:val="18"/>
          <w:color w:val="auto"/>
        </w:rPr>
        <w:t>in cash (by check) in the amount of $</w:t>
      </w:r>
      <w:r>
        <w:rPr>
          <w:rFonts w:ascii="Arial" w:cs="Arial" w:eastAsia="Arial" w:hAnsi="Arial"/>
          <w:sz w:val="16"/>
          <w:szCs w:val="16"/>
          <w:color w:val="auto"/>
        </w:rPr>
        <w:t>, receipt of which is acknowledged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-13970</wp:posOffset>
            </wp:positionV>
            <wp:extent cx="33464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Committee allowed payment by other means in the Stock Option Agreement, add one or more of the following, as applicable: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Pr>
          <w:p>
            <w:pPr>
              <w:ind w:left="160"/>
              <w:spacing w:after="0"/>
              <w:rPr>
                <w:sz w:val="20"/>
                <w:szCs w:val="20"/>
                <w:color w:val="auto"/>
              </w:rPr>
            </w:pPr>
            <w:r>
              <w:rPr>
                <w:rFonts w:ascii="Arial" w:cs="Arial" w:eastAsia="Arial" w:hAnsi="Arial"/>
                <w:sz w:val="18"/>
                <w:szCs w:val="18"/>
                <w:color w:val="auto"/>
                <w:w w:val="94"/>
              </w:rPr>
              <w:t>by delivery of</w:t>
            </w:r>
          </w:p>
        </w:tc>
        <w:tc>
          <w:tcPr>
            <w:tcW w:w="880" w:type="dxa"/>
            <w:vAlign w:val="bottom"/>
            <w:tcBorders>
              <w:bottom w:val="single" w:sz="8" w:color="auto"/>
            </w:tcBorders>
          </w:tcPr>
          <w:p>
            <w:pPr>
              <w:spacing w:after="0"/>
              <w:rPr>
                <w:sz w:val="18"/>
                <w:szCs w:val="18"/>
                <w:color w:val="auto"/>
              </w:rPr>
            </w:pPr>
          </w:p>
        </w:tc>
        <w:tc>
          <w:tcPr>
            <w:tcW w:w="9060" w:type="dxa"/>
            <w:vAlign w:val="bottom"/>
            <w:gridSpan w:val="5"/>
          </w:tcPr>
          <w:p>
            <w:pPr>
              <w:ind w:left="40"/>
              <w:spacing w:after="0"/>
              <w:rPr>
                <w:sz w:val="20"/>
                <w:szCs w:val="20"/>
                <w:color w:val="auto"/>
              </w:rPr>
            </w:pPr>
            <w:r>
              <w:rPr>
                <w:rFonts w:ascii="Arial" w:cs="Arial" w:eastAsia="Arial" w:hAnsi="Arial"/>
                <w:sz w:val="18"/>
                <w:szCs w:val="18"/>
                <w:color w:val="auto"/>
                <w:w w:val="95"/>
              </w:rPr>
              <w:t>fully-paid, nonassessable and vested shares of the Common Stock of the Company owned by Optionee for at least six</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120" w:type="dxa"/>
            <w:vAlign w:val="bottom"/>
            <w:gridSpan w:val="7"/>
          </w:tcPr>
          <w:p>
            <w:pPr>
              <w:ind w:left="160"/>
              <w:spacing w:after="0"/>
              <w:rPr>
                <w:sz w:val="20"/>
                <w:szCs w:val="20"/>
                <w:color w:val="auto"/>
              </w:rPr>
            </w:pPr>
            <w:r>
              <w:rPr>
                <w:rFonts w:ascii="Arial" w:cs="Arial" w:eastAsia="Arial" w:hAnsi="Arial"/>
                <w:sz w:val="18"/>
                <w:szCs w:val="18"/>
                <w:color w:val="auto"/>
                <w:w w:val="88"/>
              </w:rPr>
              <w:t>(6) months prior to the date hereof (and which have been paid for within the meaning of SEC Rule 144), or obtained by Optionee in the open public market,</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8920" w:type="dxa"/>
            <w:vAlign w:val="bottom"/>
            <w:gridSpan w:val="3"/>
          </w:tcPr>
          <w:p>
            <w:pPr>
              <w:ind w:left="160"/>
              <w:spacing w:after="0" w:line="184" w:lineRule="exact"/>
              <w:rPr>
                <w:sz w:val="20"/>
                <w:szCs w:val="20"/>
                <w:color w:val="auto"/>
              </w:rPr>
            </w:pPr>
            <w:r>
              <w:rPr>
                <w:rFonts w:ascii="Arial" w:cs="Arial" w:eastAsia="Arial" w:hAnsi="Arial"/>
                <w:sz w:val="18"/>
                <w:szCs w:val="18"/>
                <w:color w:val="auto"/>
                <w:w w:val="87"/>
              </w:rPr>
              <w:t>and owned free and clear of all liens, claims, encumbrances or security interests, valued at the current Fair Market Value of $</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line="184"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77"/>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00" w:type="dxa"/>
            <w:vAlign w:val="bottom"/>
            <w:gridSpan w:val="5"/>
          </w:tcPr>
          <w:p>
            <w:pPr>
              <w:ind w:left="160"/>
              <w:spacing w:after="0"/>
              <w:rPr>
                <w:sz w:val="20"/>
                <w:szCs w:val="20"/>
                <w:color w:val="auto"/>
              </w:rPr>
            </w:pPr>
            <w:r>
              <w:rPr>
                <w:rFonts w:ascii="Arial" w:cs="Arial" w:eastAsia="Arial" w:hAnsi="Arial"/>
                <w:sz w:val="18"/>
                <w:szCs w:val="18"/>
                <w:color w:val="auto"/>
                <w:w w:val="88"/>
              </w:rPr>
              <w:t>through a “same-day-sale” commitment, delivered herewith, from Optionee and the NASD Dealer named therein, in the amount of $</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continue"/>
          </w:tcPr>
          <w:p>
            <w:pPr>
              <w:spacing w:after="0"/>
              <w:rPr>
                <w:sz w:val="24"/>
                <w:szCs w:val="24"/>
                <w:color w:val="auto"/>
              </w:rPr>
            </w:pP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w w:val="89"/>
              </w:rPr>
              <w:t>through a “margin” commitment, delivered herewith from Optionee and the NASD Dealer named therein, in the amount of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40" w:firstLine="8"/>
        <w:spacing w:after="0" w:line="318" w:lineRule="auto"/>
        <w:tabs>
          <w:tab w:leader="none" w:pos="176" w:val="left"/>
        </w:tabs>
        <w:numPr>
          <w:ilvl w:val="0"/>
          <w:numId w:val="79"/>
        </w:numPr>
        <w:rPr>
          <w:rFonts w:ascii="Arial" w:cs="Arial" w:eastAsia="Arial" w:hAnsi="Arial"/>
          <w:sz w:val="15"/>
          <w:szCs w:val="15"/>
          <w:color w:val="auto"/>
        </w:rPr>
      </w:pP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99" w:lineRule="exact"/>
        <w:rPr>
          <w:rFonts w:ascii="Arial" w:cs="Arial" w:eastAsia="Arial" w:hAnsi="Arial"/>
          <w:sz w:val="15"/>
          <w:szCs w:val="15"/>
          <w:color w:val="auto"/>
        </w:rPr>
      </w:pPr>
    </w:p>
    <w:p>
      <w:pPr>
        <w:jc w:val="both"/>
        <w:ind w:right="20" w:firstLine="8"/>
        <w:spacing w:after="0" w:line="256" w:lineRule="auto"/>
        <w:tabs>
          <w:tab w:leader="none" w:pos="176"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14" w:name="page115"/>
    <w:bookmarkEnd w:id="114"/>
    <w:p>
      <w:pPr>
        <w:ind w:firstLine="8"/>
        <w:spacing w:after="0" w:line="306" w:lineRule="auto"/>
        <w:tabs>
          <w:tab w:leader="none" w:pos="176" w:val="left"/>
        </w:tabs>
        <w:numPr>
          <w:ilvl w:val="0"/>
          <w:numId w:val="8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6"/>
          <w:szCs w:val="16"/>
          <w:color w:val="auto"/>
        </w:rPr>
        <w:t>.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15005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2540</wp:posOffset>
            </wp:positionV>
            <wp:extent cx="24441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Signature of Optionee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280" w:right="45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10.43</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1997 STOCK OPTION PLAN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is dated and made effective as of June 21,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ARTHUR CAPE (“</w:t>
      </w: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Optionee on the date hereof is a Director of the Company or one of its Subsidiaries;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to grant a non-qualified stock option to Optionee to purchase shares of the Company’s Common Stock pursuant to the Company’s 1997 Stock Option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has authorized the grant of a non-qualified stock option to Optionee at a price of $7.30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84" w:lineRule="exact"/>
        <w:rPr>
          <w:sz w:val="20"/>
          <w:szCs w:val="20"/>
          <w:color w:val="auto"/>
        </w:rPr>
      </w:pPr>
    </w:p>
    <w:p>
      <w:pPr>
        <w:ind w:right="200" w:firstLine="464"/>
        <w:spacing w:after="0" w:line="262" w:lineRule="auto"/>
        <w:tabs>
          <w:tab w:leader="none" w:pos="632"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The Company hereby grants to Optionee as of the Effective Date the right and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up to fifteen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(15,000) shares of Option Stock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$7.30 per share on the terms and conditions set forth herein and subject to the terms and conditions of the Plan.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not defined in this Agreement shall have the meaning set forth in the Plan.</w:t>
      </w:r>
    </w:p>
    <w:p>
      <w:pPr>
        <w:spacing w:after="0" w:line="165" w:lineRule="exact"/>
        <w:rPr>
          <w:sz w:val="20"/>
          <w:szCs w:val="20"/>
          <w:color w:val="auto"/>
        </w:rPr>
      </w:pPr>
    </w:p>
    <w:p>
      <w:pPr>
        <w:ind w:left="640" w:hanging="17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Exercisability and Duration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and Exercise Period</w:t>
      </w:r>
      <w:r>
        <w:rPr>
          <w:rFonts w:ascii="Arial" w:cs="Arial" w:eastAsia="Arial" w:hAnsi="Arial"/>
          <w:sz w:val="18"/>
          <w:szCs w:val="18"/>
          <w:color w:val="auto"/>
        </w:rPr>
        <w:t>. The Option shall vest and become exercisable as follows:</w:t>
      </w:r>
    </w:p>
    <w:p>
      <w:pPr>
        <w:spacing w:after="0" w:line="90" w:lineRule="exact"/>
        <w:rPr>
          <w:sz w:val="20"/>
          <w:szCs w:val="20"/>
          <w:color w:val="auto"/>
        </w:rPr>
      </w:pPr>
    </w:p>
    <w:p>
      <w:pPr>
        <w:ind w:left="1920" w:hanging="440"/>
        <w:spacing w:after="0" w:line="268" w:lineRule="auto"/>
        <w:tabs>
          <w:tab w:leader="none" w:pos="19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2007, provided that the Optionee is a member of the Board of Directors of the Company as of such date;</w:t>
      </w:r>
    </w:p>
    <w:p>
      <w:pPr>
        <w:spacing w:after="0" w:line="51" w:lineRule="exact"/>
        <w:rPr>
          <w:sz w:val="20"/>
          <w:szCs w:val="20"/>
          <w:color w:val="auto"/>
        </w:rPr>
      </w:pPr>
    </w:p>
    <w:p>
      <w:pPr>
        <w:ind w:left="1920" w:hanging="440"/>
        <w:spacing w:after="0" w:line="268" w:lineRule="auto"/>
        <w:tabs>
          <w:tab w:leader="none" w:pos="19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2008, provided that the Optionee is a member of the Board of Directors of the Company as of such date;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16" w:name="page117"/>
    <w:bookmarkEnd w:id="116"/>
    <w:p>
      <w:pPr>
        <w:ind w:left="1920" w:hanging="440"/>
        <w:spacing w:after="0" w:line="268" w:lineRule="auto"/>
        <w:tabs>
          <w:tab w:leader="none" w:pos="1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5,000 options shall vest and become exercisable on June 21, 2009, provided that the Optionee is a member of the Board of Directors of the Company as of such date.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Unvested options may not be exercised.</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Expiration</w:t>
      </w:r>
      <w:r>
        <w:rPr>
          <w:rFonts w:ascii="Arial" w:cs="Arial" w:eastAsia="Arial" w:hAnsi="Arial"/>
          <w:sz w:val="16"/>
          <w:szCs w:val="16"/>
          <w:color w:val="auto"/>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June 21, 2016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must be exercised, if at all, on or before the Expiration Date.</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Lapse Upon Expiration</w:t>
      </w:r>
      <w:r>
        <w:rPr>
          <w:rFonts w:ascii="Arial" w:cs="Arial" w:eastAsia="Arial" w:hAnsi="Arial"/>
          <w:sz w:val="18"/>
          <w:szCs w:val="18"/>
          <w:color w:val="auto"/>
        </w:rPr>
        <w:t>. To the extent that this Option is not exercised prior to the Expiration Date, all rights of Optionee under this Option shall thereupon be forfeited.</w:t>
      </w:r>
    </w:p>
    <w:p>
      <w:pPr>
        <w:spacing w:after="0" w:line="126" w:lineRule="exact"/>
        <w:rPr>
          <w:sz w:val="20"/>
          <w:szCs w:val="20"/>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60" w:firstLine="921"/>
        <w:spacing w:after="0" w:line="290" w:lineRule="auto"/>
        <w:tabs>
          <w:tab w:leader="none" w:pos="1079"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w:t>
      </w:r>
    </w:p>
    <w:p>
      <w:pPr>
        <w:spacing w:after="0" w:line="118" w:lineRule="exact"/>
        <w:rPr>
          <w:rFonts w:ascii="Arial" w:cs="Arial" w:eastAsia="Arial" w:hAnsi="Arial"/>
          <w:sz w:val="16"/>
          <w:szCs w:val="16"/>
          <w:color w:val="auto"/>
        </w:rPr>
      </w:pPr>
    </w:p>
    <w:p>
      <w:pPr>
        <w:ind w:firstLine="921"/>
        <w:spacing w:after="0" w:line="287" w:lineRule="auto"/>
        <w:tabs>
          <w:tab w:leader="none" w:pos="1088"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w:t>
      </w:r>
    </w:p>
    <w:p>
      <w:pPr>
        <w:spacing w:after="0" w:line="122" w:lineRule="exact"/>
        <w:rPr>
          <w:rFonts w:ascii="Arial" w:cs="Arial" w:eastAsia="Arial" w:hAnsi="Arial"/>
          <w:sz w:val="16"/>
          <w:szCs w:val="16"/>
          <w:color w:val="auto"/>
        </w:rPr>
      </w:pPr>
    </w:p>
    <w:p>
      <w:pPr>
        <w:ind w:right="240" w:firstLine="921"/>
        <w:spacing w:after="0" w:line="259" w:lineRule="auto"/>
        <w:tabs>
          <w:tab w:leader="none" w:pos="1079"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Stock Transfer Records</w:t>
      </w:r>
      <w:r>
        <w:rPr>
          <w:rFonts w:ascii="Arial" w:cs="Arial" w:eastAsia="Arial" w:hAnsi="Arial"/>
          <w:sz w:val="18"/>
          <w:szCs w:val="18"/>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17" w:name="page118"/>
    <w:bookmarkEnd w:id="117"/>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w:t>
      </w:r>
    </w:p>
    <w:p>
      <w:pPr>
        <w:spacing w:after="0" w:line="62" w:lineRule="exact"/>
        <w:rPr>
          <w:sz w:val="20"/>
          <w:szCs w:val="20"/>
          <w:color w:val="auto"/>
        </w:rPr>
      </w:pPr>
    </w:p>
    <w:p>
      <w:pPr>
        <w:ind w:right="20" w:firstLine="913"/>
        <w:spacing w:after="0" w:line="298" w:lineRule="auto"/>
        <w:rPr>
          <w:sz w:val="20"/>
          <w:szCs w:val="20"/>
          <w:color w:val="auto"/>
        </w:rPr>
      </w:pPr>
      <w:r>
        <w:rPr>
          <w:rFonts w:ascii="Arial" w:cs="Arial" w:eastAsia="Arial" w:hAnsi="Arial"/>
          <w:sz w:val="16"/>
          <w:szCs w:val="16"/>
          <w:color w:val="auto"/>
        </w:rPr>
        <w:t>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07" w:lineRule="exact"/>
        <w:rPr>
          <w:sz w:val="20"/>
          <w:szCs w:val="20"/>
          <w:color w:val="auto"/>
        </w:rPr>
      </w:pPr>
    </w:p>
    <w:p>
      <w:pPr>
        <w:ind w:left="640" w:hanging="176"/>
        <w:spacing w:after="0"/>
        <w:tabs>
          <w:tab w:leader="none" w:pos="64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140" w:firstLine="921"/>
        <w:spacing w:after="0" w:line="298" w:lineRule="auto"/>
        <w:tabs>
          <w:tab w:leader="none" w:pos="107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Rights to Employment and Rights as Shareholder</w:t>
      </w:r>
      <w:r>
        <w:rPr>
          <w:rFonts w:ascii="Arial" w:cs="Arial" w:eastAsia="Arial" w:hAnsi="Arial"/>
          <w:sz w:val="16"/>
          <w:szCs w:val="16"/>
          <w:color w:val="auto"/>
        </w:rPr>
        <w:t>.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08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w:t>
      </w:r>
    </w:p>
    <w:p>
      <w:pPr>
        <w:spacing w:after="0" w:line="140" w:lineRule="exact"/>
        <w:rPr>
          <w:rFonts w:ascii="Arial" w:cs="Arial" w:eastAsia="Arial" w:hAnsi="Arial"/>
          <w:sz w:val="18"/>
          <w:szCs w:val="18"/>
          <w:color w:val="auto"/>
        </w:rPr>
      </w:pPr>
    </w:p>
    <w:p>
      <w:pPr>
        <w:ind w:right="200" w:firstLine="921"/>
        <w:spacing w:after="0" w:line="335" w:lineRule="auto"/>
        <w:tabs>
          <w:tab w:leader="none" w:pos="1079"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Mergers, Recapitalization, Stock Splits, Etc.</w:t>
      </w:r>
      <w:r>
        <w:rPr>
          <w:rFonts w:ascii="Arial" w:cs="Arial" w:eastAsia="Arial" w:hAnsi="Arial"/>
          <w:sz w:val="15"/>
          <w:szCs w:val="15"/>
          <w:color w:val="auto"/>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w:t>
      </w:r>
    </w:p>
    <w:p>
      <w:pPr>
        <w:spacing w:after="0" w:line="88" w:lineRule="exact"/>
        <w:rPr>
          <w:rFonts w:ascii="Arial" w:cs="Arial" w:eastAsia="Arial" w:hAnsi="Arial"/>
          <w:sz w:val="15"/>
          <w:szCs w:val="15"/>
          <w:color w:val="auto"/>
        </w:rPr>
      </w:pPr>
    </w:p>
    <w:p>
      <w:pPr>
        <w:ind w:right="180" w:firstLine="921"/>
        <w:spacing w:after="0" w:line="259" w:lineRule="auto"/>
        <w:tabs>
          <w:tab w:leader="none" w:pos="1088" w:val="left"/>
        </w:tabs>
        <w:numPr>
          <w:ilvl w:val="1"/>
          <w:numId w:val="87"/>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w:t>
      </w:r>
    </w:p>
    <w:p>
      <w:pPr>
        <w:spacing w:after="0" w:line="140" w:lineRule="exact"/>
        <w:rPr>
          <w:rFonts w:ascii="Arial" w:cs="Arial" w:eastAsia="Arial" w:hAnsi="Arial"/>
          <w:sz w:val="18"/>
          <w:szCs w:val="18"/>
          <w:color w:val="auto"/>
        </w:rPr>
      </w:pPr>
    </w:p>
    <w:p>
      <w:pPr>
        <w:ind w:right="60" w:firstLine="921"/>
        <w:spacing w:after="0" w:line="298" w:lineRule="auto"/>
        <w:tabs>
          <w:tab w:leader="none" w:pos="107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1997 Stock Option Plan</w:t>
      </w:r>
      <w:r>
        <w:rPr>
          <w:rFonts w:ascii="Arial" w:cs="Arial" w:eastAsia="Arial" w:hAnsi="Arial"/>
          <w:sz w:val="16"/>
          <w:szCs w:val="16"/>
          <w:color w:val="auto"/>
        </w:rPr>
        <w:t>.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w:t>
      </w:r>
    </w:p>
    <w:p>
      <w:pPr>
        <w:spacing w:after="0" w:line="112" w:lineRule="exact"/>
        <w:rPr>
          <w:rFonts w:ascii="Arial" w:cs="Arial" w:eastAsia="Arial" w:hAnsi="Arial"/>
          <w:sz w:val="16"/>
          <w:szCs w:val="16"/>
          <w:color w:val="auto"/>
        </w:rPr>
      </w:pPr>
    </w:p>
    <w:p>
      <w:pPr>
        <w:ind w:right="40" w:firstLine="921"/>
        <w:spacing w:after="0" w:line="332" w:lineRule="auto"/>
        <w:tabs>
          <w:tab w:leader="none" w:pos="1059"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18" w:name="page119"/>
    <w:bookmarkEnd w:id="118"/>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shall bind and inure to the benefit of the Company and its successors and assigns and Optionee and any successor or successors of Optionee permitted Section 4(d) of this Agreement.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w:t>
      </w:r>
    </w:p>
    <w:p>
      <w:pPr>
        <w:spacing w:after="0" w:line="14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Entire Option</w:t>
      </w:r>
      <w:r>
        <w:rPr>
          <w:rFonts w:ascii="Arial" w:cs="Arial" w:eastAsia="Arial" w:hAnsi="Arial"/>
          <w:sz w:val="18"/>
          <w:szCs w:val="18"/>
          <w:color w:val="auto"/>
        </w:rPr>
        <w:t>.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144"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Governing Law</w:t>
      </w:r>
      <w:r>
        <w:rPr>
          <w:rFonts w:ascii="Arial" w:cs="Arial" w:eastAsia="Arial" w:hAnsi="Arial"/>
          <w:sz w:val="18"/>
          <w:szCs w:val="18"/>
          <w:color w:val="auto"/>
        </w:rPr>
        <w:t>. The Option shall be governed by and construed in accordance with the internal laws of the State of Delaware, without regard to that body of law pertaining to choice of law or conflict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on the day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CECO ENVIRONMENTAL CORP.</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OPTIONEE</w:t>
            </w: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Phillip DeZwirek</w:t>
            </w:r>
          </w:p>
        </w:tc>
        <w:tc>
          <w:tcPr>
            <w:tcW w:w="22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Arthur Cape</w:t>
            </w:r>
          </w:p>
        </w:tc>
      </w:tr>
      <w:tr>
        <w:trPr>
          <w:trHeight w:val="20"/>
        </w:trPr>
        <w:tc>
          <w:tcPr>
            <w:tcW w:w="3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Its:  CEO</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Arthur Cape</w:t>
            </w:r>
          </w:p>
        </w:tc>
      </w:tr>
      <w:tr>
        <w:trPr>
          <w:trHeight w:val="520"/>
        </w:trPr>
        <w:tc>
          <w:tcPr>
            <w:tcW w:w="4820" w:type="dxa"/>
            <w:vAlign w:val="bottom"/>
            <w:gridSpan w:val="2"/>
          </w:tcPr>
          <w:p>
            <w:pPr>
              <w:spacing w:after="0"/>
              <w:rPr>
                <w:sz w:val="20"/>
                <w:szCs w:val="20"/>
                <w:color w:val="auto"/>
              </w:rPr>
            </w:pPr>
            <w:r>
              <w:rPr>
                <w:rFonts w:ascii="Arial" w:cs="Arial" w:eastAsia="Arial" w:hAnsi="Arial"/>
                <w:sz w:val="18"/>
                <w:szCs w:val="18"/>
                <w:color w:val="auto"/>
              </w:rPr>
              <w:t>The Grant set forth in this Agreement</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has been approved by the Stock Option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Plan Committee of CECO Environmental</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Corp. 1997 Stock Option Plan</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232"/>
              <w:spacing w:after="0"/>
              <w:rPr>
                <w:sz w:val="20"/>
                <w:szCs w:val="20"/>
                <w:color w:val="auto"/>
              </w:rPr>
            </w:pPr>
            <w:r>
              <w:rPr>
                <w:rFonts w:ascii="Arial" w:cs="Arial" w:eastAsia="Arial" w:hAnsi="Arial"/>
                <w:sz w:val="18"/>
                <w:szCs w:val="18"/>
                <w:color w:val="auto"/>
              </w:rPr>
              <w:t>5</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0" w:name="page121"/>
    <w:bookmarkEnd w:id="120"/>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STOCK OPTION PLAN (the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elect to purchase the number of shares of Common Stock of CECO ENVIRONMENTAL CORP. (the “Company”) as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Arial" w:cs="Arial" w:eastAsia="Arial" w:hAnsi="Arial"/>
                <w:sz w:val="18"/>
                <w:szCs w:val="18"/>
                <w:color w:val="auto"/>
              </w:rPr>
              <w:t>Optionee:</w:t>
            </w: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Number of Shares Purchased:</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7"/>
          </w:tcPr>
          <w:p>
            <w:pPr>
              <w:spacing w:after="0" w:line="196" w:lineRule="exact"/>
              <w:rPr>
                <w:sz w:val="20"/>
                <w:szCs w:val="20"/>
                <w:color w:val="auto"/>
              </w:rPr>
            </w:pPr>
            <w:r>
              <w:rPr>
                <w:rFonts w:ascii="Arial" w:cs="Arial" w:eastAsia="Arial" w:hAnsi="Arial"/>
                <w:sz w:val="18"/>
                <w:szCs w:val="18"/>
                <w:color w:val="auto"/>
              </w:rPr>
              <w:t>Social Security Number:</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Purchase Price per Share:</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w w:val="92"/>
              </w:rPr>
              <w:t>Address: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Aggregate Purchase Price:</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line="196" w:lineRule="exact"/>
              <w:rPr>
                <w:sz w:val="20"/>
                <w:szCs w:val="20"/>
                <w:color w:val="auto"/>
              </w:rPr>
            </w:pPr>
            <w:r>
              <w:rPr>
                <w:rFonts w:ascii="Arial" w:cs="Arial" w:eastAsia="Arial" w:hAnsi="Arial"/>
                <w:sz w:val="18"/>
                <w:szCs w:val="18"/>
                <w:color w:val="auto"/>
                <w:w w:val="87"/>
              </w:rPr>
              <w:t>Date of Option Agreement:</w:t>
            </w:r>
          </w:p>
        </w:tc>
        <w:tc>
          <w:tcPr>
            <w:tcW w:w="31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gridSpan w:val="4"/>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Exact Name of Title to Shares:</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2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Type of Option:</w:t>
            </w:r>
          </w:p>
        </w:tc>
        <w:tc>
          <w:tcPr>
            <w:tcW w:w="4020" w:type="dxa"/>
            <w:vAlign w:val="bottom"/>
            <w:gridSpan w:val="4"/>
            <w:vMerge w:val="continue"/>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760" w:hanging="208"/>
        <w:spacing w:after="0"/>
        <w:tabs>
          <w:tab w:leader="none" w:pos="1760" w:val="left"/>
        </w:tabs>
        <w:numPr>
          <w:ilvl w:val="1"/>
          <w:numId w:val="88"/>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211" w:lineRule="exact"/>
        <w:rPr>
          <w:rFonts w:ascii="MS PGothic" w:cs="MS PGothic" w:eastAsia="MS PGothic" w:hAnsi="MS PGothic"/>
          <w:sz w:val="18"/>
          <w:szCs w:val="18"/>
          <w:color w:val="auto"/>
        </w:rPr>
      </w:pPr>
    </w:p>
    <w:p>
      <w:pPr>
        <w:ind w:right="440" w:firstLine="8"/>
        <w:spacing w:after="0" w:line="268" w:lineRule="auto"/>
        <w:tabs>
          <w:tab w:leader="none" w:pos="17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Delivery of Purchase Price</w:t>
      </w:r>
      <w:r>
        <w:rPr>
          <w:rFonts w:ascii="Arial" w:cs="Arial" w:eastAsia="Arial" w:hAnsi="Arial"/>
          <w:sz w:val="18"/>
          <w:szCs w:val="18"/>
          <w:color w:val="auto"/>
        </w:rPr>
        <w:t>. Optionee hereby delivers to the Company the Aggregate Purchase Price, to the extent permitted in the Option Agreement (the “Option Agreement”), as follows (check as applicable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-441960</wp:posOffset>
            </wp:positionV>
            <wp:extent cx="19494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94945" cy="8890"/>
                    </a:xfrm>
                    <a:prstGeom prst="rect">
                      <a:avLst/>
                    </a:prstGeom>
                    <a:noFill/>
                  </pic:spPr>
                </pic:pic>
              </a:graphicData>
            </a:graphic>
          </wp:anchor>
        </w:drawing>
      </w:r>
    </w:p>
    <w:p>
      <w:pPr>
        <w:spacing w:after="0" w:line="31" w:lineRule="exact"/>
        <w:rPr>
          <w:sz w:val="20"/>
          <w:szCs w:val="20"/>
          <w:color w:val="auto"/>
        </w:rPr>
      </w:pPr>
    </w:p>
    <w:p>
      <w:pPr>
        <w:ind w:left="460" w:hanging="452"/>
        <w:spacing w:after="0"/>
        <w:tabs>
          <w:tab w:leader="none" w:pos="460" w:val="left"/>
        </w:tabs>
        <w:numPr>
          <w:ilvl w:val="0"/>
          <w:numId w:val="89"/>
        </w:numPr>
        <w:rPr>
          <w:rFonts w:ascii="MS PGothic" w:cs="MS PGothic" w:eastAsia="MS PGothic" w:hAnsi="MS PGothic"/>
          <w:sz w:val="18"/>
          <w:szCs w:val="18"/>
          <w:color w:val="auto"/>
        </w:rPr>
      </w:pPr>
      <w:r>
        <w:rPr>
          <w:rFonts w:ascii="Arial" w:cs="Arial" w:eastAsia="Arial" w:hAnsi="Arial"/>
          <w:sz w:val="18"/>
          <w:szCs w:val="18"/>
          <w:color w:val="auto"/>
        </w:rPr>
        <w:t>in cash (by check) in the amount of $</w:t>
      </w:r>
      <w:r>
        <w:rPr>
          <w:rFonts w:ascii="Arial" w:cs="Arial" w:eastAsia="Arial" w:hAnsi="Arial"/>
          <w:sz w:val="16"/>
          <w:szCs w:val="16"/>
          <w:color w:val="auto"/>
        </w:rPr>
        <w:t>, receipt of which is acknowledged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-13970</wp:posOffset>
            </wp:positionV>
            <wp:extent cx="33464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Committee allowed payment by other means in the Stock Option Agreement, add one or more of the following, as applicable: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Pr>
          <w:p>
            <w:pPr>
              <w:ind w:left="160"/>
              <w:spacing w:after="0"/>
              <w:rPr>
                <w:sz w:val="20"/>
                <w:szCs w:val="20"/>
                <w:color w:val="auto"/>
              </w:rPr>
            </w:pPr>
            <w:r>
              <w:rPr>
                <w:rFonts w:ascii="Arial" w:cs="Arial" w:eastAsia="Arial" w:hAnsi="Arial"/>
                <w:sz w:val="18"/>
                <w:szCs w:val="18"/>
                <w:color w:val="auto"/>
                <w:w w:val="94"/>
              </w:rPr>
              <w:t>by delivery of</w:t>
            </w:r>
          </w:p>
        </w:tc>
        <w:tc>
          <w:tcPr>
            <w:tcW w:w="880" w:type="dxa"/>
            <w:vAlign w:val="bottom"/>
            <w:tcBorders>
              <w:bottom w:val="single" w:sz="8" w:color="auto"/>
            </w:tcBorders>
          </w:tcPr>
          <w:p>
            <w:pPr>
              <w:spacing w:after="0"/>
              <w:rPr>
                <w:sz w:val="18"/>
                <w:szCs w:val="18"/>
                <w:color w:val="auto"/>
              </w:rPr>
            </w:pPr>
          </w:p>
        </w:tc>
        <w:tc>
          <w:tcPr>
            <w:tcW w:w="9060" w:type="dxa"/>
            <w:vAlign w:val="bottom"/>
            <w:gridSpan w:val="5"/>
          </w:tcPr>
          <w:p>
            <w:pPr>
              <w:ind w:left="40"/>
              <w:spacing w:after="0"/>
              <w:rPr>
                <w:sz w:val="20"/>
                <w:szCs w:val="20"/>
                <w:color w:val="auto"/>
              </w:rPr>
            </w:pPr>
            <w:r>
              <w:rPr>
                <w:rFonts w:ascii="Arial" w:cs="Arial" w:eastAsia="Arial" w:hAnsi="Arial"/>
                <w:sz w:val="18"/>
                <w:szCs w:val="18"/>
                <w:color w:val="auto"/>
                <w:w w:val="95"/>
              </w:rPr>
              <w:t>fully-paid, nonassessable and vested shares of the Common Stock of the Company owned by Optionee for at least six</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120" w:type="dxa"/>
            <w:vAlign w:val="bottom"/>
            <w:gridSpan w:val="7"/>
          </w:tcPr>
          <w:p>
            <w:pPr>
              <w:ind w:left="160"/>
              <w:spacing w:after="0"/>
              <w:rPr>
                <w:sz w:val="20"/>
                <w:szCs w:val="20"/>
                <w:color w:val="auto"/>
              </w:rPr>
            </w:pPr>
            <w:r>
              <w:rPr>
                <w:rFonts w:ascii="Arial" w:cs="Arial" w:eastAsia="Arial" w:hAnsi="Arial"/>
                <w:sz w:val="18"/>
                <w:szCs w:val="18"/>
                <w:color w:val="auto"/>
                <w:w w:val="88"/>
              </w:rPr>
              <w:t>(6) months prior to the date hereof (and which have been paid for within the meaning of SEC Rule 144), or obtained by Optionee in the open public market,</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8920" w:type="dxa"/>
            <w:vAlign w:val="bottom"/>
            <w:gridSpan w:val="3"/>
          </w:tcPr>
          <w:p>
            <w:pPr>
              <w:ind w:left="160"/>
              <w:spacing w:after="0" w:line="184" w:lineRule="exact"/>
              <w:rPr>
                <w:sz w:val="20"/>
                <w:szCs w:val="20"/>
                <w:color w:val="auto"/>
              </w:rPr>
            </w:pPr>
            <w:r>
              <w:rPr>
                <w:rFonts w:ascii="Arial" w:cs="Arial" w:eastAsia="Arial" w:hAnsi="Arial"/>
                <w:sz w:val="18"/>
                <w:szCs w:val="18"/>
                <w:color w:val="auto"/>
                <w:w w:val="87"/>
              </w:rPr>
              <w:t>and owned free and clear of all liens, claims, encumbrances or security interests, valued at the current Fair Market Value of $</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line="184"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77"/>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00" w:type="dxa"/>
            <w:vAlign w:val="bottom"/>
            <w:gridSpan w:val="5"/>
          </w:tcPr>
          <w:p>
            <w:pPr>
              <w:ind w:left="160"/>
              <w:spacing w:after="0"/>
              <w:rPr>
                <w:sz w:val="20"/>
                <w:szCs w:val="20"/>
                <w:color w:val="auto"/>
              </w:rPr>
            </w:pPr>
            <w:r>
              <w:rPr>
                <w:rFonts w:ascii="Arial" w:cs="Arial" w:eastAsia="Arial" w:hAnsi="Arial"/>
                <w:sz w:val="18"/>
                <w:szCs w:val="18"/>
                <w:color w:val="auto"/>
                <w:w w:val="88"/>
              </w:rPr>
              <w:t>through a “same-day-sale” commitment, delivered herewith, from Optionee and the NASD Dealer named therein, in the amount of $</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continue"/>
          </w:tcPr>
          <w:p>
            <w:pPr>
              <w:spacing w:after="0"/>
              <w:rPr>
                <w:sz w:val="24"/>
                <w:szCs w:val="24"/>
                <w:color w:val="auto"/>
              </w:rPr>
            </w:pP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w w:val="89"/>
              </w:rPr>
              <w:t>through a “margin” commitment, delivered herewith from Optionee and the NASD Dealer named therein, in the amount of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40" w:firstLine="8"/>
        <w:spacing w:after="0" w:line="318" w:lineRule="auto"/>
        <w:tabs>
          <w:tab w:leader="none" w:pos="176"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99" w:lineRule="exact"/>
        <w:rPr>
          <w:rFonts w:ascii="Arial" w:cs="Arial" w:eastAsia="Arial" w:hAnsi="Arial"/>
          <w:sz w:val="15"/>
          <w:szCs w:val="15"/>
          <w:color w:val="auto"/>
        </w:rPr>
      </w:pPr>
    </w:p>
    <w:p>
      <w:pPr>
        <w:jc w:val="both"/>
        <w:ind w:right="20" w:firstLine="8"/>
        <w:spacing w:after="0" w:line="256" w:lineRule="auto"/>
        <w:tabs>
          <w:tab w:leader="none" w:pos="17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1" w:name="page122"/>
    <w:bookmarkEnd w:id="121"/>
    <w:p>
      <w:pPr>
        <w:ind w:firstLine="8"/>
        <w:spacing w:after="0" w:line="306" w:lineRule="auto"/>
        <w:tabs>
          <w:tab w:leader="none" w:pos="176"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6"/>
          <w:szCs w:val="16"/>
          <w:color w:val="auto"/>
        </w:rPr>
        <w:t>.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65951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95110" cy="8890"/>
                    </a:xfrm>
                    <a:prstGeom prst="rect">
                      <a:avLst/>
                    </a:prstGeom>
                    <a:noFill/>
                  </pic:spPr>
                </pic:pic>
              </a:graphicData>
            </a:graphic>
          </wp:anchor>
        </w:drawing>
      </w:r>
    </w:p>
    <w:p>
      <w:pPr>
        <w:ind w:left="6640"/>
        <w:spacing w:after="0"/>
        <w:rPr>
          <w:sz w:val="20"/>
          <w:szCs w:val="20"/>
          <w:color w:val="auto"/>
        </w:rPr>
      </w:pPr>
      <w:r>
        <w:rPr>
          <w:rFonts w:ascii="Arial" w:cs="Arial" w:eastAsia="Arial" w:hAnsi="Arial"/>
          <w:sz w:val="18"/>
          <w:szCs w:val="18"/>
          <w:color w:val="auto"/>
        </w:rPr>
        <w:t>Signature of Optionee</w:t>
      </w:r>
    </w:p>
    <w:p>
      <w:pPr>
        <w:spacing w:after="0" w:line="1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280" w:right="45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10.44</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1997 STOCK OPTION PLAN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is dated and made effective as of June 21,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DONALD A. WRIGHT (“</w:t>
      </w: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Optionee on the date hereof is a Director of the Company or one of its Subsidiaries;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to grant a non-qualified stock option to Optionee to purchase shares of the Company’s Common Stock pursuant to the Company’s 1997 Stock Option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has authorized the grant of a non-qualified stock option to Optionee at a price of $7.30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84" w:lineRule="exact"/>
        <w:rPr>
          <w:sz w:val="20"/>
          <w:szCs w:val="20"/>
          <w:color w:val="auto"/>
        </w:rPr>
      </w:pPr>
    </w:p>
    <w:p>
      <w:pPr>
        <w:ind w:right="200" w:firstLine="464"/>
        <w:spacing w:after="0" w:line="262" w:lineRule="auto"/>
        <w:tabs>
          <w:tab w:leader="none" w:pos="632"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The Company hereby grants to Optionee as of the Effective Date the right and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up to fifteen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(15,000) shares of Option Stock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$7.30 per share on the terms and conditions set forth herein and subject to the terms and conditions of the Plan.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not defined in this Agreement shall have the meaning set forth in the Plan.</w:t>
      </w:r>
    </w:p>
    <w:p>
      <w:pPr>
        <w:spacing w:after="0" w:line="165" w:lineRule="exact"/>
        <w:rPr>
          <w:sz w:val="20"/>
          <w:szCs w:val="20"/>
          <w:color w:val="auto"/>
        </w:rPr>
      </w:pPr>
    </w:p>
    <w:p>
      <w:pPr>
        <w:ind w:left="640" w:hanging="176"/>
        <w:spacing w:after="0"/>
        <w:tabs>
          <w:tab w:leader="none" w:pos="64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Exercisability and Duration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and Exercise Period</w:t>
      </w:r>
      <w:r>
        <w:rPr>
          <w:rFonts w:ascii="Arial" w:cs="Arial" w:eastAsia="Arial" w:hAnsi="Arial"/>
          <w:sz w:val="18"/>
          <w:szCs w:val="18"/>
          <w:color w:val="auto"/>
        </w:rPr>
        <w:t>. The Option shall vest and become exercisable as follows:</w:t>
      </w:r>
    </w:p>
    <w:p>
      <w:pPr>
        <w:spacing w:after="0" w:line="90" w:lineRule="exact"/>
        <w:rPr>
          <w:sz w:val="20"/>
          <w:szCs w:val="20"/>
          <w:color w:val="auto"/>
        </w:rPr>
      </w:pPr>
    </w:p>
    <w:p>
      <w:pPr>
        <w:ind w:left="1920" w:hanging="440"/>
        <w:spacing w:after="0" w:line="268" w:lineRule="auto"/>
        <w:tabs>
          <w:tab w:leader="none" w:pos="1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2007, provided that the Optionee is a member of the Board of Directors of the Company as of such date;</w:t>
      </w:r>
    </w:p>
    <w:p>
      <w:pPr>
        <w:spacing w:after="0" w:line="51" w:lineRule="exact"/>
        <w:rPr>
          <w:sz w:val="20"/>
          <w:szCs w:val="20"/>
          <w:color w:val="auto"/>
        </w:rPr>
      </w:pPr>
    </w:p>
    <w:p>
      <w:pPr>
        <w:ind w:left="1920" w:hanging="440"/>
        <w:spacing w:after="0" w:line="268" w:lineRule="auto"/>
        <w:tabs>
          <w:tab w:leader="none" w:pos="1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2008, provided that the Optionee is a member of the Board of Directors of the Company as of such date;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23" w:name="page124"/>
    <w:bookmarkEnd w:id="123"/>
    <w:p>
      <w:pPr>
        <w:ind w:left="1920" w:hanging="440"/>
        <w:spacing w:after="0" w:line="268" w:lineRule="auto"/>
        <w:tabs>
          <w:tab w:leader="none" w:pos="1920"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5,000 options shall vest and become exercisable on June 21, 2009, provided that the Optionee is a member of the Board of Directors of the Company as of such date.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Unvested options may not be exercised.</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Expiration</w:t>
      </w:r>
      <w:r>
        <w:rPr>
          <w:rFonts w:ascii="Arial" w:cs="Arial" w:eastAsia="Arial" w:hAnsi="Arial"/>
          <w:sz w:val="16"/>
          <w:szCs w:val="16"/>
          <w:color w:val="auto"/>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June 21, 2016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must be exercised, if at all, on or before the Expiration Date.</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Lapse Upon Expiration</w:t>
      </w:r>
      <w:r>
        <w:rPr>
          <w:rFonts w:ascii="Arial" w:cs="Arial" w:eastAsia="Arial" w:hAnsi="Arial"/>
          <w:sz w:val="18"/>
          <w:szCs w:val="18"/>
          <w:color w:val="auto"/>
        </w:rPr>
        <w:t>. To the extent that this Option is not exercised prior to the Expiration Date, all rights of Optionee under this Option shall thereupon be forfeited.</w:t>
      </w:r>
    </w:p>
    <w:p>
      <w:pPr>
        <w:spacing w:after="0" w:line="126" w:lineRule="exact"/>
        <w:rPr>
          <w:sz w:val="20"/>
          <w:szCs w:val="20"/>
          <w:color w:val="auto"/>
        </w:rPr>
      </w:pPr>
    </w:p>
    <w:p>
      <w:pPr>
        <w:ind w:left="640" w:hanging="176"/>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60" w:firstLine="921"/>
        <w:spacing w:after="0" w:line="290" w:lineRule="auto"/>
        <w:tabs>
          <w:tab w:leader="none" w:pos="1079"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w:t>
      </w:r>
    </w:p>
    <w:p>
      <w:pPr>
        <w:spacing w:after="0" w:line="118" w:lineRule="exact"/>
        <w:rPr>
          <w:rFonts w:ascii="Arial" w:cs="Arial" w:eastAsia="Arial" w:hAnsi="Arial"/>
          <w:sz w:val="16"/>
          <w:szCs w:val="16"/>
          <w:color w:val="auto"/>
        </w:rPr>
      </w:pPr>
    </w:p>
    <w:p>
      <w:pPr>
        <w:ind w:firstLine="921"/>
        <w:spacing w:after="0" w:line="287" w:lineRule="auto"/>
        <w:tabs>
          <w:tab w:leader="none" w:pos="1088" w:val="left"/>
        </w:tabs>
        <w:numPr>
          <w:ilvl w:val="1"/>
          <w:numId w:val="97"/>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w:t>
      </w:r>
    </w:p>
    <w:p>
      <w:pPr>
        <w:spacing w:after="0" w:line="122" w:lineRule="exact"/>
        <w:rPr>
          <w:rFonts w:ascii="Arial" w:cs="Arial" w:eastAsia="Arial" w:hAnsi="Arial"/>
          <w:sz w:val="16"/>
          <w:szCs w:val="16"/>
          <w:color w:val="auto"/>
        </w:rPr>
      </w:pPr>
    </w:p>
    <w:p>
      <w:pPr>
        <w:ind w:right="240" w:firstLine="921"/>
        <w:spacing w:after="0" w:line="259" w:lineRule="auto"/>
        <w:tabs>
          <w:tab w:leader="none" w:pos="1079"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Stock Transfer Records</w:t>
      </w:r>
      <w:r>
        <w:rPr>
          <w:rFonts w:ascii="Arial" w:cs="Arial" w:eastAsia="Arial" w:hAnsi="Arial"/>
          <w:sz w:val="18"/>
          <w:szCs w:val="18"/>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24" w:name="page125"/>
    <w:bookmarkEnd w:id="124"/>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w:t>
      </w:r>
    </w:p>
    <w:p>
      <w:pPr>
        <w:spacing w:after="0" w:line="6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07" w:lineRule="exact"/>
        <w:rPr>
          <w:sz w:val="20"/>
          <w:szCs w:val="20"/>
          <w:color w:val="auto"/>
        </w:rPr>
      </w:pPr>
    </w:p>
    <w:p>
      <w:pPr>
        <w:ind w:left="640" w:hanging="176"/>
        <w:spacing w:after="0"/>
        <w:tabs>
          <w:tab w:leader="none" w:pos="64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140" w:firstLine="921"/>
        <w:spacing w:after="0" w:line="298" w:lineRule="auto"/>
        <w:tabs>
          <w:tab w:leader="none" w:pos="1079"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Rights to Employment and Rights as Shareholder</w:t>
      </w:r>
      <w:r>
        <w:rPr>
          <w:rFonts w:ascii="Arial" w:cs="Arial" w:eastAsia="Arial" w:hAnsi="Arial"/>
          <w:sz w:val="16"/>
          <w:szCs w:val="16"/>
          <w:color w:val="auto"/>
        </w:rPr>
        <w:t>.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08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w:t>
      </w:r>
    </w:p>
    <w:p>
      <w:pPr>
        <w:spacing w:after="0" w:line="140" w:lineRule="exact"/>
        <w:rPr>
          <w:rFonts w:ascii="Arial" w:cs="Arial" w:eastAsia="Arial" w:hAnsi="Arial"/>
          <w:sz w:val="18"/>
          <w:szCs w:val="18"/>
          <w:color w:val="auto"/>
        </w:rPr>
      </w:pPr>
    </w:p>
    <w:p>
      <w:pPr>
        <w:ind w:right="200" w:firstLine="921"/>
        <w:spacing w:after="0" w:line="335" w:lineRule="auto"/>
        <w:tabs>
          <w:tab w:leader="none" w:pos="1079" w:val="left"/>
        </w:tabs>
        <w:numPr>
          <w:ilvl w:val="1"/>
          <w:numId w:val="98"/>
        </w:numPr>
        <w:rPr>
          <w:rFonts w:ascii="Arial" w:cs="Arial" w:eastAsia="Arial" w:hAnsi="Arial"/>
          <w:sz w:val="15"/>
          <w:szCs w:val="15"/>
          <w:color w:val="auto"/>
        </w:rPr>
      </w:pPr>
      <w:r>
        <w:rPr>
          <w:rFonts w:ascii="Arial" w:cs="Arial" w:eastAsia="Arial" w:hAnsi="Arial"/>
          <w:sz w:val="15"/>
          <w:szCs w:val="15"/>
          <w:u w:val="single" w:color="auto"/>
          <w:color w:val="auto"/>
        </w:rPr>
        <w:t>Mergers, Recapitalization, Stock Splits, Etc.</w:t>
      </w:r>
      <w:r>
        <w:rPr>
          <w:rFonts w:ascii="Arial" w:cs="Arial" w:eastAsia="Arial" w:hAnsi="Arial"/>
          <w:sz w:val="15"/>
          <w:szCs w:val="15"/>
          <w:color w:val="auto"/>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w:t>
      </w:r>
    </w:p>
    <w:p>
      <w:pPr>
        <w:spacing w:after="0" w:line="88" w:lineRule="exact"/>
        <w:rPr>
          <w:rFonts w:ascii="Arial" w:cs="Arial" w:eastAsia="Arial" w:hAnsi="Arial"/>
          <w:sz w:val="15"/>
          <w:szCs w:val="15"/>
          <w:color w:val="auto"/>
        </w:rPr>
      </w:pPr>
    </w:p>
    <w:p>
      <w:pPr>
        <w:ind w:right="180" w:firstLine="921"/>
        <w:spacing w:after="0" w:line="259" w:lineRule="auto"/>
        <w:tabs>
          <w:tab w:leader="none" w:pos="1088"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w:t>
      </w:r>
    </w:p>
    <w:p>
      <w:pPr>
        <w:spacing w:after="0" w:line="140" w:lineRule="exact"/>
        <w:rPr>
          <w:rFonts w:ascii="Arial" w:cs="Arial" w:eastAsia="Arial" w:hAnsi="Arial"/>
          <w:sz w:val="18"/>
          <w:szCs w:val="18"/>
          <w:color w:val="auto"/>
        </w:rPr>
      </w:pPr>
    </w:p>
    <w:p>
      <w:pPr>
        <w:ind w:right="60" w:firstLine="921"/>
        <w:spacing w:after="0" w:line="298" w:lineRule="auto"/>
        <w:tabs>
          <w:tab w:leader="none" w:pos="1079"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1997 Stock Option Plan</w:t>
      </w:r>
      <w:r>
        <w:rPr>
          <w:rFonts w:ascii="Arial" w:cs="Arial" w:eastAsia="Arial" w:hAnsi="Arial"/>
          <w:sz w:val="16"/>
          <w:szCs w:val="16"/>
          <w:color w:val="auto"/>
        </w:rPr>
        <w:t>.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w:t>
      </w:r>
    </w:p>
    <w:p>
      <w:pPr>
        <w:spacing w:after="0" w:line="112" w:lineRule="exact"/>
        <w:rPr>
          <w:rFonts w:ascii="Arial" w:cs="Arial" w:eastAsia="Arial" w:hAnsi="Arial"/>
          <w:sz w:val="16"/>
          <w:szCs w:val="16"/>
          <w:color w:val="auto"/>
        </w:rPr>
      </w:pPr>
    </w:p>
    <w:p>
      <w:pPr>
        <w:ind w:right="40" w:firstLine="921"/>
        <w:spacing w:after="0" w:line="332" w:lineRule="auto"/>
        <w:tabs>
          <w:tab w:leader="none" w:pos="1059"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25" w:name="page126"/>
    <w:bookmarkEnd w:id="125"/>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shall bind and inure to the benefit of the Company and its successors and assigns and Optionee and any successor or successors of Optionee permitted Section 4(d) of this Agreement.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w:t>
      </w:r>
    </w:p>
    <w:p>
      <w:pPr>
        <w:spacing w:after="0" w:line="14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Entire Option</w:t>
      </w:r>
      <w:r>
        <w:rPr>
          <w:rFonts w:ascii="Arial" w:cs="Arial" w:eastAsia="Arial" w:hAnsi="Arial"/>
          <w:sz w:val="18"/>
          <w:szCs w:val="18"/>
          <w:color w:val="auto"/>
        </w:rPr>
        <w:t>.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144"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Governing Law</w:t>
      </w:r>
      <w:r>
        <w:rPr>
          <w:rFonts w:ascii="Arial" w:cs="Arial" w:eastAsia="Arial" w:hAnsi="Arial"/>
          <w:sz w:val="18"/>
          <w:szCs w:val="18"/>
          <w:color w:val="auto"/>
        </w:rPr>
        <w:t>. The Option shall be governed by and construed in accordance with the internal laws of the State of Delaware, without regard to that body of law pertaining to choice of law or conflict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26" w:name="page127"/>
    <w:bookmarkEnd w:id="12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on the day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CECO ENVIRONMENTAL CORP.</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OPTIONEE</w:t>
            </w: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Phillip DeZwirek</w:t>
            </w:r>
          </w:p>
        </w:tc>
        <w:tc>
          <w:tcPr>
            <w:tcW w:w="22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Donald A. Wright</w:t>
            </w:r>
          </w:p>
        </w:tc>
      </w:tr>
      <w:tr>
        <w:trPr>
          <w:trHeight w:val="20"/>
        </w:trPr>
        <w:tc>
          <w:tcPr>
            <w:tcW w:w="3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Its:  CEO</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Donald A. Wright</w:t>
            </w:r>
          </w:p>
        </w:tc>
      </w:tr>
      <w:tr>
        <w:trPr>
          <w:trHeight w:val="372"/>
        </w:trPr>
        <w:tc>
          <w:tcPr>
            <w:tcW w:w="4820" w:type="dxa"/>
            <w:vAlign w:val="bottom"/>
            <w:gridSpan w:val="2"/>
          </w:tcPr>
          <w:p>
            <w:pPr>
              <w:spacing w:after="0"/>
              <w:rPr>
                <w:sz w:val="20"/>
                <w:szCs w:val="20"/>
                <w:color w:val="auto"/>
              </w:rPr>
            </w:pPr>
            <w:r>
              <w:rPr>
                <w:rFonts w:ascii="Arial" w:cs="Arial" w:eastAsia="Arial" w:hAnsi="Arial"/>
                <w:sz w:val="18"/>
                <w:szCs w:val="18"/>
                <w:color w:val="auto"/>
              </w:rPr>
              <w:t>The Grant set forth in this Agreement</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has been approved by the Stock Option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Plan Committee of CECO Environmental</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Corp. 1997 Stock Option Plan and the Board</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of Directors of CECO Environmental Corp.</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232"/>
              <w:spacing w:after="0"/>
              <w:rPr>
                <w:sz w:val="20"/>
                <w:szCs w:val="20"/>
                <w:color w:val="auto"/>
              </w:rPr>
            </w:pPr>
            <w:r>
              <w:rPr>
                <w:rFonts w:ascii="Arial" w:cs="Arial" w:eastAsia="Arial" w:hAnsi="Arial"/>
                <w:sz w:val="18"/>
                <w:szCs w:val="18"/>
                <w:color w:val="auto"/>
              </w:rPr>
              <w:t>5</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27" w:name="page128"/>
    <w:bookmarkEnd w:id="127"/>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STOCK OPTION PLAN (the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elect to purchase the number of shares of Common Stock of CECO ENVIRONMENTAL CORP. (the “Company”) as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ind w:left="20"/>
              <w:spacing w:after="0"/>
              <w:rPr>
                <w:sz w:val="20"/>
                <w:szCs w:val="20"/>
                <w:color w:val="auto"/>
              </w:rPr>
            </w:pPr>
            <w:r>
              <w:rPr>
                <w:rFonts w:ascii="Arial" w:cs="Arial" w:eastAsia="Arial" w:hAnsi="Arial"/>
                <w:sz w:val="18"/>
                <w:szCs w:val="18"/>
                <w:color w:val="auto"/>
              </w:rPr>
              <w:t>Optionee:</w:t>
            </w: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Number of Shares Purchased: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7"/>
          </w:tcPr>
          <w:p>
            <w:pPr>
              <w:spacing w:after="0" w:line="196" w:lineRule="exact"/>
              <w:rPr>
                <w:sz w:val="20"/>
                <w:szCs w:val="20"/>
                <w:color w:val="auto"/>
              </w:rPr>
            </w:pPr>
            <w:r>
              <w:rPr>
                <w:rFonts w:ascii="Arial" w:cs="Arial" w:eastAsia="Arial" w:hAnsi="Arial"/>
                <w:sz w:val="18"/>
                <w:szCs w:val="18"/>
                <w:color w:val="auto"/>
              </w:rPr>
              <w:t>Social Security Number:</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Purchase Price per Share: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0"/>
              </w:rPr>
              <w:t>Address: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Aggregate Purchase Price: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line="196" w:lineRule="exact"/>
              <w:rPr>
                <w:sz w:val="20"/>
                <w:szCs w:val="20"/>
                <w:color w:val="auto"/>
              </w:rPr>
            </w:pPr>
            <w:r>
              <w:rPr>
                <w:rFonts w:ascii="Arial" w:cs="Arial" w:eastAsia="Arial" w:hAnsi="Arial"/>
                <w:sz w:val="18"/>
                <w:szCs w:val="18"/>
                <w:color w:val="auto"/>
                <w:w w:val="87"/>
              </w:rPr>
              <w:t>Date of Option Agreement:</w:t>
            </w:r>
          </w:p>
        </w:tc>
        <w:tc>
          <w:tcPr>
            <w:tcW w:w="31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gridSpan w:val="4"/>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Exact Name of Title to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2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Type of Option:</w:t>
            </w:r>
          </w:p>
        </w:tc>
        <w:tc>
          <w:tcPr>
            <w:tcW w:w="4020" w:type="dxa"/>
            <w:vAlign w:val="bottom"/>
            <w:gridSpan w:val="4"/>
            <w:vMerge w:val="continue"/>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40" w:hanging="288"/>
        <w:spacing w:after="0"/>
        <w:tabs>
          <w:tab w:leader="none" w:pos="1840" w:val="left"/>
        </w:tabs>
        <w:numPr>
          <w:ilvl w:val="1"/>
          <w:numId w:val="99"/>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211" w:lineRule="exact"/>
        <w:rPr>
          <w:rFonts w:ascii="MS PGothic" w:cs="MS PGothic" w:eastAsia="MS PGothic" w:hAnsi="MS PGothic"/>
          <w:sz w:val="18"/>
          <w:szCs w:val="18"/>
          <w:color w:val="auto"/>
        </w:rPr>
      </w:pPr>
    </w:p>
    <w:p>
      <w:pPr>
        <w:ind w:right="440" w:firstLine="8"/>
        <w:spacing w:after="0" w:line="268" w:lineRule="auto"/>
        <w:tabs>
          <w:tab w:leader="none" w:pos="176"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Delivery of Purchase Price</w:t>
      </w:r>
      <w:r>
        <w:rPr>
          <w:rFonts w:ascii="Arial" w:cs="Arial" w:eastAsia="Arial" w:hAnsi="Arial"/>
          <w:sz w:val="18"/>
          <w:szCs w:val="18"/>
          <w:color w:val="auto"/>
        </w:rPr>
        <w:t>. Optionee hereby delivers to the Company the Aggregate Purchase Price, to the extent permitted in the Option Agreement (the “Option Agreement”), as follows (check as applicable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-441960</wp:posOffset>
            </wp:positionV>
            <wp:extent cx="1390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31" w:lineRule="exact"/>
        <w:rPr>
          <w:sz w:val="20"/>
          <w:szCs w:val="20"/>
          <w:color w:val="auto"/>
        </w:rPr>
      </w:pPr>
    </w:p>
    <w:p>
      <w:pPr>
        <w:ind w:left="460" w:hanging="452"/>
        <w:spacing w:after="0"/>
        <w:tabs>
          <w:tab w:leader="none" w:pos="460" w:val="left"/>
        </w:tabs>
        <w:numPr>
          <w:ilvl w:val="0"/>
          <w:numId w:val="100"/>
        </w:numPr>
        <w:rPr>
          <w:rFonts w:ascii="MS PGothic" w:cs="MS PGothic" w:eastAsia="MS PGothic" w:hAnsi="MS PGothic"/>
          <w:sz w:val="18"/>
          <w:szCs w:val="18"/>
          <w:color w:val="auto"/>
        </w:rPr>
      </w:pPr>
      <w:r>
        <w:rPr>
          <w:rFonts w:ascii="Arial" w:cs="Arial" w:eastAsia="Arial" w:hAnsi="Arial"/>
          <w:sz w:val="18"/>
          <w:szCs w:val="18"/>
          <w:color w:val="auto"/>
        </w:rPr>
        <w:t>in cash (by check) in the amount of $</w:t>
      </w:r>
      <w:r>
        <w:rPr>
          <w:rFonts w:ascii="Arial" w:cs="Arial" w:eastAsia="Arial" w:hAnsi="Arial"/>
          <w:sz w:val="16"/>
          <w:szCs w:val="16"/>
          <w:color w:val="auto"/>
        </w:rPr>
        <w:t>, receipt of which is acknowledged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-13970</wp:posOffset>
            </wp:positionV>
            <wp:extent cx="3346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Committee allowed payment by other means in the Stock Option Agreement, add one or more of the following, as applicable: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Pr>
          <w:p>
            <w:pPr>
              <w:ind w:left="160"/>
              <w:spacing w:after="0"/>
              <w:rPr>
                <w:sz w:val="20"/>
                <w:szCs w:val="20"/>
                <w:color w:val="auto"/>
              </w:rPr>
            </w:pPr>
            <w:r>
              <w:rPr>
                <w:rFonts w:ascii="Arial" w:cs="Arial" w:eastAsia="Arial" w:hAnsi="Arial"/>
                <w:sz w:val="18"/>
                <w:szCs w:val="18"/>
                <w:color w:val="auto"/>
                <w:w w:val="94"/>
              </w:rPr>
              <w:t>by delivery of</w:t>
            </w:r>
          </w:p>
        </w:tc>
        <w:tc>
          <w:tcPr>
            <w:tcW w:w="880" w:type="dxa"/>
            <w:vAlign w:val="bottom"/>
            <w:tcBorders>
              <w:bottom w:val="single" w:sz="8" w:color="auto"/>
            </w:tcBorders>
          </w:tcPr>
          <w:p>
            <w:pPr>
              <w:spacing w:after="0"/>
              <w:rPr>
                <w:sz w:val="18"/>
                <w:szCs w:val="18"/>
                <w:color w:val="auto"/>
              </w:rPr>
            </w:pPr>
          </w:p>
        </w:tc>
        <w:tc>
          <w:tcPr>
            <w:tcW w:w="9060" w:type="dxa"/>
            <w:vAlign w:val="bottom"/>
            <w:gridSpan w:val="5"/>
          </w:tcPr>
          <w:p>
            <w:pPr>
              <w:ind w:left="40"/>
              <w:spacing w:after="0"/>
              <w:rPr>
                <w:sz w:val="20"/>
                <w:szCs w:val="20"/>
                <w:color w:val="auto"/>
              </w:rPr>
            </w:pPr>
            <w:r>
              <w:rPr>
                <w:rFonts w:ascii="Arial" w:cs="Arial" w:eastAsia="Arial" w:hAnsi="Arial"/>
                <w:sz w:val="18"/>
                <w:szCs w:val="18"/>
                <w:color w:val="auto"/>
                <w:w w:val="95"/>
              </w:rPr>
              <w:t>fully-paid, nonassessable and vested shares of the Common Stock of the Company owned by Optionee for at least six</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120" w:type="dxa"/>
            <w:vAlign w:val="bottom"/>
            <w:gridSpan w:val="7"/>
          </w:tcPr>
          <w:p>
            <w:pPr>
              <w:ind w:left="160"/>
              <w:spacing w:after="0"/>
              <w:rPr>
                <w:sz w:val="20"/>
                <w:szCs w:val="20"/>
                <w:color w:val="auto"/>
              </w:rPr>
            </w:pPr>
            <w:r>
              <w:rPr>
                <w:rFonts w:ascii="Arial" w:cs="Arial" w:eastAsia="Arial" w:hAnsi="Arial"/>
                <w:sz w:val="18"/>
                <w:szCs w:val="18"/>
                <w:color w:val="auto"/>
                <w:w w:val="88"/>
              </w:rPr>
              <w:t>(6) months prior to the date hereof (and which have been paid for within the meaning of SEC Rule 144), or obtained by Optionee in the open public market,</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8920" w:type="dxa"/>
            <w:vAlign w:val="bottom"/>
            <w:gridSpan w:val="3"/>
          </w:tcPr>
          <w:p>
            <w:pPr>
              <w:ind w:left="160"/>
              <w:spacing w:after="0" w:line="184" w:lineRule="exact"/>
              <w:rPr>
                <w:sz w:val="20"/>
                <w:szCs w:val="20"/>
                <w:color w:val="auto"/>
              </w:rPr>
            </w:pPr>
            <w:r>
              <w:rPr>
                <w:rFonts w:ascii="Arial" w:cs="Arial" w:eastAsia="Arial" w:hAnsi="Arial"/>
                <w:sz w:val="18"/>
                <w:szCs w:val="18"/>
                <w:color w:val="auto"/>
                <w:w w:val="87"/>
              </w:rPr>
              <w:t>and owned free and clear of all liens, claims, encumbrances or security interests, valued at the current Fair Market Value of $</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line="184"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77"/>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00" w:type="dxa"/>
            <w:vAlign w:val="bottom"/>
            <w:gridSpan w:val="5"/>
          </w:tcPr>
          <w:p>
            <w:pPr>
              <w:ind w:left="160"/>
              <w:spacing w:after="0"/>
              <w:rPr>
                <w:sz w:val="20"/>
                <w:szCs w:val="20"/>
                <w:color w:val="auto"/>
              </w:rPr>
            </w:pPr>
            <w:r>
              <w:rPr>
                <w:rFonts w:ascii="Arial" w:cs="Arial" w:eastAsia="Arial" w:hAnsi="Arial"/>
                <w:sz w:val="18"/>
                <w:szCs w:val="18"/>
                <w:color w:val="auto"/>
                <w:w w:val="88"/>
              </w:rPr>
              <w:t>through a “same-day-sale” commitment, delivered herewith, from Optionee and the NASD Dealer named therein, in the amount of $</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continue"/>
          </w:tcPr>
          <w:p>
            <w:pPr>
              <w:spacing w:after="0"/>
              <w:rPr>
                <w:sz w:val="24"/>
                <w:szCs w:val="24"/>
                <w:color w:val="auto"/>
              </w:rPr>
            </w:pP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w w:val="89"/>
              </w:rPr>
              <w:t>through a “margin” commitment, delivered herewith from Optionee and the NASD Dealer named therein, in the amount of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40" w:firstLine="8"/>
        <w:spacing w:after="0" w:line="318" w:lineRule="auto"/>
        <w:tabs>
          <w:tab w:leader="none" w:pos="176" w:val="left"/>
        </w:tabs>
        <w:numPr>
          <w:ilvl w:val="0"/>
          <w:numId w:val="101"/>
        </w:numPr>
        <w:rPr>
          <w:rFonts w:ascii="Arial" w:cs="Arial" w:eastAsia="Arial" w:hAnsi="Arial"/>
          <w:sz w:val="15"/>
          <w:szCs w:val="15"/>
          <w:color w:val="auto"/>
        </w:rPr>
      </w:pP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99" w:lineRule="exact"/>
        <w:rPr>
          <w:rFonts w:ascii="Arial" w:cs="Arial" w:eastAsia="Arial" w:hAnsi="Arial"/>
          <w:sz w:val="15"/>
          <w:szCs w:val="15"/>
          <w:color w:val="auto"/>
        </w:rPr>
      </w:pPr>
    </w:p>
    <w:p>
      <w:pPr>
        <w:jc w:val="both"/>
        <w:ind w:right="20" w:firstLine="8"/>
        <w:spacing w:after="0" w:line="256" w:lineRule="auto"/>
        <w:tabs>
          <w:tab w:leader="none" w:pos="176"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8" w:name="page129"/>
    <w:bookmarkEnd w:id="128"/>
    <w:p>
      <w:pPr>
        <w:ind w:firstLine="8"/>
        <w:spacing w:after="0" w:line="306" w:lineRule="auto"/>
        <w:tabs>
          <w:tab w:leader="none" w:pos="176"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6"/>
          <w:szCs w:val="16"/>
          <w:color w:val="auto"/>
        </w:rPr>
        <w:t>.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15005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2540</wp:posOffset>
            </wp:positionV>
            <wp:extent cx="24441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Signature of Optionee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280" w:right="45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10.45</w:t>
      </w:r>
    </w:p>
    <w:p>
      <w:pPr>
        <w:spacing w:after="0" w:line="17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STOCK OPTION AGREEMENT</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1997 STOCK OPTION PLAN</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AGREEMENT is dated and made effective as of June 21,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THOMAS J. FLAHERTY (“</w:t>
      </w: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Optionee on the date hereof is a Director of the Company or one of its Subsidiaries; and</w:t>
      </w:r>
    </w:p>
    <w:p>
      <w:pPr>
        <w:spacing w:after="0" w:line="17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WHEREAS, the Company desires to grant a non-qualified stock option to Optionee to purchase shares of the Company’s Common Stock pursuant to the Company’s 1997 Stock Option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Board of Directors of the Company has authorized the grant of a non-qualified stock option to Optionee at a price of $7.30 per share.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84" w:lineRule="exact"/>
        <w:rPr>
          <w:sz w:val="20"/>
          <w:szCs w:val="20"/>
          <w:color w:val="auto"/>
        </w:rPr>
      </w:pPr>
    </w:p>
    <w:p>
      <w:pPr>
        <w:ind w:right="200" w:firstLine="464"/>
        <w:spacing w:after="0" w:line="262" w:lineRule="auto"/>
        <w:tabs>
          <w:tab w:leader="none" w:pos="632" w:val="left"/>
        </w:tabs>
        <w:numPr>
          <w:ilvl w:val="0"/>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Grant of Option</w:t>
      </w:r>
      <w:r>
        <w:rPr>
          <w:rFonts w:ascii="Arial" w:cs="Arial" w:eastAsia="Arial" w:hAnsi="Arial"/>
          <w:sz w:val="18"/>
          <w:szCs w:val="18"/>
          <w:color w:val="auto"/>
        </w:rPr>
        <w:t>. The Company hereby grants to Optionee as of the Effective Date the right and option (the “</w:t>
      </w:r>
      <w:r>
        <w:rPr>
          <w:rFonts w:ascii="Arial" w:cs="Arial" w:eastAsia="Arial" w:hAnsi="Arial"/>
          <w:sz w:val="18"/>
          <w:szCs w:val="18"/>
          <w:u w:val="single" w:color="auto"/>
          <w:color w:val="auto"/>
        </w:rPr>
        <w:t>Option</w:t>
      </w:r>
      <w:r>
        <w:rPr>
          <w:rFonts w:ascii="Arial" w:cs="Arial" w:eastAsia="Arial" w:hAnsi="Arial"/>
          <w:sz w:val="18"/>
          <w:szCs w:val="18"/>
          <w:color w:val="auto"/>
        </w:rPr>
        <w:t>”) to purchase up to fifteen</w:t>
      </w:r>
      <w:r>
        <w:rPr>
          <w:rFonts w:ascii="Arial" w:cs="Arial" w:eastAsia="Arial" w:hAnsi="Arial"/>
          <w:sz w:val="18"/>
          <w:szCs w:val="18"/>
          <w:b w:val="1"/>
          <w:bCs w:val="1"/>
          <w:color w:val="auto"/>
        </w:rPr>
        <w:t xml:space="preserve"> </w:t>
      </w:r>
      <w:r>
        <w:rPr>
          <w:rFonts w:ascii="Arial" w:cs="Arial" w:eastAsia="Arial" w:hAnsi="Arial"/>
          <w:sz w:val="18"/>
          <w:szCs w:val="18"/>
          <w:color w:val="auto"/>
        </w:rPr>
        <w:t>thousand (15,000) shares of Option Stock (“</w:t>
      </w:r>
      <w:r>
        <w:rPr>
          <w:rFonts w:ascii="Arial" w:cs="Arial" w:eastAsia="Arial" w:hAnsi="Arial"/>
          <w:sz w:val="18"/>
          <w:szCs w:val="18"/>
          <w:u w:val="single" w:color="auto"/>
          <w:color w:val="auto"/>
        </w:rPr>
        <w:t>Shares</w:t>
      </w:r>
      <w:r>
        <w:rPr>
          <w:rFonts w:ascii="Arial" w:cs="Arial" w:eastAsia="Arial" w:hAnsi="Arial"/>
          <w:sz w:val="18"/>
          <w:szCs w:val="18"/>
          <w:color w:val="auto"/>
        </w:rPr>
        <w:t>”) at an exercise price of $7.30 per share on the terms and conditions set forth herein and subject to the terms and conditions of the Plan.</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not defined in this Agreement shall have the meaning set forth in the Plan.</w:t>
      </w:r>
    </w:p>
    <w:p>
      <w:pPr>
        <w:spacing w:after="0" w:line="165" w:lineRule="exact"/>
        <w:rPr>
          <w:sz w:val="20"/>
          <w:szCs w:val="20"/>
          <w:color w:val="auto"/>
        </w:rPr>
      </w:pPr>
    </w:p>
    <w:p>
      <w:pPr>
        <w:ind w:left="640" w:hanging="176"/>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Vesting, Exercisability and Duration</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Vesting and Exercise Period</w:t>
      </w:r>
      <w:r>
        <w:rPr>
          <w:rFonts w:ascii="Arial" w:cs="Arial" w:eastAsia="Arial" w:hAnsi="Arial"/>
          <w:sz w:val="18"/>
          <w:szCs w:val="18"/>
          <w:color w:val="auto"/>
        </w:rPr>
        <w:t>. The Option shall vest and become exercisable as follows:</w:t>
      </w:r>
    </w:p>
    <w:p>
      <w:pPr>
        <w:spacing w:after="0" w:line="90" w:lineRule="exact"/>
        <w:rPr>
          <w:sz w:val="20"/>
          <w:szCs w:val="20"/>
          <w:color w:val="auto"/>
        </w:rPr>
      </w:pPr>
    </w:p>
    <w:p>
      <w:pPr>
        <w:ind w:left="1920" w:hanging="440"/>
        <w:spacing w:after="0" w:line="268" w:lineRule="auto"/>
        <w:tabs>
          <w:tab w:leader="none" w:pos="19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2007, provided that the Optionee is a member of the Board of Directors of the Company as of such date;</w:t>
      </w:r>
    </w:p>
    <w:p>
      <w:pPr>
        <w:spacing w:after="0" w:line="51" w:lineRule="exact"/>
        <w:rPr>
          <w:sz w:val="20"/>
          <w:szCs w:val="20"/>
          <w:color w:val="auto"/>
        </w:rPr>
      </w:pPr>
    </w:p>
    <w:p>
      <w:pPr>
        <w:ind w:left="1920" w:hanging="440"/>
        <w:spacing w:after="0" w:line="268" w:lineRule="auto"/>
        <w:tabs>
          <w:tab w:leader="none" w:pos="1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5,000 options shall vest and become exercisable on June 21, 2008, provided that the Optionee is a member of the Board of Directors of the Company as of such date;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0" w:name="page131"/>
    <w:bookmarkEnd w:id="130"/>
    <w:p>
      <w:pPr>
        <w:ind w:left="1920" w:hanging="440"/>
        <w:spacing w:after="0" w:line="268" w:lineRule="auto"/>
        <w:tabs>
          <w:tab w:leader="none" w:pos="19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5,000 options shall vest and become exercisable on June 21, 2009, provided that the Optionee is a member of the Board of Directors of the Company as of such date.</w:t>
      </w:r>
    </w:p>
    <w:p>
      <w:pPr>
        <w:spacing w:after="0" w:line="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Unvested options may not be exercised.</w:t>
      </w:r>
    </w:p>
    <w:p>
      <w:pPr>
        <w:spacing w:after="0" w:line="171"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Expiration</w:t>
      </w:r>
      <w:r>
        <w:rPr>
          <w:rFonts w:ascii="Arial" w:cs="Arial" w:eastAsia="Arial" w:hAnsi="Arial"/>
          <w:sz w:val="16"/>
          <w:szCs w:val="16"/>
          <w:color w:val="auto"/>
        </w:rPr>
        <w:t>. The Option shall expire on the earlier of (i) the date sixty (60) days from the date that Optionee no longer is a director of the Company or any of its subsidiaries for any reason, including without limitation, due to death or disability, or (ii) the close of business ten (10) years from the date of this Agreement, which is June 21, 2016 (the “</w:t>
      </w:r>
      <w:r>
        <w:rPr>
          <w:rFonts w:ascii="Arial" w:cs="Arial" w:eastAsia="Arial" w:hAnsi="Arial"/>
          <w:sz w:val="16"/>
          <w:szCs w:val="16"/>
          <w:u w:val="single" w:color="auto"/>
          <w:color w:val="auto"/>
        </w:rPr>
        <w:t>Expiration Date</w:t>
      </w:r>
      <w:r>
        <w:rPr>
          <w:rFonts w:ascii="Arial" w:cs="Arial" w:eastAsia="Arial" w:hAnsi="Arial"/>
          <w:sz w:val="16"/>
          <w:szCs w:val="16"/>
          <w:color w:val="auto"/>
        </w:rPr>
        <w:t>”) and must be exercised, if at all, on or before the Expiration Date.</w:t>
      </w:r>
    </w:p>
    <w:p>
      <w:pPr>
        <w:spacing w:after="0" w:line="107"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Lapse Upon Expiration</w:t>
      </w:r>
      <w:r>
        <w:rPr>
          <w:rFonts w:ascii="Arial" w:cs="Arial" w:eastAsia="Arial" w:hAnsi="Arial"/>
          <w:sz w:val="18"/>
          <w:szCs w:val="18"/>
          <w:color w:val="auto"/>
        </w:rPr>
        <w:t>. To the extent that this Option is not exercised prior to the Expiration Date, all rights of Optionee under this Option shall thereupon be forfeited.</w:t>
      </w:r>
    </w:p>
    <w:p>
      <w:pPr>
        <w:spacing w:after="0" w:line="126" w:lineRule="exact"/>
        <w:rPr>
          <w:sz w:val="20"/>
          <w:szCs w:val="20"/>
          <w:color w:val="auto"/>
        </w:rPr>
      </w:pPr>
    </w:p>
    <w:p>
      <w:pPr>
        <w:ind w:left="640" w:hanging="176"/>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60" w:firstLine="921"/>
        <w:spacing w:after="0" w:line="290" w:lineRule="auto"/>
        <w:tabs>
          <w:tab w:leader="none" w:pos="1079"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in the form attached hereto as Exhibit A.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w:t>
      </w:r>
    </w:p>
    <w:p>
      <w:pPr>
        <w:spacing w:after="0" w:line="118" w:lineRule="exact"/>
        <w:rPr>
          <w:rFonts w:ascii="Arial" w:cs="Arial" w:eastAsia="Arial" w:hAnsi="Arial"/>
          <w:sz w:val="16"/>
          <w:szCs w:val="16"/>
          <w:color w:val="auto"/>
        </w:rPr>
      </w:pPr>
    </w:p>
    <w:p>
      <w:pPr>
        <w:ind w:firstLine="921"/>
        <w:spacing w:after="0" w:line="287" w:lineRule="auto"/>
        <w:tabs>
          <w:tab w:leader="none" w:pos="1088" w:val="left"/>
        </w:tabs>
        <w:numPr>
          <w:ilvl w:val="1"/>
          <w:numId w:val="108"/>
        </w:numPr>
        <w:rPr>
          <w:rFonts w:ascii="Arial" w:cs="Arial" w:eastAsia="Arial" w:hAnsi="Arial"/>
          <w:sz w:val="16"/>
          <w:szCs w:val="16"/>
          <w:color w:val="auto"/>
        </w:rPr>
      </w:pP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already owned by Optionee for a period of at least six (6) months prior to payment having a Fair Market Value on the date received by the Company equal to the exercise price for the Shares exercised. Optionee shall be solely responsible for any income or other tax consequences from any payment for Shares with Optionee’s Common Stock of the Company.</w:t>
      </w:r>
    </w:p>
    <w:p>
      <w:pPr>
        <w:spacing w:after="0" w:line="122" w:lineRule="exact"/>
        <w:rPr>
          <w:rFonts w:ascii="Arial" w:cs="Arial" w:eastAsia="Arial" w:hAnsi="Arial"/>
          <w:sz w:val="16"/>
          <w:szCs w:val="16"/>
          <w:color w:val="auto"/>
        </w:rPr>
      </w:pPr>
    </w:p>
    <w:p>
      <w:pPr>
        <w:ind w:right="240" w:firstLine="921"/>
        <w:spacing w:after="0" w:line="259" w:lineRule="auto"/>
        <w:tabs>
          <w:tab w:leader="none" w:pos="1079" w:val="left"/>
        </w:tabs>
        <w:numPr>
          <w:ilvl w:val="1"/>
          <w:numId w:val="108"/>
        </w:numPr>
        <w:rPr>
          <w:rFonts w:ascii="Arial" w:cs="Arial" w:eastAsia="Arial" w:hAnsi="Arial"/>
          <w:sz w:val="18"/>
          <w:szCs w:val="18"/>
          <w:color w:val="auto"/>
        </w:rPr>
      </w:pPr>
      <w:r>
        <w:rPr>
          <w:rFonts w:ascii="Arial" w:cs="Arial" w:eastAsia="Arial" w:hAnsi="Arial"/>
          <w:sz w:val="18"/>
          <w:szCs w:val="18"/>
          <w:u w:val="single" w:color="auto"/>
          <w:color w:val="auto"/>
        </w:rPr>
        <w:t>Stock Transfer Records</w:t>
      </w:r>
      <w:r>
        <w:rPr>
          <w:rFonts w:ascii="Arial" w:cs="Arial" w:eastAsia="Arial" w:hAnsi="Arial"/>
          <w:sz w:val="18"/>
          <w:szCs w:val="18"/>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31" w:name="page132"/>
    <w:bookmarkEnd w:id="131"/>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w:t>
      </w:r>
    </w:p>
    <w:p>
      <w:pPr>
        <w:spacing w:after="0" w:line="62"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07" w:lineRule="exact"/>
        <w:rPr>
          <w:sz w:val="20"/>
          <w:szCs w:val="20"/>
          <w:color w:val="auto"/>
        </w:rPr>
      </w:pPr>
    </w:p>
    <w:p>
      <w:pPr>
        <w:ind w:left="640" w:hanging="17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rFonts w:ascii="Arial" w:cs="Arial" w:eastAsia="Arial" w:hAnsi="Arial"/>
          <w:sz w:val="18"/>
          <w:szCs w:val="18"/>
          <w:color w:val="auto"/>
        </w:rPr>
      </w:pPr>
    </w:p>
    <w:p>
      <w:pPr>
        <w:ind w:right="140" w:firstLine="921"/>
        <w:spacing w:after="0" w:line="298" w:lineRule="auto"/>
        <w:tabs>
          <w:tab w:leader="none" w:pos="1079"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Rights to Employment and Rights as Shareholder</w:t>
      </w:r>
      <w:r>
        <w:rPr>
          <w:rFonts w:ascii="Arial" w:cs="Arial" w:eastAsia="Arial" w:hAnsi="Arial"/>
          <w:sz w:val="16"/>
          <w:szCs w:val="16"/>
          <w:color w:val="auto"/>
        </w:rPr>
        <w:t>. This Agreement shall not confer on Optionee any right with respect to employment by the Company or any Subsidiary.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11 of the Plan.</w:t>
      </w:r>
    </w:p>
    <w:p>
      <w:pPr>
        <w:spacing w:after="0" w:line="112" w:lineRule="exact"/>
        <w:rPr>
          <w:rFonts w:ascii="Arial" w:cs="Arial" w:eastAsia="Arial" w:hAnsi="Arial"/>
          <w:sz w:val="16"/>
          <w:szCs w:val="16"/>
          <w:color w:val="auto"/>
        </w:rPr>
      </w:pPr>
    </w:p>
    <w:p>
      <w:pPr>
        <w:jc w:val="both"/>
        <w:ind w:right="260" w:firstLine="921"/>
        <w:spacing w:after="0" w:line="259" w:lineRule="auto"/>
        <w:tabs>
          <w:tab w:leader="none" w:pos="108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exercise of the Option and the issuance and transfer of Shares shall be subject to compliance by the Company and Optionee with all applicable requirements of federal and state securities laws and with all applicable requirements of any securities exchange on which the Company’s Common Stock may be listed at the time of such issuance or transfer.</w:t>
      </w:r>
    </w:p>
    <w:p>
      <w:pPr>
        <w:spacing w:after="0" w:line="140" w:lineRule="exact"/>
        <w:rPr>
          <w:rFonts w:ascii="Arial" w:cs="Arial" w:eastAsia="Arial" w:hAnsi="Arial"/>
          <w:sz w:val="18"/>
          <w:szCs w:val="18"/>
          <w:color w:val="auto"/>
        </w:rPr>
      </w:pPr>
    </w:p>
    <w:p>
      <w:pPr>
        <w:ind w:right="200" w:firstLine="921"/>
        <w:spacing w:after="0" w:line="335" w:lineRule="auto"/>
        <w:tabs>
          <w:tab w:leader="none" w:pos="1079" w:val="left"/>
        </w:tabs>
        <w:numPr>
          <w:ilvl w:val="1"/>
          <w:numId w:val="109"/>
        </w:numPr>
        <w:rPr>
          <w:rFonts w:ascii="Arial" w:cs="Arial" w:eastAsia="Arial" w:hAnsi="Arial"/>
          <w:sz w:val="15"/>
          <w:szCs w:val="15"/>
          <w:color w:val="auto"/>
        </w:rPr>
      </w:pPr>
      <w:r>
        <w:rPr>
          <w:rFonts w:ascii="Arial" w:cs="Arial" w:eastAsia="Arial" w:hAnsi="Arial"/>
          <w:sz w:val="15"/>
          <w:szCs w:val="15"/>
          <w:u w:val="single" w:color="auto"/>
          <w:color w:val="auto"/>
        </w:rPr>
        <w:t>Mergers, Recapitalization, Stock Splits, Etc.</w:t>
      </w:r>
      <w:r>
        <w:rPr>
          <w:rFonts w:ascii="Arial" w:cs="Arial" w:eastAsia="Arial" w:hAnsi="Arial"/>
          <w:sz w:val="15"/>
          <w:szCs w:val="15"/>
          <w:color w:val="auto"/>
        </w:rPr>
        <w:t xml:space="preserve">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w:t>
      </w:r>
    </w:p>
    <w:p>
      <w:pPr>
        <w:spacing w:after="0" w:line="88" w:lineRule="exact"/>
        <w:rPr>
          <w:rFonts w:ascii="Arial" w:cs="Arial" w:eastAsia="Arial" w:hAnsi="Arial"/>
          <w:sz w:val="15"/>
          <w:szCs w:val="15"/>
          <w:color w:val="auto"/>
        </w:rPr>
      </w:pPr>
    </w:p>
    <w:p>
      <w:pPr>
        <w:ind w:right="180" w:firstLine="921"/>
        <w:spacing w:after="0" w:line="259" w:lineRule="auto"/>
        <w:tabs>
          <w:tab w:leader="none" w:pos="1088" w:val="left"/>
        </w:tabs>
        <w:numPr>
          <w:ilvl w:val="1"/>
          <w:numId w:val="109"/>
        </w:numPr>
        <w:rPr>
          <w:rFonts w:ascii="Arial" w:cs="Arial" w:eastAsia="Arial" w:hAnsi="Arial"/>
          <w:sz w:val="18"/>
          <w:szCs w:val="18"/>
          <w:color w:val="auto"/>
        </w:rPr>
      </w:pP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may not be transferred in any manner other than by will or by the laws of descent and distribution and may be exercised during the lifetime of Optionee only by Optionee. The terms of the Option shall be binding upon the executors, administrators, successors and assigns of Optionee.</w:t>
      </w:r>
    </w:p>
    <w:p>
      <w:pPr>
        <w:spacing w:after="0" w:line="140" w:lineRule="exact"/>
        <w:rPr>
          <w:rFonts w:ascii="Arial" w:cs="Arial" w:eastAsia="Arial" w:hAnsi="Arial"/>
          <w:sz w:val="18"/>
          <w:szCs w:val="18"/>
          <w:color w:val="auto"/>
        </w:rPr>
      </w:pPr>
    </w:p>
    <w:p>
      <w:pPr>
        <w:ind w:right="60" w:firstLine="921"/>
        <w:spacing w:after="0" w:line="298" w:lineRule="auto"/>
        <w:tabs>
          <w:tab w:leader="none" w:pos="1079"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1997 Stock Option Plan</w:t>
      </w:r>
      <w:r>
        <w:rPr>
          <w:rFonts w:ascii="Arial" w:cs="Arial" w:eastAsia="Arial" w:hAnsi="Arial"/>
          <w:sz w:val="16"/>
          <w:szCs w:val="16"/>
          <w:color w:val="auto"/>
        </w:rPr>
        <w:t>.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w:t>
      </w:r>
    </w:p>
    <w:p>
      <w:pPr>
        <w:spacing w:after="0" w:line="112" w:lineRule="exact"/>
        <w:rPr>
          <w:rFonts w:ascii="Arial" w:cs="Arial" w:eastAsia="Arial" w:hAnsi="Arial"/>
          <w:sz w:val="16"/>
          <w:szCs w:val="16"/>
          <w:color w:val="auto"/>
        </w:rPr>
      </w:pPr>
    </w:p>
    <w:p>
      <w:pPr>
        <w:ind w:right="40" w:firstLine="921"/>
        <w:spacing w:after="0" w:line="332" w:lineRule="auto"/>
        <w:tabs>
          <w:tab w:leader="none" w:pos="1059"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Optionee acknowledges that, upon exercise of all or any portion of this Option, the Company shall have the right to require Optionee to pay to the Company an amount equal to the amount the Company is required to withhold as a result of such exercise federal and state income tax purposes.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2" w:name="page133"/>
    <w:bookmarkEnd w:id="132"/>
    <w:p>
      <w:pPr>
        <w:ind w:right="360" w:firstLine="913"/>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 </w:t>
      </w: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shall bind and inure to the benefit of the Company and its successors and assigns and Optionee and any successor or successors of Optionee permitted Section 4(d) of this Agreement.</w:t>
      </w:r>
    </w:p>
    <w:p>
      <w:pPr>
        <w:spacing w:after="0" w:line="132"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Interpretation</w:t>
      </w:r>
      <w:r>
        <w:rPr>
          <w:rFonts w:ascii="Arial" w:cs="Arial" w:eastAsia="Arial" w:hAnsi="Arial"/>
          <w:sz w:val="18"/>
          <w:szCs w:val="18"/>
          <w:color w:val="auto"/>
        </w:rPr>
        <w:t>.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w:t>
      </w:r>
    </w:p>
    <w:p>
      <w:pPr>
        <w:spacing w:after="0" w:line="140"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Entire Option</w:t>
      </w:r>
      <w:r>
        <w:rPr>
          <w:rFonts w:ascii="Arial" w:cs="Arial" w:eastAsia="Arial" w:hAnsi="Arial"/>
          <w:sz w:val="18"/>
          <w:szCs w:val="18"/>
          <w:color w:val="auto"/>
        </w:rPr>
        <w:t>.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w:t>
      </w:r>
    </w:p>
    <w:p>
      <w:pPr>
        <w:spacing w:after="0" w:line="14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 xml:space="preserve">j.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w:t>
      </w:r>
    </w:p>
    <w:p>
      <w:pPr>
        <w:spacing w:after="0" w:line="14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Market Standoff Agreement</w:t>
      </w:r>
      <w:r>
        <w:rPr>
          <w:rFonts w:ascii="Arial" w:cs="Arial" w:eastAsia="Arial" w:hAnsi="Arial"/>
          <w:sz w:val="18"/>
          <w:szCs w:val="18"/>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144"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Governing Law</w:t>
      </w:r>
      <w:r>
        <w:rPr>
          <w:rFonts w:ascii="Arial" w:cs="Arial" w:eastAsia="Arial" w:hAnsi="Arial"/>
          <w:sz w:val="18"/>
          <w:szCs w:val="18"/>
          <w:color w:val="auto"/>
        </w:rPr>
        <w:t>. The Option shall be governed by and construed in accordance with the internal laws of the State of Delaware, without regard to that body of law pertaining to choice of law or conflict of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33" w:name="page134"/>
    <w:bookmarkEnd w:id="1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on the day and year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CECO ENVIRONMENTAL CORP.</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b w:val="1"/>
                <w:bCs w:val="1"/>
                <w:color w:val="auto"/>
              </w:rPr>
              <w:t>OPTIONEE</w:t>
            </w: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Phillip DeZwirek</w:t>
            </w:r>
          </w:p>
        </w:tc>
        <w:tc>
          <w:tcPr>
            <w:tcW w:w="22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Thomas J. Flaherty</w:t>
            </w:r>
          </w:p>
        </w:tc>
      </w:tr>
      <w:tr>
        <w:trPr>
          <w:trHeight w:val="20"/>
        </w:trPr>
        <w:tc>
          <w:tcPr>
            <w:tcW w:w="3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Its  CEO</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Thomas J. Flaherty</w:t>
            </w:r>
          </w:p>
        </w:tc>
      </w:tr>
      <w:tr>
        <w:trPr>
          <w:trHeight w:val="372"/>
        </w:trPr>
        <w:tc>
          <w:tcPr>
            <w:tcW w:w="4820" w:type="dxa"/>
            <w:vAlign w:val="bottom"/>
            <w:gridSpan w:val="2"/>
          </w:tcPr>
          <w:p>
            <w:pPr>
              <w:spacing w:after="0"/>
              <w:rPr>
                <w:sz w:val="20"/>
                <w:szCs w:val="20"/>
                <w:color w:val="auto"/>
              </w:rPr>
            </w:pPr>
            <w:r>
              <w:rPr>
                <w:rFonts w:ascii="Arial" w:cs="Arial" w:eastAsia="Arial" w:hAnsi="Arial"/>
                <w:sz w:val="18"/>
                <w:szCs w:val="18"/>
                <w:color w:val="auto"/>
              </w:rPr>
              <w:t>The Grant set forth in this Agreement</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has been approved by the Stock Option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Plan Committee of CECO Environmental</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Corp. 1997 Stock Option Plan and the Board</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of Directors of CECO Environmental Corp.</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232"/>
              <w:spacing w:after="0"/>
              <w:rPr>
                <w:sz w:val="20"/>
                <w:szCs w:val="20"/>
                <w:color w:val="auto"/>
              </w:rPr>
            </w:pPr>
            <w:r>
              <w:rPr>
                <w:rFonts w:ascii="Arial" w:cs="Arial" w:eastAsia="Arial" w:hAnsi="Arial"/>
                <w:sz w:val="18"/>
                <w:szCs w:val="18"/>
                <w:color w:val="auto"/>
              </w:rPr>
              <w:t>5</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34" w:name="page135"/>
    <w:bookmarkEnd w:id="134"/>
    <w:p>
      <w:pPr>
        <w:ind w:left="52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A</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CECO ENVIRONMENTAL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1997 STOCK OPTION PLAN (the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EXERCISE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hereby elect to purchase the number of shares of Common Stock of CECO ENVIRONMENTAL CORP. (the “Company”) as set forth below:</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tcPr>
          <w:p>
            <w:pPr>
              <w:spacing w:after="0"/>
              <w:rPr>
                <w:sz w:val="20"/>
                <w:szCs w:val="20"/>
                <w:color w:val="auto"/>
              </w:rPr>
            </w:pPr>
            <w:r>
              <w:rPr>
                <w:rFonts w:ascii="Arial" w:cs="Arial" w:eastAsia="Arial" w:hAnsi="Arial"/>
                <w:sz w:val="18"/>
                <w:szCs w:val="18"/>
                <w:color w:val="auto"/>
              </w:rPr>
              <w:t>Optionee:</w:t>
            </w: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rPr>
                <w:sz w:val="20"/>
                <w:szCs w:val="20"/>
                <w:color w:val="auto"/>
              </w:rPr>
            </w:pPr>
            <w:r>
              <w:rPr>
                <w:rFonts w:ascii="Arial" w:cs="Arial" w:eastAsia="Arial" w:hAnsi="Arial"/>
                <w:sz w:val="18"/>
                <w:szCs w:val="18"/>
                <w:color w:val="auto"/>
              </w:rPr>
              <w:t>Number of Shares Purchased: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gridSpan w:val="7"/>
          </w:tcPr>
          <w:p>
            <w:pPr>
              <w:spacing w:after="0" w:line="196" w:lineRule="exact"/>
              <w:rPr>
                <w:sz w:val="20"/>
                <w:szCs w:val="20"/>
                <w:color w:val="auto"/>
              </w:rPr>
            </w:pPr>
            <w:r>
              <w:rPr>
                <w:rFonts w:ascii="Arial" w:cs="Arial" w:eastAsia="Arial" w:hAnsi="Arial"/>
                <w:sz w:val="18"/>
                <w:szCs w:val="18"/>
                <w:color w:val="auto"/>
              </w:rPr>
              <w:t>Social Security Number:</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Purchase Price per Share: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gridSpan w:val="2"/>
          </w:tcPr>
          <w:p>
            <w:pPr>
              <w:spacing w:after="0" w:line="196" w:lineRule="exact"/>
              <w:rPr>
                <w:sz w:val="20"/>
                <w:szCs w:val="20"/>
                <w:color w:val="auto"/>
              </w:rPr>
            </w:pPr>
            <w:r>
              <w:rPr>
                <w:rFonts w:ascii="Arial" w:cs="Arial" w:eastAsia="Arial" w:hAnsi="Arial"/>
                <w:sz w:val="18"/>
                <w:szCs w:val="18"/>
                <w:color w:val="auto"/>
                <w:w w:val="92"/>
              </w:rPr>
              <w:t>Address:</w:t>
            </w: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Aggregate Purchase Price: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1920" w:type="dxa"/>
            <w:vAlign w:val="bottom"/>
            <w:tcBorders>
              <w:right w:val="single" w:sz="8" w:color="auto"/>
            </w:tcBorders>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4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Pr>
          <w:p>
            <w:pPr>
              <w:spacing w:after="0" w:line="196" w:lineRule="exact"/>
              <w:rPr>
                <w:sz w:val="20"/>
                <w:szCs w:val="20"/>
                <w:color w:val="auto"/>
              </w:rPr>
            </w:pPr>
            <w:r>
              <w:rPr>
                <w:rFonts w:ascii="Arial" w:cs="Arial" w:eastAsia="Arial" w:hAnsi="Arial"/>
                <w:sz w:val="18"/>
                <w:szCs w:val="18"/>
                <w:color w:val="auto"/>
                <w:w w:val="87"/>
              </w:rPr>
              <w:t>Date of Option Agreement:</w:t>
            </w:r>
          </w:p>
        </w:tc>
        <w:tc>
          <w:tcPr>
            <w:tcW w:w="3100" w:type="dxa"/>
            <w:vAlign w:val="bottom"/>
            <w:tcBorders>
              <w:bottom w:val="single" w:sz="8" w:color="auto"/>
            </w:tcBorders>
            <w:gridSpan w:val="2"/>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20" w:type="dxa"/>
            <w:vAlign w:val="bottom"/>
            <w:gridSpan w:val="4"/>
            <w:vMerge w:val="restart"/>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460" w:type="dxa"/>
            <w:vAlign w:val="bottom"/>
          </w:tcPr>
          <w:p>
            <w:pPr>
              <w:spacing w:after="0"/>
              <w:rPr>
                <w:sz w:val="17"/>
                <w:szCs w:val="17"/>
                <w:color w:val="auto"/>
              </w:rPr>
            </w:pPr>
          </w:p>
        </w:tc>
        <w:tc>
          <w:tcPr>
            <w:tcW w:w="5020" w:type="dxa"/>
            <w:vAlign w:val="bottom"/>
            <w:gridSpan w:val="3"/>
          </w:tcPr>
          <w:p>
            <w:pPr>
              <w:spacing w:after="0" w:line="196" w:lineRule="exact"/>
              <w:rPr>
                <w:sz w:val="20"/>
                <w:szCs w:val="20"/>
                <w:color w:val="auto"/>
              </w:rPr>
            </w:pPr>
            <w:r>
              <w:rPr>
                <w:rFonts w:ascii="Arial" w:cs="Arial" w:eastAsia="Arial" w:hAnsi="Arial"/>
                <w:sz w:val="18"/>
                <w:szCs w:val="18"/>
                <w:color w:val="auto"/>
              </w:rPr>
              <w:t>Exact Name of Title to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20" w:type="dxa"/>
            <w:vAlign w:val="bottom"/>
            <w:gridSpan w:val="4"/>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Type of Option:</w:t>
            </w:r>
          </w:p>
        </w:tc>
        <w:tc>
          <w:tcPr>
            <w:tcW w:w="4020" w:type="dxa"/>
            <w:vAlign w:val="bottom"/>
            <w:gridSpan w:val="4"/>
            <w:vMerge w:val="continue"/>
          </w:tcPr>
          <w:p>
            <w:pPr>
              <w:spacing w:after="0"/>
              <w:rPr>
                <w:sz w:val="17"/>
                <w:szCs w:val="17"/>
                <w:color w:val="auto"/>
              </w:rPr>
            </w:pPr>
          </w:p>
        </w:tc>
        <w:tc>
          <w:tcPr>
            <w:tcW w:w="460" w:type="dxa"/>
            <w:vAlign w:val="bottom"/>
          </w:tcPr>
          <w:p>
            <w:pPr>
              <w:spacing w:after="0"/>
              <w:rPr>
                <w:sz w:val="17"/>
                <w:szCs w:val="17"/>
                <w:color w:val="auto"/>
              </w:rPr>
            </w:pPr>
          </w:p>
        </w:tc>
        <w:tc>
          <w:tcPr>
            <w:tcW w:w="19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1840" w:hanging="288"/>
        <w:spacing w:after="0"/>
        <w:tabs>
          <w:tab w:leader="none" w:pos="1840" w:val="left"/>
        </w:tabs>
        <w:numPr>
          <w:ilvl w:val="1"/>
          <w:numId w:val="110"/>
        </w:numPr>
        <w:rPr>
          <w:rFonts w:ascii="MS PGothic" w:cs="MS PGothic" w:eastAsia="MS PGothic" w:hAnsi="MS PGothic"/>
          <w:sz w:val="18"/>
          <w:szCs w:val="18"/>
          <w:color w:val="auto"/>
        </w:rPr>
      </w:pPr>
      <w:r>
        <w:rPr>
          <w:rFonts w:ascii="Arial" w:cs="Arial" w:eastAsia="Arial" w:hAnsi="Arial"/>
          <w:sz w:val="18"/>
          <w:szCs w:val="18"/>
          <w:color w:val="auto"/>
        </w:rPr>
        <w:t>Nonqualified Stock Option</w:t>
      </w:r>
    </w:p>
    <w:p>
      <w:pPr>
        <w:spacing w:after="0" w:line="211" w:lineRule="exact"/>
        <w:rPr>
          <w:rFonts w:ascii="MS PGothic" w:cs="MS PGothic" w:eastAsia="MS PGothic" w:hAnsi="MS PGothic"/>
          <w:sz w:val="18"/>
          <w:szCs w:val="18"/>
          <w:color w:val="auto"/>
        </w:rPr>
      </w:pPr>
    </w:p>
    <w:p>
      <w:pPr>
        <w:ind w:right="440" w:firstLine="8"/>
        <w:spacing w:after="0" w:line="268" w:lineRule="auto"/>
        <w:tabs>
          <w:tab w:leader="none" w:pos="176"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Delivery of Purchase Price</w:t>
      </w:r>
      <w:r>
        <w:rPr>
          <w:rFonts w:ascii="Arial" w:cs="Arial" w:eastAsia="Arial" w:hAnsi="Arial"/>
          <w:sz w:val="18"/>
          <w:szCs w:val="18"/>
          <w:color w:val="auto"/>
        </w:rPr>
        <w:t>. Optionee hereby delivers to the Company the Aggregate Purchase Price, to the extent permitted in the Option Agreement (the “Option Agreement”), as follows (check as applicable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3696335</wp:posOffset>
            </wp:positionH>
            <wp:positionV relativeFrom="paragraph">
              <wp:posOffset>-441960</wp:posOffset>
            </wp:positionV>
            <wp:extent cx="13906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9065" cy="8890"/>
                    </a:xfrm>
                    <a:prstGeom prst="rect">
                      <a:avLst/>
                    </a:prstGeom>
                    <a:noFill/>
                  </pic:spPr>
                </pic:pic>
              </a:graphicData>
            </a:graphic>
          </wp:anchor>
        </w:drawing>
      </w:r>
    </w:p>
    <w:p>
      <w:pPr>
        <w:spacing w:after="0" w:line="31" w:lineRule="exact"/>
        <w:rPr>
          <w:sz w:val="20"/>
          <w:szCs w:val="20"/>
          <w:color w:val="auto"/>
        </w:rPr>
      </w:pPr>
    </w:p>
    <w:p>
      <w:pPr>
        <w:ind w:left="460" w:hanging="452"/>
        <w:spacing w:after="0"/>
        <w:tabs>
          <w:tab w:leader="none" w:pos="460" w:val="left"/>
        </w:tabs>
        <w:numPr>
          <w:ilvl w:val="0"/>
          <w:numId w:val="111"/>
        </w:numPr>
        <w:rPr>
          <w:rFonts w:ascii="MS PGothic" w:cs="MS PGothic" w:eastAsia="MS PGothic" w:hAnsi="MS PGothic"/>
          <w:sz w:val="18"/>
          <w:szCs w:val="18"/>
          <w:color w:val="auto"/>
        </w:rPr>
      </w:pPr>
      <w:r>
        <w:rPr>
          <w:rFonts w:ascii="Arial" w:cs="Arial" w:eastAsia="Arial" w:hAnsi="Arial"/>
          <w:sz w:val="18"/>
          <w:szCs w:val="18"/>
          <w:color w:val="auto"/>
        </w:rPr>
        <w:t>in cash (by check) in the amount of $</w:t>
      </w:r>
      <w:r>
        <w:rPr>
          <w:rFonts w:ascii="Arial" w:cs="Arial" w:eastAsia="Arial" w:hAnsi="Arial"/>
          <w:sz w:val="16"/>
          <w:szCs w:val="16"/>
          <w:color w:val="auto"/>
        </w:rPr>
        <w:t>, receipt of which is acknowledged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1947545</wp:posOffset>
            </wp:positionH>
            <wp:positionV relativeFrom="paragraph">
              <wp:posOffset>-13970</wp:posOffset>
            </wp:positionV>
            <wp:extent cx="33464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Committee allowed payment by other means in the Stock Option Agreement, add one or more of the following, as applicable:</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1180" w:type="dxa"/>
            <w:vAlign w:val="bottom"/>
          </w:tcPr>
          <w:p>
            <w:pPr>
              <w:ind w:left="160"/>
              <w:spacing w:after="0"/>
              <w:rPr>
                <w:sz w:val="20"/>
                <w:szCs w:val="20"/>
                <w:color w:val="auto"/>
              </w:rPr>
            </w:pPr>
            <w:r>
              <w:rPr>
                <w:rFonts w:ascii="Arial" w:cs="Arial" w:eastAsia="Arial" w:hAnsi="Arial"/>
                <w:sz w:val="18"/>
                <w:szCs w:val="18"/>
                <w:color w:val="auto"/>
                <w:w w:val="94"/>
              </w:rPr>
              <w:t>by delivery of</w:t>
            </w:r>
          </w:p>
        </w:tc>
        <w:tc>
          <w:tcPr>
            <w:tcW w:w="880" w:type="dxa"/>
            <w:vAlign w:val="bottom"/>
            <w:tcBorders>
              <w:bottom w:val="single" w:sz="8" w:color="auto"/>
            </w:tcBorders>
          </w:tcPr>
          <w:p>
            <w:pPr>
              <w:spacing w:after="0"/>
              <w:rPr>
                <w:sz w:val="18"/>
                <w:szCs w:val="18"/>
                <w:color w:val="auto"/>
              </w:rPr>
            </w:pPr>
          </w:p>
        </w:tc>
        <w:tc>
          <w:tcPr>
            <w:tcW w:w="9060" w:type="dxa"/>
            <w:vAlign w:val="bottom"/>
            <w:gridSpan w:val="5"/>
          </w:tcPr>
          <w:p>
            <w:pPr>
              <w:ind w:left="40"/>
              <w:spacing w:after="0"/>
              <w:rPr>
                <w:sz w:val="20"/>
                <w:szCs w:val="20"/>
                <w:color w:val="auto"/>
              </w:rPr>
            </w:pPr>
            <w:r>
              <w:rPr>
                <w:rFonts w:ascii="Arial" w:cs="Arial" w:eastAsia="Arial" w:hAnsi="Arial"/>
                <w:sz w:val="18"/>
                <w:szCs w:val="18"/>
                <w:color w:val="auto"/>
                <w:w w:val="95"/>
              </w:rPr>
              <w:t>fully-paid, nonassessable and vested shares of the Common Stock of the Company owned by Optionee for at least six</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11120" w:type="dxa"/>
            <w:vAlign w:val="bottom"/>
            <w:gridSpan w:val="7"/>
          </w:tcPr>
          <w:p>
            <w:pPr>
              <w:ind w:left="160"/>
              <w:spacing w:after="0"/>
              <w:rPr>
                <w:sz w:val="20"/>
                <w:szCs w:val="20"/>
                <w:color w:val="auto"/>
              </w:rPr>
            </w:pPr>
            <w:r>
              <w:rPr>
                <w:rFonts w:ascii="Arial" w:cs="Arial" w:eastAsia="Arial" w:hAnsi="Arial"/>
                <w:sz w:val="18"/>
                <w:szCs w:val="18"/>
                <w:color w:val="auto"/>
                <w:w w:val="88"/>
              </w:rPr>
              <w:t>(6) months prior to the date hereof (and which have been paid for within the meaning of SEC Rule 144), or obtained by Optionee in the open public market,</w:t>
            </w:r>
          </w:p>
        </w:tc>
        <w:tc>
          <w:tcPr>
            <w:tcW w:w="0" w:type="dxa"/>
            <w:vAlign w:val="bottom"/>
          </w:tcPr>
          <w:p>
            <w:pPr>
              <w:spacing w:after="0"/>
              <w:rPr>
                <w:sz w:val="1"/>
                <w:szCs w:val="1"/>
                <w:color w:val="auto"/>
              </w:rPr>
            </w:pPr>
          </w:p>
        </w:tc>
      </w:tr>
      <w:tr>
        <w:trPr>
          <w:trHeight w:val="184"/>
        </w:trPr>
        <w:tc>
          <w:tcPr>
            <w:tcW w:w="300" w:type="dxa"/>
            <w:vAlign w:val="bottom"/>
          </w:tcPr>
          <w:p>
            <w:pPr>
              <w:spacing w:after="0"/>
              <w:rPr>
                <w:sz w:val="15"/>
                <w:szCs w:val="15"/>
                <w:color w:val="auto"/>
              </w:rPr>
            </w:pPr>
          </w:p>
        </w:tc>
        <w:tc>
          <w:tcPr>
            <w:tcW w:w="8920" w:type="dxa"/>
            <w:vAlign w:val="bottom"/>
            <w:gridSpan w:val="3"/>
          </w:tcPr>
          <w:p>
            <w:pPr>
              <w:ind w:left="160"/>
              <w:spacing w:after="0" w:line="184" w:lineRule="exact"/>
              <w:rPr>
                <w:sz w:val="20"/>
                <w:szCs w:val="20"/>
                <w:color w:val="auto"/>
              </w:rPr>
            </w:pPr>
            <w:r>
              <w:rPr>
                <w:rFonts w:ascii="Arial" w:cs="Arial" w:eastAsia="Arial" w:hAnsi="Arial"/>
                <w:sz w:val="18"/>
                <w:szCs w:val="18"/>
                <w:color w:val="auto"/>
                <w:w w:val="87"/>
              </w:rPr>
              <w:t>and owned free and clear of all liens, claims, encumbrances or security interests, valued at the current Fair Market Value of $</w:t>
            </w:r>
          </w:p>
        </w:tc>
        <w:tc>
          <w:tcPr>
            <w:tcW w:w="5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gridSpan w:val="2"/>
          </w:tcPr>
          <w:p>
            <w:pPr>
              <w:spacing w:after="0" w:line="184" w:lineRule="exact"/>
              <w:rPr>
                <w:sz w:val="20"/>
                <w:szCs w:val="20"/>
                <w:color w:val="auto"/>
              </w:rPr>
            </w:pPr>
            <w:r>
              <w:rPr>
                <w:rFonts w:ascii="Arial" w:cs="Arial" w:eastAsia="Arial" w:hAnsi="Arial"/>
                <w:sz w:val="18"/>
                <w:szCs w:val="18"/>
                <w:color w:val="auto"/>
              </w:rPr>
              <w:t>per share;</w:t>
            </w:r>
          </w:p>
        </w:tc>
        <w:tc>
          <w:tcPr>
            <w:tcW w:w="0" w:type="dxa"/>
            <w:vAlign w:val="bottom"/>
          </w:tcPr>
          <w:p>
            <w:pPr>
              <w:spacing w:after="0"/>
              <w:rPr>
                <w:sz w:val="1"/>
                <w:szCs w:val="1"/>
                <w:color w:val="auto"/>
              </w:rPr>
            </w:pPr>
          </w:p>
        </w:tc>
      </w:tr>
      <w:tr>
        <w:trPr>
          <w:trHeight w:val="277"/>
        </w:trPr>
        <w:tc>
          <w:tcPr>
            <w:tcW w:w="3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500" w:type="dxa"/>
            <w:vAlign w:val="bottom"/>
            <w:gridSpan w:val="5"/>
          </w:tcPr>
          <w:p>
            <w:pPr>
              <w:ind w:left="160"/>
              <w:spacing w:after="0"/>
              <w:rPr>
                <w:sz w:val="20"/>
                <w:szCs w:val="20"/>
                <w:color w:val="auto"/>
              </w:rPr>
            </w:pPr>
            <w:r>
              <w:rPr>
                <w:rFonts w:ascii="Arial" w:cs="Arial" w:eastAsia="Arial" w:hAnsi="Arial"/>
                <w:sz w:val="18"/>
                <w:szCs w:val="18"/>
                <w:color w:val="auto"/>
                <w:w w:val="88"/>
              </w:rPr>
              <w:t>through a “same-day-sale” commitment, delivered herewith, from Optionee and the NASD Dealer named therein, in the amount of $</w:t>
            </w:r>
          </w:p>
        </w:tc>
        <w:tc>
          <w:tcPr>
            <w:tcW w:w="1620" w:type="dxa"/>
            <w:vAlign w:val="bottom"/>
            <w:gridSpan w:val="2"/>
          </w:tcPr>
          <w:p>
            <w:pPr>
              <w:ind w:left="500"/>
              <w:spacing w:after="0"/>
              <w:rPr>
                <w:sz w:val="20"/>
                <w:szCs w:val="20"/>
                <w:color w:val="auto"/>
              </w:rPr>
            </w:pPr>
            <w:r>
              <w:rPr>
                <w:rFonts w:ascii="Arial" w:cs="Arial" w:eastAsia="Arial" w:hAnsi="Arial"/>
                <w:sz w:val="18"/>
                <w:szCs w:val="18"/>
                <w:color w:val="auto"/>
              </w:rPr>
              <w:t>; or</w:t>
            </w: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89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300" w:type="dxa"/>
            <w:vAlign w:val="bottom"/>
            <w:vMerge w:val="continue"/>
          </w:tcPr>
          <w:p>
            <w:pPr>
              <w:spacing w:after="0"/>
              <w:rPr>
                <w:sz w:val="24"/>
                <w:szCs w:val="24"/>
                <w:color w:val="auto"/>
              </w:rPr>
            </w:pPr>
          </w:p>
        </w:tc>
        <w:tc>
          <w:tcPr>
            <w:tcW w:w="8920" w:type="dxa"/>
            <w:vAlign w:val="bottom"/>
            <w:gridSpan w:val="3"/>
          </w:tcPr>
          <w:p>
            <w:pPr>
              <w:ind w:left="160"/>
              <w:spacing w:after="0"/>
              <w:rPr>
                <w:sz w:val="20"/>
                <w:szCs w:val="20"/>
                <w:color w:val="auto"/>
              </w:rPr>
            </w:pPr>
            <w:r>
              <w:rPr>
                <w:rFonts w:ascii="Arial" w:cs="Arial" w:eastAsia="Arial" w:hAnsi="Arial"/>
                <w:sz w:val="18"/>
                <w:szCs w:val="18"/>
                <w:color w:val="auto"/>
                <w:w w:val="89"/>
              </w:rPr>
              <w:t>through a “margin” commitment, delivered herewith from Optionee and the NASD Dealer named therein, in the amount of $</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right="140" w:firstLine="8"/>
        <w:spacing w:after="0" w:line="318" w:lineRule="auto"/>
        <w:tabs>
          <w:tab w:leader="none" w:pos="176"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Market Standoff Agreement</w:t>
      </w:r>
      <w:r>
        <w:rPr>
          <w:rFonts w:ascii="Arial" w:cs="Arial" w:eastAsia="Arial" w:hAnsi="Arial"/>
          <w:sz w:val="15"/>
          <w:szCs w:val="15"/>
          <w:color w:val="auto"/>
        </w:rPr>
        <w:t>. Optionee, if requested by the Company and an underwriter of Common Stock (or other securities) of the Company, agrees not to sell or otherwise transfer or dispose of any Common Stock (or other securities) of the Company held by Optionee during the period requested by the managing underwriter following the effective date of a registration statement of the Company filed under the Securities Act, provided that all officers and directors of the Company are required to enter into similar agreements. Such agreement shall be in writing in a form satisfactory to the Company and such underwriter. The Company may impose stop-transfer instructions with respect to the shares (or other securities) subject to the foregoing restriction until the end of such period.</w:t>
      </w:r>
    </w:p>
    <w:p>
      <w:pPr>
        <w:spacing w:after="0" w:line="99" w:lineRule="exact"/>
        <w:rPr>
          <w:rFonts w:ascii="Arial" w:cs="Arial" w:eastAsia="Arial" w:hAnsi="Arial"/>
          <w:sz w:val="15"/>
          <w:szCs w:val="15"/>
          <w:color w:val="auto"/>
        </w:rPr>
      </w:pPr>
    </w:p>
    <w:p>
      <w:pPr>
        <w:jc w:val="both"/>
        <w:ind w:right="20" w:firstLine="8"/>
        <w:spacing w:after="0" w:line="256" w:lineRule="auto"/>
        <w:tabs>
          <w:tab w:leader="none" w:pos="176" w:val="left"/>
        </w:tabs>
        <w:numPr>
          <w:ilvl w:val="0"/>
          <w:numId w:val="112"/>
        </w:numPr>
        <w:rPr>
          <w:rFonts w:ascii="Arial" w:cs="Arial" w:eastAsia="Arial" w:hAnsi="Arial"/>
          <w:sz w:val="18"/>
          <w:szCs w:val="18"/>
          <w:color w:val="auto"/>
        </w:rPr>
      </w:pPr>
      <w:r>
        <w:rPr>
          <w:rFonts w:ascii="Arial" w:cs="Arial" w:eastAsia="Arial" w:hAnsi="Arial"/>
          <w:sz w:val="18"/>
          <w:szCs w:val="18"/>
          <w:u w:val="single" w:color="auto"/>
          <w:color w:val="auto"/>
        </w:rPr>
        <w:t>Tax Consequences</w:t>
      </w:r>
      <w:r>
        <w:rPr>
          <w:rFonts w:ascii="Arial" w:cs="Arial" w:eastAsia="Arial" w:hAnsi="Arial"/>
          <w:sz w:val="18"/>
          <w:szCs w:val="18"/>
          <w:color w:val="auto"/>
        </w:rPr>
        <w:t>. OPTIONEE UNDERSTANDS THAT OPTIONEE MAY SUFFER ADVERSE TAX CONSEQUENCES AS A RESULT OF OPTIONEE’S PURCHASE OR DISPOSITION OF THE SHARES. OPTIONEE REPRESENTS THAT OPTIONEE HAS CONSULTED WITH ANY TAX CONSULTANT(S) OPTIONEE DEEMS ADVISABLE IN CONNECTION WITH THE PURCHASE OR DISPOSITION OF THE SHARES AND THAT OPTIONEE IS NOT RELYING ON THE COMPANY FOR ANY TAX ADVICE.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35" w:name="page136"/>
    <w:bookmarkEnd w:id="135"/>
    <w:p>
      <w:pPr>
        <w:ind w:firstLine="8"/>
        <w:spacing w:after="0" w:line="306" w:lineRule="auto"/>
        <w:tabs>
          <w:tab w:leader="none" w:pos="176" w:val="left"/>
        </w:tabs>
        <w:numPr>
          <w:ilvl w:val="0"/>
          <w:numId w:val="11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Entire Agreement</w:t>
      </w:r>
      <w:r>
        <w:rPr>
          <w:rFonts w:ascii="Arial" w:cs="Arial" w:eastAsia="Arial" w:hAnsi="Arial"/>
          <w:sz w:val="16"/>
          <w:szCs w:val="16"/>
          <w:color w:val="auto"/>
        </w:rPr>
        <w:t>. The Plan and Option Agreement are incorporated herein by reference. This Exercise Agreement, the Plan and the Option Agreement constitute the entire agreement and understanding of the parties and supersede in their entirety all prior understandings and agreements of the Company and Optionee with respect to the subject matter hereof, and are governed by Delaware law except for that body of law pertaining to choice of law or conflict of law.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2540</wp:posOffset>
            </wp:positionV>
            <wp:extent cx="150050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2540</wp:posOffset>
            </wp:positionV>
            <wp:extent cx="244411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Signature of Optionee</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280" w:right="45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10.46</w:t>
      </w:r>
    </w:p>
    <w:p>
      <w:pPr>
        <w:spacing w:after="0" w:line="171"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INCENTIVE STOCK OPTION AGREEMENT</w:t>
      </w:r>
    </w:p>
    <w:p>
      <w:pPr>
        <w:spacing w:after="0" w:line="17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CECO ENVIRONMENTAL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1997 STOCK OPTION PLAN</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THIS AGREEMENT is dated and made effective as of June 21, 2006 (“</w:t>
      </w:r>
      <w:r>
        <w:rPr>
          <w:rFonts w:ascii="Arial" w:cs="Arial" w:eastAsia="Arial" w:hAnsi="Arial"/>
          <w:sz w:val="18"/>
          <w:szCs w:val="18"/>
          <w:u w:val="single" w:color="auto"/>
          <w:color w:val="auto"/>
        </w:rPr>
        <w:t>Effective Date</w:t>
      </w:r>
      <w:r>
        <w:rPr>
          <w:rFonts w:ascii="Arial" w:cs="Arial" w:eastAsia="Arial" w:hAnsi="Arial"/>
          <w:sz w:val="18"/>
          <w:szCs w:val="18"/>
          <w:color w:val="auto"/>
        </w:rPr>
        <w:t>”) by and between CECO ENVIRONMENTAL CORP.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DENNIS W. BLAZER (“</w:t>
      </w:r>
      <w:r>
        <w:rPr>
          <w:rFonts w:ascii="Arial" w:cs="Arial" w:eastAsia="Arial" w:hAnsi="Arial"/>
          <w:sz w:val="18"/>
          <w:szCs w:val="18"/>
          <w:u w:val="single" w:color="auto"/>
          <w:color w:val="auto"/>
        </w:rPr>
        <w:t>Optionee</w:t>
      </w:r>
      <w:r>
        <w:rPr>
          <w:rFonts w:ascii="Arial" w:cs="Arial" w:eastAsia="Arial" w:hAnsi="Arial"/>
          <w:sz w:val="18"/>
          <w:szCs w:val="18"/>
          <w:color w:val="auto"/>
        </w:rPr>
        <w: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Optionee on the date hereof is an officer of the Company or one of its Subsidiaries; and</w:t>
      </w:r>
    </w:p>
    <w:p>
      <w:pPr>
        <w:spacing w:after="0" w:line="171"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WHEREAS, the Company desires to grant an incentive stock option to Optionee to purchase shares of the Company’s Common Stock pursuant to the Company’s 1997 Stock Option Plan, as amended (the “</w:t>
      </w:r>
      <w:r>
        <w:rPr>
          <w:rFonts w:ascii="Arial" w:cs="Arial" w:eastAsia="Arial" w:hAnsi="Arial"/>
          <w:sz w:val="18"/>
          <w:szCs w:val="18"/>
          <w:u w:val="single" w:color="auto"/>
          <w:color w:val="auto"/>
        </w:rPr>
        <w:t>Plan</w:t>
      </w:r>
      <w:r>
        <w:rPr>
          <w:rFonts w:ascii="Arial" w:cs="Arial" w:eastAsia="Arial" w:hAnsi="Arial"/>
          <w:sz w:val="18"/>
          <w:szCs w:val="18"/>
          <w:color w:val="auto"/>
        </w:rPr>
        <w:t>”); and</w:t>
      </w:r>
    </w:p>
    <w:p>
      <w:pPr>
        <w:spacing w:after="0" w:line="13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WHEREAS, the Stock Option Plan Committee and Compensation Committee of the Company has authorized the grant of an incentive stock option to Optionee and has determined that, on the Effective Date, the Fair Market Value of Option Stock of the Company is $7.30 per share.</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in consideration of the premises and of the mutual covenants herein contained, the parties hereto agree as follows:</w:t>
      </w:r>
    </w:p>
    <w:p>
      <w:pPr>
        <w:spacing w:after="0" w:line="84" w:lineRule="exact"/>
        <w:rPr>
          <w:sz w:val="20"/>
          <w:szCs w:val="20"/>
          <w:color w:val="auto"/>
        </w:rPr>
      </w:pPr>
    </w:p>
    <w:p>
      <w:pPr>
        <w:ind w:right="40" w:firstLine="464"/>
        <w:spacing w:after="0" w:line="301" w:lineRule="auto"/>
        <w:tabs>
          <w:tab w:leader="none" w:pos="632" w:val="left"/>
        </w:tabs>
        <w:numPr>
          <w:ilvl w:val="0"/>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Grant of Option</w:t>
      </w:r>
      <w:r>
        <w:rPr>
          <w:rFonts w:ascii="Arial" w:cs="Arial" w:eastAsia="Arial" w:hAnsi="Arial"/>
          <w:sz w:val="16"/>
          <w:szCs w:val="16"/>
          <w:color w:val="auto"/>
        </w:rPr>
        <w:t>. The Company hereby grants to Optionee as of the Effective Date the right and option (the “</w:t>
      </w:r>
      <w:r>
        <w:rPr>
          <w:rFonts w:ascii="Arial" w:cs="Arial" w:eastAsia="Arial" w:hAnsi="Arial"/>
          <w:sz w:val="16"/>
          <w:szCs w:val="16"/>
          <w:u w:val="single" w:color="auto"/>
          <w:color w:val="auto"/>
        </w:rPr>
        <w:t>Option</w:t>
      </w:r>
      <w:r>
        <w:rPr>
          <w:rFonts w:ascii="Arial" w:cs="Arial" w:eastAsia="Arial" w:hAnsi="Arial"/>
          <w:sz w:val="16"/>
          <w:szCs w:val="16"/>
          <w:color w:val="auto"/>
        </w:rPr>
        <w:t>”) to purchase as many as fifteen</w:t>
      </w:r>
      <w:r>
        <w:rPr>
          <w:rFonts w:ascii="Arial" w:cs="Arial" w:eastAsia="Arial" w:hAnsi="Arial"/>
          <w:sz w:val="16"/>
          <w:szCs w:val="16"/>
          <w:b w:val="1"/>
          <w:bCs w:val="1"/>
          <w:color w:val="auto"/>
        </w:rPr>
        <w:t xml:space="preserve"> </w:t>
      </w:r>
      <w:r>
        <w:rPr>
          <w:rFonts w:ascii="Arial" w:cs="Arial" w:eastAsia="Arial" w:hAnsi="Arial"/>
          <w:sz w:val="16"/>
          <w:szCs w:val="16"/>
          <w:color w:val="auto"/>
        </w:rPr>
        <w:t>thousand (15,000) shares of Option Stock (“</w:t>
      </w:r>
      <w:r>
        <w:rPr>
          <w:rFonts w:ascii="Arial" w:cs="Arial" w:eastAsia="Arial" w:hAnsi="Arial"/>
          <w:sz w:val="16"/>
          <w:szCs w:val="16"/>
          <w:u w:val="single" w:color="auto"/>
          <w:color w:val="auto"/>
        </w:rPr>
        <w:t>Shares</w:t>
      </w:r>
      <w:r>
        <w:rPr>
          <w:rFonts w:ascii="Arial" w:cs="Arial" w:eastAsia="Arial" w:hAnsi="Arial"/>
          <w:sz w:val="16"/>
          <w:szCs w:val="16"/>
          <w:color w:val="auto"/>
        </w:rPr>
        <w:t>”) at an exercise price of $7.30 per share on the terms and conditions set forth herein and subject to the terms and conditions of the Plan. This Option is intended to qualify as an “incentive stock option” within the meaning of Section 422, or any successor provision,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regulations thereunder.</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capitalized terms not defined in this Agreement shall have the meaning set forth in the Plan.</w:t>
      </w:r>
    </w:p>
    <w:p>
      <w:pPr>
        <w:spacing w:after="0" w:line="165" w:lineRule="exact"/>
        <w:rPr>
          <w:sz w:val="20"/>
          <w:szCs w:val="20"/>
          <w:color w:val="auto"/>
        </w:rPr>
      </w:pPr>
    </w:p>
    <w:p>
      <w:pPr>
        <w:ind w:left="640" w:hanging="176"/>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Duration and Exercisability</w:t>
      </w:r>
      <w:r>
        <w:rPr>
          <w:rFonts w:ascii="Arial" w:cs="Arial" w:eastAsia="Arial" w:hAnsi="Arial"/>
          <w:sz w:val="18"/>
          <w:szCs w:val="18"/>
          <w:color w:val="auto"/>
        </w:rPr>
        <w:t>.</w:t>
      </w:r>
    </w:p>
    <w:p>
      <w:pPr>
        <w:spacing w:after="0" w:line="9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Vesting/Exercise Period</w:t>
      </w:r>
      <w:r>
        <w:rPr>
          <w:rFonts w:ascii="Arial" w:cs="Arial" w:eastAsia="Arial" w:hAnsi="Arial"/>
          <w:sz w:val="16"/>
          <w:szCs w:val="16"/>
          <w:color w:val="auto"/>
        </w:rPr>
        <w:t>. The Option shall become exercisable as to portions of the Shares as follows: (i) the Option shall not be exercisable with respect to any of the Shares until June 21, 2007 (the “</w:t>
      </w:r>
      <w:r>
        <w:rPr>
          <w:rFonts w:ascii="Arial" w:cs="Arial" w:eastAsia="Arial" w:hAnsi="Arial"/>
          <w:sz w:val="16"/>
          <w:szCs w:val="16"/>
          <w:u w:val="single" w:color="auto"/>
          <w:color w:val="auto"/>
        </w:rPr>
        <w:t>First Vesting Date</w:t>
      </w:r>
      <w:r>
        <w:rPr>
          <w:rFonts w:ascii="Arial" w:cs="Arial" w:eastAsia="Arial" w:hAnsi="Arial"/>
          <w:sz w:val="16"/>
          <w:szCs w:val="16"/>
          <w:color w:val="auto"/>
        </w:rPr>
        <w:t>”); (ii) if Optionee has continuously provided services to the Company or any Subsidiary of the Company from the Effective Date through the First Vesting Date and has not been Terminated (as hereafter defined) on or before the First Vesting Date, then on the First Vesting Date the Option shall become exercisable as to one-third of the Shares (5,000 Shares); and (iii) thereafter, provided that Optionee continuously provides services to the Company or any Subsidiary of the Company and is not Terminated, upon each successive anniversary of the First Vesting Date, the Option shall become exercisable as to an additional one-third of the Shares (5,000 Shares); provided, that the Option shall in no event ever become exercisable with respect to more than 100% of the Shares. The Shares vesting under the Option have been limited to the number of Shares allowed to conform to the $100,000 limit set forth at Section 9(c) of the Plan.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37" w:name="page138"/>
    <w:bookmarkEnd w:id="137"/>
    <w:p>
      <w:pPr>
        <w:ind w:right="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b. </w:t>
      </w:r>
      <w:r>
        <w:rPr>
          <w:rFonts w:ascii="Arial" w:cs="Arial" w:eastAsia="Arial" w:hAnsi="Arial"/>
          <w:sz w:val="18"/>
          <w:szCs w:val="18"/>
          <w:u w:val="single" w:color="auto"/>
          <w:color w:val="auto"/>
        </w:rPr>
        <w:t>Expiration.</w:t>
      </w:r>
      <w:r>
        <w:rPr>
          <w:rFonts w:ascii="Arial" w:cs="Arial" w:eastAsia="Arial" w:hAnsi="Arial"/>
          <w:sz w:val="18"/>
          <w:szCs w:val="18"/>
          <w:color w:val="auto"/>
        </w:rPr>
        <w:t xml:space="preserve"> The Option shall expire on June 21, 2016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and must be exercised, if at all, on or before the earlier of the Expiration Date and any date on which the Option terminated in accordance with the provisions of Section 3.</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Lapse Upon Expiration</w:t>
      </w:r>
      <w:r>
        <w:rPr>
          <w:rFonts w:ascii="Arial" w:cs="Arial" w:eastAsia="Arial" w:hAnsi="Arial"/>
          <w:sz w:val="18"/>
          <w:szCs w:val="18"/>
          <w:color w:val="auto"/>
        </w:rPr>
        <w:t>. To the extent that this Option is not exercised prior to the applicable expiration date set forth in Section 2(b) or Section 3 of this Agreement, all rights of Optionee under this Option shall thereupon be forfeited.</w:t>
      </w:r>
    </w:p>
    <w:p>
      <w:pPr>
        <w:spacing w:after="0" w:line="126" w:lineRule="exact"/>
        <w:rPr>
          <w:sz w:val="20"/>
          <w:szCs w:val="20"/>
          <w:color w:val="auto"/>
        </w:rPr>
      </w:pPr>
    </w:p>
    <w:p>
      <w:pPr>
        <w:ind w:left="640" w:hanging="176"/>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Termination for Any Reason Other than Death, Disability or a Change of Control</w:t>
      </w:r>
      <w:r>
        <w:rPr>
          <w:rFonts w:ascii="Arial" w:cs="Arial" w:eastAsia="Arial" w:hAnsi="Arial"/>
          <w:sz w:val="18"/>
          <w:szCs w:val="18"/>
          <w:color w:val="auto"/>
        </w:rPr>
        <w:t>. If Optionee is Terminated for any reason other than his death, Disability or a Change of Control (both terms as hereafter defined), this Option shall be exercisable only to the extent the Option was exercisable on the date of Termination, but had not previously been exercised, and shall expire on the earlier of (i) the close of business three months after the Termination Date (as hereafter defined) and (ii) the Expiration Date. Notwithstanding the foregoing, if the Optionee is terminated for Cause, then the Option shall terminate immediately on the Optionee’s Termination Date.</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Termination Because of Death or Disability</w:t>
      </w:r>
      <w:r>
        <w:rPr>
          <w:rFonts w:ascii="Arial" w:cs="Arial" w:eastAsia="Arial" w:hAnsi="Arial"/>
          <w:sz w:val="18"/>
          <w:szCs w:val="18"/>
          <w:color w:val="auto"/>
        </w:rPr>
        <w:t>. If Optionee is Terminated because of his death or his Disability (or Optionee dies within three (3) months after a Termination other than because of his Disability or for Cause), then this Option shall be exercisable by Optionee, or the person or persons to whom Optionee’s rights under this Option shall have passed by Optionee’s will or by the laws of descent and distribution, only to the extent the Option was exercisable on the date of Optionee’s Termination, but had not previously been exercised, and shall expire on the earlier of: (i) the close of business six months after Optionee’s Termination Date and (ii) the Expiration Date.</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Change of Control</w:t>
      </w:r>
      <w:r>
        <w:rPr>
          <w:rFonts w:ascii="Arial" w:cs="Arial" w:eastAsia="Arial" w:hAnsi="Arial"/>
          <w:sz w:val="18"/>
          <w:szCs w:val="18"/>
          <w:color w:val="auto"/>
        </w:rPr>
        <w:t>. Notwithstanding the provisions of Section 2(a), upon a Change of Control (and without regard for any Termination or absence thereof), the Option shall be fully vested and exercisable by Optionee. The provisions of Section 3(a) or 3(b) shall govern such Option thereafter, as the case may be.</w:t>
      </w:r>
    </w:p>
    <w:p>
      <w:pPr>
        <w:spacing w:after="0" w:line="140"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A “</w:t>
      </w:r>
      <w:r>
        <w:rPr>
          <w:rFonts w:ascii="Arial" w:cs="Arial" w:eastAsia="Arial" w:hAnsi="Arial"/>
          <w:sz w:val="15"/>
          <w:szCs w:val="15"/>
          <w:u w:val="single" w:color="auto"/>
          <w:color w:val="auto"/>
        </w:rPr>
        <w:t>Change of Control</w:t>
      </w:r>
      <w:r>
        <w:rPr>
          <w:rFonts w:ascii="Arial" w:cs="Arial" w:eastAsia="Arial" w:hAnsi="Arial"/>
          <w:sz w:val="15"/>
          <w:szCs w:val="15"/>
          <w:color w:val="auto"/>
        </w:rPr>
        <w:t>” shall mean a sale, assignment or other transfer (collectively, “</w:t>
      </w:r>
      <w:r>
        <w:rPr>
          <w:rFonts w:ascii="Arial" w:cs="Arial" w:eastAsia="Arial" w:hAnsi="Arial"/>
          <w:sz w:val="15"/>
          <w:szCs w:val="15"/>
          <w:u w:val="single" w:color="auto"/>
          <w:color w:val="auto"/>
        </w:rPr>
        <w:t>Transfer</w:t>
      </w:r>
      <w:r>
        <w:rPr>
          <w:rFonts w:ascii="Arial" w:cs="Arial" w:eastAsia="Arial" w:hAnsi="Arial"/>
          <w:sz w:val="15"/>
          <w:szCs w:val="15"/>
          <w:color w:val="auto"/>
        </w:rPr>
        <w:t>”) of legal or beneficial ownership of shares of the voting stock of the Company (other than as security for a loan), representing more than one-half of the votes of all such shares of stock then outstanding, to one or more persons other than the owners of stock in the Company or their affiliates or its Subsidiaries on the Effective Date (collectively, the “</w:t>
      </w:r>
      <w:r>
        <w:rPr>
          <w:rFonts w:ascii="Arial" w:cs="Arial" w:eastAsia="Arial" w:hAnsi="Arial"/>
          <w:sz w:val="15"/>
          <w:szCs w:val="15"/>
          <w:u w:val="single" w:color="auto"/>
          <w:color w:val="auto"/>
        </w:rPr>
        <w:t>present owners</w:t>
      </w:r>
      <w:r>
        <w:rPr>
          <w:rFonts w:ascii="Arial" w:cs="Arial" w:eastAsia="Arial" w:hAnsi="Arial"/>
          <w:sz w:val="15"/>
          <w:szCs w:val="15"/>
          <w:color w:val="auto"/>
        </w:rPr>
        <w:t>”). A Change of Control will occur on the date that the present owners cease to own more than one-half of the shares of the voting stock of the Company then outstanding. For this purpose, an “</w:t>
      </w:r>
      <w:r>
        <w:rPr>
          <w:rFonts w:ascii="Arial" w:cs="Arial" w:eastAsia="Arial" w:hAnsi="Arial"/>
          <w:sz w:val="15"/>
          <w:szCs w:val="15"/>
          <w:u w:val="single" w:color="auto"/>
          <w:color w:val="auto"/>
        </w:rPr>
        <w:t>affiliate</w:t>
      </w:r>
      <w:r>
        <w:rPr>
          <w:rFonts w:ascii="Arial" w:cs="Arial" w:eastAsia="Arial" w:hAnsi="Arial"/>
          <w:sz w:val="15"/>
          <w:szCs w:val="15"/>
          <w:color w:val="auto"/>
        </w:rPr>
        <w:t>” is an ancestor or lineal descendant of an individual shareholder of the Company; the grantor, trustee or beneficiary of a shareholder of the Company that is a trust; or any person that directly, or indirectly controls, or is controlled by, or is under common control with a shareholder of the Company.</w:t>
      </w:r>
    </w:p>
    <w:p>
      <w:pPr>
        <w:spacing w:after="0" w:line="105" w:lineRule="exact"/>
        <w:rPr>
          <w:sz w:val="20"/>
          <w:szCs w:val="20"/>
          <w:color w:val="auto"/>
        </w:rPr>
      </w:pPr>
    </w:p>
    <w:p>
      <w:pPr>
        <w:ind w:left="640" w:hanging="176"/>
        <w:spacing w:after="0"/>
        <w:tabs>
          <w:tab w:leader="none" w:pos="640"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w:t>
      </w:r>
      <w:r>
        <w:rPr>
          <w:rFonts w:ascii="Arial" w:cs="Arial" w:eastAsia="Arial" w:hAnsi="Arial"/>
          <w:sz w:val="18"/>
          <w:szCs w:val="18"/>
          <w:color w:val="auto"/>
        </w:rPr>
        <w:t>” or “</w:t>
      </w:r>
      <w:r>
        <w:rPr>
          <w:rFonts w:ascii="Arial" w:cs="Arial" w:eastAsia="Arial" w:hAnsi="Arial"/>
          <w:sz w:val="18"/>
          <w:szCs w:val="18"/>
          <w:u w:val="single" w:color="auto"/>
          <w:color w:val="auto"/>
        </w:rPr>
        <w:t>Terminated</w:t>
      </w:r>
      <w:r>
        <w:rPr>
          <w:rFonts w:ascii="Arial" w:cs="Arial" w:eastAsia="Arial" w:hAnsi="Arial"/>
          <w:sz w:val="18"/>
          <w:szCs w:val="18"/>
          <w:color w:val="auto"/>
        </w:rPr>
        <w:t>” means that Optionee has for any reason ceased to provide services as an employee of the Company or Subsidiary of the Company, except in the case of sick leave, military leave, or any other leave of absence approved by the Administrator, provided that such leave is for a period of not more than ninety (90) days, or reinstatement upon the expiration of</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138" w:name="page139"/>
    <w:bookmarkEnd w:id="13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such leave is guaranteed by contract or statute. The Administrator shall have sole discretion to determine whether Optionee has ceased to provide services and the effective date on which Optionee ceased to provide services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3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a permanent and total disability within the meaning of Section 22(e)(3) of the Code (as provided under Section 422(c)(6), or such applicable successor provision, of the Code), as determined by the Administrator.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that Optionee:</w:t>
      </w:r>
    </w:p>
    <w:p>
      <w:pPr>
        <w:spacing w:after="0" w:line="90" w:lineRule="exact"/>
        <w:rPr>
          <w:sz w:val="20"/>
          <w:szCs w:val="20"/>
          <w:color w:val="auto"/>
        </w:rPr>
      </w:pPr>
    </w:p>
    <w:p>
      <w:pPr>
        <w:ind w:left="1140" w:hanging="237"/>
        <w:spacing w:after="0"/>
        <w:tabs>
          <w:tab w:leader="none" w:pos="11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shall have been convicted of any felony or a crime involving fraud, theft, misappropriation, dishonesty, or embezzlement;</w:t>
      </w:r>
    </w:p>
    <w:p>
      <w:pPr>
        <w:spacing w:after="0" w:line="90" w:lineRule="exact"/>
        <w:rPr>
          <w:rFonts w:ascii="Arial" w:cs="Arial" w:eastAsia="Arial" w:hAnsi="Arial"/>
          <w:sz w:val="18"/>
          <w:szCs w:val="18"/>
          <w:color w:val="auto"/>
        </w:rPr>
      </w:pPr>
    </w:p>
    <w:p>
      <w:pPr>
        <w:ind w:left="460" w:right="260" w:firstLine="443"/>
        <w:spacing w:after="0" w:line="268" w:lineRule="auto"/>
        <w:tabs>
          <w:tab w:leader="none" w:pos="114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shall have committed intentional acts that materially impair the goodwill or business of the Company or cause material damage to its property, goodwill or business; or</w:t>
      </w:r>
    </w:p>
    <w:p>
      <w:pPr>
        <w:spacing w:after="0" w:line="50" w:lineRule="exact"/>
        <w:rPr>
          <w:rFonts w:ascii="Arial" w:cs="Arial" w:eastAsia="Arial" w:hAnsi="Arial"/>
          <w:sz w:val="18"/>
          <w:szCs w:val="18"/>
          <w:color w:val="auto"/>
        </w:rPr>
      </w:pPr>
    </w:p>
    <w:p>
      <w:pPr>
        <w:ind w:left="460" w:firstLine="443"/>
        <w:spacing w:after="0" w:line="259" w:lineRule="auto"/>
        <w:tabs>
          <w:tab w:leader="none" w:pos="1137" w:val="left"/>
        </w:tabs>
        <w:numPr>
          <w:ilvl w:val="1"/>
          <w:numId w:val="118"/>
        </w:numPr>
        <w:rPr>
          <w:rFonts w:ascii="Arial" w:cs="Arial" w:eastAsia="Arial" w:hAnsi="Arial"/>
          <w:sz w:val="18"/>
          <w:szCs w:val="18"/>
          <w:color w:val="auto"/>
        </w:rPr>
      </w:pPr>
      <w:r>
        <w:rPr>
          <w:rFonts w:ascii="Arial" w:cs="Arial" w:eastAsia="Arial" w:hAnsi="Arial"/>
          <w:sz w:val="18"/>
          <w:szCs w:val="18"/>
          <w:color w:val="auto"/>
        </w:rPr>
        <w:t>shall have failed to perform his material duties to the Company (other than as a result of a short-term disability (i.e., a disability that does not fall within the previously defined parameters of a Disability)), or a short term disability or medical emergency involving a member of the Optionee’s immediate family, or as a result of any Company approved leave).</w:t>
      </w:r>
    </w:p>
    <w:p>
      <w:pPr>
        <w:spacing w:after="0" w:line="134" w:lineRule="exact"/>
        <w:rPr>
          <w:rFonts w:ascii="Arial" w:cs="Arial" w:eastAsia="Arial" w:hAnsi="Arial"/>
          <w:sz w:val="18"/>
          <w:szCs w:val="18"/>
          <w:color w:val="auto"/>
        </w:rPr>
      </w:pPr>
    </w:p>
    <w:p>
      <w:pPr>
        <w:ind w:left="640" w:hanging="17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Manner of Exercise</w:t>
      </w:r>
      <w:r>
        <w:rPr>
          <w:rFonts w:ascii="Arial" w:cs="Arial" w:eastAsia="Arial" w:hAnsi="Arial"/>
          <w:sz w:val="18"/>
          <w:szCs w:val="18"/>
          <w:color w:val="auto"/>
        </w:rPr>
        <w:t>.</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w:t>
      </w:r>
      <w:r>
        <w:rPr>
          <w:rFonts w:ascii="Arial" w:cs="Arial" w:eastAsia="Arial" w:hAnsi="Arial"/>
          <w:sz w:val="18"/>
          <w:szCs w:val="18"/>
          <w:color w:val="auto"/>
        </w:rPr>
        <w:t>. The Option may be exercised only by Optionee (or other proper party in the event of death or incapacity), subject to the conditions of the Plan and this Agreement, and subject to such other administrative rules as the Administrator deems advisable, by delivering written notice of exercise to the Company at its principal office. The notice shall state the number of Shares exercised and shall be accompanied by payment in full of the Option price for all Shares exercised pursuant to the notice. Any exercise of the Option shall be effective upon receipt of such notice by the Company together with payment that complies with the terms of the Plan and this Agreement. The Option may be exercised with respect to any number or all of the shares as to which it can then be exercised and, if partially exercised, may be so exercised as to the unexercised shares at any time and from time to time prior to expiration of the Option as provided in this Agreement.</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Form of Payment</w:t>
      </w:r>
      <w:r>
        <w:rPr>
          <w:rFonts w:ascii="Arial" w:cs="Arial" w:eastAsia="Arial" w:hAnsi="Arial"/>
          <w:sz w:val="16"/>
          <w:szCs w:val="16"/>
          <w:color w:val="auto"/>
        </w:rPr>
        <w:t>. Subject to approval by the Administrator, payment of the Option price by Optionee shall be in the form of cash, personal check, certified check, or where permitted by law and provided that a public market for the Company’s stock exists: (i) through a “same day sale” commitment from Optionee and a broker-dealer that is a member of the National Association of Securities Dealers (an “</w:t>
      </w:r>
      <w:r>
        <w:rPr>
          <w:rFonts w:ascii="Arial" w:cs="Arial" w:eastAsia="Arial" w:hAnsi="Arial"/>
          <w:sz w:val="16"/>
          <w:szCs w:val="16"/>
          <w:u w:val="single" w:color="auto"/>
          <w:color w:val="auto"/>
        </w:rPr>
        <w:t>NASD Dealer</w:t>
      </w:r>
      <w:r>
        <w:rPr>
          <w:rFonts w:ascii="Arial" w:cs="Arial" w:eastAsia="Arial" w:hAnsi="Arial"/>
          <w:sz w:val="16"/>
          <w:szCs w:val="16"/>
          <w:color w:val="auto"/>
        </w:rPr>
        <w:t>”) whereby Optionee irrevocably elects to exercise the Option and to sell a portion of the Shares so purchased to pay for the exercise price and whereby the NASD Dealer irrevocably commits upon receipt of such Shares to forward the exercise price directly to the Company; (ii) through a “margin” commitment from Optionee and a NASD Dealer whereby Optionee irrevocably elects to exercise the Option and to pledge the Shares so purchased to the NASD Dealer in a margin account as security for a loan from the NASD Dealer in the amount of the exercise price, and whereby the NASD Dealer irrevocably commits upon receipt of such Shares to forward the exercise price directly to the Company; or (iii) by tender of shares of Common Stock of the Company having a Fair Market Value on the date received by the Company equal to the exercise price for the Shares exercised. Optionee shall be solely responsible for any income or other tax consequences from any payment for Shares with Optionee’s Common Stock of the Company.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39" w:name="page140"/>
    <w:bookmarkEnd w:id="139"/>
    <w:p>
      <w:pPr>
        <w:ind w:right="4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 </w:t>
      </w:r>
      <w:r>
        <w:rPr>
          <w:rFonts w:ascii="Arial" w:cs="Arial" w:eastAsia="Arial" w:hAnsi="Arial"/>
          <w:sz w:val="18"/>
          <w:szCs w:val="18"/>
          <w:u w:val="single" w:color="auto"/>
          <w:color w:val="auto"/>
        </w:rPr>
        <w:t>Stock Transfer Records</w:t>
      </w:r>
      <w:r>
        <w:rPr>
          <w:rFonts w:ascii="Arial" w:cs="Arial" w:eastAsia="Arial" w:hAnsi="Arial"/>
          <w:sz w:val="18"/>
          <w:szCs w:val="18"/>
          <w:color w:val="auto"/>
        </w:rPr>
        <w:t>. Provided that the notice of exercise and payment are in form and substance satisfactory to counsel for the Company, as soon as practicable after the effective exercise of all or any part of the Option, Optionee shall be recorded on the stock transfer books of the Company as the owner of the Shares purchased, and the Company shall deliver to Optionee, or to the NASD Dealer, as the case may be, one or more duly issued stock certificates evidencing such ownership. All requisite original issue or transfer documentary stamp taxes shall be paid by the Company. Optionee shall pay all other costs of the Company incurred to issue such Shares to such NASD Dealer.</w:t>
      </w:r>
    </w:p>
    <w:p>
      <w:pPr>
        <w:spacing w:after="0" w:line="143"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Shares purchased pursuant to exercise hereunder: (i) may be deposited with a NASD Dealer designated by Optionee, in street name, if so provided in such exercise notice accompanied by all applications and forms reasonably required by the Administrator to effect such deposit, or (ii) may be issued to Optionee and such other person, as joint owners with the right of survivorship, as is specifically described in such exercise notice. Optionee shall be solely responsible for any income or other tax consequences of such a designation of ownership hereunder (or the severance thereof).</w:t>
      </w:r>
    </w:p>
    <w:p>
      <w:pPr>
        <w:spacing w:after="0" w:line="107" w:lineRule="exact"/>
        <w:rPr>
          <w:sz w:val="20"/>
          <w:szCs w:val="20"/>
          <w:color w:val="auto"/>
        </w:rPr>
      </w:pPr>
    </w:p>
    <w:p>
      <w:pPr>
        <w:ind w:left="640" w:hanging="17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Employment Rights as Shareholder</w:t>
      </w:r>
      <w:r>
        <w:rPr>
          <w:rFonts w:ascii="Arial" w:cs="Arial" w:eastAsia="Arial" w:hAnsi="Arial"/>
          <w:sz w:val="18"/>
          <w:szCs w:val="18"/>
          <w:color w:val="auto"/>
        </w:rPr>
        <w:t>. This Agreement shall not confer on Optionee any right with respect to continuance of employment by the Company or any Subsidiary, nor shall it affect the right of the Company to Terminate such employment. Optionee shall have no rights as a shareholder with respect to Shares subject to this Option until such Shares are issued to Optionee upon the exercise of this Option. No adjustment shall be made for dividends (ordinary or extra-ordinary, whether in cash, securities or other property), distributions or other rights for which the record date is prior to the date such shares are issued, except as provided in Section 12 of the Plan.</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Securities Law Compliance</w:t>
      </w:r>
      <w:r>
        <w:rPr>
          <w:rFonts w:ascii="Arial" w:cs="Arial" w:eastAsia="Arial" w:hAnsi="Arial"/>
          <w:sz w:val="18"/>
          <w:szCs w:val="18"/>
          <w:color w:val="auto"/>
        </w:rPr>
        <w:t>. The exercise of the Option and the issuance and transfer of Shares shall be subject to compliance by the Company and Optionee with all applicable requirements of federal and state securities laws and with all applicable requirements of any stock exchange on which the Company’s Common Stock may be listed at the time of such issuance or transfer.</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Mergers, Recapitalization, Stock Splits, Etc.</w:t>
      </w:r>
      <w:r>
        <w:rPr>
          <w:rFonts w:ascii="Arial" w:cs="Arial" w:eastAsia="Arial" w:hAnsi="Arial"/>
          <w:sz w:val="18"/>
          <w:szCs w:val="18"/>
          <w:color w:val="auto"/>
        </w:rPr>
        <w:t xml:space="preserve"> Subject to the provisions of Section 3(c) of this Agreement, the provisions of Section 11 of the Plan, as amended effective the Effective Date, shall govern all Options in the event of any reorganization, merger, consolidation, recapitalization, reclassification, change in par value, stock split-up, combination of shares or dividend payable in capital stock, or other such transaction described under Section 11 of the Plan, and the Company reserves all discretion provided therein.</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u w:val="single" w:color="auto"/>
          <w:color w:val="auto"/>
        </w:rPr>
        <w:t>Withholding Taxes on Disqualifying Disposition</w:t>
      </w:r>
      <w:r>
        <w:rPr>
          <w:rFonts w:ascii="Arial" w:cs="Arial" w:eastAsia="Arial" w:hAnsi="Arial"/>
          <w:sz w:val="16"/>
          <w:szCs w:val="16"/>
          <w:color w:val="auto"/>
        </w:rPr>
        <w:t>. In the event of a disqualifying disposition of the Shares acquired through the exercise of this Option, Optionee hereby agrees to promptly provide the Company written notice of such disposition, which notice shall be deemed delivered when received by the Company. Upon notice of a disqualifying disposition, the Company may take such action as it deems appropriate to insure that, if necessary to comply with all applicable federal or state income tax laws or regulations, all applicable federal and state payroll, income or other taxes are withheld from any amounts payable by the Company to Optionee. If the Company is unable to withhold such federal and state taxes, for whatever reason, Optionee hereby agrees to pay to the Company an amount equal to the amount the Company would otherwise be required to withhold under federal or state law. Optionee may, subject to the approval and discretion of the Administrator or such administrative rules it may deem advisable, elect to have all or a portion of such tax withholding obligations satisfied by delivering shares of the Company’s Common Stock having a fair market value equal to such obligations. For the purpose of this Section 5(d), a “</w:t>
      </w:r>
      <w:r>
        <w:rPr>
          <w:rFonts w:ascii="Arial" w:cs="Arial" w:eastAsia="Arial" w:hAnsi="Arial"/>
          <w:sz w:val="16"/>
          <w:szCs w:val="16"/>
          <w:u w:val="single" w:color="auto"/>
          <w:color w:val="auto"/>
        </w:rPr>
        <w:t>disqualifying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disposition</w:t>
      </w:r>
      <w:r>
        <w:rPr>
          <w:rFonts w:ascii="Arial" w:cs="Arial" w:eastAsia="Arial" w:hAnsi="Arial"/>
          <w:sz w:val="16"/>
          <w:szCs w:val="16"/>
          <w:color w:val="auto"/>
        </w:rPr>
        <w:t>” means a sale or other transfer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40" w:name="page141"/>
    <w:bookmarkEnd w:id="140"/>
    <w:p>
      <w:pPr>
        <w:ind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Shares on or before the later of (i) the date two years after the Effective Date and (ii) the date one (1) year after transfer of such Shares to Optionee upon exercise of the Option, as more particularly set forth at Section 422(a)(1) of the Code.</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e. </w:t>
      </w:r>
      <w:r>
        <w:rPr>
          <w:rFonts w:ascii="Arial" w:cs="Arial" w:eastAsia="Arial" w:hAnsi="Arial"/>
          <w:sz w:val="18"/>
          <w:szCs w:val="18"/>
          <w:u w:val="single" w:color="auto"/>
          <w:color w:val="auto"/>
        </w:rPr>
        <w:t>Nontransferability</w:t>
      </w:r>
      <w:r>
        <w:rPr>
          <w:rFonts w:ascii="Arial" w:cs="Arial" w:eastAsia="Arial" w:hAnsi="Arial"/>
          <w:sz w:val="18"/>
          <w:szCs w:val="18"/>
          <w:color w:val="auto"/>
        </w:rPr>
        <w:t>. The Option may not be transferred in any manner other than by will or by the laws of descent and distribution and may be exercised during the lifetime of Participant only by Participant. The terms of the Option shall be binding upon the executors, administrators, successors and assigns of Participant.</w:t>
      </w:r>
    </w:p>
    <w:p>
      <w:pPr>
        <w:spacing w:after="0" w:line="14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f. </w:t>
      </w:r>
      <w:r>
        <w:rPr>
          <w:rFonts w:ascii="Arial" w:cs="Arial" w:eastAsia="Arial" w:hAnsi="Arial"/>
          <w:sz w:val="16"/>
          <w:szCs w:val="16"/>
          <w:u w:val="single" w:color="auto"/>
          <w:color w:val="auto"/>
        </w:rPr>
        <w:t>1997 Stock Option Plan</w:t>
      </w:r>
      <w:r>
        <w:rPr>
          <w:rFonts w:ascii="Arial" w:cs="Arial" w:eastAsia="Arial" w:hAnsi="Arial"/>
          <w:sz w:val="16"/>
          <w:szCs w:val="16"/>
          <w:color w:val="auto"/>
        </w:rPr>
        <w:t>. The Option evidenced by this Agreement is granted pursuant to the Plan, as amended the Effective Date, a copy of which Plan has been made available to Optionee and is hereby incorporated into this Agreement. This Agreement shall be subject to and in all respects limited and conditioned as provided in the Plan. The Plan governs this Option and, in the event of any questions as to the construction of this Agreement or in the event of a conflict between the Plan and this Agreement, the Plan shall govern, except as the Plan otherwise provides.</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g. </w:t>
      </w:r>
      <w:r>
        <w:rPr>
          <w:rFonts w:ascii="Arial" w:cs="Arial" w:eastAsia="Arial" w:hAnsi="Arial"/>
          <w:sz w:val="16"/>
          <w:szCs w:val="16"/>
          <w:u w:val="single" w:color="auto"/>
          <w:color w:val="auto"/>
        </w:rPr>
        <w:t>Accounting Compliance.</w:t>
      </w:r>
      <w:r>
        <w:rPr>
          <w:rFonts w:ascii="Arial" w:cs="Arial" w:eastAsia="Arial" w:hAnsi="Arial"/>
          <w:sz w:val="16"/>
          <w:szCs w:val="16"/>
          <w:color w:val="auto"/>
        </w:rPr>
        <w:t xml:space="preserve"> Optionee agrees that, in the event of a transaction subject to Section 12, treated as a “pooling of interests” under generally accepted accounting principles, and Optionee is an affiliate of the Company or any Subsidiary (as defined in Section 12 of the Plan) at the time of such change of control transaction, Optionee will comply with all requirements of Rule 145 of the Securities Act of 1933, as amended, and the requirements of such other legal or accounting principles, and will execute any documents necessary to ensure such compliance.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u w:val="single" w:color="auto"/>
          <w:color w:val="auto"/>
        </w:rPr>
        <w:t>Stock Legend</w:t>
      </w:r>
      <w:r>
        <w:rPr>
          <w:rFonts w:ascii="Arial" w:cs="Arial" w:eastAsia="Arial" w:hAnsi="Arial"/>
          <w:sz w:val="18"/>
          <w:szCs w:val="18"/>
          <w:color w:val="auto"/>
        </w:rPr>
        <w:t>. The Administrator may require that the certificates for any Shares purchased by Optionee (or, in the case of death, Optionee’s successors) bear an appropriate legend to reflect the restrictions of Section 5(g), of this Agreement.</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Scope of Agreement</w:t>
      </w:r>
      <w:r>
        <w:rPr>
          <w:rFonts w:ascii="Arial" w:cs="Arial" w:eastAsia="Arial" w:hAnsi="Arial"/>
          <w:sz w:val="18"/>
          <w:szCs w:val="18"/>
          <w:color w:val="auto"/>
        </w:rPr>
        <w:t>. This Agreement shall bind and inure to the benefit of the Company and its successors and assigns and Optionee and any successor or successors of Optionee permitted by Section 3 or Section 5(e) of this Agreement.</w:t>
      </w:r>
    </w:p>
    <w:p>
      <w:pPr>
        <w:spacing w:after="0" w:line="132"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 xml:space="preserve">j. </w:t>
      </w:r>
      <w:r>
        <w:rPr>
          <w:rFonts w:ascii="Arial" w:cs="Arial" w:eastAsia="Arial" w:hAnsi="Arial"/>
          <w:sz w:val="15"/>
          <w:szCs w:val="15"/>
          <w:u w:val="single" w:color="auto"/>
          <w:color w:val="auto"/>
        </w:rPr>
        <w:t>Interpretation</w:t>
      </w:r>
      <w:r>
        <w:rPr>
          <w:rFonts w:ascii="Arial" w:cs="Arial" w:eastAsia="Arial" w:hAnsi="Arial"/>
          <w:sz w:val="15"/>
          <w:szCs w:val="15"/>
          <w:color w:val="auto"/>
        </w:rPr>
        <w:t>. The Administrator shall have the sole discretion to interpret and administer the Plan. Any determination made by the Administrator with respect to any Option shall be final and binding on the Company and on all persons having an interest in the Option granted under this Agreement and the Plan.</w:t>
      </w:r>
    </w:p>
    <w:p>
      <w:pPr>
        <w:spacing w:after="0" w:line="62"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k. </w:t>
      </w:r>
      <w:r>
        <w:rPr>
          <w:rFonts w:ascii="Arial" w:cs="Arial" w:eastAsia="Arial" w:hAnsi="Arial"/>
          <w:sz w:val="18"/>
          <w:szCs w:val="18"/>
          <w:u w:val="single" w:color="auto"/>
          <w:color w:val="auto"/>
        </w:rPr>
        <w:t>Entire Option</w:t>
      </w:r>
      <w:r>
        <w:rPr>
          <w:rFonts w:ascii="Arial" w:cs="Arial" w:eastAsia="Arial" w:hAnsi="Arial"/>
          <w:sz w:val="18"/>
          <w:szCs w:val="18"/>
          <w:color w:val="auto"/>
        </w:rPr>
        <w:t>. The Plan, as amended, is incorporated herein by reference. This Agreement and the Plan constitute the entire agreement and understanding of the parties hereto with respect to the subject matter hereof and supersede all prior understandings and agreements with respect to such subject matter.</w:t>
      </w:r>
    </w:p>
    <w:p>
      <w:pPr>
        <w:spacing w:after="0" w:line="140"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l.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Company may assign any of its rights under the Option. The Option shall be binding upon and inure to the benefit of the successors and assigns of the Company. Subject to the restrictions on transfer set forth herein, the Option shall be binding upon Optionee and Optionee’s heirs, executors, administrators, legal representatives, successors and assigns.</w:t>
      </w:r>
    </w:p>
    <w:p>
      <w:pPr>
        <w:spacing w:after="0" w:line="140"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color w:val="auto"/>
        </w:rPr>
        <w:t xml:space="preserve">m. </w:t>
      </w:r>
      <w:r>
        <w:rPr>
          <w:rFonts w:ascii="Arial" w:cs="Arial" w:eastAsia="Arial" w:hAnsi="Arial"/>
          <w:sz w:val="18"/>
          <w:szCs w:val="18"/>
          <w:u w:val="single" w:color="auto"/>
          <w:color w:val="auto"/>
        </w:rPr>
        <w:t>Governing Law</w:t>
      </w:r>
      <w:r>
        <w:rPr>
          <w:rFonts w:ascii="Arial" w:cs="Arial" w:eastAsia="Arial" w:hAnsi="Arial"/>
          <w:sz w:val="18"/>
          <w:szCs w:val="18"/>
          <w:color w:val="auto"/>
        </w:rPr>
        <w:t>. The Option shall be governed by and construed in accordance with the internal laws of the State of Delaware, without regard to that body of law pertaining to choice of law or conflict of law.</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80" w:right="299"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Agreement to be executed on the day and year first above written.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CECO ENVIRONMENTAL CORP.</w:t>
            </w:r>
          </w:p>
        </w:tc>
        <w:tc>
          <w:tcPr>
            <w:tcW w:w="2260" w:type="dxa"/>
            <w:vAlign w:val="bottom"/>
          </w:tcPr>
          <w:p>
            <w:pPr>
              <w:spacing w:after="0"/>
              <w:rPr>
                <w:sz w:val="19"/>
                <w:szCs w:val="19"/>
                <w:color w:val="auto"/>
              </w:rPr>
            </w:pPr>
          </w:p>
        </w:tc>
        <w:tc>
          <w:tcPr>
            <w:tcW w:w="4340" w:type="dxa"/>
            <w:vAlign w:val="bottom"/>
          </w:tcPr>
          <w:p>
            <w:pPr>
              <w:ind w:left="1740"/>
              <w:spacing w:after="0"/>
              <w:rPr>
                <w:sz w:val="20"/>
                <w:szCs w:val="20"/>
                <w:color w:val="auto"/>
              </w:rPr>
            </w:pPr>
            <w:r>
              <w:rPr>
                <w:rFonts w:ascii="Arial" w:cs="Arial" w:eastAsia="Arial" w:hAnsi="Arial"/>
                <w:sz w:val="18"/>
                <w:szCs w:val="18"/>
                <w:color w:val="auto"/>
              </w:rPr>
              <w:t>OPTIONEE</w:t>
            </w:r>
          </w:p>
        </w:tc>
      </w:tr>
      <w:tr>
        <w:trPr>
          <w:trHeight w:val="433"/>
        </w:trPr>
        <w:tc>
          <w:tcPr>
            <w:tcW w:w="4820" w:type="dxa"/>
            <w:vAlign w:val="bottom"/>
            <w:gridSpan w:val="2"/>
          </w:tcPr>
          <w:p>
            <w:pPr>
              <w:spacing w:after="0"/>
              <w:rPr>
                <w:sz w:val="20"/>
                <w:szCs w:val="20"/>
                <w:color w:val="auto"/>
              </w:rPr>
            </w:pPr>
            <w:r>
              <w:rPr>
                <w:rFonts w:ascii="Arial" w:cs="Arial" w:eastAsia="Arial" w:hAnsi="Arial"/>
                <w:sz w:val="18"/>
                <w:szCs w:val="18"/>
                <w:color w:val="auto"/>
              </w:rPr>
              <w:t>By: /s/ Phillip DeZwirek</w:t>
            </w:r>
          </w:p>
        </w:tc>
        <w:tc>
          <w:tcPr>
            <w:tcW w:w="2260" w:type="dxa"/>
            <w:vAlign w:val="bottom"/>
          </w:tcPr>
          <w:p>
            <w:pPr>
              <w:spacing w:after="0"/>
              <w:rPr>
                <w:sz w:val="24"/>
                <w:szCs w:val="24"/>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/s/ Dennis Blazer</w:t>
            </w:r>
          </w:p>
        </w:tc>
      </w:tr>
      <w:tr>
        <w:trPr>
          <w:trHeight w:val="20"/>
        </w:trPr>
        <w:tc>
          <w:tcPr>
            <w:tcW w:w="380" w:type="dxa"/>
            <w:vAlign w:val="bottom"/>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Its:  CEO</w:t>
            </w:r>
          </w:p>
        </w:tc>
        <w:tc>
          <w:tcPr>
            <w:tcW w:w="22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Dennis W. Blazer</w:t>
            </w:r>
          </w:p>
        </w:tc>
      </w:tr>
      <w:tr>
        <w:trPr>
          <w:trHeight w:val="372"/>
        </w:trPr>
        <w:tc>
          <w:tcPr>
            <w:tcW w:w="4820" w:type="dxa"/>
            <w:vAlign w:val="bottom"/>
            <w:gridSpan w:val="2"/>
          </w:tcPr>
          <w:p>
            <w:pPr>
              <w:spacing w:after="0"/>
              <w:rPr>
                <w:sz w:val="20"/>
                <w:szCs w:val="20"/>
                <w:color w:val="auto"/>
              </w:rPr>
            </w:pPr>
            <w:r>
              <w:rPr>
                <w:rFonts w:ascii="Arial" w:cs="Arial" w:eastAsia="Arial" w:hAnsi="Arial"/>
                <w:sz w:val="18"/>
                <w:szCs w:val="18"/>
                <w:color w:val="auto"/>
              </w:rPr>
              <w:t>The Grant set forth in this</w:t>
            </w:r>
          </w:p>
        </w:tc>
        <w:tc>
          <w:tcPr>
            <w:tcW w:w="226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Agreement has been approved</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by the Stock Option Plan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Committee and Compensation</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Committee of CECO Environmental</w:t>
            </w:r>
          </w:p>
        </w:tc>
        <w:tc>
          <w:tcPr>
            <w:tcW w:w="226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22"/>
        </w:trPr>
        <w:tc>
          <w:tcPr>
            <w:tcW w:w="4820" w:type="dxa"/>
            <w:vAlign w:val="bottom"/>
            <w:gridSpan w:val="2"/>
          </w:tcPr>
          <w:p>
            <w:pPr>
              <w:spacing w:after="0"/>
              <w:rPr>
                <w:sz w:val="20"/>
                <w:szCs w:val="20"/>
                <w:color w:val="auto"/>
              </w:rPr>
            </w:pPr>
            <w:r>
              <w:rPr>
                <w:rFonts w:ascii="Arial" w:cs="Arial" w:eastAsia="Arial" w:hAnsi="Arial"/>
                <w:sz w:val="18"/>
                <w:szCs w:val="18"/>
                <w:color w:val="auto"/>
              </w:rPr>
              <w:t>Corp.</w:t>
            </w:r>
          </w:p>
        </w:tc>
        <w:tc>
          <w:tcPr>
            <w:tcW w:w="226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365"/>
        </w:trPr>
        <w:tc>
          <w:tcPr>
            <w:tcW w:w="38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260" w:type="dxa"/>
            <w:vAlign w:val="bottom"/>
          </w:tcPr>
          <w:p>
            <w:pPr>
              <w:jc w:val="right"/>
              <w:ind w:right="1232"/>
              <w:spacing w:after="0"/>
              <w:rPr>
                <w:sz w:val="20"/>
                <w:szCs w:val="20"/>
                <w:color w:val="auto"/>
              </w:rPr>
            </w:pPr>
            <w:r>
              <w:rPr>
                <w:rFonts w:ascii="Arial" w:cs="Arial" w:eastAsia="Arial" w:hAnsi="Arial"/>
                <w:sz w:val="18"/>
                <w:szCs w:val="18"/>
                <w:color w:val="auto"/>
              </w:rPr>
              <w:t>6</w:t>
            </w:r>
          </w:p>
        </w:tc>
        <w:tc>
          <w:tcPr>
            <w:tcW w:w="434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42" w:name="page143"/>
    <w:bookmarkEnd w:id="142"/>
    <w:p>
      <w:pPr>
        <w:ind w:left="10220"/>
        <w:spacing w:after="0"/>
        <w:rPr>
          <w:sz w:val="20"/>
          <w:szCs w:val="20"/>
          <w:color w:val="auto"/>
        </w:rPr>
      </w:pPr>
      <w:r>
        <w:rPr>
          <w:rFonts w:ascii="Arial" w:cs="Arial" w:eastAsia="Arial" w:hAnsi="Arial"/>
          <w:sz w:val="16"/>
          <w:szCs w:val="16"/>
          <w:b w:val="1"/>
          <w:bCs w:val="1"/>
          <w:color w:val="auto"/>
        </w:rPr>
        <w:t>EXHIBIT 10.55</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CONSULTING AGREEMENT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Consulting Agreement (the “Agreement”) is made as of the 26th day of March 2007, effective as of January 1, 2007 between CECO Environmental Corp. (the “Company”), a Delaware corporation, and Can-Med Technology, Inc. d/b/a Green Diamond Oil Corp. (“Green Diamond”).</w:t>
      </w:r>
    </w:p>
    <w:p>
      <w:pPr>
        <w:spacing w:after="0" w:line="8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WHEREAS, Green Diamond wants to provide management and financial consulting services to the Company that will involve advising the Company on corporate policies, marketing, strategic and financial planning, and mergers and acquisitions and related matters;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Company believes that Green Diamond’s skills, expertise and qualifications will be valuable to its business; and</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WHEREAS, the Company desires to engage Green Diamond and Green Diamond desires to be engaged by the Company to provide consulting services to the Company on the terms and conditions set forth below.</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NOW, THEREFORE, in consideration of the foregoing recitals and for other good and valuable consideration, the receipt, adequacy and sufficiency of which is hereby acknowledged, the parties hereby agree as follows:</w:t>
      </w:r>
    </w:p>
    <w:p>
      <w:pPr>
        <w:spacing w:after="0" w:line="51" w:lineRule="exact"/>
        <w:rPr>
          <w:sz w:val="20"/>
          <w:szCs w:val="20"/>
          <w:color w:val="auto"/>
        </w:rPr>
      </w:pPr>
    </w:p>
    <w:p>
      <w:pPr>
        <w:ind w:right="120" w:firstLine="464"/>
        <w:spacing w:after="0" w:line="268" w:lineRule="auto"/>
        <w:tabs>
          <w:tab w:leader="none" w:pos="6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Engagement</w:t>
      </w:r>
      <w:r>
        <w:rPr>
          <w:rFonts w:ascii="Arial" w:cs="Arial" w:eastAsia="Arial" w:hAnsi="Arial"/>
          <w:sz w:val="18"/>
          <w:szCs w:val="18"/>
          <w:color w:val="auto"/>
        </w:rPr>
        <w:t>. The Company hereby engages Green Diamond to render to it the consulting services herein described and Green Diamond hereby accepts such engagement.</w:t>
      </w:r>
    </w:p>
    <w:p>
      <w:pPr>
        <w:spacing w:after="0" w:line="131" w:lineRule="exact"/>
        <w:rPr>
          <w:rFonts w:ascii="Arial" w:cs="Arial" w:eastAsia="Arial" w:hAnsi="Arial"/>
          <w:sz w:val="18"/>
          <w:szCs w:val="18"/>
          <w:color w:val="auto"/>
        </w:rPr>
      </w:pPr>
    </w:p>
    <w:p>
      <w:pPr>
        <w:jc w:val="both"/>
        <w:ind w:right="320" w:firstLine="464"/>
        <w:spacing w:after="0" w:line="259" w:lineRule="auto"/>
        <w:tabs>
          <w:tab w:leader="none" w:pos="632"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Duties</w:t>
      </w:r>
      <w:r>
        <w:rPr>
          <w:rFonts w:ascii="Arial" w:cs="Arial" w:eastAsia="Arial" w:hAnsi="Arial"/>
          <w:sz w:val="18"/>
          <w:szCs w:val="18"/>
          <w:color w:val="auto"/>
        </w:rPr>
        <w:t>. The Company and Green Diamond agree that Green Diamond shall provide consulting services regarding the Company’s corporate policies, marketing, strategic and financial planning, including long and short-term goals, mergers and acquisitions and other business combinations, financing, growth plans and other related matters.</w:t>
      </w:r>
    </w:p>
    <w:p>
      <w:pPr>
        <w:spacing w:after="0" w:line="140" w:lineRule="exact"/>
        <w:rPr>
          <w:rFonts w:ascii="Arial" w:cs="Arial" w:eastAsia="Arial" w:hAnsi="Arial"/>
          <w:sz w:val="18"/>
          <w:szCs w:val="18"/>
          <w:color w:val="auto"/>
        </w:rPr>
      </w:pPr>
    </w:p>
    <w:p>
      <w:pPr>
        <w:ind w:left="640" w:hanging="176"/>
        <w:spacing w:after="0"/>
        <w:tabs>
          <w:tab w:leader="none" w:pos="640"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Compensation</w:t>
      </w:r>
      <w:r>
        <w:rPr>
          <w:rFonts w:ascii="Arial" w:cs="Arial" w:eastAsia="Arial" w:hAnsi="Arial"/>
          <w:sz w:val="16"/>
          <w:szCs w:val="16"/>
          <w:color w:val="auto"/>
        </w:rPr>
        <w:t>. As compensation for the consulting services to be rendered hereunder, the Company shall pay to Green Diamond a consulting fee of</w:t>
      </w:r>
    </w:p>
    <w:p>
      <w:pPr>
        <w:spacing w:after="0" w:line="38" w:lineRule="exact"/>
        <w:rPr>
          <w:sz w:val="20"/>
          <w:szCs w:val="20"/>
          <w:color w:val="auto"/>
        </w:rPr>
      </w:pPr>
    </w:p>
    <w:p>
      <w:pPr>
        <w:jc w:val="both"/>
        <w:ind w:right="340"/>
        <w:spacing w:after="0" w:line="254" w:lineRule="auto"/>
        <w:rPr>
          <w:sz w:val="20"/>
          <w:szCs w:val="20"/>
          <w:color w:val="auto"/>
        </w:rPr>
      </w:pPr>
      <w:r>
        <w:rPr>
          <w:rFonts w:ascii="Arial" w:cs="Arial" w:eastAsia="Arial" w:hAnsi="Arial"/>
          <w:sz w:val="18"/>
          <w:szCs w:val="18"/>
          <w:color w:val="auto"/>
        </w:rPr>
        <w:t>$30,000 per month until the termination of this Agreement (“Monthly Fees”) payable in advance on or prior to the first business day of each month at Green Diamond’s offices in Toronto, Ontario or such other address as Green Diamond shall direct. The Company and Green Diamond will review the amount of the Monthly Fees on an annual basis in December of each year, provided that the amount shall not be decreased in any year without the written consent of Green Diamond.</w:t>
      </w:r>
    </w:p>
    <w:p>
      <w:pPr>
        <w:spacing w:after="0" w:line="144" w:lineRule="exact"/>
        <w:rPr>
          <w:sz w:val="20"/>
          <w:szCs w:val="20"/>
          <w:color w:val="auto"/>
        </w:rPr>
      </w:pPr>
    </w:p>
    <w:p>
      <w:pPr>
        <w:ind w:left="640" w:hanging="176"/>
        <w:spacing w:after="0"/>
        <w:tabs>
          <w:tab w:leader="none" w:pos="64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This Agreement shall terminate December 31, 2011, unless terminated earlier as provided below upon the occurrence of any of the following</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events:</w:t>
      </w:r>
    </w:p>
    <w:p>
      <w:pPr>
        <w:spacing w:after="0" w:line="83" w:lineRule="exact"/>
        <w:rPr>
          <w:rFonts w:ascii="Arial" w:cs="Arial" w:eastAsia="Arial" w:hAnsi="Arial"/>
          <w:sz w:val="16"/>
          <w:szCs w:val="16"/>
          <w:color w:val="auto"/>
        </w:rPr>
      </w:pPr>
    </w:p>
    <w:p>
      <w:pPr>
        <w:ind w:left="460" w:firstLine="443"/>
        <w:spacing w:after="0" w:line="294" w:lineRule="auto"/>
        <w:tabs>
          <w:tab w:leader="none" w:pos="1137" w:val="left"/>
        </w:tabs>
        <w:numPr>
          <w:ilvl w:val="1"/>
          <w:numId w:val="122"/>
        </w:numPr>
        <w:rPr>
          <w:rFonts w:ascii="Arial" w:cs="Arial" w:eastAsia="Arial" w:hAnsi="Arial"/>
          <w:sz w:val="16"/>
          <w:szCs w:val="16"/>
          <w:color w:val="auto"/>
        </w:rPr>
      </w:pPr>
      <w:r>
        <w:rPr>
          <w:rFonts w:ascii="Arial" w:cs="Arial" w:eastAsia="Arial" w:hAnsi="Arial"/>
          <w:sz w:val="16"/>
          <w:szCs w:val="16"/>
          <w:color w:val="auto"/>
        </w:rPr>
        <w:t>At the Company’s or Green Diamond’s option if the Company or Green Diamond, respectively,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For purposes of this Agreement, the term “Bankruptcy Law” shall mean Title 11, United States Code, or any similar federal or state law for the relief of debtors. For purposes of this Agreement, the term “Custodian” shall mean any receiver, trustee, assignee, liquidator or similar official under any Bankruptcy Law.</w:t>
      </w:r>
    </w:p>
    <w:p>
      <w:pPr>
        <w:sectPr>
          <w:pgSz w:w="11900" w:h="16838" w:orient="portrait"/>
          <w:cols w:equalWidth="0" w:num="1">
            <w:col w:w="11420"/>
          </w:cols>
          <w:pgMar w:left="240" w:top="125" w:right="239" w:bottom="1440" w:gutter="0" w:footer="0" w:header="0"/>
        </w:sectPr>
      </w:pPr>
    </w:p>
    <w:bookmarkStart w:id="143" w:name="page144"/>
    <w:bookmarkEnd w:id="143"/>
    <w:p>
      <w:pPr>
        <w:jc w:val="both"/>
        <w:ind w:right="40" w:firstLine="443"/>
        <w:spacing w:after="0" w:line="256" w:lineRule="auto"/>
        <w:tabs>
          <w:tab w:leader="none" w:pos="6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At the Company’s or Green Diamond’s option, respectively, if a court of competent jurisdiction enters an order or decree under any Bankruptcy Law that: (i) is for relief against Green Diamond or the Company, respectively, in an involuntary case; (ii) appoints a Custodian (defined below) for all or substantially all of the property of Green Diamond or the Company, respectively; or (iii) orders the liquidation of Green Diamond or the Company, and the order or decree remains unstayed and in effect for 90 days.</w:t>
      </w:r>
    </w:p>
    <w:p>
      <w:pPr>
        <w:spacing w:after="0" w:line="62" w:lineRule="exact"/>
        <w:rPr>
          <w:rFonts w:ascii="Arial" w:cs="Arial" w:eastAsia="Arial" w:hAnsi="Arial"/>
          <w:sz w:val="18"/>
          <w:szCs w:val="18"/>
          <w:color w:val="auto"/>
        </w:rPr>
      </w:pPr>
    </w:p>
    <w:p>
      <w:pPr>
        <w:ind w:left="680" w:hanging="237"/>
        <w:spacing w:after="0"/>
        <w:tabs>
          <w:tab w:leader="none" w:pos="6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the Company’s option for Cause. For purposes of this Agreement, “Cause” shall mean:</w:t>
      </w:r>
    </w:p>
    <w:p>
      <w:pPr>
        <w:spacing w:after="0" w:line="90" w:lineRule="exact"/>
        <w:rPr>
          <w:rFonts w:ascii="Arial" w:cs="Arial" w:eastAsia="Arial" w:hAnsi="Arial"/>
          <w:sz w:val="18"/>
          <w:szCs w:val="18"/>
          <w:color w:val="auto"/>
        </w:rPr>
      </w:pPr>
    </w:p>
    <w:p>
      <w:pPr>
        <w:ind w:left="460" w:firstLine="421"/>
        <w:spacing w:after="0" w:line="259" w:lineRule="auto"/>
        <w:tabs>
          <w:tab w:leader="none" w:pos="1089" w:val="left"/>
        </w:tabs>
        <w:numPr>
          <w:ilvl w:val="1"/>
          <w:numId w:val="123"/>
        </w:numPr>
        <w:rPr>
          <w:rFonts w:ascii="Arial" w:cs="Arial" w:eastAsia="Arial" w:hAnsi="Arial"/>
          <w:sz w:val="18"/>
          <w:szCs w:val="18"/>
          <w:color w:val="auto"/>
        </w:rPr>
      </w:pPr>
      <w:r>
        <w:rPr>
          <w:rFonts w:ascii="Arial" w:cs="Arial" w:eastAsia="Arial" w:hAnsi="Arial"/>
          <w:sz w:val="18"/>
          <w:szCs w:val="18"/>
          <w:color w:val="auto"/>
        </w:rPr>
        <w:t>willful and material breach by Green Diamond of any provision of this Agreement; provided the Company has delivered to Green Diamond a written notice setting forth with particularity such breach and shall have given Green Diamond an opportunity to meet with the Company and to cure such breach within 15 business days following delivery of such written notice;</w:t>
      </w:r>
    </w:p>
    <w:p>
      <w:pPr>
        <w:spacing w:after="0" w:line="59" w:lineRule="exact"/>
        <w:rPr>
          <w:rFonts w:ascii="Arial" w:cs="Arial" w:eastAsia="Arial" w:hAnsi="Arial"/>
          <w:sz w:val="18"/>
          <w:szCs w:val="18"/>
          <w:color w:val="auto"/>
        </w:rPr>
      </w:pPr>
    </w:p>
    <w:p>
      <w:pPr>
        <w:ind w:left="460" w:right="120" w:firstLine="421"/>
        <w:spacing w:after="0" w:line="268" w:lineRule="auto"/>
        <w:tabs>
          <w:tab w:leader="none" w:pos="1138" w:val="left"/>
        </w:tabs>
        <w:numPr>
          <w:ilvl w:val="1"/>
          <w:numId w:val="123"/>
        </w:numPr>
        <w:rPr>
          <w:rFonts w:ascii="Arial" w:cs="Arial" w:eastAsia="Arial" w:hAnsi="Arial"/>
          <w:sz w:val="18"/>
          <w:szCs w:val="18"/>
          <w:color w:val="auto"/>
        </w:rPr>
      </w:pPr>
      <w:r>
        <w:rPr>
          <w:rFonts w:ascii="Arial" w:cs="Arial" w:eastAsia="Arial" w:hAnsi="Arial"/>
          <w:sz w:val="18"/>
          <w:szCs w:val="18"/>
          <w:color w:val="auto"/>
        </w:rPr>
        <w:t>any act by Green Diamond of material fraud or dishonesty including, but not limited to, stealing or falsification of company records, with respect to any aspect of the business of the Company or its affiliates; or</w:t>
      </w:r>
    </w:p>
    <w:p>
      <w:pPr>
        <w:spacing w:after="0" w:line="50" w:lineRule="exact"/>
        <w:rPr>
          <w:rFonts w:ascii="Arial" w:cs="Arial" w:eastAsia="Arial" w:hAnsi="Arial"/>
          <w:sz w:val="18"/>
          <w:szCs w:val="18"/>
          <w:color w:val="auto"/>
        </w:rPr>
      </w:pPr>
    </w:p>
    <w:p>
      <w:pPr>
        <w:ind w:left="1180" w:hanging="299"/>
        <w:spacing w:after="0"/>
        <w:tabs>
          <w:tab w:leader="none" w:pos="118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misappropriation of company funds.</w:t>
      </w:r>
    </w:p>
    <w:p>
      <w:pPr>
        <w:spacing w:after="0" w:line="90" w:lineRule="exact"/>
        <w:rPr>
          <w:rFonts w:ascii="Arial" w:cs="Arial" w:eastAsia="Arial" w:hAnsi="Arial"/>
          <w:sz w:val="18"/>
          <w:szCs w:val="18"/>
          <w:color w:val="auto"/>
        </w:rPr>
      </w:pPr>
    </w:p>
    <w:p>
      <w:pPr>
        <w:ind w:right="140" w:firstLine="443"/>
        <w:spacing w:after="0" w:line="268" w:lineRule="auto"/>
        <w:tabs>
          <w:tab w:leader="none" w:pos="68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 Green Diamond’s option, upon a Change of Control of the Company. For purposes of this Agreement “Change of Control” means any of the following events:</w:t>
      </w:r>
    </w:p>
    <w:p>
      <w:pPr>
        <w:spacing w:after="0" w:line="50" w:lineRule="exact"/>
        <w:rPr>
          <w:rFonts w:ascii="Arial" w:cs="Arial" w:eastAsia="Arial" w:hAnsi="Arial"/>
          <w:sz w:val="18"/>
          <w:szCs w:val="18"/>
          <w:color w:val="auto"/>
        </w:rPr>
      </w:pPr>
    </w:p>
    <w:p>
      <w:pPr>
        <w:ind w:left="460" w:right="20" w:firstLine="421"/>
        <w:spacing w:after="0" w:line="291" w:lineRule="auto"/>
        <w:tabs>
          <w:tab w:leader="none" w:pos="1089"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promulgated under the Securities Exchange Act of 1934, as amended) of 50% or more of either (A) the then outstanding shares of Common Stock of the Company or (B) the combined voting power of the then outstanding voting securities of the Company entitled to vote generally in the election of directors; provided, however, that the following acquisitions shall not constitute a Change of Control: (I) any acquisition by the Company or (II) any acquisition by any employee benefit plan (or related trust) sponsored or maintained by the Company or any corporation controlled by the Company; or</w:t>
      </w:r>
    </w:p>
    <w:p>
      <w:pPr>
        <w:spacing w:after="0" w:line="39" w:lineRule="exact"/>
        <w:rPr>
          <w:rFonts w:ascii="Arial" w:cs="Arial" w:eastAsia="Arial" w:hAnsi="Arial"/>
          <w:sz w:val="16"/>
          <w:szCs w:val="16"/>
          <w:color w:val="auto"/>
        </w:rPr>
      </w:pPr>
    </w:p>
    <w:p>
      <w:pPr>
        <w:ind w:left="460" w:firstLine="421"/>
        <w:spacing w:after="0" w:line="291" w:lineRule="auto"/>
        <w:tabs>
          <w:tab w:leader="none" w:pos="1138" w:val="left"/>
        </w:tabs>
        <w:numPr>
          <w:ilvl w:val="1"/>
          <w:numId w:val="123"/>
        </w:numPr>
        <w:rPr>
          <w:rFonts w:ascii="Arial" w:cs="Arial" w:eastAsia="Arial" w:hAnsi="Arial"/>
          <w:sz w:val="16"/>
          <w:szCs w:val="16"/>
          <w:color w:val="auto"/>
        </w:rPr>
      </w:pPr>
      <w:r>
        <w:rPr>
          <w:rFonts w:ascii="Arial" w:cs="Arial" w:eastAsia="Arial" w:hAnsi="Arial"/>
          <w:sz w:val="16"/>
          <w:szCs w:val="16"/>
          <w:color w:val="auto"/>
        </w:rPr>
        <w:t>Individuals who, as of the effective date hereof, constitute the Board of Directors of the Company (the “Incumbent Board”) cease for any reason to constitute at least a majority of the Board; provided, however, that any individual becoming a director subsequent to the effective date of the plan whose election, or nomination for election by the Company’s stockholders, was approved by a vote of at least a majority of the directors then compromising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Securities Exchange Act of 1934, as amended) or</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700" w:top="280" w:right="279" w:bottom="1440" w:gutter="0" w:footer="0" w:header="0"/>
        </w:sectPr>
      </w:pPr>
    </w:p>
    <w:bookmarkStart w:id="144" w:name="page145"/>
    <w:bookmarkEnd w:id="144"/>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actual or threatened solicitation of proxies or consents by or on behalf of a person other than the Board of Directors of the Company; or</w:t>
      </w:r>
    </w:p>
    <w:p>
      <w:pPr>
        <w:spacing w:after="0" w:line="113" w:lineRule="exact"/>
        <w:rPr>
          <w:sz w:val="20"/>
          <w:szCs w:val="20"/>
          <w:color w:val="auto"/>
        </w:rPr>
      </w:pPr>
    </w:p>
    <w:p>
      <w:pPr>
        <w:ind w:left="920" w:right="180" w:firstLine="421"/>
        <w:spacing w:after="0" w:line="268" w:lineRule="auto"/>
        <w:tabs>
          <w:tab w:leader="none" w:pos="1647" w:val="left"/>
        </w:tabs>
        <w:numPr>
          <w:ilvl w:val="1"/>
          <w:numId w:val="124"/>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 or the sale or other disposition of all or substantially all of the assets of the Company.</w:t>
      </w:r>
    </w:p>
    <w:p>
      <w:pPr>
        <w:spacing w:after="0" w:line="131" w:lineRule="exact"/>
        <w:rPr>
          <w:rFonts w:ascii="Arial" w:cs="Arial" w:eastAsia="Arial" w:hAnsi="Arial"/>
          <w:sz w:val="18"/>
          <w:szCs w:val="18"/>
          <w:color w:val="auto"/>
        </w:rPr>
      </w:pPr>
    </w:p>
    <w:p>
      <w:pPr>
        <w:ind w:firstLine="464"/>
        <w:spacing w:after="0" w:line="294"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Severance Fee</w:t>
      </w:r>
      <w:r>
        <w:rPr>
          <w:rFonts w:ascii="Arial" w:cs="Arial" w:eastAsia="Arial" w:hAnsi="Arial"/>
          <w:sz w:val="16"/>
          <w:szCs w:val="16"/>
          <w:color w:val="auto"/>
        </w:rPr>
        <w:t>. In the event this Agreement is terminated for any reason other than the Company’s termination of this Agreement for the reasons set forth in Section 4(c), the Company shall pay to Green Diamond a severance fee (“Severance Fee”) equal to the amount of the remaining aggregate Monthly Fees that Green Diamond would have received had this Agreement not terminated, provided that such amount shall not exceed, when taking into account all amounts considered for purposes of Section 280G of the Internal Revenue Code of 1986, as amended (the “Code”), an amount equal to one dollar less than 300% of Green Diamond’s “base amount” (as defined in Section 280G(b)(3) of the Code).</w:t>
      </w:r>
    </w:p>
    <w:p>
      <w:pPr>
        <w:spacing w:after="0" w:line="115" w:lineRule="exact"/>
        <w:rPr>
          <w:rFonts w:ascii="Arial" w:cs="Arial" w:eastAsia="Arial" w:hAnsi="Arial"/>
          <w:sz w:val="16"/>
          <w:szCs w:val="16"/>
          <w:color w:val="auto"/>
        </w:rPr>
      </w:pPr>
    </w:p>
    <w:p>
      <w:pPr>
        <w:ind w:left="640" w:hanging="176"/>
        <w:spacing w:after="0"/>
        <w:tabs>
          <w:tab w:leader="none" w:pos="640"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No Quotas</w:t>
      </w:r>
      <w:r>
        <w:rPr>
          <w:rFonts w:ascii="Arial" w:cs="Arial" w:eastAsia="Arial" w:hAnsi="Arial"/>
          <w:sz w:val="16"/>
          <w:szCs w:val="16"/>
          <w:color w:val="auto"/>
        </w:rPr>
        <w:t>. Green Diamond’s consulting arrangement hereunder shall not be subject to any quotas or other similar type of performance measurement.</w:t>
      </w:r>
    </w:p>
    <w:p>
      <w:pPr>
        <w:spacing w:after="0" w:line="194" w:lineRule="exact"/>
        <w:rPr>
          <w:rFonts w:ascii="Arial" w:cs="Arial" w:eastAsia="Arial" w:hAnsi="Arial"/>
          <w:sz w:val="16"/>
          <w:szCs w:val="16"/>
          <w:color w:val="auto"/>
        </w:rPr>
      </w:pPr>
    </w:p>
    <w:p>
      <w:pPr>
        <w:ind w:right="560" w:firstLine="464"/>
        <w:spacing w:after="0" w:line="259" w:lineRule="auto"/>
        <w:tabs>
          <w:tab w:leader="none" w:pos="632"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Green Diamond’s Availability</w:t>
      </w:r>
      <w:r>
        <w:rPr>
          <w:rFonts w:ascii="Arial" w:cs="Arial" w:eastAsia="Arial" w:hAnsi="Arial"/>
          <w:sz w:val="18"/>
          <w:szCs w:val="18"/>
          <w:color w:val="auto"/>
        </w:rPr>
        <w:t>. Green Diamond shall not be required to provide services to the Company for a specified number of hours or at predetermined times, other than as may be agreed upon between Green Diamond and the Company, from time to time, provided that Green Diamond shall continue to provide services at substantially the level as provided on the date hereof.</w:t>
      </w:r>
    </w:p>
    <w:p>
      <w:pPr>
        <w:spacing w:after="0" w:line="140" w:lineRule="exact"/>
        <w:rPr>
          <w:rFonts w:ascii="Arial" w:cs="Arial" w:eastAsia="Arial" w:hAnsi="Arial"/>
          <w:sz w:val="18"/>
          <w:szCs w:val="18"/>
          <w:color w:val="auto"/>
        </w:rPr>
      </w:pPr>
    </w:p>
    <w:p>
      <w:pPr>
        <w:ind w:right="20" w:firstLine="464"/>
        <w:spacing w:after="0" w:line="294" w:lineRule="auto"/>
        <w:tabs>
          <w:tab w:leader="none" w:pos="632" w:val="left"/>
        </w:tabs>
        <w:numPr>
          <w:ilvl w:val="0"/>
          <w:numId w:val="125"/>
        </w:numPr>
        <w:rPr>
          <w:rFonts w:ascii="Arial" w:cs="Arial" w:eastAsia="Arial" w:hAnsi="Arial"/>
          <w:sz w:val="16"/>
          <w:szCs w:val="16"/>
          <w:color w:val="auto"/>
        </w:rPr>
      </w:pPr>
      <w:r>
        <w:rPr>
          <w:rFonts w:ascii="Arial" w:cs="Arial" w:eastAsia="Arial" w:hAnsi="Arial"/>
          <w:sz w:val="16"/>
          <w:szCs w:val="16"/>
          <w:u w:val="single" w:color="auto"/>
          <w:color w:val="auto"/>
        </w:rPr>
        <w:t>Independent Contractor Status</w:t>
      </w:r>
      <w:r>
        <w:rPr>
          <w:rFonts w:ascii="Arial" w:cs="Arial" w:eastAsia="Arial" w:hAnsi="Arial"/>
          <w:sz w:val="16"/>
          <w:szCs w:val="16"/>
          <w:color w:val="auto"/>
        </w:rPr>
        <w:t>. Nothing set forth herein shall be deemed or construed to create a joint venture relationship or a partnership relationship between Green Diamond and the Company or any officers or directors of Green Diamond, it being the express intention of the parties hereto that Green Diamond, in performing services hereunder, is an independent contractor and has no authority to bind the Company. Green Diamond agrees that neither it nor any of its officers and directors, acting in their capacity as officers or directors of Green Diamond, will represent or hold themselves out as joint venturers or partners of the Company, nor represent that they have any authority to contract for or bind the Company in any manner.</w:t>
      </w:r>
    </w:p>
    <w:p>
      <w:pPr>
        <w:spacing w:after="0" w:line="116"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Green Diamond’s employees and independent contractors shall at all times remain employees and independent contractors, respectively, of Green Diamond. Green Diamond shall be solely responsible for the payment of each of its: (i) employee’s benefits and entire compensation, including employment taxes, worker’s compensation and any similar taxes associated with employment; and (ii) independent contractor’s compensation.</w:t>
      </w:r>
    </w:p>
    <w:p>
      <w:pPr>
        <w:spacing w:after="0" w:line="10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Green Diamond and the Company acknowledge that Phillip DeZwirek (“DeZwirek”) the Chief Executive Officer, a director and a controlling shareholder of the Company is an executive officer and a director of the Company and that this Agreement and the performance by Green Diamond of consulting services hereunder shall not affect the Company’s relationship with DeZwirek or the ability of DeZwirek to bind the Company when acting in such capacities.</w:t>
      </w:r>
    </w:p>
    <w:p>
      <w:pPr>
        <w:spacing w:after="0" w:line="107" w:lineRule="exact"/>
        <w:rPr>
          <w:sz w:val="20"/>
          <w:szCs w:val="20"/>
          <w:color w:val="auto"/>
        </w:rPr>
      </w:pPr>
    </w:p>
    <w:p>
      <w:pPr>
        <w:ind w:right="300" w:firstLine="464"/>
        <w:spacing w:after="0" w:line="268" w:lineRule="auto"/>
        <w:tabs>
          <w:tab w:leader="none" w:pos="632"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Mutual Representations. Warranties and Covenants</w:t>
      </w:r>
      <w:r>
        <w:rPr>
          <w:rFonts w:ascii="Arial" w:cs="Arial" w:eastAsia="Arial" w:hAnsi="Arial"/>
          <w:sz w:val="18"/>
          <w:szCs w:val="18"/>
          <w:color w:val="auto"/>
        </w:rPr>
        <w:t>. Each party represents and warrants to the other that it is not a party to any agreement, contract or understanding which will in any way restrict or prohibit it from entering into this Agreement and performing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5" w:name="page146"/>
    <w:bookmarkEnd w:id="145"/>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its obligations hereunder in accordance with the terms and conditions of this Agreement. Each party represents and warrants to the other that it has the requisite corporate authority and other approvals necessary to enter into this Agreement and that all approvals required for the execution, delivery and performance of the terms and conditions of this Agreement have been received. Each party agrees that it shall comply with all applicable federal and state or other laws, rules and regulations in the performance of its responsibilities and the exercise of its rights hereunder.</w:t>
      </w:r>
    </w:p>
    <w:p>
      <w:pPr>
        <w:spacing w:after="0" w:line="113" w:lineRule="exact"/>
        <w:rPr>
          <w:sz w:val="20"/>
          <w:szCs w:val="20"/>
          <w:color w:val="auto"/>
        </w:rPr>
      </w:pPr>
    </w:p>
    <w:p>
      <w:pPr>
        <w:ind w:right="20" w:firstLine="464"/>
        <w:spacing w:after="0" w:line="268" w:lineRule="auto"/>
        <w:tabs>
          <w:tab w:leader="none" w:pos="72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The Company’s Approvals</w:t>
      </w:r>
      <w:r>
        <w:rPr>
          <w:rFonts w:ascii="Arial" w:cs="Arial" w:eastAsia="Arial" w:hAnsi="Arial"/>
          <w:sz w:val="18"/>
          <w:szCs w:val="18"/>
          <w:color w:val="auto"/>
        </w:rPr>
        <w:t>. The Company represents and warrants to Green Diamond that the consulting arrangement between Green Diamond and the Company and this Agreement have been approved by the Company’s Board of Directors.</w:t>
      </w:r>
    </w:p>
    <w:p>
      <w:pPr>
        <w:spacing w:after="0" w:line="131" w:lineRule="exact"/>
        <w:rPr>
          <w:rFonts w:ascii="Arial" w:cs="Arial" w:eastAsia="Arial" w:hAnsi="Arial"/>
          <w:sz w:val="18"/>
          <w:szCs w:val="18"/>
          <w:color w:val="auto"/>
        </w:rPr>
      </w:pPr>
    </w:p>
    <w:p>
      <w:pPr>
        <w:ind w:right="20" w:firstLine="464"/>
        <w:spacing w:after="0" w:line="306" w:lineRule="auto"/>
        <w:tabs>
          <w:tab w:leader="none" w:pos="713"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Other Activities of Green Diamond</w:t>
      </w:r>
      <w:r>
        <w:rPr>
          <w:rFonts w:ascii="Arial" w:cs="Arial" w:eastAsia="Arial" w:hAnsi="Arial"/>
          <w:sz w:val="16"/>
          <w:szCs w:val="16"/>
          <w:color w:val="auto"/>
        </w:rPr>
        <w:t>. Green Diamond and its principals have the right to engage in such other business activities or businesses as they may choose, except that during the term of this Agreement Green Diamond may not engage in consulting relationships with businesses that directly compete with the business activities of the Company.</w:t>
      </w:r>
    </w:p>
    <w:p>
      <w:pPr>
        <w:spacing w:after="0" w:line="106" w:lineRule="exact"/>
        <w:rPr>
          <w:rFonts w:ascii="Arial" w:cs="Arial" w:eastAsia="Arial" w:hAnsi="Arial"/>
          <w:sz w:val="16"/>
          <w:szCs w:val="16"/>
          <w:color w:val="auto"/>
        </w:rPr>
      </w:pPr>
    </w:p>
    <w:p>
      <w:pPr>
        <w:ind w:right="120" w:firstLine="464"/>
        <w:spacing w:after="0" w:line="289" w:lineRule="auto"/>
        <w:tabs>
          <w:tab w:leader="none" w:pos="72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Each party shall indemnify and hold the other (including its officers, directors, employees and agents) harmless from and against any and all losses, liabilities, damages and expenses (including legal fees and expenses to be paid as incurred), judgments, fines, settlements and all other amounts arising out of any and all claims, costs, demands, actions, suits, or other proceedings (whether civil, criminal, administrative or investigative) in which the indemnified parties may be involved as parties or threatened to be involved or otherwise incurred by any of such indemnified parties arising out of or resulting from the failure by such indemnifying party or any person employed by such party to comply with the terms of this Agreement, any applicable federal, state or other law, rule or regulation relating to the provision of services under this Agreement or any gross negligence or willful misconduct of such indemnifying party occurring or alleged to have occurred in connection with or as a result of the performance or failure to perform services under this Agreement. The provisions of this section shall survive termination of this Agreement for a period of three years.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Expenses incurred in investigating claims related to and defending a civil, criminal, administrative or investigative action, suit or other proceedings shall be paid by the indemnifying parties as incurred by the indemnified parties if so requested by the indemnified parties.</w:t>
      </w:r>
    </w:p>
    <w:p>
      <w:pPr>
        <w:spacing w:after="0" w:line="1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indemnification provided hereby shall be in addition to any other rights to which the indemnified parties may be entitled under any agreement, as a matter of law or otherwise.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the right to indemnification provided shall to any extent be invalid, unenforceable or unavailable, a right of contribution shall exist for the benefit of the indemnified parties, to the extent of 99% of any and all losses, claims, damages, liabilities and expenses to which the indemnified parties may become liable, or if such level of contribution is not enforceable or otherwise invalid, in such amounts as are appropriate to reflect equitable considerations and the relative faults of each party. Such contribution provisions shall be in addition to any right to contribution otherwise available to the indemnified parties.</w:t>
      </w:r>
    </w:p>
    <w:p>
      <w:pPr>
        <w:spacing w:after="0" w:line="113" w:lineRule="exact"/>
        <w:rPr>
          <w:sz w:val="20"/>
          <w:szCs w:val="20"/>
          <w:color w:val="auto"/>
        </w:rPr>
      </w:pPr>
    </w:p>
    <w:p>
      <w:pPr>
        <w:ind w:right="220" w:firstLine="464"/>
        <w:spacing w:after="0" w:line="306" w:lineRule="auto"/>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Each of the terms and provisions of this Agreement is and is to be deemed severable in whole or in part and, if any term or provision or the application thereof in any circumstance should be invalid, illegal or unenforceable, the remaining terms and provisions or the application thereof to circumstances other than those as to which it is held invalid, illegal or unenforceable, shall not be affected thereby and shall remain in full force and effect.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46" w:name="page147"/>
    <w:bookmarkEnd w:id="146"/>
    <w:p>
      <w:pPr>
        <w:ind w:left="-40" w:right="580" w:firstLine="464"/>
        <w:spacing w:after="0" w:line="332" w:lineRule="auto"/>
        <w:tabs>
          <w:tab w:leader="none" w:pos="68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 Exclusive Rights</w:t>
      </w:r>
      <w:r>
        <w:rPr>
          <w:rFonts w:ascii="Arial" w:cs="Arial" w:eastAsia="Arial" w:hAnsi="Arial"/>
          <w:sz w:val="16"/>
          <w:szCs w:val="16"/>
          <w:color w:val="auto"/>
        </w:rPr>
        <w:t>. During the term of this Agreement, the Company shall not grant any rights to any third parties or enter into any exclusive agreements or arrangements with any third parties that would prevent Green Diamond from performing services hereunder.</w:t>
      </w:r>
    </w:p>
    <w:p>
      <w:pPr>
        <w:spacing w:after="0" w:line="85" w:lineRule="exact"/>
        <w:rPr>
          <w:rFonts w:ascii="Arial" w:cs="Arial" w:eastAsia="Arial" w:hAnsi="Arial"/>
          <w:sz w:val="16"/>
          <w:szCs w:val="16"/>
          <w:color w:val="auto"/>
        </w:rPr>
      </w:pPr>
    </w:p>
    <w:p>
      <w:pPr>
        <w:jc w:val="both"/>
        <w:ind w:left="-40" w:right="80" w:firstLine="464"/>
        <w:spacing w:after="0" w:line="298" w:lineRule="auto"/>
        <w:tabs>
          <w:tab w:leader="none" w:pos="68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hereunder shall be in writing and shall be delivered personally or sent by registered or certified mail, return receipt requested, to the other parties hereto at his or its address as set forth on the signature page of this Agreement and shall be deemed received when delivered, or three days after mailing, respectively. Any party may change the address to which notices, requests, demands, and other communications hereunder shall be sent by sending written notice of such change of address to the other parties in the manner above provided.</w:t>
      </w:r>
    </w:p>
    <w:p>
      <w:pPr>
        <w:spacing w:after="0" w:line="112" w:lineRule="exact"/>
        <w:rPr>
          <w:rFonts w:ascii="Arial" w:cs="Arial" w:eastAsia="Arial" w:hAnsi="Arial"/>
          <w:sz w:val="16"/>
          <w:szCs w:val="16"/>
          <w:color w:val="auto"/>
        </w:rPr>
      </w:pPr>
    </w:p>
    <w:p>
      <w:pPr>
        <w:ind w:left="-40" w:right="200" w:firstLine="464"/>
        <w:spacing w:after="0" w:line="335" w:lineRule="auto"/>
        <w:tabs>
          <w:tab w:leader="none" w:pos="680" w:val="left"/>
        </w:tabs>
        <w:numPr>
          <w:ilvl w:val="0"/>
          <w:numId w:val="129"/>
        </w:numPr>
        <w:rPr>
          <w:rFonts w:ascii="Arial" w:cs="Arial" w:eastAsia="Arial" w:hAnsi="Arial"/>
          <w:sz w:val="15"/>
          <w:szCs w:val="15"/>
          <w:color w:val="auto"/>
        </w:rPr>
      </w:pPr>
      <w:r>
        <w:rPr>
          <w:rFonts w:ascii="Arial" w:cs="Arial" w:eastAsia="Arial" w:hAnsi="Arial"/>
          <w:sz w:val="15"/>
          <w:szCs w:val="15"/>
          <w:u w:val="single" w:color="auto"/>
          <w:color w:val="auto"/>
        </w:rPr>
        <w:t>No Assignment</w:t>
      </w:r>
      <w:r>
        <w:rPr>
          <w:rFonts w:ascii="Arial" w:cs="Arial" w:eastAsia="Arial" w:hAnsi="Arial"/>
          <w:sz w:val="15"/>
          <w:szCs w:val="15"/>
          <w:color w:val="auto"/>
        </w:rPr>
        <w:t>. Neither Green Diamond nor the Company may assign, transfer, pledge, encumber, hypothecate or otherwise dispose of its rights or obligations under this Agreement, and any such attempted delegation, assignment or disposition by any such party shall be null, void and without effect, unless the other party consents thereto; except, that Green Diamond may assign or transfer its rights hereunder to a successor corporation controlled by DeZwirek.</w:t>
      </w:r>
    </w:p>
    <w:p>
      <w:pPr>
        <w:spacing w:after="0" w:line="88" w:lineRule="exact"/>
        <w:rPr>
          <w:rFonts w:ascii="Arial" w:cs="Arial" w:eastAsia="Arial" w:hAnsi="Arial"/>
          <w:sz w:val="15"/>
          <w:szCs w:val="15"/>
          <w:color w:val="auto"/>
        </w:rPr>
      </w:pPr>
    </w:p>
    <w:p>
      <w:pPr>
        <w:ind w:left="-40" w:right="120" w:firstLine="464"/>
        <w:spacing w:after="0" w:line="268" w:lineRule="auto"/>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Waiver by any party hereto of any breach or default by another party in respect of any of the terms and conditions of this Agreement shall not operate as a waiver of any other breach or default, whether similar to or different from the breach or default waived.</w:t>
      </w:r>
    </w:p>
    <w:p>
      <w:pPr>
        <w:spacing w:after="0" w:line="131" w:lineRule="exact"/>
        <w:rPr>
          <w:rFonts w:ascii="Arial" w:cs="Arial" w:eastAsia="Arial" w:hAnsi="Arial"/>
          <w:sz w:val="18"/>
          <w:szCs w:val="18"/>
          <w:color w:val="auto"/>
        </w:rPr>
      </w:pPr>
    </w:p>
    <w:p>
      <w:pPr>
        <w:jc w:val="both"/>
        <w:ind w:left="-40" w:right="400" w:firstLine="464"/>
        <w:spacing w:after="0" w:line="259" w:lineRule="auto"/>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Entire Agreement: Modification</w:t>
      </w:r>
      <w:r>
        <w:rPr>
          <w:rFonts w:ascii="Arial" w:cs="Arial" w:eastAsia="Arial" w:hAnsi="Arial"/>
          <w:sz w:val="18"/>
          <w:szCs w:val="18"/>
          <w:color w:val="auto"/>
        </w:rPr>
        <w:t>. This writing sets forth the entire agreement and supersedes all prior agreements among the parties respecting the subject matter hereof. No modification or amendment of this Agreement or waiver or cancellation of any provision hereof shall be valid except by a written document signed by all parties hereto.</w:t>
      </w:r>
    </w:p>
    <w:p>
      <w:pPr>
        <w:spacing w:after="0" w:line="140" w:lineRule="exact"/>
        <w:rPr>
          <w:rFonts w:ascii="Arial" w:cs="Arial" w:eastAsia="Arial" w:hAnsi="Arial"/>
          <w:sz w:val="18"/>
          <w:szCs w:val="18"/>
          <w:color w:val="auto"/>
        </w:rPr>
      </w:pPr>
    </w:p>
    <w:p>
      <w:pPr>
        <w:ind w:left="680" w:hanging="256"/>
        <w:spacing w:after="0"/>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Ohio.</w:t>
      </w:r>
    </w:p>
    <w:p>
      <w:pPr>
        <w:spacing w:after="0" w:line="171" w:lineRule="exact"/>
        <w:rPr>
          <w:rFonts w:ascii="Arial" w:cs="Arial" w:eastAsia="Arial" w:hAnsi="Arial"/>
          <w:sz w:val="18"/>
          <w:szCs w:val="18"/>
          <w:color w:val="auto"/>
        </w:rPr>
      </w:pPr>
    </w:p>
    <w:p>
      <w:pPr>
        <w:ind w:left="-40" w:firstLine="464"/>
        <w:spacing w:after="0" w:line="255" w:lineRule="auto"/>
        <w:tabs>
          <w:tab w:leader="none" w:pos="68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Dispute Resolution - Arbitration</w:t>
      </w:r>
      <w:r>
        <w:rPr>
          <w:rFonts w:ascii="Arial" w:cs="Arial" w:eastAsia="Arial" w:hAnsi="Arial"/>
          <w:sz w:val="18"/>
          <w:szCs w:val="18"/>
          <w:color w:val="auto"/>
        </w:rPr>
        <w:t>. All disputes arising out of or in connection with this Agreement, or for the breach thereof; shall be referred to and finally settled by arbitration (without being submitted to any court in the United States or elsewhere). Such arbitration shall take place in Cincinnati, Ohio, U.S.A. in accordance with the Commercial Rules of Procedure of the American Arbitration Association (“AAA”) by three arbitrators approved by the AAA, and shall be limited in duration to two days. The award rendered shall be final and binding upon both parties hereto, and judgment upon the award rendered may be entered in any court of competent jurisdiction.</w:t>
      </w:r>
    </w:p>
    <w:p>
      <w:pPr>
        <w:spacing w:after="0" w:line="142" w:lineRule="exact"/>
        <w:rPr>
          <w:rFonts w:ascii="Arial" w:cs="Arial" w:eastAsia="Arial" w:hAnsi="Arial"/>
          <w:sz w:val="18"/>
          <w:szCs w:val="18"/>
          <w:color w:val="auto"/>
        </w:rPr>
      </w:pPr>
    </w:p>
    <w:p>
      <w:pPr>
        <w:ind w:left="-40" w:right="20" w:firstLine="464"/>
        <w:spacing w:after="0" w:line="291" w:lineRule="auto"/>
        <w:tabs>
          <w:tab w:leader="none" w:pos="680"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Compliance with IRC Section 409A</w:t>
      </w:r>
      <w:r>
        <w:rPr>
          <w:rFonts w:ascii="Arial" w:cs="Arial" w:eastAsia="Arial" w:hAnsi="Arial"/>
          <w:sz w:val="16"/>
          <w:szCs w:val="16"/>
          <w:color w:val="auto"/>
        </w:rPr>
        <w:t>. Notwithstanding anything herein to the contrary, (i) if at the time of Green Diamond’s termination of engagement with the Company, the deferral of the commencement of any payments or benefits otherwise payable hereunder as a result of such termination of employment is necessary in order to prevent any accelerated or additional tax under Section 409A of the Internal Revenue Code of 1986, as amended (the “Code”), then the Company will defer the commencement of the payment of any such payments or benefits hereunder (without any reduction in such payments or benefits ultimately paid or provided to Green Diamond) until the date that is six months following Green Diamond’s termination with the Company (or the earliest date as is permitted under Section 409A of the Code) and (ii) if any other payments of money or other benefits due to Green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80" w:top="280" w:right="279" w:bottom="1440" w:gutter="0" w:footer="0" w:header="0"/>
        </w:sectPr>
      </w:pPr>
    </w:p>
    <w:bookmarkStart w:id="147" w:name="page148"/>
    <w:bookmarkEnd w:id="147"/>
    <w:p>
      <w:pPr>
        <w:ind w:right="2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Diamond hereunder could cause the application of an accelerated or additional tax under Section 409A of the Code, such payments or other benefits shall be deferred if deferral will make such payment or other benefits compliant under Section 409A of the Code, or otherwise such payment or other benefits shall be restructured, to the extent possible without any additional liability for the Company, in a manner, determined by the Compensation Committee of the Company, that does not cause such an accelerated or additional tax.</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this Agreement as of the date first written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CECO ENVIRONMENTAL CORP.</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W. Blazer</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CFO</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Pr>
          <w:p>
            <w:pPr>
              <w:spacing w:after="0"/>
              <w:rPr>
                <w:sz w:val="20"/>
                <w:szCs w:val="20"/>
                <w:color w:val="auto"/>
              </w:rPr>
            </w:pPr>
            <w:r>
              <w:rPr>
                <w:rFonts w:ascii="Arial" w:cs="Arial" w:eastAsia="Arial" w:hAnsi="Arial"/>
                <w:sz w:val="18"/>
                <w:szCs w:val="18"/>
                <w:color w:val="auto"/>
              </w:rPr>
              <w:t>3120 Forrer Street</w:t>
            </w:r>
          </w:p>
        </w:tc>
      </w:tr>
      <w:tr>
        <w:trPr>
          <w:trHeight w:val="222"/>
        </w:trPr>
        <w:tc>
          <w:tcPr>
            <w:tcW w:w="7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Cincinnati, OH 45209</w:t>
            </w:r>
          </w:p>
        </w:tc>
      </w:tr>
    </w:tbl>
    <w:p>
      <w:pPr>
        <w:spacing w:after="0" w:line="2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Can-Med Technology, Inc.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d/b/a Green Diamond Oil Corp.</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Phillip DeZwirek</w:t>
            </w:r>
          </w:p>
        </w:tc>
      </w:tr>
      <w:tr>
        <w:trPr>
          <w:trHeight w:val="217"/>
        </w:trPr>
        <w:tc>
          <w:tcPr>
            <w:tcW w:w="78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Address:</w:t>
            </w:r>
          </w:p>
        </w:tc>
        <w:tc>
          <w:tcPr>
            <w:tcW w:w="3780" w:type="dxa"/>
            <w:vAlign w:val="bottom"/>
          </w:tcPr>
          <w:p>
            <w:pPr>
              <w:spacing w:after="0"/>
              <w:rPr>
                <w:sz w:val="20"/>
                <w:szCs w:val="20"/>
                <w:color w:val="auto"/>
              </w:rPr>
            </w:pPr>
            <w:r>
              <w:rPr>
                <w:rFonts w:ascii="Arial" w:cs="Arial" w:eastAsia="Arial" w:hAnsi="Arial"/>
                <w:sz w:val="18"/>
                <w:szCs w:val="18"/>
                <w:color w:val="auto"/>
              </w:rPr>
              <w:t>505 University Avenue, Suite 1400</w:t>
            </w:r>
          </w:p>
        </w:tc>
      </w:tr>
      <w:tr>
        <w:trPr>
          <w:trHeight w:val="216"/>
        </w:trPr>
        <w:tc>
          <w:tcPr>
            <w:tcW w:w="78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Toronto, Ontario</w:t>
            </w:r>
          </w:p>
        </w:tc>
      </w:tr>
      <w:tr>
        <w:trPr>
          <w:trHeight w:val="222"/>
        </w:trPr>
        <w:tc>
          <w:tcPr>
            <w:tcW w:w="78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Canada M50 1X3</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14</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CECO ENVIRONMENTAL CORP.</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CODE OF ETHICS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Purpose and Scope</w:t>
      </w:r>
    </w:p>
    <w:p>
      <w:pPr>
        <w:spacing w:after="0" w:line="96" w:lineRule="exact"/>
        <w:rPr>
          <w:sz w:val="20"/>
          <w:szCs w:val="20"/>
          <w:color w:val="auto"/>
        </w:rPr>
      </w:pPr>
    </w:p>
    <w:p>
      <w:pPr>
        <w:jc w:val="both"/>
        <w:ind w:right="60" w:firstLine="913"/>
        <w:spacing w:after="0" w:line="259" w:lineRule="auto"/>
        <w:rPr>
          <w:sz w:val="20"/>
          <w:szCs w:val="20"/>
          <w:color w:val="auto"/>
        </w:rPr>
      </w:pPr>
      <w:r>
        <w:rPr>
          <w:rFonts w:ascii="Arial" w:cs="Arial" w:eastAsia="Arial" w:hAnsi="Arial"/>
          <w:sz w:val="18"/>
          <w:szCs w:val="18"/>
          <w:color w:val="auto"/>
        </w:rPr>
        <w:t>CECO Environmental Corp. (the “Company”) is committed to conducting its business in compliance with applicable laws, rules and regulations and in accordance with the highest ethical standards of business conduct. All of the Company’s employees are expected to conduct their activities and the operations for which they are responsible in accordance with such standards.</w:t>
      </w:r>
    </w:p>
    <w:p>
      <w:pPr>
        <w:spacing w:after="0" w:line="140" w:lineRule="exact"/>
        <w:rPr>
          <w:sz w:val="20"/>
          <w:szCs w:val="20"/>
          <w:color w:val="auto"/>
        </w:rPr>
      </w:pPr>
    </w:p>
    <w:p>
      <w:pPr>
        <w:ind w:right="40" w:firstLine="913"/>
        <w:spacing w:after="0" w:line="268" w:lineRule="auto"/>
        <w:rPr>
          <w:sz w:val="20"/>
          <w:szCs w:val="20"/>
          <w:color w:val="auto"/>
        </w:rPr>
      </w:pPr>
      <w:r>
        <w:rPr>
          <w:rFonts w:ascii="Arial" w:cs="Arial" w:eastAsia="Arial" w:hAnsi="Arial"/>
          <w:sz w:val="18"/>
          <w:szCs w:val="18"/>
          <w:color w:val="auto"/>
        </w:rPr>
        <w:t>Additionally, this Code of Ethics is established in order to comply with Section 406 of the Sarbanes-Oxley Act of 2002, related rules promulgated by the Securities and Exchange Commission (“SEC”) and the listing standards for Nasdaq listed companies.</w:t>
      </w:r>
    </w:p>
    <w:p>
      <w:pPr>
        <w:spacing w:after="0" w:line="13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This Code applies to all of our directors, officers, employees and agents, wherever they are located and whether they work for the Company on a full or part-time basis. In addition, certain provisions specifically apply to the Company’s principal executive officer and to the Company’s principal financial officer, principal accounting officer or controller, or persons performing similar functions (the “406 Officers”). We refer to all persons covered by this Code, including the 406 Officers, as “employees.”</w:t>
      </w:r>
    </w:p>
    <w:p>
      <w:pPr>
        <w:spacing w:after="0" w:line="143" w:lineRule="exact"/>
        <w:rPr>
          <w:sz w:val="20"/>
          <w:szCs w:val="20"/>
          <w:color w:val="auto"/>
        </w:rPr>
      </w:pPr>
    </w:p>
    <w:p>
      <w:pPr>
        <w:ind w:right="200" w:firstLine="913"/>
        <w:spacing w:after="0" w:line="268" w:lineRule="auto"/>
        <w:rPr>
          <w:sz w:val="20"/>
          <w:szCs w:val="20"/>
          <w:color w:val="auto"/>
        </w:rPr>
      </w:pPr>
      <w:r>
        <w:rPr>
          <w:rFonts w:ascii="Arial" w:cs="Arial" w:eastAsia="Arial" w:hAnsi="Arial"/>
          <w:sz w:val="18"/>
          <w:szCs w:val="18"/>
          <w:color w:val="auto"/>
        </w:rPr>
        <w:t>This Code contains general guidelines for conducting the business of the Company. This Code is not intended to be a comprehensive rulebook and cannot address every situation that you may face.</w:t>
      </w:r>
    </w:p>
    <w:p>
      <w:pPr>
        <w:spacing w:after="0" w:line="132"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If you have questions about the laws governing your activities on behalf of the Company, please talk to your supervisor or David Blum, Senior Vice President of the Company (the “Compliance Officer”).</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A conflict of interest occurs when an employee’s private interests interfere, or appear to interfere, with the interests of the Company as a whole. It is important for all employees to avoid not only conflicts of interest, but also the appearance of a conflict of interest.</w:t>
      </w:r>
    </w:p>
    <w:p>
      <w:pPr>
        <w:spacing w:after="0" w:line="132" w:lineRule="exact"/>
        <w:rPr>
          <w:sz w:val="20"/>
          <w:szCs w:val="20"/>
          <w:color w:val="auto"/>
        </w:rPr>
      </w:pPr>
    </w:p>
    <w:p>
      <w:pPr>
        <w:ind w:right="40" w:firstLine="913"/>
        <w:spacing w:after="0" w:line="256" w:lineRule="auto"/>
        <w:rPr>
          <w:sz w:val="20"/>
          <w:szCs w:val="20"/>
          <w:color w:val="auto"/>
        </w:rPr>
      </w:pPr>
      <w:r>
        <w:rPr>
          <w:rFonts w:ascii="Arial" w:cs="Arial" w:eastAsia="Arial" w:hAnsi="Arial"/>
          <w:sz w:val="18"/>
          <w:szCs w:val="18"/>
          <w:color w:val="auto"/>
        </w:rPr>
        <w:t>If a potential conflict of interest in the affairs of any employee either exists currently or arises in the future, it is the individual’s responsibility to report details of the situation at once in order that the facts may be properly evaluated and a decision made as to what, if any, action should be taken in connection with the matter. Should there be a question as to whether a conflict in fact exists, any doubt should be resolved in favor of assuming that there is a potential conflict and the circumstances must then be reported in writing to the Compliance Officer.</w:t>
      </w:r>
    </w:p>
    <w:p>
      <w:pPr>
        <w:spacing w:after="0" w:line="143"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Examples of potential conflicts of interest include accepting concurrent employment with, or acting as a consultant or contractor to, any Company competitor, customer or supplier; serving on the board of directors or technical advisory board of another entity; or holding a significant financial interest in any competitor, customer or supplier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149" w:name="page150"/>
    <w:bookmarkEnd w:id="149"/>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not exhaustive, conflicts of interest commonly arise in the following situations:</w:t>
      </w:r>
    </w:p>
    <w:p>
      <w:pPr>
        <w:spacing w:after="0" w:line="90" w:lineRule="exact"/>
        <w:rPr>
          <w:sz w:val="20"/>
          <w:szCs w:val="20"/>
          <w:color w:val="auto"/>
        </w:rPr>
      </w:pPr>
    </w:p>
    <w:p>
      <w:pPr>
        <w:ind w:left="900" w:right="10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an employee or a relative has a significant direct or indirect financial interest in, or obligation to, an actual or potential competitor, supplier or customer of the Company;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When an employee has a significant personal relationship (such as a family relationship) with a competitor, supplier or customer of the Company;</w:t>
      </w:r>
    </w:p>
    <w:p>
      <w:pPr>
        <w:spacing w:after="0" w:line="113" w:lineRule="exact"/>
        <w:rPr>
          <w:rFonts w:ascii="Arial" w:cs="Arial" w:eastAsia="Arial" w:hAnsi="Arial"/>
          <w:sz w:val="16"/>
          <w:szCs w:val="16"/>
          <w:color w:val="auto"/>
        </w:rPr>
      </w:pPr>
    </w:p>
    <w:p>
      <w:pPr>
        <w:ind w:left="900" w:right="34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an employee conducts business on behalf of the Company with a supplier or customer when a relative is an employee, principal, officer or representative of such supplier or customer;</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an employee, relative or agent of an employee accepts gifts of more than nominal value or excessive entertainment from a current or potential competitor, supplier or customer (please see “Gifts and Gratuities” below for additional guidelines);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When an employee misuses the information obtained in the course of his or her employment.</w:t>
      </w:r>
    </w:p>
    <w:p>
      <w:pPr>
        <w:spacing w:after="0" w:line="17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It is recognized, however, that directors of Company and any of its subsidiaries who are not employees may engage in outside activities with, or have duties to, other entities, as employees, directors, consultants or otherwise. Such activities and duties generally do not in and of themselves constitute a conflict of interest, and in fact are valuable to the Company because of the experience and perspective that outside directors offer to the Company as a result of these activities. Directors are expected to exercise sound judgment with respect to the relationship between their outside activities and their responsibilities to the Company, and at all times to act in a manner consistent with their duties of care and loyalty, as well as other applicable legal standards governing the responsibilities of directors. Directors should err on the side of caution in disclosing to the Board relationships that may constitute, or may appear to constitute, an actual or potential conflict of interest, and may be required to abstain from involvement as a Board member or as an employee, director, consultant or other affiliation with another entity, in a particular matter. Outside directors also should fully disclose their relationship with the Company to other entities with whom they have a relationship.</w:t>
      </w:r>
    </w:p>
    <w:p>
      <w:pPr>
        <w:spacing w:after="0" w:line="120" w:lineRule="exact"/>
        <w:rPr>
          <w:sz w:val="20"/>
          <w:szCs w:val="20"/>
          <w:color w:val="auto"/>
        </w:rPr>
      </w:pPr>
    </w:p>
    <w:p>
      <w:pPr>
        <w:ind w:right="200" w:firstLine="913"/>
        <w:spacing w:after="0" w:line="298" w:lineRule="auto"/>
        <w:rPr>
          <w:sz w:val="20"/>
          <w:szCs w:val="20"/>
          <w:color w:val="auto"/>
        </w:rPr>
      </w:pPr>
      <w:r>
        <w:rPr>
          <w:rFonts w:ascii="Arial" w:cs="Arial" w:eastAsia="Arial" w:hAnsi="Arial"/>
          <w:sz w:val="16"/>
          <w:szCs w:val="16"/>
          <w:color w:val="auto"/>
        </w:rPr>
        <w:t>The Company’s business must be kept separate and apart from the personal activities of its employees. Employee participation in outside activities must not be presented in a manner as to appear that the Company is endorsing the activity. Company personnel and assets are to be used solely for the business purposes of the Company. An employee must not use the Company’s corporate name, any trademark owned or associated with the Company, any Company letterhead, or any Company property, confidential information, resources, supplies or assets for personal purposes.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Compliance with Corporate Policies and Applicable Laws and Regulations</w:t>
      </w:r>
    </w:p>
    <w:p>
      <w:pPr>
        <w:spacing w:after="0" w:line="96"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Each employee is expected to comply with both the spirit and letter of all of the Company’s corporate policies and all applicable governmental laws, rules and regulations.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Gifts and Gratuities</w:t>
      </w:r>
    </w:p>
    <w:p>
      <w:pPr>
        <w:spacing w:after="0" w:line="96" w:lineRule="exact"/>
        <w:rPr>
          <w:sz w:val="20"/>
          <w:szCs w:val="20"/>
          <w:color w:val="auto"/>
        </w:rPr>
      </w:pPr>
    </w:p>
    <w:p>
      <w:pPr>
        <w:ind w:right="280" w:firstLine="913"/>
        <w:spacing w:after="0" w:line="259" w:lineRule="auto"/>
        <w:rPr>
          <w:sz w:val="20"/>
          <w:szCs w:val="20"/>
          <w:color w:val="auto"/>
        </w:rPr>
      </w:pPr>
      <w:r>
        <w:rPr>
          <w:rFonts w:ascii="Arial" w:cs="Arial" w:eastAsia="Arial" w:hAnsi="Arial"/>
          <w:sz w:val="18"/>
          <w:szCs w:val="18"/>
          <w:color w:val="auto"/>
        </w:rPr>
        <w:t>Appropriate business gifts and entertainment are courtesies designed to build relationships and understanding among business partners. However, common sense and good judgment should always be exercised in providing or accepting business meals, entertainment or nominal gifts. While individual circumstances differ, the overriding principle concerning gratuities is not to give 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50" w:name="page151"/>
    <w:bookmarkEnd w:id="150"/>
    <w:p>
      <w:pPr>
        <w:jc w:val="both"/>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accept anything of value that could be perceived as creating an obligation on the part of the recipient to act other than in the best interests of his or her employer or otherwise taint the objectivity of the individual’s involvement. It is the employee’s responsibility to use good judgment in this area. All gifts and entertainment expenses must be properly accounted for on expense reports.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Use of Company Resources / Computer E-Mail</w:t>
      </w:r>
    </w:p>
    <w:p>
      <w:pPr>
        <w:spacing w:after="0" w:line="9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Company resources, including time, materials, equipment and information, are provided for Company business use. Employees are trusted to use good judgment to conserve Company resources. Personal use of Company resources is inappropriate. In no event may an employee use Company funds or assets for an unlawful purpose.</w:t>
      </w:r>
    </w:p>
    <w:p>
      <w:pPr>
        <w:spacing w:after="0" w:line="14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Company’s computer resources, which include the electronic mail system, are not intended to be used for amusement, solicitation or other non-business purposes. E-mail messages should be treated as any other written business communication. The Company may monitor employees’ e-mail and other computer use.</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Confidential Information</w:t>
      </w:r>
    </w:p>
    <w:p>
      <w:pPr>
        <w:spacing w:after="0" w:line="96"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Employees may from time to time have access to confidential or proprietary information (which includes any non-public information, whether of a business, financial, personnel, technological or commercial nature) of the Company or third parties, such as customers and suppliers of the Company, that an employee has learned, generated or acquired. Each employee has a fiduciary and a legal obligation to the Company and such third parties to treat such information in confidence and not to disclose it to any other party or use it, directly or indirectly, for one’s own purpose, whether during or after employment with the Company.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Insider Trading</w:t>
      </w:r>
    </w:p>
    <w:p>
      <w:pPr>
        <w:spacing w:after="0" w:line="96" w:lineRule="exact"/>
        <w:rPr>
          <w:sz w:val="20"/>
          <w:szCs w:val="20"/>
          <w:color w:val="auto"/>
        </w:rPr>
      </w:pPr>
    </w:p>
    <w:p>
      <w:pPr>
        <w:ind w:right="220" w:firstLine="913"/>
        <w:spacing w:after="0" w:line="255" w:lineRule="auto"/>
        <w:rPr>
          <w:sz w:val="20"/>
          <w:szCs w:val="20"/>
          <w:color w:val="auto"/>
        </w:rPr>
      </w:pPr>
      <w:r>
        <w:rPr>
          <w:rFonts w:ascii="Arial" w:cs="Arial" w:eastAsia="Arial" w:hAnsi="Arial"/>
          <w:sz w:val="18"/>
          <w:szCs w:val="18"/>
          <w:color w:val="auto"/>
        </w:rPr>
        <w:t>The Company’s employees are prohibited from engaging in “insider trading.” Prohibitions are based on federal securities laws and deal with the possession and use of “material” information. Employees who have material non-public information about the Company or other companies as a result of their Company connections are prohibited from trading in securities of those Companies, as well as from communicating such information to family or friends. “Material” information is information that might affect a reasonable investor’s decision to purchase or sell a security. “Non-public” information is information that is not available to the general public.</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Supplementary Ethical Standards of Conduct For 406 Officers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406 Officers are expected to abide by the following tenets in addition to the rest of this Code. Each 406 Officer will:</w:t>
      </w:r>
    </w:p>
    <w:p>
      <w:pPr>
        <w:spacing w:after="0" w:line="90" w:lineRule="exact"/>
        <w:rPr>
          <w:sz w:val="20"/>
          <w:szCs w:val="20"/>
          <w:color w:val="auto"/>
        </w:rPr>
      </w:pPr>
    </w:p>
    <w:p>
      <w:pPr>
        <w:ind w:left="440" w:hanging="216"/>
        <w:spacing w:after="0"/>
        <w:tabs>
          <w:tab w:leader="none" w:pos="4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Act with honesty and integrity and in an ethical manner, avoiding actual or apparent conflicts of interest in their personal and professional relationships;</w:t>
      </w:r>
    </w:p>
    <w:p>
      <w:pPr>
        <w:spacing w:after="0" w:line="113" w:lineRule="exact"/>
        <w:rPr>
          <w:rFonts w:ascii="Arial" w:cs="Arial" w:eastAsia="Arial" w:hAnsi="Arial"/>
          <w:sz w:val="16"/>
          <w:szCs w:val="16"/>
          <w:color w:val="auto"/>
        </w:rPr>
      </w:pPr>
    </w:p>
    <w:p>
      <w:pPr>
        <w:ind w:left="440" w:right="240" w:hanging="216"/>
        <w:spacing w:after="0" w:line="268" w:lineRule="auto"/>
        <w:tabs>
          <w:tab w:leader="none" w:pos="4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Provide shareholders with information that is accurate, complete, objective, fair, relevant, timely and understandable, including in Company filings with and other submissions to the SEC;</w:t>
      </w:r>
    </w:p>
    <w:p>
      <w:pPr>
        <w:spacing w:after="0" w:line="50" w:lineRule="exact"/>
        <w:rPr>
          <w:rFonts w:ascii="Arial" w:cs="Arial" w:eastAsia="Arial" w:hAnsi="Arial"/>
          <w:sz w:val="18"/>
          <w:szCs w:val="18"/>
          <w:color w:val="auto"/>
        </w:rPr>
      </w:pPr>
    </w:p>
    <w:p>
      <w:pPr>
        <w:ind w:left="440" w:hanging="216"/>
        <w:spacing w:after="0"/>
        <w:tabs>
          <w:tab w:leader="none" w:pos="4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Comply with rules and regulations of federal, state, applicable and local governments, and other appropriate private and public regulatory agencies;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80" w:right="279" w:bottom="1440" w:gutter="0" w:footer="0" w:header="0"/>
        </w:sectPr>
      </w:pPr>
    </w:p>
    <w:bookmarkStart w:id="151" w:name="page152"/>
    <w:bookmarkEnd w:id="151"/>
    <w:p>
      <w:pPr>
        <w:ind w:left="432" w:right="100" w:hanging="216"/>
        <w:spacing w:after="0" w:line="268" w:lineRule="auto"/>
        <w:tabs>
          <w:tab w:leader="none" w:pos="4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Act in good faith, responsibly, with due care, competence and diligence, without misrepresenting material facts or allowing one’s independent judgment to be subordinated;</w:t>
      </w:r>
    </w:p>
    <w:p>
      <w:pPr>
        <w:spacing w:after="0" w:line="50" w:lineRule="exact"/>
        <w:rPr>
          <w:rFonts w:ascii="Arial" w:cs="Arial" w:eastAsia="Arial" w:hAnsi="Arial"/>
          <w:sz w:val="18"/>
          <w:szCs w:val="18"/>
          <w:color w:val="auto"/>
        </w:rPr>
      </w:pPr>
    </w:p>
    <w:p>
      <w:pPr>
        <w:ind w:left="432" w:right="440" w:hanging="216"/>
        <w:spacing w:after="0" w:line="268" w:lineRule="auto"/>
        <w:tabs>
          <w:tab w:leader="none" w:pos="4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Respect the confidentiality of information acquired in the Company’s business except when authorized or otherwise legally obligated to disclose such information;</w:t>
      </w:r>
    </w:p>
    <w:p>
      <w:pPr>
        <w:spacing w:after="0" w:line="50" w:lineRule="exact"/>
        <w:rPr>
          <w:rFonts w:ascii="Arial" w:cs="Arial" w:eastAsia="Arial" w:hAnsi="Arial"/>
          <w:sz w:val="18"/>
          <w:szCs w:val="18"/>
          <w:color w:val="auto"/>
        </w:rPr>
      </w:pPr>
    </w:p>
    <w:p>
      <w:pPr>
        <w:ind w:left="432" w:hanging="216"/>
        <w:spacing w:after="0"/>
        <w:tabs>
          <w:tab w:leader="none" w:pos="4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 use confidential information acquired in the course of performance of one’s duties to the Company for personal advantage;</w:t>
      </w:r>
    </w:p>
    <w:p>
      <w:pPr>
        <w:spacing w:after="0" w:line="90" w:lineRule="exact"/>
        <w:rPr>
          <w:rFonts w:ascii="Arial" w:cs="Arial" w:eastAsia="Arial" w:hAnsi="Arial"/>
          <w:sz w:val="18"/>
          <w:szCs w:val="18"/>
          <w:color w:val="auto"/>
        </w:rPr>
      </w:pPr>
    </w:p>
    <w:p>
      <w:pPr>
        <w:ind w:left="432" w:hanging="216"/>
        <w:spacing w:after="0"/>
        <w:tabs>
          <w:tab w:leader="none" w:pos="4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Achieve responsible use of and control over all Company assets and resources that are employed or entrusted to us;</w:t>
      </w:r>
    </w:p>
    <w:p>
      <w:pPr>
        <w:spacing w:after="0" w:line="90" w:lineRule="exact"/>
        <w:rPr>
          <w:rFonts w:ascii="Arial" w:cs="Arial" w:eastAsia="Arial" w:hAnsi="Arial"/>
          <w:sz w:val="18"/>
          <w:szCs w:val="18"/>
          <w:color w:val="auto"/>
        </w:rPr>
      </w:pPr>
    </w:p>
    <w:p>
      <w:pPr>
        <w:ind w:left="432" w:right="280" w:hanging="216"/>
        <w:spacing w:after="0" w:line="268" w:lineRule="auto"/>
        <w:tabs>
          <w:tab w:leader="none" w:pos="432"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 unduly or fraudulently influence, coerce, manipulate or mislead any authorized audit or interfere with any auditor engaged in the performance of an internal or independent audit of the Company’s financial statements or accounting books and records;</w:t>
      </w:r>
    </w:p>
    <w:p>
      <w:pPr>
        <w:spacing w:after="0" w:line="50" w:lineRule="exact"/>
        <w:rPr>
          <w:rFonts w:ascii="Arial" w:cs="Arial" w:eastAsia="Arial" w:hAnsi="Arial"/>
          <w:sz w:val="18"/>
          <w:szCs w:val="18"/>
          <w:color w:val="auto"/>
        </w:rPr>
      </w:pPr>
    </w:p>
    <w:p>
      <w:pPr>
        <w:ind w:left="432" w:hanging="216"/>
        <w:spacing w:after="0" w:line="306" w:lineRule="auto"/>
        <w:tabs>
          <w:tab w:leader="none" w:pos="432" w:val="left"/>
        </w:tabs>
        <w:numPr>
          <w:ilvl w:val="0"/>
          <w:numId w:val="132"/>
        </w:numPr>
        <w:rPr>
          <w:rFonts w:ascii="Arial" w:cs="Arial" w:eastAsia="Arial" w:hAnsi="Arial"/>
          <w:sz w:val="16"/>
          <w:szCs w:val="16"/>
          <w:color w:val="auto"/>
        </w:rPr>
      </w:pPr>
      <w:r>
        <w:rPr>
          <w:rFonts w:ascii="Arial" w:cs="Arial" w:eastAsia="Arial" w:hAnsi="Arial"/>
          <w:sz w:val="16"/>
          <w:szCs w:val="16"/>
          <w:color w:val="auto"/>
        </w:rPr>
        <w:t>Promptly report to the Compliance Officer or a member of the Audit Committee any known or suspected violation of this Code or other Company policies or guidelines. Failure of the 406 Officers to comply with this Code will not be tolerated by the Company. Any deviations therefrom or violations hereof will result in serious consequences, which may include, but may not be limited to, serious reprimand, dismissal or other legal actions.</w:t>
      </w:r>
    </w:p>
    <w:p>
      <w:pPr>
        <w:spacing w:after="0" w:line="182"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Administration of the Code of Ethics</w:t>
      </w:r>
    </w:p>
    <w:p>
      <w:pPr>
        <w:spacing w:after="0" w:line="9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This Code shall be administered as follows:</w:t>
      </w:r>
    </w:p>
    <w:p>
      <w:pPr>
        <w:spacing w:after="0" w:line="84" w:lineRule="exact"/>
        <w:rPr>
          <w:sz w:val="20"/>
          <w:szCs w:val="20"/>
          <w:color w:val="auto"/>
        </w:rPr>
      </w:pPr>
    </w:p>
    <w:p>
      <w:pPr>
        <w:ind w:left="452" w:hanging="452"/>
        <w:spacing w:after="0"/>
        <w:tabs>
          <w:tab w:leader="none" w:pos="452"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Responsibility for Administration</w:t>
      </w:r>
    </w:p>
    <w:p>
      <w:pPr>
        <w:spacing w:after="0" w:line="96" w:lineRule="exact"/>
        <w:rPr>
          <w:sz w:val="20"/>
          <w:szCs w:val="20"/>
          <w:color w:val="auto"/>
        </w:rPr>
      </w:pPr>
    </w:p>
    <w:p>
      <w:pPr>
        <w:ind w:left="452" w:right="80" w:firstLine="438"/>
        <w:spacing w:after="0" w:line="259" w:lineRule="auto"/>
        <w:rPr>
          <w:sz w:val="20"/>
          <w:szCs w:val="20"/>
          <w:color w:val="auto"/>
        </w:rPr>
      </w:pPr>
      <w:r>
        <w:rPr>
          <w:rFonts w:ascii="Arial" w:cs="Arial" w:eastAsia="Arial" w:hAnsi="Arial"/>
          <w:sz w:val="18"/>
          <w:szCs w:val="18"/>
          <w:color w:val="auto"/>
        </w:rPr>
        <w:t>The Board or the Audit Committee, to the extent empowered by the Board (the “Administrator”), shall be responsible for interpreting and administering this Code. In discharging its responsibilities, the Administrator may engage such agents and advisors as it shall deem necessary or desirable, including but not limited to, attorneys and accountants.</w:t>
      </w:r>
    </w:p>
    <w:p>
      <w:pPr>
        <w:spacing w:after="0" w:line="59" w:lineRule="exact"/>
        <w:rPr>
          <w:sz w:val="20"/>
          <w:szCs w:val="20"/>
          <w:color w:val="auto"/>
        </w:rPr>
      </w:pPr>
    </w:p>
    <w:p>
      <w:pPr>
        <w:ind w:left="892"/>
        <w:spacing w:after="0"/>
        <w:rPr>
          <w:sz w:val="20"/>
          <w:szCs w:val="20"/>
          <w:color w:val="auto"/>
        </w:rPr>
      </w:pPr>
      <w:r>
        <w:rPr>
          <w:rFonts w:ascii="Arial" w:cs="Arial" w:eastAsia="Arial" w:hAnsi="Arial"/>
          <w:sz w:val="18"/>
          <w:szCs w:val="18"/>
          <w:color w:val="auto"/>
        </w:rPr>
        <w:t>The Compliance Officer is David Blum. David Blum is the Senior Vice President of the Company.</w:t>
      </w:r>
    </w:p>
    <w:p>
      <w:pPr>
        <w:spacing w:after="0" w:line="206" w:lineRule="exact"/>
        <w:rPr>
          <w:sz w:val="20"/>
          <w:szCs w:val="20"/>
          <w:color w:val="auto"/>
        </w:rPr>
      </w:pPr>
    </w:p>
    <w:p>
      <w:pPr>
        <w:ind w:left="452" w:hanging="452"/>
        <w:spacing w:after="0"/>
        <w:tabs>
          <w:tab w:leader="none" w:pos="452"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Procedure for Reporting Violations of the Code</w:t>
      </w:r>
    </w:p>
    <w:p>
      <w:pPr>
        <w:spacing w:after="0" w:line="96" w:lineRule="exact"/>
        <w:rPr>
          <w:sz w:val="20"/>
          <w:szCs w:val="20"/>
          <w:color w:val="auto"/>
        </w:rPr>
      </w:pPr>
    </w:p>
    <w:p>
      <w:pPr>
        <w:ind w:left="452" w:right="260" w:firstLine="438"/>
        <w:spacing w:after="0" w:line="259" w:lineRule="auto"/>
        <w:rPr>
          <w:sz w:val="20"/>
          <w:szCs w:val="20"/>
          <w:color w:val="auto"/>
        </w:rPr>
      </w:pPr>
      <w:r>
        <w:rPr>
          <w:rFonts w:ascii="Arial" w:cs="Arial" w:eastAsia="Arial" w:hAnsi="Arial"/>
          <w:sz w:val="18"/>
          <w:szCs w:val="18"/>
          <w:color w:val="auto"/>
        </w:rPr>
        <w:t>If you suspect any activity or conduct to be in violation of this Code or any applicable corporate policies, governmental laws, rules or regulations, you should immediately report the circumstances to your supervisor or the Compliance Officer, or if you are a 406 Officer, immediately report the circumstances to the Compliance Officer or a member of the Audit Committee.</w:t>
      </w:r>
    </w:p>
    <w:p>
      <w:pPr>
        <w:spacing w:after="0" w:line="175" w:lineRule="exact"/>
        <w:rPr>
          <w:sz w:val="20"/>
          <w:szCs w:val="20"/>
          <w:color w:val="auto"/>
        </w:rPr>
      </w:pPr>
    </w:p>
    <w:p>
      <w:pPr>
        <w:ind w:left="452" w:hanging="452"/>
        <w:spacing w:after="0"/>
        <w:tabs>
          <w:tab w:leader="none" w:pos="452"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Confidentiality and Policy Against Retaliation</w:t>
      </w:r>
    </w:p>
    <w:p>
      <w:pPr>
        <w:spacing w:after="0" w:line="96" w:lineRule="exact"/>
        <w:rPr>
          <w:sz w:val="20"/>
          <w:szCs w:val="20"/>
          <w:color w:val="auto"/>
        </w:rPr>
      </w:pPr>
    </w:p>
    <w:p>
      <w:pPr>
        <w:ind w:left="452" w:firstLine="438"/>
        <w:spacing w:after="0" w:line="259" w:lineRule="auto"/>
        <w:rPr>
          <w:sz w:val="20"/>
          <w:szCs w:val="20"/>
          <w:color w:val="auto"/>
        </w:rPr>
      </w:pPr>
      <w:r>
        <w:rPr>
          <w:rFonts w:ascii="Arial" w:cs="Arial" w:eastAsia="Arial" w:hAnsi="Arial"/>
          <w:sz w:val="18"/>
          <w:szCs w:val="18"/>
          <w:color w:val="auto"/>
        </w:rPr>
        <w:t>All questions and reports of known or suspected violations of the law or this Code will be treated with sensitivity and discretion. Reports of unethical or illegal conduct shall be promptly investigated by the Administrator. The Company strictly prohibits retaliation against an employee who, in good faith, seeks help or reports known or suspected violations. Retaliation in</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79" w:right="259" w:bottom="1440" w:gutter="0" w:footer="0" w:header="0"/>
        </w:sectPr>
      </w:pPr>
    </w:p>
    <w:bookmarkStart w:id="152" w:name="page153"/>
    <w:bookmarkEnd w:id="152"/>
    <w:p>
      <w:pPr>
        <w:ind w:left="460" w:right="5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form against an individual who reports a suspected violation in good faith, even if the report is mistaken, or who assists in the investigation of a reported violation, is strictly prohibited. Any act or threatened act of retaliation should be reported immediately to the Compliance Officer.</w:t>
      </w:r>
    </w:p>
    <w:p>
      <w:pPr>
        <w:spacing w:after="0" w:line="120" w:lineRule="exact"/>
        <w:rPr>
          <w:sz w:val="20"/>
          <w:szCs w:val="20"/>
          <w:color w:val="auto"/>
        </w:rPr>
      </w:pPr>
    </w:p>
    <w:p>
      <w:pPr>
        <w:ind w:left="460" w:hanging="452"/>
        <w:spacing w:after="0"/>
        <w:tabs>
          <w:tab w:leader="none" w:pos="4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Waivers of the Code and Disclosures</w:t>
      </w:r>
    </w:p>
    <w:p>
      <w:pPr>
        <w:spacing w:after="0" w:line="96" w:lineRule="exact"/>
        <w:rPr>
          <w:sz w:val="20"/>
          <w:szCs w:val="20"/>
          <w:color w:val="auto"/>
        </w:rPr>
      </w:pPr>
    </w:p>
    <w:p>
      <w:pPr>
        <w:ind w:left="460" w:firstLine="438"/>
        <w:spacing w:after="0" w:line="298" w:lineRule="auto"/>
        <w:rPr>
          <w:sz w:val="20"/>
          <w:szCs w:val="20"/>
          <w:color w:val="auto"/>
        </w:rPr>
      </w:pPr>
      <w:r>
        <w:rPr>
          <w:rFonts w:ascii="Arial" w:cs="Arial" w:eastAsia="Arial" w:hAnsi="Arial"/>
          <w:sz w:val="16"/>
          <w:szCs w:val="16"/>
          <w:color w:val="auto"/>
        </w:rPr>
        <w:t>Waivers of this Code will be granted on a case-by-case basis and only in extraordinary circumstances. Waivers of this Code for employees (other than 406 Officers) may be made only by an executive officer of the Company with the concurrence of the Compliance Officer or the Administrator. Any waiver of this Code for our directors, executive officers or other principal officers, including the 406 Officers, may be made only by our Board of Directors and will be promptly disclosed to the public as required by applicable laws, rules or regulations.</w:t>
      </w:r>
    </w:p>
    <w:p>
      <w:pPr>
        <w:spacing w:after="0" w:line="147"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Compliance and Violations</w:t>
      </w:r>
    </w:p>
    <w:p>
      <w:pPr>
        <w:spacing w:after="0" w:line="96" w:lineRule="exact"/>
        <w:rPr>
          <w:sz w:val="20"/>
          <w:szCs w:val="20"/>
          <w:color w:val="auto"/>
        </w:rPr>
      </w:pPr>
    </w:p>
    <w:p>
      <w:pPr>
        <w:jc w:val="both"/>
        <w:ind w:left="460" w:right="260" w:firstLine="438"/>
        <w:spacing w:after="0" w:line="259" w:lineRule="auto"/>
        <w:rPr>
          <w:sz w:val="20"/>
          <w:szCs w:val="20"/>
          <w:color w:val="auto"/>
        </w:rPr>
      </w:pPr>
      <w:r>
        <w:rPr>
          <w:rFonts w:ascii="Arial" w:cs="Arial" w:eastAsia="Arial" w:hAnsi="Arial"/>
          <w:sz w:val="18"/>
          <w:szCs w:val="18"/>
          <w:color w:val="auto"/>
        </w:rPr>
        <w:t>All Company employees are expected to comply fully with this Code. The Administrator shall enforce this Code through appropriate disciplinary actions. The Administrator shall determine whether violations of this Code have occurred and, if so, shall determine the disciplinary actions to be taken against any individual who has violated this Code.</w:t>
      </w:r>
    </w:p>
    <w:p>
      <w:pPr>
        <w:spacing w:after="0" w:line="59" w:lineRule="exact"/>
        <w:rPr>
          <w:sz w:val="20"/>
          <w:szCs w:val="20"/>
          <w:color w:val="auto"/>
        </w:rPr>
      </w:pPr>
    </w:p>
    <w:p>
      <w:pPr>
        <w:ind w:left="460" w:right="60" w:firstLine="438"/>
        <w:spacing w:after="0" w:line="256" w:lineRule="auto"/>
        <w:rPr>
          <w:sz w:val="20"/>
          <w:szCs w:val="20"/>
          <w:color w:val="auto"/>
        </w:rPr>
      </w:pPr>
      <w:r>
        <w:rPr>
          <w:rFonts w:ascii="Arial" w:cs="Arial" w:eastAsia="Arial" w:hAnsi="Arial"/>
          <w:sz w:val="18"/>
          <w:szCs w:val="18"/>
          <w:color w:val="auto"/>
        </w:rPr>
        <w:t>It is the Company’s policy that any employee who violates this Code will be subject to appropriate discipline, including potential termination of employment, determined based upon the facts and circumstances of each particular situation. The disciplinary actions available to the Administrator include counseling, oral or written reprimands, warnings, probations or suspensions (with or without pay), demotions, reductions in salary, terminations of employment and restitution.</w:t>
      </w:r>
    </w:p>
    <w:p>
      <w:pPr>
        <w:spacing w:after="0" w:line="143" w:lineRule="exact"/>
        <w:rPr>
          <w:sz w:val="20"/>
          <w:szCs w:val="20"/>
          <w:color w:val="auto"/>
        </w:rPr>
      </w:pPr>
    </w:p>
    <w:p>
      <w:pPr>
        <w:ind w:right="160" w:firstLine="913"/>
        <w:spacing w:after="0" w:line="306" w:lineRule="auto"/>
        <w:rPr>
          <w:sz w:val="20"/>
          <w:szCs w:val="20"/>
          <w:color w:val="auto"/>
        </w:rPr>
      </w:pPr>
      <w:r>
        <w:rPr>
          <w:rFonts w:ascii="Arial" w:cs="Arial" w:eastAsia="Arial" w:hAnsi="Arial"/>
          <w:sz w:val="16"/>
          <w:szCs w:val="16"/>
          <w:color w:val="auto"/>
        </w:rPr>
        <w:t>Nothing in this Code prohibits or restricts the Company from taking disciplinary action on any matters pertaining to employee conduct, whether or not they are expressly discussed in this Code. This Code is not intended to create any expressed or implied contract with any employee or third party. In particular, nothing in this Code creates any employment contract between the Company and any employee.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SUBSIDIARIES OF THE COMPANY</w:t>
      </w:r>
    </w:p>
    <w:p>
      <w:pPr>
        <w:sectPr>
          <w:pgSz w:w="11900" w:h="16838" w:orient="portrait"/>
          <w:cols w:equalWidth="0" w:num="1">
            <w:col w:w="11420"/>
          </w:cols>
          <w:pgMar w:left="240" w:top="125" w:right="239" w:bottom="1440" w:gutter="0" w:footer="0" w:header="0"/>
        </w:sect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CECO Group,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CECO Filters,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 Abatement Systems,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H.M. White, Inc. (f/k/a CECO Energy,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CECOaire, Inc.</w:t>
      </w:r>
    </w:p>
    <w:p>
      <w:pPr>
        <w:spacing w:after="0" w:line="9" w:lineRule="exact"/>
        <w:rPr>
          <w:sz w:val="20"/>
          <w:szCs w:val="20"/>
          <w:color w:val="auto"/>
        </w:rPr>
      </w:pPr>
    </w:p>
    <w:p>
      <w:pPr>
        <w:ind w:right="1440"/>
        <w:spacing w:after="0" w:line="250" w:lineRule="auto"/>
        <w:rPr>
          <w:sz w:val="20"/>
          <w:szCs w:val="20"/>
          <w:color w:val="auto"/>
        </w:rPr>
      </w:pPr>
      <w:r>
        <w:rPr>
          <w:rFonts w:ascii="Arial" w:cs="Arial" w:eastAsia="Arial" w:hAnsi="Arial"/>
          <w:sz w:val="18"/>
          <w:szCs w:val="18"/>
          <w:color w:val="auto"/>
        </w:rPr>
        <w:t>The Kirk &amp; Blum Manufacturing Company kbd/Technic,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CECO Filters India Pvt.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Busch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CECO Acquisition Corp.</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Group,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(Ohio, subsidiary of CECO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(Indiana, subsidiary of CECO Group,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(India, subsidiary of CECO Filters,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Filters,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 subsidiary of CECO Group, Inc.)</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w:t>
      </w:r>
    </w:p>
    <w:p>
      <w:pPr>
        <w:sectPr>
          <w:pgSz w:w="11900" w:h="16838" w:orient="portrait"/>
          <w:cols w:equalWidth="0" w:num="2">
            <w:col w:w="4520" w:space="720"/>
            <w:col w:w="6180"/>
          </w:cols>
          <w:pgMar w:left="240" w:top="125" w:right="23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8"/>
          <w:szCs w:val="18"/>
          <w:color w:val="auto"/>
        </w:rPr>
        <w:t>EXHIBIT 23.1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ACCOUNTING FIRM</w:t>
      </w:r>
    </w:p>
    <w:p>
      <w:pPr>
        <w:spacing w:after="0" w:line="8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independent auditors, we hereby consent to the incorporation of our reports included in and incorporated by reference in this Form 10-K, into the Company’s previously filed Registration Statement (No. 333-130294).</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/s/ Battelle &amp; Battelle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Dayton,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29, 2007</w:t>
      </w:r>
    </w:p>
    <w:p>
      <w:pPr>
        <w:sectPr>
          <w:pgSz w:w="11900" w:h="16838" w:orient="portrait"/>
          <w:cols w:equalWidth="0" w:num="1">
            <w:col w:w="11420"/>
          </w:cols>
          <w:pgMar w:left="240" w:top="131"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23.2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 333-130294 on Form S-3 of our report dated March 31, 2005, relating to the consolidated financial statements of CECO Environmental Corp. for the year ended December 31, 2004, appearing in the Annual Report on Form 10-K of CECO Environmental Corp. for the year ended December 31, 2006.</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Cincinnati, Ohio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23, 2007</w:t>
      </w:r>
    </w:p>
    <w:p>
      <w:pPr>
        <w:sectPr>
          <w:pgSz w:w="11900" w:h="16838" w:orient="portrait"/>
          <w:cols w:equalWidth="0" w:num="1">
            <w:col w:w="11420"/>
          </w:cols>
          <w:pgMar w:left="240" w:top="125"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 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Phillip DeZwirek, certify that:</w:t>
      </w:r>
    </w:p>
    <w:p>
      <w:pPr>
        <w:spacing w:after="0" w:line="90"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2006, of CECO Environmental Corp.;</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700" w:hanging="452"/>
        <w:spacing w:after="0" w:line="268" w:lineRule="auto"/>
        <w:tabs>
          <w:tab w:leader="none" w:pos="4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00" w:hanging="452"/>
        <w:spacing w:after="0" w:line="332" w:lineRule="auto"/>
        <w:tabs>
          <w:tab w:leader="none" w:pos="4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of the Board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 2007</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BY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Dennis W. Blazer, certify that:</w:t>
      </w:r>
    </w:p>
    <w:p>
      <w:pPr>
        <w:spacing w:after="0" w:line="90" w:lineRule="exact"/>
        <w:rPr>
          <w:sz w:val="20"/>
          <w:szCs w:val="20"/>
          <w:color w:val="auto"/>
        </w:rPr>
      </w:pPr>
    </w:p>
    <w:p>
      <w:pPr>
        <w:ind w:left="460" w:hanging="452"/>
        <w:spacing w:after="0"/>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2006, of CECO Environmental Corp.;</w:t>
      </w:r>
    </w:p>
    <w:p>
      <w:pPr>
        <w:spacing w:after="0" w:line="90" w:lineRule="exact"/>
        <w:rPr>
          <w:rFonts w:ascii="Arial" w:cs="Arial" w:eastAsia="Arial" w:hAnsi="Arial"/>
          <w:sz w:val="18"/>
          <w:szCs w:val="18"/>
          <w:color w:val="auto"/>
        </w:rPr>
      </w:pPr>
    </w:p>
    <w:p>
      <w:pPr>
        <w:jc w:val="both"/>
        <w:ind w:left="460" w:right="240" w:hanging="452"/>
        <w:spacing w:after="0" w:line="259"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59" w:lineRule="exact"/>
        <w:rPr>
          <w:rFonts w:ascii="Arial" w:cs="Arial" w:eastAsia="Arial" w:hAnsi="Arial"/>
          <w:sz w:val="18"/>
          <w:szCs w:val="18"/>
          <w:color w:val="auto"/>
        </w:rPr>
      </w:pPr>
    </w:p>
    <w:p>
      <w:pPr>
        <w:ind w:left="460" w:right="200" w:hanging="452"/>
        <w:spacing w:after="0" w:line="332" w:lineRule="auto"/>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4" w:lineRule="exact"/>
        <w:rPr>
          <w:rFonts w:ascii="Arial" w:cs="Arial" w:eastAsia="Arial" w:hAnsi="Arial"/>
          <w:sz w:val="16"/>
          <w:szCs w:val="16"/>
          <w:color w:val="auto"/>
        </w:rPr>
      </w:pPr>
    </w:p>
    <w:p>
      <w:pPr>
        <w:ind w:left="460" w:right="700" w:hanging="452"/>
        <w:spacing w:after="0" w:line="268" w:lineRule="auto"/>
        <w:tabs>
          <w:tab w:leader="none" w:pos="4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00" w:hanging="452"/>
        <w:spacing w:after="0" w:line="332" w:lineRule="auto"/>
        <w:tabs>
          <w:tab w:leader="none" w:pos="4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Vice President - Finance and Administration and Chief Financial</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 2007</w:t>
      </w:r>
    </w:p>
    <w:p>
      <w:pPr>
        <w:sectPr>
          <w:pgSz w:w="11900" w:h="16838" w:orient="portrait"/>
          <w:cols w:equalWidth="0" w:num="1">
            <w:col w:w="11420"/>
          </w:cols>
          <w:pgMar w:left="240" w:top="125"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In connection with the Annual Report of CECO Environmental Corp. (the “Company”) on Form 10-K for the period ending December 31, 2006, as filed with the Securities and Exchange Commission on the date hereof (the “Report”), I, Phillip DeZwirek, Chairman of the Board and Chief Executive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Phillip DeZwirek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Phillip DeZwirek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Chairman of the Board and Chief Executive Officer April 2,</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2007</w:t>
      </w:r>
    </w:p>
    <w:p>
      <w:pPr>
        <w:sectPr>
          <w:pgSz w:w="11900" w:h="16838" w:orient="portrait"/>
          <w:cols w:equalWidth="0" w:num="1">
            <w:col w:w="11420"/>
          </w:cols>
          <w:pgMar w:left="240" w:top="125"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Annual Report of CECO Environmental Corp. (the “Company”) on Form 10-K for the period ending December 31, 2006, as filed with the Securities and Exchange Commission on the date hereof (the “Report”), I, Dennis W. Blazer, Vice President-Finance and Administration and Chief Financial Officer of the Company, certify, pursuant to 18 U.S.C. Section 1350, as adopted pursuant to Section 906 of the Sarbanes-Oxley Act of 2002, that:</w:t>
      </w:r>
    </w:p>
    <w:p>
      <w:pPr>
        <w:spacing w:after="0" w:line="26" w:lineRule="exact"/>
        <w:rPr>
          <w:sz w:val="20"/>
          <w:szCs w:val="20"/>
          <w:color w:val="auto"/>
        </w:rPr>
      </w:pPr>
    </w:p>
    <w:p>
      <w:pPr>
        <w:ind w:left="900" w:hanging="446"/>
        <w:spacing w:after="0"/>
        <w:tabs>
          <w:tab w:leader="none" w:pos="9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Dennis W. Blazer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W. Blazer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President-Finance and Administration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April 2, 2007</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
      <w:numFmt w:val="bullet"/>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
      <w:numFmt w:val="bullet"/>
      <w:start w:val="1"/>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
      <w:numFmt w:val="bullet"/>
      <w:start w:val="1"/>
    </w:lvl>
  </w:abstractNum>
  <w:abstractNum w:abstractNumId="8">
    <w:nsid w:val="7BD3EE7B"/>
    <w:multiLevelType w:val="hybridMultilevel"/>
    <w:lvl w:ilvl="0">
      <w:lvlJc w:val="left"/>
      <w:lvlText w:val="•"/>
      <w:numFmt w:val="bullet"/>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1"/>
      <w:numFmt w:val="bullet"/>
      <w:start w:val="1"/>
    </w:lvl>
  </w:abstractNum>
  <w:abstractNum w:abstractNumId="13">
    <w:nsid w:val="42963E5A"/>
    <w:multiLevelType w:val="hybridMultilevel"/>
    <w:lvl w:ilvl="0">
      <w:lvlJc w:val="left"/>
      <w:lvlText w:val="2"/>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1)"/>
      <w:numFmt w:val="lowerLetter"/>
      <w:start w:val="1"/>
    </w:lvl>
  </w:abstractNum>
  <w:abstractNum w:abstractNumId="17">
    <w:nsid w:val="3B0FD379"/>
    <w:multiLevelType w:val="hybridMultilevel"/>
    <w:lvl w:ilvl="0">
      <w:lvlJc w:val="left"/>
      <w:lvlText w:val="1"/>
      <w:numFmt w:val="bullet"/>
      <w:start w:val="1"/>
    </w:lvl>
  </w:abstractNum>
  <w:abstractNum w:abstractNumId="18">
    <w:nsid w:val="68EB2F63"/>
    <w:multiLevelType w:val="hybridMultilevel"/>
    <w:lvl w:ilvl="0">
      <w:lvlJc w:val="left"/>
      <w:lvlText w:val="(%1)"/>
      <w:numFmt w:val="lowerLetter"/>
      <w:start w:val="1"/>
    </w:lvl>
  </w:abstractNum>
  <w:abstractNum w:abstractNumId="19">
    <w:nsid w:val="4962813B"/>
    <w:multiLevelType w:val="hybridMultilevel"/>
    <w:lvl w:ilvl="0">
      <w:lvlJc w:val="left"/>
      <w:lvlText w:val="(%1)"/>
      <w:numFmt w:val="lowerLetter"/>
      <w:start w:val="1"/>
    </w:lvl>
  </w:abstractNum>
  <w:abstractNum w:abstractNumId="20">
    <w:nsid w:val="60B6DF70"/>
    <w:multiLevelType w:val="hybridMultilevel"/>
    <w:lvl w:ilvl="0">
      <w:lvlJc w:val="left"/>
      <w:lvlText w:val="%1."/>
      <w:numFmt w:val="decimal"/>
      <w:start w:val="2"/>
    </w:lvl>
  </w:abstractNum>
  <w:abstractNum w:abstractNumId="21">
    <w:nsid w:val="6A5EE64"/>
    <w:multiLevelType w:val="hybridMultilevel"/>
    <w:lvl w:ilvl="0">
      <w:lvlJc w:val="left"/>
      <w:lvlText w:val="%1."/>
      <w:numFmt w:val="decimal"/>
      <w:start w:val="3"/>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lvl w:ilvl="1">
      <w:lvlJc w:val="left"/>
      <w:lvlText w:val="*"/>
      <w:numFmt w:val="bullet"/>
      <w:start w:val="1"/>
    </w:lvl>
  </w:abstractNum>
  <w:abstractNum w:abstractNumId="29">
    <w:nsid w:val="6F6DD9AC"/>
    <w:multiLevelType w:val="hybridMultilevel"/>
    <w:lvl w:ilvl="0">
      <w:lvlJc w:val="left"/>
      <w:lvlText w:val="**"/>
      <w:numFmt w:val="bullet"/>
      <w:start w:val="1"/>
    </w:lvl>
    <w:lvl w:ilvl="1">
      <w:lvlJc w:val="left"/>
      <w:lvlText w:val="*"/>
      <w:numFmt w:val="bullet"/>
      <w:start w:val="1"/>
    </w:lvl>
  </w:abstractNum>
  <w:abstractNum w:abstractNumId="30">
    <w:nsid w:val="94211F2"/>
    <w:multiLevelType w:val="hybridMultilevel"/>
    <w:lvl w:ilvl="0">
      <w:lvlJc w:val="left"/>
      <w:lvlText w:val="%1."/>
      <w:numFmt w:val="decimal"/>
      <w:start w:val="1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1."/>
      <w:numFmt w:val="decimal"/>
      <w:start w:val="13"/>
    </w:lvl>
  </w:abstractNum>
  <w:abstractNum w:abstractNumId="34">
    <w:nsid w:val="1716703B"/>
    <w:multiLevelType w:val="hybridMultilevel"/>
    <w:lvl w:ilvl="0">
      <w:lvlJc w:val="left"/>
      <w:lvlText w:val="%1."/>
      <w:numFmt w:val="decimal"/>
      <w:start w:val="1"/>
    </w:lvl>
    <w:lvl w:ilvl="1">
      <w:lvlJc w:val="left"/>
      <w:lvlText w:val="%2."/>
      <w:numFmt w:val="lowerLetter"/>
      <w:start w:val="1"/>
    </w:lvl>
  </w:abstractNum>
  <w:abstractNum w:abstractNumId="35">
    <w:nsid w:val="14E17E3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6">
    <w:nsid w:val="3222E7CD"/>
    <w:multiLevelType w:val="hybridMultilevel"/>
    <w:lvl w:ilvl="0">
      <w:lvlJc w:val="left"/>
      <w:lvlText w:val="%1"/>
      <w:numFmt w:val="lowerLetter"/>
      <w:start w:val="1"/>
    </w:lvl>
    <w:lvl w:ilvl="1">
      <w:lvlJc w:val="left"/>
      <w:lvlText w:val="(%2)"/>
      <w:numFmt w:val="lowerRoman"/>
      <w:start w:val="3"/>
    </w:lvl>
  </w:abstractNum>
  <w:abstractNum w:abstractNumId="37">
    <w:nsid w:val="74DE0EE3"/>
    <w:multiLevelType w:val="hybridMultilevel"/>
    <w:lvl w:ilvl="0">
      <w:lvlJc w:val="left"/>
      <w:lvlText w:val="(%1)"/>
      <w:numFmt w:val="lowerLetter"/>
      <w:start w:val="2"/>
    </w:lvl>
    <w:lvl w:ilvl="1">
      <w:lvlJc w:val="left"/>
      <w:lvlText w:val="%2"/>
      <w:numFmt w:val="lowerRoman"/>
      <w:start w:val="1"/>
    </w:lvl>
  </w:abstractNum>
  <w:abstractNum w:abstractNumId="38">
    <w:nsid w:val="68EBC550"/>
    <w:multiLevelType w:val="hybridMultilevel"/>
    <w:lvl w:ilvl="0">
      <w:lvlJc w:val="left"/>
      <w:lvlText w:val="%1."/>
      <w:numFmt w:val="decimal"/>
      <w:start w:val="6"/>
    </w:lvl>
    <w:lvl w:ilvl="1">
      <w:lvlJc w:val="left"/>
      <w:lvlText w:val="(%2)"/>
      <w:numFmt w:val="lowerRoman"/>
      <w:start w:val="1"/>
    </w:lvl>
  </w:abstractNum>
  <w:abstractNum w:abstractNumId="39">
    <w:nsid w:val="2DF6D648"/>
    <w:multiLevelType w:val="hybridMultilevel"/>
    <w:lvl w:ilvl="0">
      <w:lvlJc w:val="left"/>
      <w:lvlText w:val="(%1)"/>
      <w:numFmt w:val="lowerRoman"/>
      <w:start w:val="1"/>
    </w:lvl>
  </w:abstractNum>
  <w:abstractNum w:abstractNumId="40">
    <w:nsid w:val="46B7D447"/>
    <w:multiLevelType w:val="hybridMultilevel"/>
    <w:lvl w:ilvl="0">
      <w:lvlJc w:val="left"/>
      <w:lvlText w:val="%1"/>
      <w:numFmt w:val="decimal"/>
      <w:start w:val="1"/>
    </w:lvl>
    <w:lvl w:ilvl="1">
      <w:lvlJc w:val="left"/>
      <w:lvlText w:val="(%2)"/>
      <w:numFmt w:val="lowerRoman"/>
      <w:start w:val="2"/>
    </w:lvl>
    <w:lvl w:ilvl="2">
      <w:lvlJc w:val="left"/>
      <w:lvlText w:val="%3."/>
      <w:numFmt w:val="lowerLetter"/>
      <w:start w:val="2"/>
    </w:lvl>
    <w:lvl w:ilvl="3">
      <w:lvlJc w:val="left"/>
      <w:lvlText w:val="%4"/>
      <w:numFmt w:val="lowerRoman"/>
      <w:start w:val="1"/>
    </w:lvl>
  </w:abstractNum>
  <w:abstractNum w:abstractNumId="41">
    <w:nsid w:val="4A2AC315"/>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42">
    <w:nsid w:val="39EE015C"/>
    <w:multiLevelType w:val="hybridMultilevel"/>
    <w:lvl w:ilvl="0">
      <w:lvlJc w:val="left"/>
      <w:lvlText w:val="%1."/>
      <w:numFmt w:val="decimal"/>
      <w:start w:val="10"/>
    </w:lvl>
  </w:abstractNum>
  <w:abstractNum w:abstractNumId="43">
    <w:nsid w:val="57FC4FBB"/>
    <w:multiLevelType w:val="hybridMultilevel"/>
    <w:lvl w:ilvl="0">
      <w:lvlJc w:val="left"/>
      <w:lvlText w:val="%1"/>
      <w:numFmt w:val="decimal"/>
      <w:start w:val="1"/>
    </w:lvl>
    <w:lvl w:ilvl="1">
      <w:lvlJc w:val="left"/>
      <w:lvlText w:val="%2."/>
      <w:numFmt w:val="decimal"/>
      <w:start w:val="13"/>
    </w:lvl>
  </w:abstractNum>
  <w:abstractNum w:abstractNumId="44">
    <w:nsid w:val="CC1016F"/>
    <w:multiLevelType w:val="hybridMultilevel"/>
    <w:lvl w:ilvl="0">
      <w:lvlJc w:val="left"/>
      <w:lvlText w:val="(%1)"/>
      <w:numFmt w:val="decimal"/>
      <w:start w:val="5"/>
    </w:lvl>
    <w:lvl w:ilvl="1">
      <w:lvlJc w:val="left"/>
      <w:lvlText w:val="%2"/>
      <w:numFmt w:val="decimal"/>
      <w:start w:val="1"/>
    </w:lvl>
  </w:abstractNum>
  <w:abstractNum w:abstractNumId="45">
    <w:nsid w:val="43F18422"/>
    <w:multiLevelType w:val="hybridMultilevel"/>
    <w:lvl w:ilvl="0">
      <w:lvlJc w:val="left"/>
      <w:lvlText w:val="%1."/>
      <w:numFmt w:val="decimal"/>
      <w:start w:val="16"/>
    </w:lvl>
  </w:abstractNum>
  <w:abstractNum w:abstractNumId="46">
    <w:nsid w:val="60EF0119"/>
    <w:multiLevelType w:val="hybridMultilevel"/>
    <w:lvl w:ilvl="0">
      <w:lvlJc w:val="left"/>
      <w:lvlText w:val="%1."/>
      <w:numFmt w:val="decimal"/>
      <w:start w:val="20"/>
    </w:lvl>
  </w:abstractNum>
  <w:abstractNum w:abstractNumId="47">
    <w:nsid w:val="26F324BA"/>
    <w:multiLevelType w:val="hybridMultilevel"/>
    <w:lvl w:ilvl="0">
      <w:lvlJc w:val="left"/>
      <w:lvlText w:val="%1."/>
      <w:numFmt w:val="decimal"/>
      <w:start w:val="1"/>
    </w:lvl>
  </w:abstractNum>
  <w:abstractNum w:abstractNumId="48">
    <w:nsid w:val="7F01579B"/>
    <w:multiLevelType w:val="hybridMultilevel"/>
    <w:lvl w:ilvl="0">
      <w:lvlJc w:val="left"/>
      <w:lvlText w:val="%1."/>
      <w:numFmt w:val="decimal"/>
      <w:start w:val="2"/>
    </w:lvl>
  </w:abstractNum>
  <w:abstractNum w:abstractNumId="49">
    <w:nsid w:val="49DA307D"/>
    <w:multiLevelType w:val="hybridMultilevel"/>
    <w:lvl w:ilvl="0">
      <w:lvlJc w:val="left"/>
      <w:lvlText w:val="%1."/>
      <w:numFmt w:val="decimal"/>
      <w:start w:val="3"/>
    </w:lvl>
  </w:abstractNum>
  <w:abstractNum w:abstractNumId="50">
    <w:nsid w:val="7055A5F5"/>
    <w:multiLevelType w:val="hybridMultilevel"/>
    <w:lvl w:ilvl="0">
      <w:lvlJc w:val="left"/>
      <w:lvlText w:val="%1."/>
      <w:numFmt w:val="decimal"/>
      <w:start w:val="4"/>
    </w:lvl>
    <w:lvl w:ilvl="1">
      <w:lvlJc w:val="left"/>
      <w:lvlText w:val="(%2)"/>
      <w:numFmt w:val="lowerLetter"/>
      <w:start w:val="1"/>
    </w:lvl>
  </w:abstractNum>
  <w:abstractNum w:abstractNumId="51">
    <w:nsid w:val="5FB8370B"/>
    <w:multiLevelType w:val="hybridMultilevel"/>
    <w:lvl w:ilvl="0">
      <w:lvlJc w:val="left"/>
      <w:lvlText w:val="%1"/>
      <w:numFmt w:val="decimal"/>
      <w:start w:val="1"/>
    </w:lvl>
    <w:lvl w:ilvl="1">
      <w:lvlJc w:val="left"/>
      <w:lvlText w:val="(%2)"/>
      <w:numFmt w:val="lowerLetter"/>
      <w:start w:val="4"/>
    </w:lvl>
  </w:abstractNum>
  <w:abstractNum w:abstractNumId="52">
    <w:nsid w:val="50801EE1"/>
    <w:multiLevelType w:val="hybridMultilevel"/>
    <w:lvl w:ilvl="0">
      <w:lvlJc w:val="left"/>
      <w:lvlText w:val="%1."/>
      <w:numFmt w:val="decimal"/>
      <w:start w:val="5"/>
    </w:lvl>
    <w:lvl w:ilvl="1">
      <w:lvlJc w:val="left"/>
      <w:lvlText w:val="(%2)"/>
      <w:numFmt w:val="lowerLetter"/>
      <w:start w:val="1"/>
    </w:lvl>
  </w:abstractNum>
  <w:abstractNum w:abstractNumId="53">
    <w:nsid w:val="488AC1A"/>
    <w:multiLevelType w:val="hybridMultilevel"/>
    <w:lvl w:ilvl="0">
      <w:lvlJc w:val="left"/>
      <w:lvlText w:val="%1"/>
      <w:numFmt w:val="decimal"/>
      <w:start w:val="1"/>
    </w:lvl>
    <w:lvl w:ilvl="1">
      <w:lvlJc w:val="left"/>
      <w:lvlText w:val="(%2)"/>
      <w:numFmt w:val="lowerLetter"/>
      <w:start w:val="7"/>
    </w:lvl>
  </w:abstractNum>
  <w:abstractNum w:abstractNumId="54">
    <w:nsid w:val="5FB8011C"/>
    <w:multiLevelType w:val="hybridMultilevel"/>
    <w:lvl w:ilvl="0">
      <w:lvlJc w:val="left"/>
      <w:lvlText w:val="%1."/>
      <w:numFmt w:val="decimal"/>
      <w:start w:val="6"/>
    </w:lvl>
    <w:lvl w:ilvl="1">
      <w:lvlJc w:val="left"/>
      <w:lvlText w:val="(%2)"/>
      <w:numFmt w:val="lowerLetter"/>
      <w:start w:val="1"/>
    </w:lvl>
  </w:abstractNum>
  <w:abstractNum w:abstractNumId="55">
    <w:nsid w:val="6AA78F7F"/>
    <w:multiLevelType w:val="hybridMultilevel"/>
    <w:lvl w:ilvl="0">
      <w:lvlJc w:val="left"/>
      <w:lvlText w:val="%1."/>
      <w:numFmt w:val="decimal"/>
      <w:start w:val="1"/>
    </w:lvl>
  </w:abstractNum>
  <w:abstractNum w:abstractNumId="56">
    <w:nsid w:val="7672BD23"/>
    <w:multiLevelType w:val="hybridMultilevel"/>
    <w:lvl w:ilvl="0">
      <w:lvlJc w:val="left"/>
      <w:lvlText w:val="%1."/>
      <w:numFmt w:val="decimal"/>
      <w:start w:val="2"/>
    </w:lvl>
    <w:lvl w:ilvl="1">
      <w:lvlJc w:val="left"/>
      <w:lvlText w:val="%2"/>
      <w:numFmt w:val="lowerLetter"/>
      <w:start w:val="1"/>
    </w:lvl>
  </w:abstractNum>
  <w:abstractNum w:abstractNumId="57">
    <w:nsid w:val="6FC75AF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6A5F7029"/>
    <w:multiLevelType w:val="hybridMultilevel"/>
    <w:lvl w:ilvl="0">
      <w:lvlJc w:val="left"/>
      <w:lvlText w:val="%1"/>
      <w:numFmt w:val="lowerLetter"/>
      <w:start w:val="1"/>
    </w:lvl>
    <w:lvl w:ilvl="1">
      <w:lvlJc w:val="left"/>
      <w:lvlText w:val="(%2)"/>
      <w:numFmt w:val="lowerRoman"/>
      <w:start w:val="4"/>
    </w:lvl>
  </w:abstractNum>
  <w:abstractNum w:abstractNumId="59">
    <w:nsid w:val="7D5E18F8"/>
    <w:multiLevelType w:val="hybridMultilevel"/>
    <w:lvl w:ilvl="0">
      <w:lvlJc w:val="left"/>
      <w:lvlText w:val="(%1)"/>
      <w:numFmt w:val="lowerLetter"/>
      <w:start w:val="3"/>
    </w:lvl>
    <w:lvl w:ilvl="1">
      <w:lvlJc w:val="left"/>
      <w:lvlText w:val="%2"/>
      <w:numFmt w:val="lowerRoman"/>
      <w:start w:val="1"/>
    </w:lvl>
  </w:abstractNum>
  <w:abstractNum w:abstractNumId="60">
    <w:nsid w:val="5F3534A4"/>
    <w:multiLevelType w:val="hybridMultilevel"/>
    <w:lvl w:ilvl="0">
      <w:lvlJc w:val="left"/>
      <w:lvlText w:val="(%1)"/>
      <w:numFmt w:val="lowerLetter"/>
      <w:start w:val="3"/>
    </w:lvl>
  </w:abstractNum>
  <w:abstractNum w:abstractNumId="61">
    <w:nsid w:val="73A1821B"/>
    <w:multiLevelType w:val="hybridMultilevel"/>
    <w:lvl w:ilvl="0">
      <w:lvlJc w:val="left"/>
      <w:lvlText w:val="%1."/>
      <w:numFmt w:val="decimal"/>
      <w:start w:val="6"/>
    </w:lvl>
    <w:lvl w:ilvl="1">
      <w:lvlJc w:val="left"/>
      <w:lvlText w:val="(%2)"/>
      <w:numFmt w:val="lowerRoman"/>
      <w:start w:val="1"/>
    </w:lvl>
  </w:abstractNum>
  <w:abstractNum w:abstractNumId="62">
    <w:nsid w:val="7DE67713"/>
    <w:multiLevelType w:val="hybridMultilevel"/>
    <w:lvl w:ilvl="0">
      <w:lvlJc w:val="left"/>
      <w:lvlText w:val="(%1)"/>
      <w:numFmt w:val="lowerRoman"/>
      <w:start w:val="1"/>
    </w:lvl>
  </w:abstractNum>
  <w:abstractNum w:abstractNumId="63">
    <w:nsid w:val="555C55B5"/>
    <w:multiLevelType w:val="hybridMultilevel"/>
    <w:lvl w:ilvl="0">
      <w:lvlJc w:val="left"/>
      <w:lvlText w:val="%1"/>
      <w:numFmt w:val="decimal"/>
      <w:start w:val="1"/>
    </w:lvl>
    <w:lvl w:ilvl="1">
      <w:lvlJc w:val="left"/>
      <w:lvlText w:val="(%2)"/>
      <w:numFmt w:val="lowerRoman"/>
      <w:start w:val="3"/>
    </w:lvl>
    <w:lvl w:ilvl="2">
      <w:lvlJc w:val="left"/>
      <w:lvlText w:val="%3."/>
      <w:numFmt w:val="lowerLetter"/>
      <w:start w:val="3"/>
    </w:lvl>
    <w:lvl w:ilvl="3">
      <w:lvlJc w:val="left"/>
      <w:lvlText w:val="%4"/>
      <w:numFmt w:val="lowerRoman"/>
      <w:start w:val="1"/>
    </w:lvl>
  </w:abstractNum>
  <w:abstractNum w:abstractNumId="64">
    <w:nsid w:val="3FA62ACA"/>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65">
    <w:nsid w:val="14FCE74E"/>
    <w:multiLevelType w:val="hybridMultilevel"/>
    <w:lvl w:ilvl="0">
      <w:lvlJc w:val="left"/>
      <w:lvlText w:val="(%1)"/>
      <w:numFmt w:val="lowerRoman"/>
      <w:start w:val="2"/>
    </w:lvl>
  </w:abstractNum>
  <w:abstractNum w:abstractNumId="66">
    <w:nsid w:val="6A3DD3E8"/>
    <w:multiLevelType w:val="hybridMultilevel"/>
    <w:lvl w:ilvl="0">
      <w:lvlJc w:val="left"/>
      <w:lvlText w:val="%1."/>
      <w:numFmt w:val="decimal"/>
      <w:start w:val="10"/>
    </w:lvl>
  </w:abstractNum>
  <w:abstractNum w:abstractNumId="67">
    <w:nsid w:val="71C91298"/>
    <w:multiLevelType w:val="hybridMultilevel"/>
    <w:lvl w:ilvl="0">
      <w:lvlJc w:val="left"/>
      <w:lvlText w:val="%1"/>
      <w:numFmt w:val="decimal"/>
      <w:start w:val="1"/>
    </w:lvl>
    <w:lvl w:ilvl="1">
      <w:lvlJc w:val="left"/>
      <w:lvlText w:val="%2."/>
      <w:numFmt w:val="decimal"/>
      <w:start w:val="13"/>
    </w:lvl>
  </w:abstractNum>
  <w:abstractNum w:abstractNumId="68">
    <w:nsid w:val="9DAF632"/>
    <w:multiLevelType w:val="hybridMultilevel"/>
    <w:lvl w:ilvl="0">
      <w:lvlJc w:val="left"/>
      <w:lvlText w:val="(%1)"/>
      <w:numFmt w:val="decimal"/>
      <w:start w:val="5"/>
    </w:lvl>
    <w:lvl w:ilvl="1">
      <w:lvlJc w:val="left"/>
      <w:lvlText w:val="%2"/>
      <w:numFmt w:val="decimal"/>
      <w:start w:val="1"/>
    </w:lvl>
  </w:abstractNum>
  <w:abstractNum w:abstractNumId="69">
    <w:nsid w:val="53299938"/>
    <w:multiLevelType w:val="hybridMultilevel"/>
    <w:lvl w:ilvl="0">
      <w:lvlJc w:val="left"/>
      <w:lvlText w:val="%1."/>
      <w:numFmt w:val="decimal"/>
      <w:start w:val="16"/>
    </w:lvl>
  </w:abstractNum>
  <w:abstractNum w:abstractNumId="70">
    <w:nsid w:val="1FBFE8E0"/>
    <w:multiLevelType w:val="hybridMultilevel"/>
    <w:lvl w:ilvl="0">
      <w:lvlJc w:val="left"/>
      <w:lvlText w:val="%1."/>
      <w:numFmt w:val="decimal"/>
      <w:start w:val="20"/>
    </w:lvl>
  </w:abstractNum>
  <w:abstractNum w:abstractNumId="71">
    <w:nsid w:val="5092CA79"/>
    <w:multiLevelType w:val="hybridMultilevel"/>
    <w:lvl w:ilvl="0">
      <w:lvlJc w:val="left"/>
      <w:lvlText w:val="%1."/>
      <w:numFmt w:val="decimal"/>
      <w:start w:val="1"/>
    </w:lvl>
  </w:abstractNum>
  <w:abstractNum w:abstractNumId="72">
    <w:nsid w:val="1D545C4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3">
    <w:nsid w:val="59ADEA3D"/>
    <w:multiLevelType w:val="hybridMultilevel"/>
    <w:lvl w:ilvl="0">
      <w:lvlJc w:val="left"/>
      <w:lvlText w:val="(%1)"/>
      <w:numFmt w:val="lowerRoman"/>
      <w:start w:val="3"/>
    </w:lvl>
  </w:abstractNum>
  <w:abstractNum w:abstractNumId="74">
    <w:nsid w:val="288F1A34"/>
    <w:multiLevelType w:val="hybridMultilevel"/>
    <w:lvl w:ilvl="0">
      <w:lvlJc w:val="left"/>
      <w:lvlText w:val="%1."/>
      <w:numFmt w:val="decimal"/>
      <w:start w:val="3"/>
    </w:lvl>
    <w:lvl w:ilvl="1">
      <w:lvlJc w:val="left"/>
      <w:lvlText w:val="%2."/>
      <w:numFmt w:val="lowerLetter"/>
      <w:start w:val="1"/>
    </w:lvl>
  </w:abstractNum>
  <w:abstractNum w:abstractNumId="75">
    <w:nsid w:val="2A155DBC"/>
    <w:multiLevelType w:val="hybridMultilevel"/>
    <w:lvl w:ilvl="0">
      <w:lvlJc w:val="left"/>
      <w:lvlText w:val="%1."/>
      <w:numFmt w:val="decimal"/>
      <w:start w:val="4"/>
    </w:lvl>
    <w:lvl w:ilvl="1">
      <w:lvlJc w:val="left"/>
      <w:lvlText w:val="%2."/>
      <w:numFmt w:val="lowerLetter"/>
      <w:start w:val="1"/>
    </w:lvl>
  </w:abstractNum>
  <w:abstractNum w:abstractNumId="76">
    <w:nsid w:val="1D9F6E5F"/>
    <w:multiLevelType w:val="hybridMultilevel"/>
    <w:lvl w:ilvl="0">
      <w:lvlJc w:val="left"/>
      <w:lvlText w:val="%1."/>
      <w:numFmt w:val="decimal"/>
    </w:lvl>
    <w:lvl w:ilvl="1">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1."/>
      <w:numFmt w:val="decimal"/>
      <w:start w:val="2"/>
    </w:lvl>
  </w:abstractNum>
  <w:abstractNum w:abstractNumId="79">
    <w:nsid w:val="1CA0C5FA"/>
    <w:multiLevelType w:val="hybridMultilevel"/>
    <w:lvl w:ilvl="0">
      <w:lvlJc w:val="left"/>
      <w:lvlText w:val="%1."/>
      <w:numFmt w:val="decimal"/>
      <w:start w:val="4"/>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1."/>
      <w:numFmt w:val="decimal"/>
      <w:start w:val="2"/>
    </w:lvl>
    <w:lvl w:ilvl="1">
      <w:lvlJc w:val="left"/>
      <w:lvlText w:val="%2"/>
      <w:numFmt w:val="lowerLetter"/>
      <w:start w:val="1"/>
    </w:lvl>
  </w:abstractNum>
  <w:abstractNum w:abstractNumId="82">
    <w:nsid w:val="7C58FD05"/>
    <w:multiLevelType w:val="hybridMultilevel"/>
    <w:lvl w:ilvl="0">
      <w:lvlJc w:val="left"/>
      <w:lvlText w:val="(%1)"/>
      <w:numFmt w:val="lowerRoman"/>
      <w:start w:val="1"/>
    </w:lvl>
  </w:abstractNum>
  <w:abstractNum w:abstractNumId="83">
    <w:nsid w:val="23D86AAC"/>
    <w:multiLevelType w:val="hybridMultilevel"/>
    <w:lvl w:ilvl="0">
      <w:lvlJc w:val="left"/>
      <w:lvlText w:val="(%1)"/>
      <w:numFmt w:val="lowerRoman"/>
      <w:start w:val="4"/>
    </w:lvl>
  </w:abstractNum>
  <w:abstractNum w:abstractNumId="84">
    <w:nsid w:val="45E6D486"/>
    <w:multiLevelType w:val="hybridMultilevel"/>
    <w:lvl w:ilvl="0">
      <w:lvlJc w:val="left"/>
      <w:lvlText w:val="(%1)"/>
      <w:numFmt w:val="lowerRoman"/>
      <w:start w:val="5"/>
    </w:lvl>
  </w:abstractNum>
  <w:abstractNum w:abstractNumId="85">
    <w:nsid w:val="5C10FE21"/>
    <w:multiLevelType w:val="hybridMultilevel"/>
    <w:lvl w:ilvl="0">
      <w:lvlJc w:val="left"/>
      <w:lvlText w:val="%1."/>
      <w:numFmt w:val="decimal"/>
      <w:start w:val="3"/>
    </w:lvl>
    <w:lvl w:ilvl="1">
      <w:lvlJc w:val="left"/>
      <w:lvlText w:val="%2."/>
      <w:numFmt w:val="lowerLetter"/>
      <w:start w:val="1"/>
    </w:lvl>
  </w:abstractNum>
  <w:abstractNum w:abstractNumId="86">
    <w:nsid w:val="E7FFA2B"/>
    <w:multiLevelType w:val="hybridMultilevel"/>
    <w:lvl w:ilvl="0">
      <w:lvlJc w:val="left"/>
      <w:lvlText w:val="%1."/>
      <w:numFmt w:val="decimal"/>
      <w:start w:val="4"/>
    </w:lvl>
    <w:lvl w:ilvl="1">
      <w:lvlJc w:val="left"/>
      <w:lvlText w:val="%2."/>
      <w:numFmt w:val="lowerLetter"/>
      <w:start w:val="1"/>
    </w:lvl>
  </w:abstractNum>
  <w:abstractNum w:abstractNumId="87">
    <w:nsid w:val="3C5991AA"/>
    <w:multiLevelType w:val="hybridMultilevel"/>
    <w:lvl w:ilvl="0">
      <w:lvlJc w:val="left"/>
      <w:lvlText w:val="%1."/>
      <w:numFmt w:val="decimal"/>
    </w:lvl>
    <w:lvl w:ilvl="1">
      <w:lvlJc w:val="left"/>
      <w:lvlText w:val="☐"/>
      <w:numFmt w:val="bullet"/>
      <w:start w:val="1"/>
    </w:lvl>
  </w:abstractNum>
  <w:abstractNum w:abstractNumId="88">
    <w:nsid w:val="4BD8591A"/>
    <w:multiLevelType w:val="hybridMultilevel"/>
    <w:lvl w:ilvl="0">
      <w:lvlJc w:val="left"/>
      <w:lvlText w:val="☐"/>
      <w:numFmt w:val="bullet"/>
      <w:start w:val="1"/>
    </w:lvl>
  </w:abstractNum>
  <w:abstractNum w:abstractNumId="89">
    <w:nsid w:val="78DF6A55"/>
    <w:multiLevelType w:val="hybridMultilevel"/>
    <w:lvl w:ilvl="0">
      <w:lvlJc w:val="left"/>
      <w:lvlText w:val="%1."/>
      <w:numFmt w:val="decimal"/>
      <w:start w:val="2"/>
    </w:lvl>
  </w:abstractNum>
  <w:abstractNum w:abstractNumId="90">
    <w:nsid w:val="39B7AAA2"/>
    <w:multiLevelType w:val="hybridMultilevel"/>
    <w:lvl w:ilvl="0">
      <w:lvlJc w:val="left"/>
      <w:lvlText w:val="%1."/>
      <w:numFmt w:val="decimal"/>
      <w:start w:val="4"/>
    </w:lvl>
  </w:abstractNum>
  <w:abstractNum w:abstractNumId="91">
    <w:nsid w:val="2B0D8DBE"/>
    <w:multiLevelType w:val="hybridMultilevel"/>
    <w:lvl w:ilvl="0">
      <w:lvlJc w:val="left"/>
      <w:lvlText w:val="%1."/>
      <w:numFmt w:val="decimal"/>
      <w:start w:val="1"/>
    </w:lvl>
  </w:abstractNum>
  <w:abstractNum w:abstractNumId="92">
    <w:nsid w:val="6C80EC70"/>
    <w:multiLevelType w:val="hybridMultilevel"/>
    <w:lvl w:ilvl="0">
      <w:lvlJc w:val="left"/>
      <w:lvlText w:val="%1."/>
      <w:numFmt w:val="decimal"/>
      <w:start w:val="2"/>
    </w:lvl>
    <w:lvl w:ilvl="1">
      <w:lvlJc w:val="left"/>
      <w:lvlText w:val="%2"/>
      <w:numFmt w:val="lowerLetter"/>
      <w:start w:val="1"/>
    </w:lvl>
  </w:abstractNum>
  <w:abstractNum w:abstractNumId="93">
    <w:nsid w:val="379E21B5"/>
    <w:multiLevelType w:val="hybridMultilevel"/>
    <w:lvl w:ilvl="0">
      <w:lvlJc w:val="left"/>
      <w:lvlText w:val="(%1)"/>
      <w:numFmt w:val="lowerRoman"/>
      <w:start w:val="1"/>
    </w:lvl>
  </w:abstractNum>
  <w:abstractNum w:abstractNumId="94">
    <w:nsid w:val="69E373"/>
    <w:multiLevelType w:val="hybridMultilevel"/>
    <w:lvl w:ilvl="0">
      <w:lvlJc w:val="left"/>
      <w:lvlText w:val="(%1)"/>
      <w:numFmt w:val="lowerRoman"/>
      <w:start w:val="6"/>
    </w:lvl>
  </w:abstractNum>
  <w:abstractNum w:abstractNumId="95">
    <w:nsid w:val="2C27173B"/>
    <w:multiLevelType w:val="hybridMultilevel"/>
    <w:lvl w:ilvl="0">
      <w:lvlJc w:val="left"/>
      <w:lvlText w:val="(%1)"/>
      <w:numFmt w:val="lowerRoman"/>
      <w:start w:val="7"/>
    </w:lvl>
  </w:abstractNum>
  <w:abstractNum w:abstractNumId="96">
    <w:nsid w:val="4C9B0904"/>
    <w:multiLevelType w:val="hybridMultilevel"/>
    <w:lvl w:ilvl="0">
      <w:lvlJc w:val="left"/>
      <w:lvlText w:val="%1."/>
      <w:numFmt w:val="decimal"/>
      <w:start w:val="3"/>
    </w:lvl>
    <w:lvl w:ilvl="1">
      <w:lvlJc w:val="left"/>
      <w:lvlText w:val="%2."/>
      <w:numFmt w:val="lowerLetter"/>
      <w:start w:val="1"/>
    </w:lvl>
  </w:abstractNum>
  <w:abstractNum w:abstractNumId="97">
    <w:nsid w:val="6AA7B75C"/>
    <w:multiLevelType w:val="hybridMultilevel"/>
    <w:lvl w:ilvl="0">
      <w:lvlJc w:val="left"/>
      <w:lvlText w:val="%1."/>
      <w:numFmt w:val="decimal"/>
      <w:start w:val="4"/>
    </w:lvl>
    <w:lvl w:ilvl="1">
      <w:lvlJc w:val="left"/>
      <w:lvlText w:val="%2."/>
      <w:numFmt w:val="lowerLetter"/>
      <w:start w:val="1"/>
    </w:lvl>
  </w:abstractNum>
  <w:abstractNum w:abstractNumId="98">
    <w:nsid w:val="1DF029D3"/>
    <w:multiLevelType w:val="hybridMultilevel"/>
    <w:lvl w:ilvl="0">
      <w:lvlJc w:val="left"/>
      <w:lvlText w:val="%1."/>
      <w:numFmt w:val="decimal"/>
    </w:lvl>
    <w:lvl w:ilvl="1">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1."/>
      <w:numFmt w:val="decimal"/>
      <w:start w:val="2"/>
    </w:lvl>
  </w:abstractNum>
  <w:abstractNum w:abstractNumId="101">
    <w:nsid w:val="3DB012B3"/>
    <w:multiLevelType w:val="hybridMultilevel"/>
    <w:lvl w:ilvl="0">
      <w:lvlJc w:val="left"/>
      <w:lvlText w:val="%1."/>
      <w:numFmt w:val="decimal"/>
      <w:start w:val="4"/>
    </w:lvl>
  </w:abstractNum>
  <w:abstractNum w:abstractNumId="102">
    <w:nsid w:val="2708C9AF"/>
    <w:multiLevelType w:val="hybridMultilevel"/>
    <w:lvl w:ilvl="0">
      <w:lvlJc w:val="left"/>
      <w:lvlText w:val="%1."/>
      <w:numFmt w:val="decimal"/>
      <w:start w:val="1"/>
    </w:lvl>
  </w:abstractNum>
  <w:abstractNum w:abstractNumId="103">
    <w:nsid w:val="5B25ACE2"/>
    <w:multiLevelType w:val="hybridMultilevel"/>
    <w:lvl w:ilvl="0">
      <w:lvlJc w:val="left"/>
      <w:lvlText w:val="%1."/>
      <w:numFmt w:val="decimal"/>
      <w:start w:val="2"/>
    </w:lvl>
    <w:lvl w:ilvl="1">
      <w:lvlJc w:val="left"/>
      <w:lvlText w:val="%2"/>
      <w:numFmt w:val="lowerLetter"/>
      <w:start w:val="1"/>
    </w:lvl>
  </w:abstractNum>
  <w:abstractNum w:abstractNumId="104">
    <w:nsid w:val="175DFCF0"/>
    <w:multiLevelType w:val="hybridMultilevel"/>
    <w:lvl w:ilvl="0">
      <w:lvlJc w:val="left"/>
      <w:lvlText w:val="(%1)"/>
      <w:numFmt w:val="lowerRoman"/>
      <w:start w:val="1"/>
    </w:lvl>
  </w:abstractNum>
  <w:abstractNum w:abstractNumId="105">
    <w:nsid w:val="4F97E3E4"/>
    <w:multiLevelType w:val="hybridMultilevel"/>
    <w:lvl w:ilvl="0">
      <w:lvlJc w:val="left"/>
      <w:lvlText w:val="(%1)"/>
      <w:numFmt w:val="lowerRoman"/>
      <w:start w:val="8"/>
    </w:lvl>
  </w:abstractNum>
  <w:abstractNum w:abstractNumId="106">
    <w:nsid w:val="53B0A9E"/>
    <w:multiLevelType w:val="hybridMultilevel"/>
    <w:lvl w:ilvl="0">
      <w:lvlJc w:val="left"/>
      <w:lvlText w:val="(%1)"/>
      <w:numFmt w:val="lowerRoman"/>
      <w:start w:val="9"/>
    </w:lvl>
  </w:abstractNum>
  <w:abstractNum w:abstractNumId="107">
    <w:nsid w:val="34FD6B4F"/>
    <w:multiLevelType w:val="hybridMultilevel"/>
    <w:lvl w:ilvl="0">
      <w:lvlJc w:val="left"/>
      <w:lvlText w:val="%1."/>
      <w:numFmt w:val="decimal"/>
      <w:start w:val="3"/>
    </w:lvl>
    <w:lvl w:ilvl="1">
      <w:lvlJc w:val="left"/>
      <w:lvlText w:val="%2."/>
      <w:numFmt w:val="lowerLetter"/>
      <w:start w:val="1"/>
    </w:lvl>
  </w:abstractNum>
  <w:abstractNum w:abstractNumId="108">
    <w:nsid w:val="5915FF32"/>
    <w:multiLevelType w:val="hybridMultilevel"/>
    <w:lvl w:ilvl="0">
      <w:lvlJc w:val="left"/>
      <w:lvlText w:val="%1."/>
      <w:numFmt w:val="decimal"/>
      <w:start w:val="4"/>
    </w:lvl>
    <w:lvl w:ilvl="1">
      <w:lvlJc w:val="left"/>
      <w:lvlText w:val="%2."/>
      <w:numFmt w:val="lowerLetter"/>
      <w:start w:val="1"/>
    </w:lvl>
  </w:abstractNum>
  <w:abstractNum w:abstractNumId="109">
    <w:nsid w:val="56438D15"/>
    <w:multiLevelType w:val="hybridMultilevel"/>
    <w:lvl w:ilvl="0">
      <w:lvlJc w:val="left"/>
      <w:lvlText w:val="%1."/>
      <w:numFmt w:val="decimal"/>
    </w:lvl>
    <w:lvl w:ilvl="1">
      <w:lvlJc w:val="left"/>
      <w:lvlText w:val="☐"/>
      <w:numFmt w:val="bullet"/>
      <w:start w:val="1"/>
    </w:lvl>
  </w:abstractNum>
  <w:abstractNum w:abstractNumId="110">
    <w:nsid w:val="519E3149"/>
    <w:multiLevelType w:val="hybridMultilevel"/>
    <w:lvl w:ilvl="0">
      <w:lvlJc w:val="left"/>
      <w:lvlText w:val="☐"/>
      <w:numFmt w:val="bullet"/>
      <w:start w:val="1"/>
    </w:lvl>
  </w:abstractNum>
  <w:abstractNum w:abstractNumId="111">
    <w:nsid w:val="2C6E4AFD"/>
    <w:multiLevelType w:val="hybridMultilevel"/>
    <w:lvl w:ilvl="0">
      <w:lvlJc w:val="left"/>
      <w:lvlText w:val="%1."/>
      <w:numFmt w:val="decimal"/>
      <w:start w:val="2"/>
    </w:lvl>
  </w:abstractNum>
  <w:abstractNum w:abstractNumId="112">
    <w:nsid w:val="17A1B582"/>
    <w:multiLevelType w:val="hybridMultilevel"/>
    <w:lvl w:ilvl="0">
      <w:lvlJc w:val="left"/>
      <w:lvlText w:val="%1."/>
      <w:numFmt w:val="decimal"/>
      <w:start w:val="4"/>
    </w:lvl>
  </w:abstractNum>
  <w:abstractNum w:abstractNumId="113">
    <w:nsid w:val="4DF72E4E"/>
    <w:multiLevelType w:val="hybridMultilevel"/>
    <w:lvl w:ilvl="0">
      <w:lvlJc w:val="left"/>
      <w:lvlText w:val="%1."/>
      <w:numFmt w:val="decimal"/>
      <w:start w:val="1"/>
    </w:lvl>
  </w:abstractNum>
  <w:abstractNum w:abstractNumId="114">
    <w:nsid w:val="5046B5A9"/>
    <w:multiLevelType w:val="hybridMultilevel"/>
    <w:lvl w:ilvl="0">
      <w:lvlJc w:val="left"/>
      <w:lvlText w:val="%1."/>
      <w:numFmt w:val="decimal"/>
      <w:start w:val="2"/>
    </w:lvl>
  </w:abstractNum>
  <w:abstractNum w:abstractNumId="115">
    <w:nsid w:val="5D888A08"/>
    <w:multiLevelType w:val="hybridMultilevel"/>
    <w:lvl w:ilvl="0">
      <w:lvlJc w:val="left"/>
      <w:lvlText w:val="%1."/>
      <w:numFmt w:val="decimal"/>
      <w:start w:val="3"/>
    </w:lvl>
  </w:abstractNum>
  <w:abstractNum w:abstractNumId="116">
    <w:nsid w:val="2A082C70"/>
    <w:multiLevelType w:val="hybridMultilevel"/>
    <w:lvl w:ilvl="0">
      <w:lvlJc w:val="left"/>
      <w:lvlText w:val="%1."/>
      <w:numFmt w:val="lowerLetter"/>
      <w:start w:val="4"/>
    </w:lvl>
  </w:abstractNum>
  <w:abstractNum w:abstractNumId="117">
    <w:nsid w:val="5EC6AFD4"/>
    <w:multiLevelType w:val="hybridMultilevel"/>
    <w:lvl w:ilvl="0">
      <w:lvlJc w:val="left"/>
      <w:lvlText w:val="%1"/>
      <w:numFmt w:val="decimal"/>
      <w:start w:val="1"/>
    </w:lvl>
    <w:lvl w:ilvl="1">
      <w:lvlJc w:val="left"/>
      <w:lvlText w:val="(%2)"/>
      <w:numFmt w:val="lowerLetter"/>
      <w:start w:val="1"/>
    </w:lvl>
  </w:abstractNum>
  <w:abstractNum w:abstractNumId="118">
    <w:nsid w:val="19E21BB2"/>
    <w:multiLevelType w:val="hybridMultilevel"/>
    <w:lvl w:ilvl="0">
      <w:lvlJc w:val="left"/>
      <w:lvlText w:val="%1."/>
      <w:numFmt w:val="decimal"/>
      <w:start w:val="4"/>
    </w:lvl>
    <w:lvl w:ilvl="1">
      <w:lvlJc w:val="left"/>
      <w:lvlText w:val="%2"/>
      <w:numFmt w:val="lowerLetter"/>
      <w:start w:val="1"/>
    </w:lvl>
  </w:abstractNum>
  <w:abstractNum w:abstractNumId="119">
    <w:nsid w:val="75E0858A"/>
    <w:multiLevelType w:val="hybridMultilevel"/>
    <w:lvl w:ilvl="0">
      <w:lvlJc w:val="left"/>
      <w:lvlText w:val="%1."/>
      <w:numFmt w:val="decimal"/>
      <w:start w:val="5"/>
    </w:lvl>
  </w:abstractNum>
  <w:abstractNum w:abstractNumId="120">
    <w:nsid w:val="57A61A29"/>
    <w:multiLevelType w:val="hybridMultilevel"/>
    <w:lvl w:ilvl="0">
      <w:lvlJc w:val="left"/>
      <w:lvlText w:val="%1."/>
      <w:numFmt w:val="decimal"/>
      <w:start w:val="1"/>
    </w:lvl>
  </w:abstractNum>
  <w:abstractNum w:abstractNumId="121">
    <w:nsid w:val="5399C654"/>
    <w:multiLevelType w:val="hybridMultilevel"/>
    <w:lvl w:ilvl="0">
      <w:lvlJc w:val="left"/>
      <w:lvlText w:val="%1."/>
      <w:numFmt w:val="decimal"/>
      <w:start w:val="4"/>
    </w:lvl>
    <w:lvl w:ilvl="1">
      <w:lvlJc w:val="left"/>
      <w:lvlText w:val="(%2)"/>
      <w:numFmt w:val="lowerLetter"/>
      <w:start w:val="1"/>
    </w:lvl>
  </w:abstractNum>
  <w:abstractNum w:abstractNumId="122">
    <w:nsid w:val="20EE1348"/>
    <w:multiLevelType w:val="hybridMultilevel"/>
    <w:lvl w:ilvl="0">
      <w:lvlJc w:val="left"/>
      <w:lvlText w:val="(%1)"/>
      <w:numFmt w:val="lowerLetter"/>
      <w:start w:val="2"/>
    </w:lvl>
    <w:lvl w:ilvl="1">
      <w:lvlJc w:val="left"/>
      <w:lvlText w:val="(%2)"/>
      <w:numFmt w:val="lowerRoman"/>
      <w:start w:val="1"/>
    </w:lvl>
  </w:abstractNum>
  <w:abstractNum w:abstractNumId="123">
    <w:nsid w:val="4427069A"/>
    <w:multiLevelType w:val="hybridMultilevel"/>
    <w:lvl w:ilvl="0">
      <w:lvlJc w:val="left"/>
      <w:lvlText w:val="%1"/>
      <w:numFmt w:val="decimal"/>
      <w:start w:val="1"/>
    </w:lvl>
    <w:lvl w:ilvl="1">
      <w:lvlJc w:val="left"/>
      <w:lvlText w:val="(%2)"/>
      <w:numFmt w:val="lowerRoman"/>
      <w:start w:val="3"/>
    </w:lvl>
  </w:abstractNum>
  <w:abstractNum w:abstractNumId="124">
    <w:nsid w:val="B37E80A"/>
    <w:multiLevelType w:val="hybridMultilevel"/>
    <w:lvl w:ilvl="0">
      <w:lvlJc w:val="left"/>
      <w:lvlText w:val="%1."/>
      <w:numFmt w:val="decimal"/>
      <w:start w:val="5"/>
    </w:lvl>
    <w:lvl w:ilvl="1">
      <w:lvlJc w:val="left"/>
      <w:lvlText w:val="%2"/>
      <w:numFmt w:val="lowerRoman"/>
      <w:start w:val="1"/>
    </w:lvl>
  </w:abstractNum>
  <w:abstractNum w:abstractNumId="125">
    <w:nsid w:val="2157F6BC"/>
    <w:multiLevelType w:val="hybridMultilevel"/>
    <w:lvl w:ilvl="0">
      <w:lvlJc w:val="left"/>
      <w:lvlText w:val="%1."/>
      <w:numFmt w:val="decimal"/>
      <w:start w:val="9"/>
    </w:lvl>
  </w:abstractNum>
  <w:abstractNum w:abstractNumId="126">
    <w:nsid w:val="704E1DD5"/>
    <w:multiLevelType w:val="hybridMultilevel"/>
    <w:lvl w:ilvl="0">
      <w:lvlJc w:val="left"/>
      <w:lvlText w:val="%1."/>
      <w:numFmt w:val="decimal"/>
      <w:start w:val="10"/>
    </w:lvl>
  </w:abstractNum>
  <w:abstractNum w:abstractNumId="127">
    <w:nsid w:val="57D2F10E"/>
    <w:multiLevelType w:val="hybridMultilevel"/>
    <w:lvl w:ilvl="0">
      <w:lvlJc w:val="left"/>
      <w:lvlText w:val="%1."/>
      <w:numFmt w:val="decimal"/>
      <w:start w:val="13"/>
    </w:lvl>
  </w:abstractNum>
  <w:abstractNum w:abstractNumId="128">
    <w:nsid w:val="BFFAE18"/>
    <w:multiLevelType w:val="hybridMultilevel"/>
    <w:lvl w:ilvl="0">
      <w:lvlJc w:val="left"/>
      <w:lvlText w:val="%1."/>
      <w:numFmt w:val="decimal"/>
      <w:start w:val="14"/>
    </w:lvl>
  </w:abstractNum>
  <w:abstractNum w:abstractNumId="129">
    <w:nsid w:val="E3E47A8"/>
    <w:multiLevelType w:val="hybridMultilevel"/>
    <w:lvl w:ilvl="0">
      <w:lvlJc w:val="left"/>
      <w:lvlText w:val="%1."/>
      <w:numFmt w:val="decimal"/>
      <w:start w:val="1"/>
    </w:lvl>
  </w:abstractNum>
  <w:abstractNum w:abstractNumId="130">
    <w:nsid w:val="2E48F044"/>
    <w:multiLevelType w:val="hybridMultilevel"/>
    <w:lvl w:ilvl="0">
      <w:lvlJc w:val="left"/>
      <w:lvlText w:val="•"/>
      <w:numFmt w:val="bullet"/>
      <w:start w:val="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1."/>
      <w:numFmt w:val="decimal"/>
      <w:start w:val="1"/>
    </w:lvl>
  </w:abstractNum>
  <w:abstractNum w:abstractNumId="133">
    <w:nsid w:val="5551B9F3"/>
    <w:multiLevelType w:val="hybridMultilevel"/>
    <w:lvl w:ilvl="0">
      <w:lvlJc w:val="left"/>
      <w:lvlText w:val="%1."/>
      <w:numFmt w:val="decimal"/>
      <w:start w:val="2"/>
    </w:lvl>
  </w:abstractNum>
  <w:abstractNum w:abstractNumId="134">
    <w:nsid w:val="24F6AB8E"/>
    <w:multiLevelType w:val="hybridMultilevel"/>
    <w:lvl w:ilvl="0">
      <w:lvlJc w:val="left"/>
      <w:lvlText w:val="%1."/>
      <w:numFmt w:val="decimal"/>
      <w:start w:val="3"/>
    </w:lvl>
  </w:abstractNum>
  <w:abstractNum w:abstractNumId="135">
    <w:nsid w:val="634C574C"/>
    <w:multiLevelType w:val="hybridMultilevel"/>
    <w:lvl w:ilvl="0">
      <w:lvlJc w:val="left"/>
      <w:lvlText w:val="%1."/>
      <w:numFmt w:val="decimal"/>
      <w:start w:val="4"/>
    </w:lvl>
  </w:abstractNum>
  <w:abstractNum w:abstractNumId="136">
    <w:nsid w:val="24E99DD7"/>
    <w:multiLevelType w:val="hybridMultilevel"/>
    <w:lvl w:ilvl="0">
      <w:lvlJc w:val="left"/>
      <w:lvlText w:val="%1."/>
      <w:numFmt w:val="decimal"/>
      <w:start w:val="5"/>
    </w:lvl>
  </w:abstractNum>
  <w:abstractNum w:abstractNumId="137">
    <w:nsid w:val="2A31B62D"/>
    <w:multiLevelType w:val="hybridMultilevel"/>
    <w:lvl w:ilvl="0">
      <w:lvlJc w:val="left"/>
      <w:lvlText w:val="%1."/>
      <w:numFmt w:val="decimal"/>
      <w:start w:val="1"/>
    </w:lvl>
    <w:lvl w:ilvl="1">
      <w:lvlJc w:val="left"/>
      <w:lvlText w:val="%2)"/>
      <w:numFmt w:val="lowerLetter"/>
      <w:start w:val="1"/>
    </w:lvl>
  </w:abstractNum>
  <w:abstractNum w:abstractNumId="138">
    <w:nsid w:val="1849C29B"/>
    <w:multiLevelType w:val="hybridMultilevel"/>
    <w:lvl w:ilvl="0">
      <w:lvlJc w:val="left"/>
      <w:lvlText w:val="%1."/>
      <w:numFmt w:val="decimal"/>
      <w:start w:val="1"/>
    </w:lvl>
    <w:lvl w:ilvl="1">
      <w:lvlJc w:val="left"/>
      <w:lvlText w:val="%2)"/>
      <w:numFmt w:val="lowerLetter"/>
      <w:start w:val="1"/>
    </w:lvl>
  </w:abstractNum>
  <w:abstractNum w:abstractNumId="139">
    <w:nsid w:val="7DFF9D09"/>
    <w:multiLevelType w:val="hybridMultilevel"/>
    <w:lvl w:ilvl="0">
      <w:lvlJc w:val="left"/>
      <w:lvlText w:val="(%1)"/>
      <w:numFmt w:val="decimal"/>
      <w:start w:val="1"/>
    </w:lvl>
  </w:abstractNum>
  <w:abstractNum w:abstractNumId="140">
    <w:nsid w:val="75434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2020-02-06T06:35:41Z</dcterms:created>
  <dcterms:modified xsi:type="dcterms:W3CDTF">2020-02-06T06:35:41Z</dcterms:modified>
</cp:coreProperties>
</file>