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000-07099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427" w:lineRule="exact"/>
        <w:rPr>
          <w:sz w:val="24"/>
          <w:szCs w:val="24"/>
          <w:color w:val="auto"/>
        </w:rPr>
      </w:pPr>
    </w:p>
    <w:p>
      <w:pPr>
        <w:sectPr>
          <w:pgSz w:w="11900" w:h="16838" w:orient="portrait"/>
          <w:cols w:equalWidth="0" w:num="3">
            <w:col w:w="4500" w:space="720"/>
            <w:col w:w="2100" w:space="720"/>
            <w:col w:w="3160"/>
          </w:cols>
          <w:pgMar w:left="320" w:top="848" w:right="379" w:bottom="1440" w:gutter="0" w:footer="0" w:header="0"/>
          <w:type w:val="continuous"/>
        </w:sectPr>
      </w:pP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5080 Spectrum Drive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Suite 800E</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Addison, Texas 75001</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1200"/>
          </w:cols>
          <w:pgMar w:left="320" w:top="848" w:right="379" w:bottom="1440" w:gutter="0" w:footer="0" w:header="0"/>
          <w:type w:val="continuous"/>
        </w:sectPr>
      </w:pP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(214) 357-6181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6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158"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48" w:right="379" w:bottom="1440" w:gutter="0" w:footer="0" w:header="0"/>
          <w:type w:val="continuous"/>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Form SD pursuant to Rule 13p-1 under the Securities Exchange Act of 1934 for the reporting period from January 1, 2024 to December 31, 2024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w:t>
      </w:r>
      <w:r>
        <w:rPr>
          <w:rFonts w:ascii="Times New Roman" w:cs="Times New Roman" w:eastAsia="Times New Roman" w:hAnsi="Times New Roman"/>
          <w:sz w:val="18"/>
          <w:szCs w:val="18"/>
          <w:b w:val="1"/>
          <w:bCs w:val="1"/>
          <w:color w:val="auto"/>
        </w:rPr>
        <w:t>conflict minerals</w:t>
      </w:r>
      <w:r>
        <w:rPr>
          <w:rFonts w:ascii="Times New Roman" w:cs="Times New Roman" w:eastAsia="Times New Roman" w:hAnsi="Times New Roman"/>
          <w:sz w:val="18"/>
          <w:szCs w:val="18"/>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1" w:lineRule="exact"/>
        <w:rPr>
          <w:sz w:val="20"/>
          <w:szCs w:val="20"/>
          <w:color w:val="auto"/>
        </w:rPr>
      </w:pPr>
    </w:p>
    <w:p>
      <w:pPr>
        <w:jc w:val="both"/>
        <w:ind w:firstLine="8"/>
        <w:spacing w:after="0" w:line="255" w:lineRule="auto"/>
        <w:tabs>
          <w:tab w:leader="none" w:pos="2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color w:val="auto"/>
        </w:rPr>
        <w:t>Covered Countries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https://investors.cecoenviro.com/financials-filings/sec-filings. The content on, or accessible through, any website referred to in this Form SD is not incorporated by reference into this Form SD unless expressly noted.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Section 2.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39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012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119" w:lineRule="exact"/>
        <w:rPr>
          <w:sz w:val="20"/>
          <w:szCs w:val="20"/>
          <w:color w:val="auto"/>
        </w:rPr>
      </w:pPr>
    </w:p>
    <w:p>
      <w:pPr>
        <w:ind w:left="400"/>
        <w:spacing w:after="0"/>
        <w:tabs>
          <w:tab w:leader="none" w:pos="16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of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Kiril Kovachev</w:t>
            </w:r>
          </w:p>
        </w:tc>
        <w:tc>
          <w:tcPr>
            <w:tcW w:w="1840" w:type="dxa"/>
            <w:vAlign w:val="bottom"/>
          </w:tcPr>
          <w:p>
            <w:pPr>
              <w:spacing w:after="0"/>
              <w:rPr>
                <w:sz w:val="21"/>
                <w:szCs w:val="21"/>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2025</w:t>
            </w:r>
          </w:p>
        </w:tc>
      </w:tr>
      <w:tr>
        <w:trPr>
          <w:trHeight w:val="245"/>
        </w:trPr>
        <w:tc>
          <w:tcPr>
            <w:tcW w:w="460" w:type="dxa"/>
            <w:vAlign w:val="bottom"/>
          </w:tcPr>
          <w:p>
            <w:pPr>
              <w:spacing w:after="0"/>
              <w:rPr>
                <w:sz w:val="21"/>
                <w:szCs w:val="21"/>
                <w:color w:val="auto"/>
              </w:rPr>
            </w:pPr>
          </w:p>
        </w:tc>
        <w:tc>
          <w:tcPr>
            <w:tcW w:w="44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Kiril Kovachev</w:t>
            </w:r>
          </w:p>
        </w:tc>
        <w:tc>
          <w:tcPr>
            <w:tcW w:w="1840" w:type="dxa"/>
            <w:vAlign w:val="bottom"/>
          </w:tcPr>
          <w:p>
            <w:pPr>
              <w:spacing w:after="0"/>
              <w:rPr>
                <w:sz w:val="21"/>
                <w:szCs w:val="21"/>
                <w:color w:val="auto"/>
              </w:rPr>
            </w:pPr>
          </w:p>
        </w:tc>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r>
      <w:tr>
        <w:trPr>
          <w:trHeight w:val="234"/>
        </w:trPr>
        <w:tc>
          <w:tcPr>
            <w:tcW w:w="4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1627"/>
        </w:trPr>
        <w:tc>
          <w:tcPr>
            <w:tcW w:w="4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2024 to December 31, 2024</w:t>
      </w:r>
    </w:p>
    <w:p>
      <w:pPr>
        <w:spacing w:after="0" w:line="18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 has been prepared pursuant to Rule 13p-1 and Form SD promulgated under the Securities Exchange Act of 1934 for the reporting period from January 1, 2024 to December 31, 2024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17"/>
          <w:szCs w:val="17"/>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i w:val="1"/>
          <w:iCs w:val="1"/>
          <w:color w:val="auto"/>
        </w:rPr>
        <w:t>”), including its Annual Report on Form</w:t>
      </w:r>
    </w:p>
    <w:p>
      <w:pPr>
        <w:spacing w:after="0" w:line="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i w:val="1"/>
          <w:iCs w:val="1"/>
          <w:color w:val="auto"/>
        </w:rPr>
        <w:t>10-K for the year ended December 31, 2024 and subsequent Quarterly Reports on Form 10-Q. The Company makes these statements as of the date of this disclosure and undertakes no obligation to update them unless otherwise required by law.</w:t>
      </w:r>
    </w:p>
    <w:p>
      <w:pPr>
        <w:spacing w:after="0" w:line="141"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the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https://investors.cecoenviro.com/financials-filings/sec-filings. The content on, or accessible through, any website referred to in this Report is not incorporated by reference into this 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and Due Diligence Process.</w:t>
      </w:r>
    </w:p>
    <w:p>
      <w:pPr>
        <w:spacing w:after="0" w:line="229"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Times New Roman" w:cs="Times New Roman" w:eastAsia="Times New Roman" w:hAnsi="Times New Roman"/>
          <w:sz w:val="18"/>
          <w:szCs w:val="18"/>
          <w:b w:val="1"/>
          <w:bCs w:val="1"/>
          <w:i w:val="1"/>
          <w:iCs w:val="1"/>
          <w:color w:val="auto"/>
        </w:rPr>
        <w:t>OECD Guidelines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60"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18"/>
          <w:szCs w:val="18"/>
          <w:color w:val="auto"/>
        </w:rPr>
        <w:t>The Company worked to identify direct suppliers that it believed potentially provided materials or components containing Subject Minerals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during the Reporting Period. The Company then included additional questions regarding conflict minerals in its Supplier Questionnaire on Conflict Minerals, which the Company refers to as the “</w:t>
      </w:r>
      <w:r>
        <w:rPr>
          <w:rFonts w:ascii="Times New Roman" w:cs="Times New Roman" w:eastAsia="Times New Roman" w:hAnsi="Times New Roman"/>
          <w:sz w:val="18"/>
          <w:szCs w:val="18"/>
          <w:b w:val="1"/>
          <w:bCs w:val="1"/>
          <w:i w:val="1"/>
          <w:iCs w:val="1"/>
          <w:color w:val="auto"/>
        </w:rPr>
        <w:t>Supplier Questionnaire</w:t>
      </w:r>
      <w:r>
        <w:rPr>
          <w:rFonts w:ascii="Times New Roman" w:cs="Times New Roman" w:eastAsia="Times New Roman" w:hAnsi="Times New Roman"/>
          <w:sz w:val="18"/>
          <w:szCs w:val="18"/>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47"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Company operates as a leading provider of critical solutions in industrial air quality, industrial water treatment, and energy transition solutions through its engineered systems and industrial process solutions segments. The Company, with respect to the Reporting Period, reasonably determined that both of its segments’ product groups contained Subject Minerals.</w:t>
      </w:r>
    </w:p>
    <w:p>
      <w:pPr>
        <w:spacing w:after="0" w:line="135"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8"/>
          <w:szCs w:val="18"/>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65"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3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 w:name="page6"/>
    <w:bookmarkEnd w:id="5"/>
    <w:p>
      <w:pPr>
        <w:ind w:right="100"/>
        <w:spacing w:after="0" w:line="255" w:lineRule="auto"/>
        <w:rPr>
          <w:sz w:val="20"/>
          <w:szCs w:val="20"/>
          <w:color w:val="auto"/>
        </w:rPr>
      </w:pPr>
      <w:r>
        <w:rPr>
          <w:rFonts w:ascii="Times New Roman" w:cs="Times New Roman" w:eastAsia="Times New Roman" w:hAnsi="Times New Roman"/>
          <w:sz w:val="18"/>
          <w:szCs w:val="18"/>
          <w:color w:val="auto"/>
        </w:rPr>
        <w:t>Supplier Questionnaires or similar representations from Covered Suppliers that listed smelter or refiner names 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Times New Roman" w:cs="Times New Roman" w:eastAsia="Times New Roman" w:hAnsi="Times New Roman"/>
          <w:sz w:val="18"/>
          <w:szCs w:val="18"/>
          <w:i w:val="1"/>
          <w:iCs w:val="1"/>
          <w:color w:val="auto"/>
        </w:rPr>
        <w:t>Additional Due Diligence and Risk Mitigation</w:t>
      </w:r>
      <w:r>
        <w:rPr>
          <w:rFonts w:ascii="Times New Roman" w:cs="Times New Roman" w:eastAsia="Times New Roman" w:hAnsi="Times New Roman"/>
          <w:sz w:val="18"/>
          <w:szCs w:val="18"/>
          <w:color w:val="auto"/>
        </w:rPr>
        <w:t>” below for additional detail.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due diligence process is based on the OECD Guidelines. Due diligence measures undertaken by the Company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included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 to Support Supply Chain Due Diligence.</w:t>
      </w:r>
    </w:p>
    <w:p>
      <w:pPr>
        <w:spacing w:after="0" w:line="22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has established an internal team to manage conflict minerals engagement with its suppliers. During the Reporting Period, the Company held meetings with legal advisors, the Company’s executive management,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Measures Taken to Strengthen Engagement with Suppliers.</w:t>
      </w:r>
    </w:p>
    <w:p>
      <w:pPr>
        <w:spacing w:after="0" w:line="227" w:lineRule="exact"/>
        <w:rPr>
          <w:sz w:val="20"/>
          <w:szCs w:val="20"/>
          <w:color w:val="auto"/>
        </w:rPr>
      </w:pPr>
    </w:p>
    <w:p>
      <w:pPr>
        <w:ind w:right="140" w:firstLine="749"/>
        <w:spacing w:after="0" w:line="261" w:lineRule="auto"/>
        <w:rPr>
          <w:sz w:val="20"/>
          <w:szCs w:val="20"/>
          <w:color w:val="auto"/>
        </w:rPr>
      </w:pPr>
      <w:r>
        <w:rPr>
          <w:rFonts w:ascii="Times New Roman" w:cs="Times New Roman" w:eastAsia="Times New Roman" w:hAnsi="Times New Roman"/>
          <w:sz w:val="18"/>
          <w:szCs w:val="18"/>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Conflict Minerals Policy.</w:t>
      </w:r>
    </w:p>
    <w:p>
      <w:pPr>
        <w:spacing w:after="0" w:line="227" w:lineRule="exact"/>
        <w:rPr>
          <w:sz w:val="20"/>
          <w:szCs w:val="20"/>
          <w:color w:val="auto"/>
        </w:rPr>
      </w:pPr>
    </w:p>
    <w:p>
      <w:pPr>
        <w:ind w:right="260" w:firstLine="749"/>
        <w:spacing w:after="0" w:line="266" w:lineRule="auto"/>
        <w:rPr>
          <w:sz w:val="20"/>
          <w:szCs w:val="20"/>
          <w:color w:val="auto"/>
        </w:rPr>
      </w:pPr>
      <w:r>
        <w:rPr>
          <w:rFonts w:ascii="Times New Roman" w:cs="Times New Roman" w:eastAsia="Times New Roman" w:hAnsi="Times New Roman"/>
          <w:sz w:val="18"/>
          <w:szCs w:val="18"/>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https://investors.cecoenviro.com/corporate-governance.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and Assess Risks in the Supply Chain</w:t>
      </w:r>
    </w:p>
    <w:p>
      <w:pPr>
        <w:spacing w:after="0" w:line="229" w:lineRule="exact"/>
        <w:rPr>
          <w:sz w:val="20"/>
          <w:szCs w:val="20"/>
          <w:color w:val="auto"/>
        </w:rPr>
      </w:pPr>
    </w:p>
    <w:p>
      <w:pPr>
        <w:ind w:right="480" w:firstLine="749"/>
        <w:spacing w:after="0" w:line="282" w:lineRule="auto"/>
        <w:rPr>
          <w:sz w:val="20"/>
          <w:szCs w:val="20"/>
          <w:color w:val="auto"/>
        </w:rPr>
      </w:pPr>
      <w:r>
        <w:rPr>
          <w:rFonts w:ascii="Times New Roman" w:cs="Times New Roman" w:eastAsia="Times New Roman" w:hAnsi="Times New Roman"/>
          <w:sz w:val="18"/>
          <w:szCs w:val="18"/>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Implement a Strategy to Respond to Identified Risks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8"/>
          <w:szCs w:val="18"/>
          <w:color w:val="auto"/>
        </w:rPr>
        <w:t>manages conflict minerals engagement with the Company’s suppliers also works to address any significant due 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 Out Independent Third-Party Audit of Smelter’s / Refiner’s Due Diligence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Annually on Supply Chain Due Diligence</w:t>
      </w:r>
    </w:p>
    <w:p>
      <w:pPr>
        <w:spacing w:after="0" w:line="22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Form SD and this Report are publicly available at https://investors.cecoenviro.com/financials-filings/sec-filings and meet the OECD Guidelines’ recommendation to report annually on supply chain due diligence.</w:t>
      </w:r>
    </w:p>
    <w:p>
      <w:pPr>
        <w:spacing w:after="0" w:line="117" w:lineRule="exact"/>
        <w:rPr>
          <w:sz w:val="20"/>
          <w:szCs w:val="20"/>
          <w:color w:val="auto"/>
        </w:rPr>
      </w:pPr>
    </w:p>
    <w:p>
      <w:pPr>
        <w:ind w:left="960" w:hanging="443"/>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76" w:lineRule="exact"/>
        <w:rPr>
          <w:sz w:val="20"/>
          <w:szCs w:val="20"/>
          <w:color w:val="auto"/>
        </w:rPr>
      </w:pPr>
    </w:p>
    <w:p>
      <w:pPr>
        <w:ind w:left="920" w:hanging="403"/>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Due Diligence and Risk Mitigation.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to take the following steps, among others, to improve its RCOI process and due diligence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Terms and Conditions / Supplier Code of Conduct</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has established a supplier code of conduct to prohibit suppliers from supplying the Company with certain conflict minerals originating in the Covered Countries.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Continuous Improvement of Supply Chain Due Diligence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expects to continue to improve its supply chain due diligence efforts. Such measures may include, but are not limited to:</w:t>
      </w:r>
    </w:p>
    <w:p>
      <w:pPr>
        <w:spacing w:after="0" w:line="18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its supply chain;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transparency of supplier sourcing of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ind w:left="378" w:hanging="378"/>
        <w:spacing w:after="0"/>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response rate for the RCOI process;</w:t>
      </w:r>
    </w:p>
    <w:p>
      <w:pPr>
        <w:spacing w:after="0" w:line="184"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surveying various internal procurement and supply chain personnel for Conflict Mineral policy compliance;</w:t>
      </w:r>
    </w:p>
    <w:p>
      <w:pPr>
        <w:spacing w:after="0" w:line="198" w:lineRule="exact"/>
        <w:rPr>
          <w:rFonts w:ascii="Times New Roman" w:cs="Times New Roman" w:eastAsia="Times New Roman" w:hAnsi="Times New Roman"/>
          <w:sz w:val="18"/>
          <w:szCs w:val="18"/>
          <w:color w:val="auto"/>
        </w:rPr>
      </w:pPr>
    </w:p>
    <w:p>
      <w:pPr>
        <w:ind w:left="378" w:right="60"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conflict free smelter validation programs such as the RMI Responsible Mineral Assurance Process standards; and</w:t>
      </w:r>
    </w:p>
    <w:p>
      <w:pPr>
        <w:spacing w:after="0" w:line="121"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smelters identified as a result of the RCOI process and requesting their compliance with an industry program such as the RMI Responsible Mineral Assurance Process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967105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18"/>
      </w:cols>
      <w:pgMar w:left="702" w:top="14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2025-05-29T07:06:14Z</dcterms:created>
  <dcterms:modified xsi:type="dcterms:W3CDTF">2025-05-29T07:06:14Z</dcterms:modified>
</cp:coreProperties>
</file>