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q.htm"/>
        <w:bookmarkStart w:id="1" w:name="ksd10q"/>
        <w:bookmarkEnd w:id="0"/>
        <w:bookmarkEnd w:id="1"/>
        <w:r>
          <w:rPr>
            <w:rStyle w:val="InternetLink"/>
          </w:rPr>
          <w:t>Table of Contents</w:t>
        </w:r>
      </w:hyperlink>
    </w:p>
    <w:p>
      <w:pPr>
        <w:pStyle w:val="HorizontalLine"/>
        <w:pBdr>
          <w:bottom w:val="single" w:sz="18" w:space="0" w:color="000000"/>
        </w:pBdr>
        <w:rPr/>
      </w:pPr>
      <w:r>
        <w:rPr/>
      </w:r>
    </w:p>
    <w:p>
      <w:pPr>
        <w:pStyle w:val="TextBody"/>
        <w:spacing w:before="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FORM 10-Q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QUARTERLY REPORT UNDER SECTION 13 OR 15(d) OF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0" w:after="0"/>
        <w:jc w:val="center"/>
        <w:rPr>
          <w:rFonts w:ascii="Times New Roman" w:hAnsi="Times New Roman"/>
          <w:b/>
          <w:sz w:val="20"/>
        </w:rPr>
      </w:pPr>
      <w:r>
        <w:rPr>
          <w:rFonts w:ascii="Times New Roman" w:hAnsi="Times New Roman"/>
          <w:b/>
          <w:sz w:val="20"/>
        </w:rPr>
        <w:t xml:space="preserve">FOR THE QUARTERLY PERIOD ENDED SEPTEMBER 30, 2005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Commission File No. 0-7099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510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(State or other jurisdiction of</w:t>
              <w:br/>
              <w:t>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(I.R.S. Employer</w:t>
              <w:br/>
              <w:t>Identification No.)</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3120 Forrer Street, Cincinnati, Ohio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513-458-2600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(1) has filed all reports required to be filed by Section 13 or 15(d) of the Securities Exchange Act of 1934 during the preceding 12 months and (2) has been subject to such filing requirements for the past 90 days.    ☒  Yes    </w:t>
      </w:r>
      <w:r>
        <w:rPr>
          <w:color w:val="000000"/>
        </w:rPr>
        <w:t>☐</w:t>
      </w:r>
      <w:r>
        <w:rPr/>
        <w:t>  </w:t>
      </w:r>
      <w:r>
        <w:rPr>
          <w:rFonts w:ascii="Times New Roman" w:hAnsi="Times New Roman"/>
          <w:sz w:val="20"/>
        </w:rPr>
        <w:t xml:space="preserve">No </w:t>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is an accelerated filer (as defined in Rule 12b-2 of the Exchange Act).    </w:t>
      </w:r>
      <w:r>
        <w:rPr>
          <w:color w:val="000000"/>
        </w:rPr>
        <w:t>☐</w:t>
      </w:r>
      <w:r>
        <w:rPr/>
        <w:t>  </w:t>
      </w:r>
      <w:r>
        <w:rPr>
          <w:rFonts w:ascii="Times New Roman" w:hAnsi="Times New Roman"/>
          <w:sz w:val="20"/>
        </w:rPr>
        <w:t xml:space="preserve">Yes    ☒  No </w:t>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is a shell company (as defined in Rule 12b-2 of the Exchange Act.):    </w:t>
      </w:r>
      <w:r>
        <w:rPr>
          <w:color w:val="000000"/>
        </w:rPr>
        <w:t>☐</w:t>
      </w:r>
      <w:r>
        <w:rPr/>
        <w:t>  </w:t>
      </w:r>
      <w:r>
        <w:rPr>
          <w:rFonts w:ascii="Times New Roman" w:hAnsi="Times New Roman"/>
          <w:sz w:val="20"/>
        </w:rPr>
        <w:t xml:space="preserve">Yes    ☒  No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Indicate the number of shares outstanding of each of the issuers classes of common stock as of latest practical date.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Class: Common, par value $.01 per share outstanding at November 1, 2005 - 9,993,260 </w:t>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2" w:name="toc"/>
      <w:bookmarkEnd w:id="2"/>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QUARTERLY REPORT UNDER SECTION 13 OR 15(d) </w:t>
      </w:r>
    </w:p>
    <w:p>
      <w:pPr>
        <w:pStyle w:val="TextBody"/>
        <w:spacing w:before="0" w:after="0"/>
        <w:jc w:val="center"/>
        <w:rPr>
          <w:rFonts w:ascii="Times New Roman" w:hAnsi="Times New Roman"/>
          <w:sz w:val="20"/>
        </w:rPr>
      </w:pPr>
      <w:r>
        <w:rPr>
          <w:rFonts w:ascii="Times New Roman" w:hAnsi="Times New Roman"/>
          <w:sz w:val="20"/>
        </w:rPr>
        <w:t xml:space="preserve">OF THE SECURITIES EXCHANGE ACT OF 1934 </w:t>
      </w:r>
    </w:p>
    <w:p>
      <w:pPr>
        <w:pStyle w:val="TextBody"/>
        <w:spacing w:before="0" w:after="0"/>
        <w:jc w:val="center"/>
        <w:rPr>
          <w:rFonts w:ascii="Times New Roman" w:hAnsi="Times New Roman"/>
          <w:sz w:val="20"/>
        </w:rPr>
      </w:pPr>
      <w:r>
        <w:rPr>
          <w:rFonts w:ascii="Times New Roman" w:hAnsi="Times New Roman"/>
          <w:sz w:val="20"/>
        </w:rPr>
        <w:t xml:space="preserve">SEPTEMBER 30, 2005 </w:t>
      </w:r>
    </w:p>
    <w:p>
      <w:pPr>
        <w:pStyle w:val="TextBody"/>
        <w:spacing w:before="0" w:after="0"/>
        <w:rPr/>
      </w:pPr>
      <w:r>
        <w:rPr/>
        <w:t>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9"/>
        <w:gridCol w:w="165"/>
        <w:gridCol w:w="8857"/>
        <w:gridCol w:w="165"/>
        <w:gridCol w:w="239"/>
      </w:tblGrid>
      <w:tr>
        <w:trPr/>
        <w:tc>
          <w:tcPr>
            <w:tcW w:w="77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885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980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Part I - Financial Information:</w:t>
            </w:r>
          </w:p>
        </w:tc>
        <w:tc>
          <w:tcPr>
            <w:tcW w:w="16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rHeight w:val="120" w:hRule="atLeast"/>
        </w:trPr>
        <w:tc>
          <w:tcPr>
            <w:tcW w:w="779" w:type="dxa"/>
            <w:tcBorders/>
            <w:shd w:fill="auto" w:val="clear"/>
            <w:vAlign w:val="center"/>
          </w:tcPr>
          <w:p>
            <w:pPr>
              <w:pStyle w:val="TableContents"/>
              <w:spacing w:before="0" w:after="283"/>
              <w:rPr>
                <w:sz w:val="4"/>
                <w:szCs w:val="4"/>
              </w:rPr>
            </w:pPr>
            <w:r>
              <w:rPr>
                <w:sz w:val="4"/>
                <w:szCs w:val="4"/>
              </w:rPr>
            </w:r>
          </w:p>
        </w:tc>
        <w:tc>
          <w:tcPr>
            <w:tcW w:w="9022" w:type="dxa"/>
            <w:gridSpan w:val="2"/>
            <w:tcBorders/>
            <w:shd w:fill="auto" w:val="clear"/>
            <w:vAlign w:val="center"/>
          </w:tcPr>
          <w:p>
            <w:pPr>
              <w:pStyle w:val="TableContents"/>
              <w:spacing w:before="0" w:after="283"/>
              <w:rPr>
                <w:sz w:val="4"/>
                <w:szCs w:val="4"/>
              </w:rPr>
            </w:pPr>
            <w:r>
              <w:rPr>
                <w:sz w:val="4"/>
                <w:szCs w:val="4"/>
              </w:rPr>
            </w:r>
          </w:p>
        </w:tc>
        <w:tc>
          <w:tcPr>
            <w:tcW w:w="404" w:type="dxa"/>
            <w:gridSpan w:val="2"/>
            <w:tcBorders/>
            <w:shd w:fill="auto" w:val="clear"/>
            <w:vAlign w:val="center"/>
          </w:tcPr>
          <w:p>
            <w:pPr>
              <w:pStyle w:val="TableContents"/>
              <w:spacing w:before="0" w:after="283"/>
              <w:rPr>
                <w:sz w:val="4"/>
                <w:szCs w:val="4"/>
              </w:rPr>
            </w:pPr>
            <w:r>
              <w:rPr>
                <w:sz w:val="4"/>
                <w:szCs w:val="4"/>
              </w:rPr>
            </w:r>
          </w:p>
        </w:tc>
      </w:tr>
      <w:tr>
        <w:trPr/>
        <w:tc>
          <w:tcPr>
            <w:tcW w:w="779"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165" w:type="dxa"/>
            <w:tcBorders/>
            <w:shd w:fill="auto" w:val="clear"/>
            <w:vAlign w:val="bottom"/>
          </w:tcPr>
          <w:p>
            <w:pPr>
              <w:pStyle w:val="TableContents"/>
              <w:spacing w:before="0" w:after="283"/>
              <w:rPr/>
            </w:pPr>
            <w:r>
              <w:rPr/>
              <w:t>  </w:t>
            </w:r>
          </w:p>
        </w:tc>
        <w:tc>
          <w:tcPr>
            <w:tcW w:w="8857" w:type="dxa"/>
            <w:tcBorders/>
            <w:shd w:fill="auto" w:val="clear"/>
            <w:vAlign w:val="bottom"/>
          </w:tcPr>
          <w:p>
            <w:pPr>
              <w:pStyle w:val="TableContents"/>
              <w:spacing w:before="0" w:after="283"/>
              <w:rPr/>
            </w:pPr>
            <w:hyperlink w:anchor="tx48591_1">
              <w:r>
                <w:rPr>
                  <w:rStyle w:val="InternetLink"/>
                  <w:rFonts w:ascii="Times New Roman" w:hAnsi="Times New Roman"/>
                  <w:sz w:val="20"/>
                </w:rPr>
                <w:t>Condensed consolidated balance sheets as of September 30, 2005 and December 31, 2004</w:t>
              </w:r>
            </w:hyperlink>
          </w:p>
        </w:tc>
        <w:tc>
          <w:tcPr>
            <w:tcW w:w="16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rHeight w:val="120" w:hRule="atLeast"/>
        </w:trPr>
        <w:tc>
          <w:tcPr>
            <w:tcW w:w="779" w:type="dxa"/>
            <w:tcBorders/>
            <w:shd w:fill="auto" w:val="clear"/>
            <w:vAlign w:val="center"/>
          </w:tcPr>
          <w:p>
            <w:pPr>
              <w:pStyle w:val="TableContents"/>
              <w:spacing w:before="0" w:after="283"/>
              <w:rPr>
                <w:sz w:val="4"/>
                <w:szCs w:val="4"/>
              </w:rPr>
            </w:pPr>
            <w:r>
              <w:rPr>
                <w:sz w:val="4"/>
                <w:szCs w:val="4"/>
              </w:rPr>
            </w:r>
          </w:p>
        </w:tc>
        <w:tc>
          <w:tcPr>
            <w:tcW w:w="9022" w:type="dxa"/>
            <w:gridSpan w:val="2"/>
            <w:tcBorders/>
            <w:shd w:fill="auto" w:val="clear"/>
            <w:vAlign w:val="center"/>
          </w:tcPr>
          <w:p>
            <w:pPr>
              <w:pStyle w:val="TableContents"/>
              <w:spacing w:before="0" w:after="283"/>
              <w:rPr>
                <w:sz w:val="4"/>
                <w:szCs w:val="4"/>
              </w:rPr>
            </w:pPr>
            <w:r>
              <w:rPr>
                <w:sz w:val="4"/>
                <w:szCs w:val="4"/>
              </w:rPr>
            </w:r>
          </w:p>
        </w:tc>
        <w:tc>
          <w:tcPr>
            <w:tcW w:w="404" w:type="dxa"/>
            <w:gridSpan w:val="2"/>
            <w:tcBorders/>
            <w:shd w:fill="auto" w:val="clear"/>
            <w:vAlign w:val="center"/>
          </w:tcPr>
          <w:p>
            <w:pPr>
              <w:pStyle w:val="TableContents"/>
              <w:spacing w:before="0" w:after="283"/>
              <w:rPr>
                <w:sz w:val="4"/>
                <w:szCs w:val="4"/>
              </w:rPr>
            </w:pPr>
            <w:r>
              <w:rPr>
                <w:sz w:val="4"/>
                <w:szCs w:val="4"/>
              </w:rPr>
            </w:r>
          </w:p>
        </w:tc>
      </w:tr>
      <w:tr>
        <w:trPr/>
        <w:tc>
          <w:tcPr>
            <w:tcW w:w="779" w:type="dxa"/>
            <w:tcBorders/>
            <w:shd w:fill="auto" w:val="clea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57" w:type="dxa"/>
            <w:tcBorders/>
            <w:shd w:fill="auto" w:val="clear"/>
            <w:vAlign w:val="bottom"/>
          </w:tcPr>
          <w:p>
            <w:pPr>
              <w:pStyle w:val="TableContents"/>
              <w:spacing w:before="0" w:after="283"/>
              <w:rPr/>
            </w:pPr>
            <w:hyperlink w:anchor="tx48591_2">
              <w:r>
                <w:rPr>
                  <w:rStyle w:val="InternetLink"/>
                  <w:rFonts w:ascii="Times New Roman" w:hAnsi="Times New Roman"/>
                  <w:sz w:val="20"/>
                </w:rPr>
                <w:t>Condensed consolidated statements of operations for the three-month and nine-month periods ended September 30, 2005 and 2004</w:t>
              </w:r>
            </w:hyperlink>
          </w:p>
        </w:tc>
        <w:tc>
          <w:tcPr>
            <w:tcW w:w="16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rHeight w:val="120" w:hRule="atLeast"/>
        </w:trPr>
        <w:tc>
          <w:tcPr>
            <w:tcW w:w="779" w:type="dxa"/>
            <w:tcBorders/>
            <w:shd w:fill="auto" w:val="clear"/>
            <w:vAlign w:val="center"/>
          </w:tcPr>
          <w:p>
            <w:pPr>
              <w:pStyle w:val="TableContents"/>
              <w:spacing w:before="0" w:after="283"/>
              <w:rPr>
                <w:sz w:val="4"/>
                <w:szCs w:val="4"/>
              </w:rPr>
            </w:pPr>
            <w:r>
              <w:rPr>
                <w:sz w:val="4"/>
                <w:szCs w:val="4"/>
              </w:rPr>
            </w:r>
          </w:p>
        </w:tc>
        <w:tc>
          <w:tcPr>
            <w:tcW w:w="9022" w:type="dxa"/>
            <w:gridSpan w:val="2"/>
            <w:tcBorders/>
            <w:shd w:fill="auto" w:val="clear"/>
            <w:vAlign w:val="center"/>
          </w:tcPr>
          <w:p>
            <w:pPr>
              <w:pStyle w:val="TableContents"/>
              <w:spacing w:before="0" w:after="283"/>
              <w:rPr>
                <w:sz w:val="4"/>
                <w:szCs w:val="4"/>
              </w:rPr>
            </w:pPr>
            <w:r>
              <w:rPr>
                <w:sz w:val="4"/>
                <w:szCs w:val="4"/>
              </w:rPr>
            </w:r>
          </w:p>
        </w:tc>
        <w:tc>
          <w:tcPr>
            <w:tcW w:w="404" w:type="dxa"/>
            <w:gridSpan w:val="2"/>
            <w:tcBorders/>
            <w:shd w:fill="auto" w:val="clear"/>
            <w:vAlign w:val="center"/>
          </w:tcPr>
          <w:p>
            <w:pPr>
              <w:pStyle w:val="TableContents"/>
              <w:spacing w:before="0" w:after="283"/>
              <w:rPr>
                <w:sz w:val="4"/>
                <w:szCs w:val="4"/>
              </w:rPr>
            </w:pPr>
            <w:r>
              <w:rPr>
                <w:sz w:val="4"/>
                <w:szCs w:val="4"/>
              </w:rPr>
            </w:r>
          </w:p>
        </w:tc>
      </w:tr>
      <w:tr>
        <w:trPr/>
        <w:tc>
          <w:tcPr>
            <w:tcW w:w="779" w:type="dxa"/>
            <w:tcBorders/>
            <w:shd w:fill="auto" w:val="clea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57" w:type="dxa"/>
            <w:tcBorders/>
            <w:shd w:fill="auto" w:val="clear"/>
            <w:vAlign w:val="bottom"/>
          </w:tcPr>
          <w:p>
            <w:pPr>
              <w:pStyle w:val="TableContents"/>
              <w:spacing w:before="0" w:after="283"/>
              <w:rPr/>
            </w:pPr>
            <w:hyperlink w:anchor="tx48591_3">
              <w:r>
                <w:rPr>
                  <w:rStyle w:val="InternetLink"/>
                  <w:rFonts w:ascii="Times New Roman" w:hAnsi="Times New Roman"/>
                  <w:sz w:val="20"/>
                </w:rPr>
                <w:t>Condensed consolidated statements of cash flows for the nine-month periods ended September 30, 2005 and 2004</w:t>
              </w:r>
            </w:hyperlink>
          </w:p>
        </w:tc>
        <w:tc>
          <w:tcPr>
            <w:tcW w:w="16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rHeight w:val="120" w:hRule="atLeast"/>
        </w:trPr>
        <w:tc>
          <w:tcPr>
            <w:tcW w:w="779" w:type="dxa"/>
            <w:tcBorders/>
            <w:shd w:fill="auto" w:val="clear"/>
            <w:vAlign w:val="center"/>
          </w:tcPr>
          <w:p>
            <w:pPr>
              <w:pStyle w:val="TableContents"/>
              <w:spacing w:before="0" w:after="283"/>
              <w:rPr>
                <w:sz w:val="4"/>
                <w:szCs w:val="4"/>
              </w:rPr>
            </w:pPr>
            <w:r>
              <w:rPr>
                <w:sz w:val="4"/>
                <w:szCs w:val="4"/>
              </w:rPr>
            </w:r>
          </w:p>
        </w:tc>
        <w:tc>
          <w:tcPr>
            <w:tcW w:w="9022" w:type="dxa"/>
            <w:gridSpan w:val="2"/>
            <w:tcBorders/>
            <w:shd w:fill="auto" w:val="clear"/>
            <w:vAlign w:val="center"/>
          </w:tcPr>
          <w:p>
            <w:pPr>
              <w:pStyle w:val="TableContents"/>
              <w:spacing w:before="0" w:after="283"/>
              <w:rPr>
                <w:sz w:val="4"/>
                <w:szCs w:val="4"/>
              </w:rPr>
            </w:pPr>
            <w:r>
              <w:rPr>
                <w:sz w:val="4"/>
                <w:szCs w:val="4"/>
              </w:rPr>
            </w:r>
          </w:p>
        </w:tc>
        <w:tc>
          <w:tcPr>
            <w:tcW w:w="404" w:type="dxa"/>
            <w:gridSpan w:val="2"/>
            <w:tcBorders/>
            <w:shd w:fill="auto" w:val="clear"/>
            <w:vAlign w:val="center"/>
          </w:tcPr>
          <w:p>
            <w:pPr>
              <w:pStyle w:val="TableContents"/>
              <w:spacing w:before="0" w:after="283"/>
              <w:rPr>
                <w:sz w:val="4"/>
                <w:szCs w:val="4"/>
              </w:rPr>
            </w:pPr>
            <w:r>
              <w:rPr>
                <w:sz w:val="4"/>
                <w:szCs w:val="4"/>
              </w:rPr>
            </w:r>
          </w:p>
        </w:tc>
      </w:tr>
      <w:tr>
        <w:trPr/>
        <w:tc>
          <w:tcPr>
            <w:tcW w:w="779" w:type="dxa"/>
            <w:tcBorders/>
            <w:shd w:fill="auto" w:val="clea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57" w:type="dxa"/>
            <w:tcBorders/>
            <w:shd w:fill="auto" w:val="clear"/>
            <w:vAlign w:val="bottom"/>
          </w:tcPr>
          <w:p>
            <w:pPr>
              <w:pStyle w:val="TableContents"/>
              <w:spacing w:before="0" w:after="283"/>
              <w:rPr/>
            </w:pPr>
            <w:hyperlink w:anchor="tx48591_4">
              <w:r>
                <w:rPr>
                  <w:rStyle w:val="InternetLink"/>
                  <w:rFonts w:ascii="Times New Roman" w:hAnsi="Times New Roman"/>
                  <w:sz w:val="20"/>
                </w:rPr>
                <w:t>Notes to condensed consolidated financial statements</w:t>
              </w:r>
            </w:hyperlink>
          </w:p>
        </w:tc>
        <w:tc>
          <w:tcPr>
            <w:tcW w:w="16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rHeight w:val="120" w:hRule="atLeast"/>
        </w:trPr>
        <w:tc>
          <w:tcPr>
            <w:tcW w:w="779" w:type="dxa"/>
            <w:tcBorders/>
            <w:shd w:fill="auto" w:val="clear"/>
            <w:vAlign w:val="center"/>
          </w:tcPr>
          <w:p>
            <w:pPr>
              <w:pStyle w:val="TableContents"/>
              <w:spacing w:before="0" w:after="283"/>
              <w:rPr>
                <w:sz w:val="4"/>
                <w:szCs w:val="4"/>
              </w:rPr>
            </w:pPr>
            <w:r>
              <w:rPr>
                <w:sz w:val="4"/>
                <w:szCs w:val="4"/>
              </w:rPr>
            </w:r>
          </w:p>
        </w:tc>
        <w:tc>
          <w:tcPr>
            <w:tcW w:w="9022" w:type="dxa"/>
            <w:gridSpan w:val="2"/>
            <w:tcBorders/>
            <w:shd w:fill="auto" w:val="clear"/>
            <w:vAlign w:val="center"/>
          </w:tcPr>
          <w:p>
            <w:pPr>
              <w:pStyle w:val="TableContents"/>
              <w:spacing w:before="0" w:after="283"/>
              <w:rPr>
                <w:sz w:val="4"/>
                <w:szCs w:val="4"/>
              </w:rPr>
            </w:pPr>
            <w:r>
              <w:rPr>
                <w:sz w:val="4"/>
                <w:szCs w:val="4"/>
              </w:rPr>
            </w:r>
          </w:p>
        </w:tc>
        <w:tc>
          <w:tcPr>
            <w:tcW w:w="404" w:type="dxa"/>
            <w:gridSpan w:val="2"/>
            <w:tcBorders/>
            <w:shd w:fill="auto" w:val="clear"/>
            <w:vAlign w:val="center"/>
          </w:tcPr>
          <w:p>
            <w:pPr>
              <w:pStyle w:val="TableContents"/>
              <w:spacing w:before="0" w:after="283"/>
              <w:rPr>
                <w:sz w:val="4"/>
                <w:szCs w:val="4"/>
              </w:rPr>
            </w:pPr>
            <w:r>
              <w:rPr>
                <w:sz w:val="4"/>
                <w:szCs w:val="4"/>
              </w:rPr>
            </w:r>
          </w:p>
        </w:tc>
      </w:tr>
      <w:tr>
        <w:trPr/>
        <w:tc>
          <w:tcPr>
            <w:tcW w:w="779"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165" w:type="dxa"/>
            <w:tcBorders/>
            <w:shd w:fill="auto" w:val="clear"/>
            <w:vAlign w:val="bottom"/>
          </w:tcPr>
          <w:p>
            <w:pPr>
              <w:pStyle w:val="TableContents"/>
              <w:spacing w:before="0" w:after="283"/>
              <w:rPr/>
            </w:pPr>
            <w:r>
              <w:rPr/>
              <w:t>  </w:t>
            </w:r>
          </w:p>
        </w:tc>
        <w:tc>
          <w:tcPr>
            <w:tcW w:w="8857" w:type="dxa"/>
            <w:tcBorders/>
            <w:shd w:fill="auto" w:val="clear"/>
            <w:vAlign w:val="bottom"/>
          </w:tcPr>
          <w:p>
            <w:pPr>
              <w:pStyle w:val="TableContents"/>
              <w:spacing w:before="0" w:after="283"/>
              <w:rPr/>
            </w:pPr>
            <w:hyperlink w:anchor="tx48591_5">
              <w:r>
                <w:rPr>
                  <w:rStyle w:val="InternetLink"/>
                  <w:rFonts w:ascii="Times New Roman" w:hAnsi="Times New Roman"/>
                  <w:sz w:val="20"/>
                </w:rPr>
                <w:t xml:space="preserve">Managements discussion and analysis of financial condition and results of operations </w:t>
              </w:r>
            </w:hyperlink>
          </w:p>
        </w:tc>
        <w:tc>
          <w:tcPr>
            <w:tcW w:w="16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rHeight w:val="120" w:hRule="atLeast"/>
        </w:trPr>
        <w:tc>
          <w:tcPr>
            <w:tcW w:w="779" w:type="dxa"/>
            <w:tcBorders/>
            <w:shd w:fill="auto" w:val="clear"/>
            <w:vAlign w:val="center"/>
          </w:tcPr>
          <w:p>
            <w:pPr>
              <w:pStyle w:val="TableContents"/>
              <w:spacing w:before="0" w:after="283"/>
              <w:rPr>
                <w:sz w:val="4"/>
                <w:szCs w:val="4"/>
              </w:rPr>
            </w:pPr>
            <w:r>
              <w:rPr>
                <w:sz w:val="4"/>
                <w:szCs w:val="4"/>
              </w:rPr>
            </w:r>
          </w:p>
        </w:tc>
        <w:tc>
          <w:tcPr>
            <w:tcW w:w="9022" w:type="dxa"/>
            <w:gridSpan w:val="2"/>
            <w:tcBorders/>
            <w:shd w:fill="auto" w:val="clear"/>
            <w:vAlign w:val="center"/>
          </w:tcPr>
          <w:p>
            <w:pPr>
              <w:pStyle w:val="TableContents"/>
              <w:spacing w:before="0" w:after="283"/>
              <w:rPr>
                <w:sz w:val="4"/>
                <w:szCs w:val="4"/>
              </w:rPr>
            </w:pPr>
            <w:r>
              <w:rPr>
                <w:sz w:val="4"/>
                <w:szCs w:val="4"/>
              </w:rPr>
            </w:r>
          </w:p>
        </w:tc>
        <w:tc>
          <w:tcPr>
            <w:tcW w:w="404" w:type="dxa"/>
            <w:gridSpan w:val="2"/>
            <w:tcBorders/>
            <w:shd w:fill="auto" w:val="clear"/>
            <w:vAlign w:val="center"/>
          </w:tcPr>
          <w:p>
            <w:pPr>
              <w:pStyle w:val="TableContents"/>
              <w:spacing w:before="0" w:after="283"/>
              <w:rPr>
                <w:sz w:val="4"/>
                <w:szCs w:val="4"/>
              </w:rPr>
            </w:pPr>
            <w:r>
              <w:rPr>
                <w:sz w:val="4"/>
                <w:szCs w:val="4"/>
              </w:rPr>
            </w:r>
          </w:p>
        </w:tc>
      </w:tr>
      <w:tr>
        <w:trPr/>
        <w:tc>
          <w:tcPr>
            <w:tcW w:w="779" w:type="dxa"/>
            <w:tcBorders/>
            <w:shd w:fill="auto" w:val="clear"/>
          </w:tcPr>
          <w:p>
            <w:pPr>
              <w:pStyle w:val="TableContents"/>
              <w:spacing w:before="0" w:after="283"/>
              <w:rPr>
                <w:rFonts w:ascii="Times New Roman" w:hAnsi="Times New Roman"/>
                <w:sz w:val="20"/>
              </w:rPr>
            </w:pPr>
            <w:r>
              <w:rPr>
                <w:rFonts w:ascii="Times New Roman" w:hAnsi="Times New Roman"/>
                <w:sz w:val="20"/>
              </w:rPr>
              <w:t>Item 3.</w:t>
            </w:r>
          </w:p>
        </w:tc>
        <w:tc>
          <w:tcPr>
            <w:tcW w:w="165" w:type="dxa"/>
            <w:tcBorders/>
            <w:shd w:fill="auto" w:val="clear"/>
            <w:vAlign w:val="bottom"/>
          </w:tcPr>
          <w:p>
            <w:pPr>
              <w:pStyle w:val="TableContents"/>
              <w:spacing w:before="0" w:after="283"/>
              <w:rPr/>
            </w:pPr>
            <w:r>
              <w:rPr/>
              <w:t>  </w:t>
            </w:r>
          </w:p>
        </w:tc>
        <w:tc>
          <w:tcPr>
            <w:tcW w:w="8857" w:type="dxa"/>
            <w:tcBorders/>
            <w:shd w:fill="auto" w:val="clear"/>
            <w:vAlign w:val="bottom"/>
          </w:tcPr>
          <w:p>
            <w:pPr>
              <w:pStyle w:val="TableContents"/>
              <w:spacing w:before="0" w:after="283"/>
              <w:rPr/>
            </w:pPr>
            <w:hyperlink w:anchor="tx48591_6">
              <w:r>
                <w:rPr>
                  <w:rStyle w:val="InternetLink"/>
                  <w:rFonts w:ascii="Times New Roman" w:hAnsi="Times New Roman"/>
                  <w:sz w:val="20"/>
                </w:rPr>
                <w:t>Quantitative and Qualitative Disclosure about Market Risk</w:t>
              </w:r>
            </w:hyperlink>
          </w:p>
        </w:tc>
        <w:tc>
          <w:tcPr>
            <w:tcW w:w="16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r>
      <w:tr>
        <w:trPr>
          <w:trHeight w:val="120" w:hRule="atLeast"/>
        </w:trPr>
        <w:tc>
          <w:tcPr>
            <w:tcW w:w="779" w:type="dxa"/>
            <w:tcBorders/>
            <w:shd w:fill="auto" w:val="clear"/>
            <w:vAlign w:val="center"/>
          </w:tcPr>
          <w:p>
            <w:pPr>
              <w:pStyle w:val="TableContents"/>
              <w:spacing w:before="0" w:after="283"/>
              <w:rPr>
                <w:sz w:val="4"/>
                <w:szCs w:val="4"/>
              </w:rPr>
            </w:pPr>
            <w:r>
              <w:rPr>
                <w:sz w:val="4"/>
                <w:szCs w:val="4"/>
              </w:rPr>
            </w:r>
          </w:p>
        </w:tc>
        <w:tc>
          <w:tcPr>
            <w:tcW w:w="9022" w:type="dxa"/>
            <w:gridSpan w:val="2"/>
            <w:tcBorders/>
            <w:shd w:fill="auto" w:val="clear"/>
            <w:vAlign w:val="center"/>
          </w:tcPr>
          <w:p>
            <w:pPr>
              <w:pStyle w:val="TableContents"/>
              <w:spacing w:before="0" w:after="283"/>
              <w:rPr>
                <w:sz w:val="4"/>
                <w:szCs w:val="4"/>
              </w:rPr>
            </w:pPr>
            <w:r>
              <w:rPr>
                <w:sz w:val="4"/>
                <w:szCs w:val="4"/>
              </w:rPr>
            </w:r>
          </w:p>
        </w:tc>
        <w:tc>
          <w:tcPr>
            <w:tcW w:w="404" w:type="dxa"/>
            <w:gridSpan w:val="2"/>
            <w:tcBorders/>
            <w:shd w:fill="auto" w:val="clear"/>
            <w:vAlign w:val="center"/>
          </w:tcPr>
          <w:p>
            <w:pPr>
              <w:pStyle w:val="TableContents"/>
              <w:spacing w:before="0" w:after="283"/>
              <w:rPr>
                <w:sz w:val="4"/>
                <w:szCs w:val="4"/>
              </w:rPr>
            </w:pPr>
            <w:r>
              <w:rPr>
                <w:sz w:val="4"/>
                <w:szCs w:val="4"/>
              </w:rPr>
            </w:r>
          </w:p>
        </w:tc>
      </w:tr>
      <w:tr>
        <w:trPr/>
        <w:tc>
          <w:tcPr>
            <w:tcW w:w="779"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165" w:type="dxa"/>
            <w:tcBorders/>
            <w:shd w:fill="auto" w:val="clear"/>
            <w:vAlign w:val="bottom"/>
          </w:tcPr>
          <w:p>
            <w:pPr>
              <w:pStyle w:val="TableContents"/>
              <w:spacing w:before="0" w:after="283"/>
              <w:rPr/>
            </w:pPr>
            <w:r>
              <w:rPr/>
              <w:t>  </w:t>
            </w:r>
          </w:p>
        </w:tc>
        <w:tc>
          <w:tcPr>
            <w:tcW w:w="8857" w:type="dxa"/>
            <w:tcBorders/>
            <w:shd w:fill="auto" w:val="clear"/>
            <w:vAlign w:val="bottom"/>
          </w:tcPr>
          <w:p>
            <w:pPr>
              <w:pStyle w:val="TableContents"/>
              <w:spacing w:before="0" w:after="283"/>
              <w:rPr/>
            </w:pPr>
            <w:hyperlink w:anchor="tx48591_7">
              <w:r>
                <w:rPr>
                  <w:rStyle w:val="InternetLink"/>
                  <w:rFonts w:ascii="Times New Roman" w:hAnsi="Times New Roman"/>
                  <w:sz w:val="20"/>
                </w:rPr>
                <w:t>Controls and Procedures</w:t>
              </w:r>
            </w:hyperlink>
          </w:p>
        </w:tc>
        <w:tc>
          <w:tcPr>
            <w:tcW w:w="16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rHeight w:val="240" w:hRule="atLeast"/>
        </w:trPr>
        <w:tc>
          <w:tcPr>
            <w:tcW w:w="9801" w:type="dxa"/>
            <w:gridSpan w:val="3"/>
            <w:tcBorders/>
            <w:shd w:fill="auto" w:val="clear"/>
            <w:vAlign w:val="center"/>
          </w:tcPr>
          <w:p>
            <w:pPr>
              <w:pStyle w:val="TableContents"/>
              <w:spacing w:before="0" w:after="283"/>
              <w:rPr>
                <w:sz w:val="4"/>
                <w:szCs w:val="4"/>
              </w:rPr>
            </w:pPr>
            <w:r>
              <w:rPr>
                <w:sz w:val="4"/>
                <w:szCs w:val="4"/>
              </w:rPr>
            </w:r>
          </w:p>
        </w:tc>
        <w:tc>
          <w:tcPr>
            <w:tcW w:w="404" w:type="dxa"/>
            <w:gridSpan w:val="2"/>
            <w:tcBorders/>
            <w:shd w:fill="auto" w:val="clear"/>
            <w:vAlign w:val="center"/>
          </w:tcPr>
          <w:p>
            <w:pPr>
              <w:pStyle w:val="TableContents"/>
              <w:spacing w:before="0" w:after="283"/>
              <w:rPr>
                <w:sz w:val="4"/>
                <w:szCs w:val="4"/>
              </w:rPr>
            </w:pPr>
            <w:r>
              <w:rPr>
                <w:sz w:val="4"/>
                <w:szCs w:val="4"/>
              </w:rPr>
            </w:r>
          </w:p>
        </w:tc>
      </w:tr>
      <w:tr>
        <w:trPr/>
        <w:tc>
          <w:tcPr>
            <w:tcW w:w="9801" w:type="dxa"/>
            <w:gridSpan w:val="3"/>
            <w:tcBorders/>
            <w:shd w:fill="auto" w:val="clear"/>
          </w:tcPr>
          <w:p>
            <w:pPr>
              <w:pStyle w:val="TableContents"/>
              <w:spacing w:before="0" w:after="283"/>
              <w:rPr/>
            </w:pPr>
            <w:r>
              <w:rPr>
                <w:rFonts w:ascii="Times New Roman" w:hAnsi="Times New Roman"/>
                <w:sz w:val="20"/>
              </w:rPr>
              <w:t xml:space="preserve">Part II - </w:t>
            </w:r>
            <w:hyperlink w:anchor="tx48591_8">
              <w:r>
                <w:rPr>
                  <w:rStyle w:val="InternetLink"/>
                  <w:rFonts w:ascii="Times New Roman" w:hAnsi="Times New Roman"/>
                  <w:sz w:val="20"/>
                </w:rPr>
                <w:t xml:space="preserve">Other Information </w:t>
              </w:r>
            </w:hyperlink>
          </w:p>
        </w:tc>
        <w:tc>
          <w:tcPr>
            <w:tcW w:w="16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rHeight w:val="120" w:hRule="atLeast"/>
        </w:trPr>
        <w:tc>
          <w:tcPr>
            <w:tcW w:w="779" w:type="dxa"/>
            <w:tcBorders/>
            <w:shd w:fill="auto" w:val="clear"/>
            <w:vAlign w:val="center"/>
          </w:tcPr>
          <w:p>
            <w:pPr>
              <w:pStyle w:val="TableContents"/>
              <w:spacing w:before="0" w:after="283"/>
              <w:rPr>
                <w:sz w:val="4"/>
                <w:szCs w:val="4"/>
              </w:rPr>
            </w:pPr>
            <w:r>
              <w:rPr>
                <w:sz w:val="4"/>
                <w:szCs w:val="4"/>
              </w:rPr>
            </w:r>
          </w:p>
        </w:tc>
        <w:tc>
          <w:tcPr>
            <w:tcW w:w="9022" w:type="dxa"/>
            <w:gridSpan w:val="2"/>
            <w:tcBorders/>
            <w:shd w:fill="auto" w:val="clear"/>
            <w:vAlign w:val="center"/>
          </w:tcPr>
          <w:p>
            <w:pPr>
              <w:pStyle w:val="TableContents"/>
              <w:spacing w:before="0" w:after="283"/>
              <w:rPr>
                <w:sz w:val="4"/>
                <w:szCs w:val="4"/>
              </w:rPr>
            </w:pPr>
            <w:r>
              <w:rPr>
                <w:sz w:val="4"/>
                <w:szCs w:val="4"/>
              </w:rPr>
            </w:r>
          </w:p>
        </w:tc>
        <w:tc>
          <w:tcPr>
            <w:tcW w:w="404" w:type="dxa"/>
            <w:gridSpan w:val="2"/>
            <w:tcBorders/>
            <w:shd w:fill="auto" w:val="clear"/>
            <w:vAlign w:val="center"/>
          </w:tcPr>
          <w:p>
            <w:pPr>
              <w:pStyle w:val="TableContents"/>
              <w:spacing w:before="0" w:after="283"/>
              <w:rPr>
                <w:sz w:val="4"/>
                <w:szCs w:val="4"/>
              </w:rPr>
            </w:pPr>
            <w:r>
              <w:rPr>
                <w:sz w:val="4"/>
                <w:szCs w:val="4"/>
              </w:rPr>
            </w:r>
          </w:p>
        </w:tc>
      </w:tr>
      <w:tr>
        <w:trPr/>
        <w:tc>
          <w:tcPr>
            <w:tcW w:w="779" w:type="dxa"/>
            <w:tcBorders/>
            <w:shd w:fill="auto" w:val="clear"/>
          </w:tcPr>
          <w:p>
            <w:pPr>
              <w:pStyle w:val="TableContents"/>
              <w:spacing w:before="0" w:after="283"/>
              <w:rPr>
                <w:rFonts w:ascii="Times New Roman" w:hAnsi="Times New Roman"/>
                <w:sz w:val="20"/>
              </w:rPr>
            </w:pPr>
            <w:r>
              <w:rPr>
                <w:rFonts w:ascii="Times New Roman" w:hAnsi="Times New Roman"/>
                <w:sz w:val="20"/>
              </w:rPr>
              <w:t>Item 6.</w:t>
            </w:r>
          </w:p>
        </w:tc>
        <w:tc>
          <w:tcPr>
            <w:tcW w:w="165" w:type="dxa"/>
            <w:tcBorders/>
            <w:shd w:fill="auto" w:val="clear"/>
            <w:vAlign w:val="bottom"/>
          </w:tcPr>
          <w:p>
            <w:pPr>
              <w:pStyle w:val="TableContents"/>
              <w:spacing w:before="0" w:after="283"/>
              <w:rPr/>
            </w:pPr>
            <w:r>
              <w:rPr/>
              <w:t>  </w:t>
            </w:r>
          </w:p>
        </w:tc>
        <w:tc>
          <w:tcPr>
            <w:tcW w:w="8857" w:type="dxa"/>
            <w:tcBorders/>
            <w:shd w:fill="auto" w:val="clear"/>
            <w:vAlign w:val="bottom"/>
          </w:tcPr>
          <w:p>
            <w:pPr>
              <w:pStyle w:val="TableContents"/>
              <w:spacing w:before="0" w:after="283"/>
              <w:rPr/>
            </w:pPr>
            <w:hyperlink w:anchor="tx48591_9">
              <w:r>
                <w:rPr>
                  <w:rStyle w:val="InternetLink"/>
                  <w:rFonts w:ascii="Times New Roman" w:hAnsi="Times New Roman"/>
                  <w:sz w:val="20"/>
                </w:rPr>
                <w:t xml:space="preserve">Exhibits </w:t>
              </w:r>
            </w:hyperlink>
          </w:p>
        </w:tc>
        <w:tc>
          <w:tcPr>
            <w:tcW w:w="16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r>
        <w:trPr>
          <w:trHeight w:val="240" w:hRule="atLeast"/>
        </w:trPr>
        <w:tc>
          <w:tcPr>
            <w:tcW w:w="9801" w:type="dxa"/>
            <w:gridSpan w:val="3"/>
            <w:tcBorders/>
            <w:shd w:fill="auto" w:val="clear"/>
            <w:vAlign w:val="center"/>
          </w:tcPr>
          <w:p>
            <w:pPr>
              <w:pStyle w:val="TableContents"/>
              <w:spacing w:before="0" w:after="283"/>
              <w:rPr>
                <w:sz w:val="4"/>
                <w:szCs w:val="4"/>
              </w:rPr>
            </w:pPr>
            <w:r>
              <w:rPr>
                <w:sz w:val="4"/>
                <w:szCs w:val="4"/>
              </w:rPr>
            </w:r>
          </w:p>
        </w:tc>
        <w:tc>
          <w:tcPr>
            <w:tcW w:w="404" w:type="dxa"/>
            <w:gridSpan w:val="2"/>
            <w:tcBorders/>
            <w:shd w:fill="auto" w:val="clear"/>
            <w:vAlign w:val="center"/>
          </w:tcPr>
          <w:p>
            <w:pPr>
              <w:pStyle w:val="TableContents"/>
              <w:spacing w:before="0" w:after="283"/>
              <w:rPr>
                <w:sz w:val="4"/>
                <w:szCs w:val="4"/>
              </w:rPr>
            </w:pPr>
            <w:r>
              <w:rPr>
                <w:sz w:val="4"/>
                <w:szCs w:val="4"/>
              </w:rPr>
            </w:r>
          </w:p>
        </w:tc>
      </w:tr>
      <w:tr>
        <w:trPr/>
        <w:tc>
          <w:tcPr>
            <w:tcW w:w="9801" w:type="dxa"/>
            <w:gridSpan w:val="3"/>
            <w:tcBorders/>
            <w:shd w:fill="auto" w:val="clear"/>
          </w:tcPr>
          <w:p>
            <w:pPr>
              <w:pStyle w:val="TableContents"/>
              <w:spacing w:before="0" w:after="283"/>
              <w:rPr/>
            </w:pPr>
            <w:hyperlink w:anchor="tx48591_10">
              <w:r>
                <w:rPr>
                  <w:rStyle w:val="InternetLink"/>
                  <w:rFonts w:ascii="Times New Roman" w:hAnsi="Times New Roman"/>
                  <w:sz w:val="20"/>
                </w:rPr>
                <w:t xml:space="preserve">Signature </w:t>
              </w:r>
            </w:hyperlink>
          </w:p>
        </w:tc>
        <w:tc>
          <w:tcPr>
            <w:tcW w:w="16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r>
        <w:trPr>
          <w:trHeight w:val="120" w:hRule="atLeast"/>
        </w:trPr>
        <w:tc>
          <w:tcPr>
            <w:tcW w:w="9801" w:type="dxa"/>
            <w:gridSpan w:val="3"/>
            <w:tcBorders/>
            <w:shd w:fill="auto" w:val="clear"/>
            <w:vAlign w:val="center"/>
          </w:tcPr>
          <w:p>
            <w:pPr>
              <w:pStyle w:val="TableContents"/>
              <w:spacing w:before="0" w:after="283"/>
              <w:rPr>
                <w:sz w:val="4"/>
                <w:szCs w:val="4"/>
              </w:rPr>
            </w:pPr>
            <w:r>
              <w:rPr>
                <w:sz w:val="4"/>
                <w:szCs w:val="4"/>
              </w:rPr>
            </w:r>
          </w:p>
        </w:tc>
        <w:tc>
          <w:tcPr>
            <w:tcW w:w="404" w:type="dxa"/>
            <w:gridSpan w:val="2"/>
            <w:tcBorders/>
            <w:shd w:fill="auto" w:val="clear"/>
            <w:vAlign w:val="center"/>
          </w:tcPr>
          <w:p>
            <w:pPr>
              <w:pStyle w:val="TableContents"/>
              <w:spacing w:before="0" w:after="283"/>
              <w:rPr>
                <w:sz w:val="4"/>
                <w:szCs w:val="4"/>
              </w:rPr>
            </w:pPr>
            <w:r>
              <w:rPr>
                <w:sz w:val="4"/>
                <w:szCs w:val="4"/>
              </w:rPr>
            </w:r>
          </w:p>
        </w:tc>
      </w:tr>
      <w:tr>
        <w:trPr/>
        <w:tc>
          <w:tcPr>
            <w:tcW w:w="980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Certifications</w:t>
            </w:r>
          </w:p>
        </w:tc>
        <w:tc>
          <w:tcPr>
            <w:tcW w:w="16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3" w:name="tx48591_1"/>
      <w:bookmarkEnd w:id="3"/>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CONDENSED CONSOLIDATED BALANCE SHEETS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Dollars in thousands, except per share data </w:t>
      </w:r>
    </w:p>
    <w:tbl>
      <w:tblPr>
        <w:tblW w:w="5000" w:type="pct"/>
        <w:jc w:val="center"/>
        <w:tblInd w:w="0" w:type="dxa"/>
        <w:tblCellMar>
          <w:top w:w="0" w:type="dxa"/>
          <w:left w:w="0" w:type="dxa"/>
          <w:bottom w:w="0" w:type="dxa"/>
          <w:right w:w="0" w:type="dxa"/>
        </w:tblCellMar>
      </w:tblPr>
      <w:tblGrid>
        <w:gridCol w:w="6844"/>
        <w:gridCol w:w="604"/>
        <w:gridCol w:w="181"/>
        <w:gridCol w:w="860"/>
        <w:gridCol w:w="80"/>
        <w:gridCol w:w="559"/>
        <w:gridCol w:w="171"/>
        <w:gridCol w:w="823"/>
        <w:gridCol w:w="83"/>
      </w:tblGrid>
      <w:tr>
        <w:trPr/>
        <w:tc>
          <w:tcPr>
            <w:tcW w:w="684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04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SEPTEMBER 30,</w:t>
              <w:b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br/>
              <w:t>2004</w:t>
            </w:r>
          </w:p>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04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ASSETS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533</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14,651</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14,055</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3,441</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4,181</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1,885</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1,689</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2,216</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1,515</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22,726</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21,779</w:t>
            </w:r>
          </w:p>
        </w:tc>
        <w:tc>
          <w:tcPr>
            <w:tcW w:w="83" w:type="dxa"/>
            <w:tcBorders/>
            <w:shd w:fill="CCEEFF" w:val="clear"/>
            <w:vAlign w:val="bottom"/>
          </w:tcPr>
          <w:p>
            <w:pPr>
              <w:pStyle w:val="TableContents"/>
              <w:spacing w:before="0" w:after="283"/>
              <w:rPr/>
            </w:pPr>
            <w:r>
              <w:rPr/>
              <w:t> </w:t>
            </w:r>
          </w:p>
        </w:tc>
      </w:tr>
      <w:tr>
        <w:trPr>
          <w:trHeight w:val="120" w:hRule="atLeast"/>
        </w:trPr>
        <w:tc>
          <w:tcPr>
            <w:tcW w:w="6844" w:type="dxa"/>
            <w:tcBorders/>
            <w:shd w:fill="auto" w:val="clear"/>
            <w:vAlign w:val="center"/>
          </w:tcPr>
          <w:p>
            <w:pPr>
              <w:pStyle w:val="TableContents"/>
              <w:spacing w:before="0" w:after="283"/>
              <w:rPr>
                <w:sz w:val="4"/>
                <w:szCs w:val="4"/>
              </w:rPr>
            </w:pPr>
            <w:r>
              <w:rPr>
                <w:sz w:val="4"/>
                <w:szCs w:val="4"/>
              </w:rPr>
            </w:r>
          </w:p>
        </w:tc>
        <w:tc>
          <w:tcPr>
            <w:tcW w:w="1725" w:type="dxa"/>
            <w:gridSpan w:val="4"/>
            <w:tcBorders/>
            <w:shd w:fill="auto" w:val="clear"/>
            <w:vAlign w:val="center"/>
          </w:tcPr>
          <w:p>
            <w:pPr>
              <w:pStyle w:val="TableContents"/>
              <w:spacing w:before="0" w:after="283"/>
              <w:rPr>
                <w:sz w:val="4"/>
                <w:szCs w:val="4"/>
              </w:rPr>
            </w:pPr>
            <w:r>
              <w:rPr>
                <w:sz w:val="4"/>
                <w:szCs w:val="4"/>
              </w:rPr>
            </w:r>
          </w:p>
        </w:tc>
        <w:tc>
          <w:tcPr>
            <w:tcW w:w="1636" w:type="dxa"/>
            <w:gridSpan w:val="4"/>
            <w:tcBorders/>
            <w:shd w:fill="auto" w:val="clear"/>
            <w:vAlign w:val="center"/>
          </w:tcPr>
          <w:p>
            <w:pPr>
              <w:pStyle w:val="TableContents"/>
              <w:spacing w:before="0" w:after="283"/>
              <w:rPr>
                <w:sz w:val="4"/>
                <w:szCs w:val="4"/>
              </w:rPr>
            </w:pPr>
            <w:r>
              <w:rPr>
                <w:sz w:val="4"/>
                <w:szCs w:val="4"/>
              </w:rPr>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9,030</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9,385</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  finite life, net</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737</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 indefinite life</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521</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618</w:t>
            </w:r>
          </w:p>
        </w:tc>
        <w:tc>
          <w:tcPr>
            <w:tcW w:w="83" w:type="dxa"/>
            <w:tcBorders/>
            <w:shd w:fill="auto"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pPr>
            <w:r>
              <w:rPr/>
              <w:t> </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43,877</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43,441</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18" w:space="0" w:color="000000"/>
              </w:pBdr>
              <w:spacing w:before="0" w:after="283"/>
              <w:rPr/>
            </w:pPr>
            <w:r>
              <w:rPr/>
            </w:r>
          </w:p>
        </w:tc>
        <w:tc>
          <w:tcPr>
            <w:tcW w:w="86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18" w:space="0" w:color="000000"/>
              </w:pBdr>
              <w:spacing w:before="0" w:after="283"/>
              <w:rPr/>
            </w:pPr>
            <w:r>
              <w:rPr/>
            </w:r>
          </w:p>
        </w:tc>
        <w:tc>
          <w:tcPr>
            <w:tcW w:w="823"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r>
        <w:trPr/>
        <w:tc>
          <w:tcPr>
            <w:tcW w:w="6844"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LIABILITIES AND SHAREHOLDERS EQUITY</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8,838</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4,188</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12,839</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12,211</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3,134</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3,470</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24,811</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19,869</w:t>
            </w:r>
          </w:p>
        </w:tc>
        <w:tc>
          <w:tcPr>
            <w:tcW w:w="83" w:type="dxa"/>
            <w:tcBorders/>
            <w:shd w:fill="CCEEFF" w:val="clear"/>
            <w:vAlign w:val="bottom"/>
          </w:tcPr>
          <w:p>
            <w:pPr>
              <w:pStyle w:val="TableContents"/>
              <w:spacing w:before="0" w:after="283"/>
              <w:rPr/>
            </w:pPr>
            <w:r>
              <w:rPr/>
              <w:t> </w:t>
            </w:r>
          </w:p>
        </w:tc>
      </w:tr>
      <w:tr>
        <w:trPr>
          <w:trHeight w:val="120" w:hRule="atLeast"/>
        </w:trPr>
        <w:tc>
          <w:tcPr>
            <w:tcW w:w="6844" w:type="dxa"/>
            <w:tcBorders/>
            <w:shd w:fill="auto" w:val="clear"/>
            <w:vAlign w:val="center"/>
          </w:tcPr>
          <w:p>
            <w:pPr>
              <w:pStyle w:val="TableContents"/>
              <w:spacing w:before="0" w:after="283"/>
              <w:rPr>
                <w:sz w:val="4"/>
                <w:szCs w:val="4"/>
              </w:rPr>
            </w:pPr>
            <w:r>
              <w:rPr>
                <w:sz w:val="4"/>
                <w:szCs w:val="4"/>
              </w:rPr>
            </w:r>
          </w:p>
        </w:tc>
        <w:tc>
          <w:tcPr>
            <w:tcW w:w="1725" w:type="dxa"/>
            <w:gridSpan w:val="4"/>
            <w:tcBorders/>
            <w:shd w:fill="auto" w:val="clear"/>
            <w:vAlign w:val="center"/>
          </w:tcPr>
          <w:p>
            <w:pPr>
              <w:pStyle w:val="TableContents"/>
              <w:spacing w:before="0" w:after="283"/>
              <w:rPr>
                <w:sz w:val="4"/>
                <w:szCs w:val="4"/>
              </w:rPr>
            </w:pPr>
            <w:r>
              <w:rPr>
                <w:sz w:val="4"/>
                <w:szCs w:val="4"/>
              </w:rPr>
            </w:r>
          </w:p>
        </w:tc>
        <w:tc>
          <w:tcPr>
            <w:tcW w:w="1636" w:type="dxa"/>
            <w:gridSpan w:val="4"/>
            <w:tcBorders/>
            <w:shd w:fill="auto" w:val="clear"/>
            <w:vAlign w:val="center"/>
          </w:tcPr>
          <w:p>
            <w:pPr>
              <w:pStyle w:val="TableContents"/>
              <w:spacing w:before="0" w:after="283"/>
              <w:rPr>
                <w:sz w:val="4"/>
                <w:szCs w:val="4"/>
              </w:rPr>
            </w:pPr>
            <w:r>
              <w:rPr>
                <w:sz w:val="4"/>
                <w:szCs w:val="4"/>
              </w:rPr>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1,837</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1,967</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4,549</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liability</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2,462</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2,462</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(including, related party - $7,078 and $6,884, respectively)</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7,560</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7,345</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36,670</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36,192</w:t>
            </w:r>
          </w:p>
        </w:tc>
        <w:tc>
          <w:tcPr>
            <w:tcW w:w="83" w:type="dxa"/>
            <w:tcBorders/>
            <w:shd w:fill="CCEEFF" w:val="clear"/>
            <w:vAlign w:val="bottom"/>
          </w:tcPr>
          <w:p>
            <w:pPr>
              <w:pStyle w:val="TableContents"/>
              <w:spacing w:before="0" w:after="283"/>
              <w:rPr/>
            </w:pPr>
            <w:r>
              <w:rPr/>
              <w:t> </w:t>
            </w:r>
          </w:p>
        </w:tc>
      </w:tr>
      <w:tr>
        <w:trPr>
          <w:trHeight w:val="120" w:hRule="atLeast"/>
        </w:trPr>
        <w:tc>
          <w:tcPr>
            <w:tcW w:w="6844" w:type="dxa"/>
            <w:tcBorders/>
            <w:shd w:fill="auto" w:val="clear"/>
            <w:vAlign w:val="center"/>
          </w:tcPr>
          <w:p>
            <w:pPr>
              <w:pStyle w:val="TableContents"/>
              <w:spacing w:before="0" w:after="283"/>
              <w:rPr>
                <w:sz w:val="4"/>
                <w:szCs w:val="4"/>
              </w:rPr>
            </w:pPr>
            <w:r>
              <w:rPr>
                <w:sz w:val="4"/>
                <w:szCs w:val="4"/>
              </w:rPr>
            </w:r>
          </w:p>
        </w:tc>
        <w:tc>
          <w:tcPr>
            <w:tcW w:w="1725" w:type="dxa"/>
            <w:gridSpan w:val="4"/>
            <w:tcBorders/>
            <w:shd w:fill="auto" w:val="clear"/>
            <w:vAlign w:val="center"/>
          </w:tcPr>
          <w:p>
            <w:pPr>
              <w:pStyle w:val="TableContents"/>
              <w:spacing w:before="0" w:after="283"/>
              <w:rPr>
                <w:sz w:val="4"/>
                <w:szCs w:val="4"/>
              </w:rPr>
            </w:pPr>
            <w:r>
              <w:rPr>
                <w:sz w:val="4"/>
                <w:szCs w:val="4"/>
              </w:rPr>
            </w:r>
          </w:p>
        </w:tc>
        <w:tc>
          <w:tcPr>
            <w:tcW w:w="1636" w:type="dxa"/>
            <w:gridSpan w:val="4"/>
            <w:tcBorders/>
            <w:shd w:fill="auto" w:val="clear"/>
            <w:vAlign w:val="center"/>
          </w:tcPr>
          <w:p>
            <w:pPr>
              <w:pStyle w:val="TableContents"/>
              <w:spacing w:before="0" w:after="283"/>
              <w:rPr>
                <w:sz w:val="4"/>
                <w:szCs w:val="4"/>
              </w:rPr>
            </w:pPr>
            <w:r>
              <w:rPr>
                <w:sz w:val="4"/>
                <w:szCs w:val="4"/>
              </w:rPr>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 $.01 par value; 100,000,000 shares authorized, 10,168,479 shares issued in 2005 and 2004</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15,017</w:t>
            </w:r>
          </w:p>
        </w:tc>
        <w:tc>
          <w:tcPr>
            <w:tcW w:w="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15,017</w:t>
            </w:r>
          </w:p>
        </w:tc>
        <w:tc>
          <w:tcPr>
            <w:tcW w:w="83" w:type="dxa"/>
            <w:tcBorders/>
            <w:shd w:fill="auto" w:val="clear"/>
            <w:vAlign w:val="bottom"/>
          </w:tcPr>
          <w:p>
            <w:pPr>
              <w:pStyle w:val="TableContents"/>
              <w:spacing w:before="0" w:after="283"/>
              <w:rPr/>
            </w:pPr>
            <w:r>
              <w:rPr/>
              <w:t> </w:t>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(6,679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(6,637</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(760</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pPr>
            <w:r>
              <w:rPr/>
              <w:t> </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7,680</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7,722</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tcPr>
          <w:p>
            <w:pPr>
              <w:pStyle w:val="TableContents"/>
              <w:spacing w:before="0" w:after="283"/>
              <w:rPr>
                <w:rFonts w:ascii="Times New Roman" w:hAnsi="Times New Roman"/>
                <w:sz w:val="20"/>
              </w:rPr>
            </w:pPr>
            <w:r>
              <w:rPr>
                <w:rFonts w:ascii="Times New Roman" w:hAnsi="Times New Roman"/>
                <w:sz w:val="20"/>
              </w:rPr>
              <w:t>Less treasury stock, at cost, 175,220 shares in 2005 and 2004</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7,207</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7,249</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6" w:space="0" w:color="000000"/>
              </w:pBdr>
              <w:spacing w:before="0" w:after="283"/>
              <w:rPr/>
            </w:pPr>
            <w:r>
              <w:rPr/>
            </w:r>
          </w:p>
        </w:tc>
        <w:tc>
          <w:tcPr>
            <w:tcW w:w="86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823"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HorizontalLine"/>
              <w:pBdr>
                <w:bottom w:val="single" w:sz="6" w:space="0" w:color="FFFFFF"/>
              </w:pBdr>
              <w:spacing w:before="0" w:after="283"/>
              <w:rPr/>
            </w:pPr>
            <w:r>
              <w:rPr/>
            </w:r>
          </w:p>
        </w:tc>
      </w:tr>
      <w:tr>
        <w:trPr/>
        <w:tc>
          <w:tcPr>
            <w:tcW w:w="6844" w:type="dxa"/>
            <w:tcBorders/>
            <w:shd w:fill="CCEEFF" w:val="clear"/>
          </w:tcPr>
          <w:p>
            <w:pPr>
              <w:pStyle w:val="TableContents"/>
              <w:spacing w:before="0" w:after="283"/>
              <w:rPr/>
            </w:pPr>
            <w:r>
              <w:rPr/>
              <w:t> </w:t>
            </w:r>
          </w:p>
        </w:tc>
        <w:tc>
          <w:tcPr>
            <w:tcW w:w="60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43,877</w:t>
            </w:r>
          </w:p>
        </w:tc>
        <w:tc>
          <w:tcPr>
            <w:tcW w:w="8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43,441</w:t>
            </w:r>
          </w:p>
        </w:tc>
        <w:tc>
          <w:tcPr>
            <w:tcW w:w="83" w:type="dxa"/>
            <w:tcBorders/>
            <w:shd w:fill="CCEEFF" w:val="clear"/>
            <w:vAlign w:val="bottom"/>
          </w:tcPr>
          <w:p>
            <w:pPr>
              <w:pStyle w:val="TableContents"/>
              <w:spacing w:before="0" w:after="283"/>
              <w:rPr/>
            </w:pPr>
            <w:r>
              <w:rPr/>
              <w:t> </w:t>
            </w:r>
          </w:p>
        </w:tc>
      </w:tr>
      <w:tr>
        <w:trPr/>
        <w:tc>
          <w:tcPr>
            <w:tcW w:w="6844"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rPr/>
            </w:pPr>
            <w:r>
              <w:rPr/>
              <w:t>  </w:t>
            </w:r>
          </w:p>
        </w:tc>
        <w:tc>
          <w:tcPr>
            <w:tcW w:w="181" w:type="dxa"/>
            <w:tcBorders/>
            <w:shd w:fill="auto" w:val="clear"/>
            <w:vAlign w:val="bottom"/>
          </w:tcPr>
          <w:p>
            <w:pPr>
              <w:pStyle w:val="HorizontalLine"/>
              <w:pBdr>
                <w:bottom w:val="single" w:sz="18" w:space="0" w:color="000000"/>
              </w:pBdr>
              <w:spacing w:before="0" w:after="283"/>
              <w:rPr/>
            </w:pPr>
            <w:r>
              <w:rPr/>
            </w:r>
          </w:p>
        </w:tc>
        <w:tc>
          <w:tcPr>
            <w:tcW w:w="86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559"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18" w:space="0" w:color="000000"/>
              </w:pBdr>
              <w:spacing w:before="0" w:after="283"/>
              <w:rPr/>
            </w:pPr>
            <w:r>
              <w:rPr/>
            </w:r>
          </w:p>
        </w:tc>
        <w:tc>
          <w:tcPr>
            <w:tcW w:w="823"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4" w:name="tx48591_2"/>
      <w:bookmarkEnd w:id="4"/>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CONDENSED CONSOLIDATED STATEMENTS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Dollars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551"/>
        <w:gridCol w:w="321"/>
        <w:gridCol w:w="125"/>
        <w:gridCol w:w="993"/>
        <w:gridCol w:w="80"/>
        <w:gridCol w:w="272"/>
        <w:gridCol w:w="125"/>
        <w:gridCol w:w="993"/>
        <w:gridCol w:w="80"/>
        <w:gridCol w:w="271"/>
        <w:gridCol w:w="125"/>
        <w:gridCol w:w="852"/>
        <w:gridCol w:w="80"/>
        <w:gridCol w:w="272"/>
        <w:gridCol w:w="125"/>
        <w:gridCol w:w="852"/>
        <w:gridCol w:w="88"/>
      </w:tblGrid>
      <w:tr>
        <w:trPr/>
        <w:tc>
          <w:tcPr>
            <w:tcW w:w="455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r>
      <w:tr>
        <w:trPr/>
        <w:tc>
          <w:tcPr>
            <w:tcW w:w="455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588"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SEPTEMBER 30,</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2306"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 ENDED</w:t>
              <w:br/>
              <w:t>SEPTEMBER 30,</w:t>
            </w:r>
          </w:p>
          <w:p>
            <w:pPr>
              <w:pStyle w:val="HorizontalLine"/>
              <w:pBdr>
                <w:bottom w:val="single" w:sz="6" w:space="0" w:color="000000"/>
              </w:pBdr>
              <w:spacing w:before="0" w:after="283"/>
              <w:rPr/>
            </w:pPr>
            <w:r>
              <w:rPr/>
            </w:r>
          </w:p>
        </w:tc>
        <w:tc>
          <w:tcPr>
            <w:tcW w:w="88" w:type="dxa"/>
            <w:tcBorders/>
            <w:shd w:fill="auto" w:val="clear"/>
            <w:vAlign w:val="bottom"/>
          </w:tcPr>
          <w:p>
            <w:pPr>
              <w:pStyle w:val="TableContents"/>
              <w:spacing w:before="0" w:after="283"/>
              <w:rPr/>
            </w:pPr>
            <w:r>
              <w:rPr/>
              <w:t> </w:t>
            </w:r>
          </w:p>
        </w:tc>
      </w:tr>
      <w:tr>
        <w:trPr/>
        <w:tc>
          <w:tcPr>
            <w:tcW w:w="455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11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11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97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97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8" w:type="dxa"/>
            <w:tcBorders/>
            <w:shd w:fill="auto" w:val="clear"/>
            <w:vAlign w:val="bottom"/>
          </w:tcPr>
          <w:p>
            <w:pPr>
              <w:pStyle w:val="TableContents"/>
              <w:spacing w:before="0" w:after="283"/>
              <w:rPr/>
            </w:pPr>
            <w:r>
              <w:rPr/>
              <w:t> </w:t>
            </w:r>
          </w:p>
        </w:tc>
      </w:tr>
      <w:tr>
        <w:trPr/>
        <w:tc>
          <w:tcPr>
            <w:tcW w:w="4551"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23,442</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18,566</w:t>
            </w:r>
          </w:p>
        </w:tc>
        <w:tc>
          <w:tcPr>
            <w:tcW w:w="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58,512</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47,711</w:t>
            </w:r>
          </w:p>
        </w:tc>
        <w:tc>
          <w:tcPr>
            <w:tcW w:w="88" w:type="dxa"/>
            <w:tcBorders/>
            <w:shd w:fill="CCEEFF" w:val="clear"/>
            <w:vAlign w:val="bottom"/>
          </w:tcPr>
          <w:p>
            <w:pPr>
              <w:pStyle w:val="TableContents"/>
              <w:spacing w:before="0" w:after="283"/>
              <w:rPr/>
            </w:pPr>
            <w:r>
              <w:rPr/>
              <w:t> </w:t>
            </w:r>
          </w:p>
        </w:tc>
      </w:tr>
      <w:tr>
        <w:trPr/>
        <w:tc>
          <w:tcPr>
            <w:tcW w:w="455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2"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2" w:type="dxa"/>
            <w:tcBorders/>
            <w:shd w:fill="auto" w:val="clear"/>
            <w:vAlign w:val="bottom"/>
          </w:tcPr>
          <w:p>
            <w:pPr>
              <w:pStyle w:val="HorizontalLine"/>
              <w:pBdr>
                <w:bottom w:val="single" w:sz="6" w:space="0" w:color="000000"/>
              </w:pBdr>
              <w:spacing w:before="0" w:after="283"/>
              <w:rPr/>
            </w:pPr>
            <w:r>
              <w:rPr/>
            </w:r>
          </w:p>
        </w:tc>
        <w:tc>
          <w:tcPr>
            <w:tcW w:w="88" w:type="dxa"/>
            <w:tcBorders/>
            <w:shd w:fill="auto" w:val="clear"/>
            <w:vAlign w:val="bottom"/>
          </w:tcPr>
          <w:p>
            <w:pPr>
              <w:pStyle w:val="HorizontalLine"/>
              <w:pBdr>
                <w:bottom w:val="single" w:sz="6" w:space="0" w:color="FFFFFF"/>
              </w:pBdr>
              <w:spacing w:before="0" w:after="283"/>
              <w:rPr/>
            </w:pPr>
            <w:r>
              <w:rPr/>
            </w:r>
          </w:p>
        </w:tc>
      </w:tr>
      <w:tr>
        <w:trPr/>
        <w:tc>
          <w:tcPr>
            <w:tcW w:w="4551"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r>
      <w:tr>
        <w:trPr/>
        <w:tc>
          <w:tcPr>
            <w:tcW w:w="4551"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 exclusive of items shown separately below</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18,918</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15,035</w:t>
            </w:r>
          </w:p>
        </w:tc>
        <w:tc>
          <w:tcPr>
            <w:tcW w:w="8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47,547</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38,248</w:t>
            </w:r>
          </w:p>
        </w:tc>
        <w:tc>
          <w:tcPr>
            <w:tcW w:w="88" w:type="dxa"/>
            <w:tcBorders/>
            <w:shd w:fill="auto" w:val="clear"/>
            <w:vAlign w:val="bottom"/>
          </w:tcPr>
          <w:p>
            <w:pPr>
              <w:pStyle w:val="TableContents"/>
              <w:spacing w:before="0" w:after="283"/>
              <w:rPr/>
            </w:pPr>
            <w:r>
              <w:rPr/>
              <w:t> </w:t>
            </w:r>
          </w:p>
        </w:tc>
      </w:tr>
      <w:tr>
        <w:trPr/>
        <w:tc>
          <w:tcPr>
            <w:tcW w:w="4551"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2,974</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2,473</w:t>
            </w:r>
          </w:p>
        </w:tc>
        <w:tc>
          <w:tcPr>
            <w:tcW w:w="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8,600</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7,833</w:t>
            </w:r>
          </w:p>
        </w:tc>
        <w:tc>
          <w:tcPr>
            <w:tcW w:w="88" w:type="dxa"/>
            <w:tcBorders/>
            <w:shd w:fill="CCEEFF" w:val="clear"/>
            <w:vAlign w:val="bottom"/>
          </w:tcPr>
          <w:p>
            <w:pPr>
              <w:pStyle w:val="TableContents"/>
              <w:spacing w:before="0" w:after="283"/>
              <w:rPr/>
            </w:pPr>
            <w:r>
              <w:rPr/>
              <w:t> </w:t>
            </w:r>
          </w:p>
        </w:tc>
      </w:tr>
      <w:tr>
        <w:trPr/>
        <w:tc>
          <w:tcPr>
            <w:tcW w:w="4551"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w:t>
            </w:r>
          </w:p>
        </w:tc>
        <w:tc>
          <w:tcPr>
            <w:tcW w:w="8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876</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970</w:t>
            </w:r>
          </w:p>
        </w:tc>
        <w:tc>
          <w:tcPr>
            <w:tcW w:w="88" w:type="dxa"/>
            <w:tcBorders/>
            <w:shd w:fill="auto" w:val="clear"/>
            <w:vAlign w:val="bottom"/>
          </w:tcPr>
          <w:p>
            <w:pPr>
              <w:pStyle w:val="TableContents"/>
              <w:spacing w:before="0" w:after="283"/>
              <w:rPr/>
            </w:pPr>
            <w:r>
              <w:rPr/>
              <w:t> </w:t>
            </w:r>
          </w:p>
        </w:tc>
      </w:tr>
      <w:tr>
        <w:trPr/>
        <w:tc>
          <w:tcPr>
            <w:tcW w:w="455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2"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2" w:type="dxa"/>
            <w:tcBorders/>
            <w:shd w:fill="auto" w:val="clear"/>
            <w:vAlign w:val="bottom"/>
          </w:tcPr>
          <w:p>
            <w:pPr>
              <w:pStyle w:val="HorizontalLine"/>
              <w:pBdr>
                <w:bottom w:val="single" w:sz="6" w:space="0" w:color="000000"/>
              </w:pBdr>
              <w:spacing w:before="0" w:after="283"/>
              <w:rPr/>
            </w:pPr>
            <w:r>
              <w:rPr/>
            </w:r>
          </w:p>
        </w:tc>
        <w:tc>
          <w:tcPr>
            <w:tcW w:w="88" w:type="dxa"/>
            <w:tcBorders/>
            <w:shd w:fill="auto" w:val="clear"/>
            <w:vAlign w:val="bottom"/>
          </w:tcPr>
          <w:p>
            <w:pPr>
              <w:pStyle w:val="HorizontalLine"/>
              <w:pBdr>
                <w:bottom w:val="single" w:sz="6" w:space="0" w:color="FFFFFF"/>
              </w:pBdr>
              <w:spacing w:before="0" w:after="283"/>
              <w:rPr/>
            </w:pPr>
            <w:r>
              <w:rPr/>
            </w:r>
          </w:p>
        </w:tc>
      </w:tr>
      <w:tr>
        <w:trPr/>
        <w:tc>
          <w:tcPr>
            <w:tcW w:w="4551" w:type="dxa"/>
            <w:tcBorders/>
            <w:shd w:fill="CCEEFF" w:val="clear"/>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22,185</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17,830</w:t>
            </w:r>
          </w:p>
        </w:tc>
        <w:tc>
          <w:tcPr>
            <w:tcW w:w="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57,023</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47,051</w:t>
            </w:r>
          </w:p>
        </w:tc>
        <w:tc>
          <w:tcPr>
            <w:tcW w:w="88" w:type="dxa"/>
            <w:tcBorders/>
            <w:shd w:fill="CCEEFF" w:val="clear"/>
            <w:vAlign w:val="bottom"/>
          </w:tcPr>
          <w:p>
            <w:pPr>
              <w:pStyle w:val="TableContents"/>
              <w:spacing w:before="0" w:after="283"/>
              <w:rPr/>
            </w:pPr>
            <w:r>
              <w:rPr/>
              <w:t> </w:t>
            </w:r>
          </w:p>
        </w:tc>
      </w:tr>
      <w:tr>
        <w:trPr/>
        <w:tc>
          <w:tcPr>
            <w:tcW w:w="455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2"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2" w:type="dxa"/>
            <w:tcBorders/>
            <w:shd w:fill="auto" w:val="clear"/>
            <w:vAlign w:val="bottom"/>
          </w:tcPr>
          <w:p>
            <w:pPr>
              <w:pStyle w:val="HorizontalLine"/>
              <w:pBdr>
                <w:bottom w:val="single" w:sz="6" w:space="0" w:color="000000"/>
              </w:pBdr>
              <w:spacing w:before="0" w:after="283"/>
              <w:rPr/>
            </w:pPr>
            <w:r>
              <w:rPr/>
            </w:r>
          </w:p>
        </w:tc>
        <w:tc>
          <w:tcPr>
            <w:tcW w:w="88" w:type="dxa"/>
            <w:tcBorders/>
            <w:shd w:fill="auto" w:val="clear"/>
            <w:vAlign w:val="bottom"/>
          </w:tcPr>
          <w:p>
            <w:pPr>
              <w:pStyle w:val="HorizontalLine"/>
              <w:pBdr>
                <w:bottom w:val="single" w:sz="6" w:space="0" w:color="FFFFFF"/>
              </w:pBdr>
              <w:spacing w:before="0" w:after="283"/>
              <w:rPr/>
            </w:pPr>
            <w:r>
              <w:rPr/>
            </w:r>
          </w:p>
        </w:tc>
      </w:tr>
      <w:tr>
        <w:trPr/>
        <w:tc>
          <w:tcPr>
            <w:tcW w:w="4551" w:type="dxa"/>
            <w:tcBorders/>
            <w:shd w:fill="CCEEFF" w:val="clear"/>
          </w:tcPr>
          <w:p>
            <w:pPr>
              <w:pStyle w:val="TableContents"/>
              <w:spacing w:before="0" w:after="283"/>
              <w:rPr>
                <w:rFonts w:ascii="Times New Roman" w:hAnsi="Times New Roman"/>
                <w:sz w:val="20"/>
              </w:rPr>
            </w:pPr>
            <w:r>
              <w:rPr>
                <w:rFonts w:ascii="Times New Roman" w:hAnsi="Times New Roman"/>
                <w:sz w:val="20"/>
              </w:rPr>
              <w:t xml:space="preserve">Income from operations </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1,257</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736</w:t>
            </w:r>
          </w:p>
        </w:tc>
        <w:tc>
          <w:tcPr>
            <w:tcW w:w="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1,489</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w:t>
            </w:r>
          </w:p>
        </w:tc>
        <w:tc>
          <w:tcPr>
            <w:tcW w:w="88" w:type="dxa"/>
            <w:tcBorders/>
            <w:shd w:fill="CCEEFF" w:val="clear"/>
            <w:vAlign w:val="bottom"/>
          </w:tcPr>
          <w:p>
            <w:pPr>
              <w:pStyle w:val="TableContents"/>
              <w:spacing w:before="0" w:after="283"/>
              <w:rPr/>
            </w:pPr>
            <w:r>
              <w:rPr/>
              <w:t> </w:t>
            </w:r>
          </w:p>
        </w:tc>
      </w:tr>
      <w:tr>
        <w:trPr/>
        <w:tc>
          <w:tcPr>
            <w:tcW w:w="4551" w:type="dxa"/>
            <w:tcBorders/>
            <w:shd w:fill="auto" w:val="clear"/>
          </w:tcPr>
          <w:p>
            <w:pPr>
              <w:pStyle w:val="TableContents"/>
              <w:spacing w:before="0" w:after="283"/>
              <w:rPr>
                <w:rFonts w:ascii="Times New Roman" w:hAnsi="Times New Roman"/>
                <w:sz w:val="20"/>
              </w:rPr>
            </w:pPr>
            <w:r>
              <w:rPr>
                <w:rFonts w:ascii="Times New Roman" w:hAnsi="Times New Roman"/>
                <w:sz w:val="20"/>
              </w:rPr>
              <w:t>Other (expense) income</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(273</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8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88" w:type="dxa"/>
            <w:tcBorders/>
            <w:shd w:fill="auto" w:val="clear"/>
            <w:vAlign w:val="bottom"/>
          </w:tcPr>
          <w:p>
            <w:pPr>
              <w:pStyle w:val="TableContents"/>
              <w:spacing w:before="0" w:after="283"/>
              <w:rPr/>
            </w:pPr>
            <w:r>
              <w:rPr/>
              <w:t> </w:t>
            </w:r>
          </w:p>
        </w:tc>
      </w:tr>
      <w:tr>
        <w:trPr/>
        <w:tc>
          <w:tcPr>
            <w:tcW w:w="4551"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$255 and $219, and $772 and $654, respectively)</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(1,816</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(1,908</w:t>
            </w:r>
          </w:p>
        </w:tc>
        <w:tc>
          <w:tcPr>
            <w:tcW w:w="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5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2"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2" w:type="dxa"/>
            <w:tcBorders/>
            <w:shd w:fill="auto" w:val="clear"/>
            <w:vAlign w:val="bottom"/>
          </w:tcPr>
          <w:p>
            <w:pPr>
              <w:pStyle w:val="HorizontalLine"/>
              <w:pBdr>
                <w:bottom w:val="single" w:sz="6" w:space="0" w:color="000000"/>
              </w:pBdr>
              <w:spacing w:before="0" w:after="283"/>
              <w:rPr/>
            </w:pPr>
            <w:r>
              <w:rPr/>
            </w:r>
          </w:p>
        </w:tc>
        <w:tc>
          <w:tcPr>
            <w:tcW w:w="88" w:type="dxa"/>
            <w:tcBorders/>
            <w:shd w:fill="auto" w:val="clear"/>
            <w:vAlign w:val="bottom"/>
          </w:tcPr>
          <w:p>
            <w:pPr>
              <w:pStyle w:val="HorizontalLine"/>
              <w:pBdr>
                <w:bottom w:val="single" w:sz="6" w:space="0" w:color="FFFFFF"/>
              </w:pBdr>
              <w:spacing w:before="0" w:after="283"/>
              <w:rPr/>
            </w:pPr>
            <w:r>
              <w:rPr/>
            </w:r>
          </w:p>
        </w:tc>
      </w:tr>
      <w:tr>
        <w:trPr/>
        <w:tc>
          <w:tcPr>
            <w:tcW w:w="4551"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 before income taxes</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390</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(1,193</w:t>
            </w:r>
          </w:p>
        </w:tc>
        <w:tc>
          <w:tcPr>
            <w:tcW w:w="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51"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provision (benefit)</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(482</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(775</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5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2"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52" w:type="dxa"/>
            <w:tcBorders/>
            <w:shd w:fill="auto" w:val="clear"/>
            <w:vAlign w:val="bottom"/>
          </w:tcPr>
          <w:p>
            <w:pPr>
              <w:pStyle w:val="HorizontalLine"/>
              <w:pBdr>
                <w:bottom w:val="single" w:sz="6" w:space="0" w:color="000000"/>
              </w:pBdr>
              <w:spacing w:before="0" w:after="283"/>
              <w:rPr/>
            </w:pPr>
            <w:r>
              <w:rPr/>
            </w:r>
          </w:p>
        </w:tc>
        <w:tc>
          <w:tcPr>
            <w:tcW w:w="88" w:type="dxa"/>
            <w:tcBorders/>
            <w:shd w:fill="auto" w:val="clear"/>
            <w:vAlign w:val="bottom"/>
          </w:tcPr>
          <w:p>
            <w:pPr>
              <w:pStyle w:val="HorizontalLine"/>
              <w:pBdr>
                <w:bottom w:val="single" w:sz="6" w:space="0" w:color="FFFFFF"/>
              </w:pBdr>
              <w:spacing w:before="0" w:after="283"/>
              <w:rPr/>
            </w:pPr>
            <w:r>
              <w:rPr/>
            </w:r>
          </w:p>
        </w:tc>
      </w:tr>
      <w:tr>
        <w:trPr/>
        <w:tc>
          <w:tcPr>
            <w:tcW w:w="4551"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w:t>
            </w:r>
          </w:p>
        </w:tc>
        <w:tc>
          <w:tcPr>
            <w:tcW w:w="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5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9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9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2" w:type="dxa"/>
            <w:tcBorders/>
            <w:shd w:fill="auto" w:val="clear"/>
            <w:vAlign w:val="bottom"/>
          </w:tcPr>
          <w:p>
            <w:pPr>
              <w:pStyle w:val="HorizontalLine"/>
              <w:pBdr>
                <w:bottom w:val="single" w:sz="18" w:space="0" w:color="000000"/>
              </w:pBdr>
              <w:spacing w:before="0" w:after="283"/>
              <w:rPr/>
            </w:pPr>
            <w:r>
              <w:rPr/>
            </w:r>
          </w:p>
        </w:tc>
        <w:tc>
          <w:tcPr>
            <w:tcW w:w="88" w:type="dxa"/>
            <w:tcBorders/>
            <w:shd w:fill="auto" w:val="clear"/>
            <w:vAlign w:val="bottom"/>
          </w:tcPr>
          <w:p>
            <w:pPr>
              <w:pStyle w:val="HorizontalLine"/>
              <w:pBdr>
                <w:bottom w:val="single" w:sz="18" w:space="0" w:color="FFFFFF"/>
              </w:pBdr>
              <w:spacing w:before="0" w:after="283"/>
              <w:rPr/>
            </w:pPr>
            <w:r>
              <w:rPr/>
            </w:r>
          </w:p>
        </w:tc>
      </w:tr>
      <w:tr>
        <w:trPr/>
        <w:tc>
          <w:tcPr>
            <w:tcW w:w="4551" w:type="dxa"/>
            <w:tcBorders/>
            <w:shd w:fill="CCEEFF" w:val="clear"/>
          </w:tcPr>
          <w:p>
            <w:pPr>
              <w:pStyle w:val="TableContents"/>
              <w:spacing w:before="0" w:after="283"/>
              <w:rPr>
                <w:rFonts w:ascii="Times New Roman" w:hAnsi="Times New Roman"/>
                <w:sz w:val="20"/>
              </w:rPr>
            </w:pPr>
            <w:r>
              <w:rPr>
                <w:rFonts w:ascii="Times New Roman" w:hAnsi="Times New Roman"/>
                <w:sz w:val="20"/>
              </w:rPr>
              <w:t>Per share data:</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r>
      <w:tr>
        <w:trPr/>
        <w:tc>
          <w:tcPr>
            <w:tcW w:w="4551"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income (loss)</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8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5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9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9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2" w:type="dxa"/>
            <w:tcBorders/>
            <w:shd w:fill="auto" w:val="clear"/>
            <w:vAlign w:val="bottom"/>
          </w:tcPr>
          <w:p>
            <w:pPr>
              <w:pStyle w:val="HorizontalLine"/>
              <w:pBdr>
                <w:bottom w:val="single" w:sz="18" w:space="0" w:color="000000"/>
              </w:pBdr>
              <w:spacing w:before="0" w:after="283"/>
              <w:rPr/>
            </w:pPr>
            <w:r>
              <w:rPr/>
            </w:r>
          </w:p>
        </w:tc>
        <w:tc>
          <w:tcPr>
            <w:tcW w:w="88" w:type="dxa"/>
            <w:tcBorders/>
            <w:shd w:fill="auto" w:val="clear"/>
            <w:vAlign w:val="bottom"/>
          </w:tcPr>
          <w:p>
            <w:pPr>
              <w:pStyle w:val="HorizontalLine"/>
              <w:pBdr>
                <w:bottom w:val="single" w:sz="18" w:space="0" w:color="FFFFFF"/>
              </w:pBdr>
              <w:spacing w:before="0" w:after="283"/>
              <w:rPr/>
            </w:pPr>
            <w:r>
              <w:rPr/>
            </w:r>
          </w:p>
        </w:tc>
      </w:tr>
      <w:tr>
        <w:trPr/>
        <w:tc>
          <w:tcPr>
            <w:tcW w:w="4551"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income (loss)</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5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9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9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2" w:type="dxa"/>
            <w:tcBorders/>
            <w:shd w:fill="auto" w:val="clear"/>
            <w:vAlign w:val="bottom"/>
          </w:tcPr>
          <w:p>
            <w:pPr>
              <w:pStyle w:val="HorizontalLine"/>
              <w:pBdr>
                <w:bottom w:val="single" w:sz="18" w:space="0" w:color="000000"/>
              </w:pBdr>
              <w:spacing w:before="0" w:after="283"/>
              <w:rPr/>
            </w:pPr>
            <w:r>
              <w:rPr/>
            </w:r>
          </w:p>
        </w:tc>
        <w:tc>
          <w:tcPr>
            <w:tcW w:w="88" w:type="dxa"/>
            <w:tcBorders/>
            <w:shd w:fill="auto" w:val="clear"/>
            <w:vAlign w:val="bottom"/>
          </w:tcPr>
          <w:p>
            <w:pPr>
              <w:pStyle w:val="HorizontalLine"/>
              <w:pBdr>
                <w:bottom w:val="single" w:sz="18" w:space="0" w:color="FFFFFF"/>
              </w:pBdr>
              <w:spacing w:before="0" w:after="283"/>
              <w:rPr/>
            </w:pPr>
            <w:r>
              <w:rPr/>
            </w:r>
          </w:p>
        </w:tc>
      </w:tr>
      <w:tr>
        <w:trPr/>
        <w:tc>
          <w:tcPr>
            <w:tcW w:w="4551"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r>
      <w:tr>
        <w:trPr/>
        <w:tc>
          <w:tcPr>
            <w:tcW w:w="4551"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9,993,260</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9,991,678</w:t>
            </w:r>
          </w:p>
        </w:tc>
        <w:tc>
          <w:tcPr>
            <w:tcW w:w="80"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9,993,260</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9,988,840</w:t>
            </w:r>
          </w:p>
        </w:tc>
        <w:tc>
          <w:tcPr>
            <w:tcW w:w="88" w:type="dxa"/>
            <w:tcBorders/>
            <w:shd w:fill="auto" w:val="clear"/>
            <w:vAlign w:val="bottom"/>
          </w:tcPr>
          <w:p>
            <w:pPr>
              <w:pStyle w:val="TableContents"/>
              <w:spacing w:before="0" w:after="283"/>
              <w:rPr/>
            </w:pPr>
            <w:r>
              <w:rPr/>
              <w:t> </w:t>
            </w:r>
          </w:p>
        </w:tc>
      </w:tr>
      <w:tr>
        <w:trPr/>
        <w:tc>
          <w:tcPr>
            <w:tcW w:w="455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9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9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2" w:type="dxa"/>
            <w:tcBorders/>
            <w:shd w:fill="auto" w:val="clear"/>
            <w:vAlign w:val="bottom"/>
          </w:tcPr>
          <w:p>
            <w:pPr>
              <w:pStyle w:val="HorizontalLine"/>
              <w:pBdr>
                <w:bottom w:val="single" w:sz="18" w:space="0" w:color="000000"/>
              </w:pBdr>
              <w:spacing w:before="0" w:after="283"/>
              <w:rPr/>
            </w:pPr>
            <w:r>
              <w:rPr/>
            </w:r>
          </w:p>
        </w:tc>
        <w:tc>
          <w:tcPr>
            <w:tcW w:w="88" w:type="dxa"/>
            <w:tcBorders/>
            <w:shd w:fill="auto" w:val="clear"/>
            <w:vAlign w:val="bottom"/>
          </w:tcPr>
          <w:p>
            <w:pPr>
              <w:pStyle w:val="HorizontalLine"/>
              <w:pBdr>
                <w:bottom w:val="single" w:sz="18" w:space="0" w:color="FFFFFF"/>
              </w:pBdr>
              <w:spacing w:before="0" w:after="283"/>
              <w:rPr/>
            </w:pPr>
            <w:r>
              <w:rPr/>
            </w:r>
          </w:p>
        </w:tc>
      </w:tr>
      <w:tr>
        <w:trPr/>
        <w:tc>
          <w:tcPr>
            <w:tcW w:w="4551"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11,169,034</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10,015,537</w:t>
            </w:r>
          </w:p>
        </w:tc>
        <w:tc>
          <w:tcPr>
            <w:tcW w:w="8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9,993,260</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9,988,840</w:t>
            </w:r>
          </w:p>
        </w:tc>
        <w:tc>
          <w:tcPr>
            <w:tcW w:w="88" w:type="dxa"/>
            <w:tcBorders/>
            <w:shd w:fill="CCEEFF" w:val="clear"/>
            <w:vAlign w:val="bottom"/>
          </w:tcPr>
          <w:p>
            <w:pPr>
              <w:pStyle w:val="TableContents"/>
              <w:spacing w:before="0" w:after="283"/>
              <w:rPr/>
            </w:pPr>
            <w:r>
              <w:rPr/>
              <w:t> </w:t>
            </w:r>
          </w:p>
        </w:tc>
      </w:tr>
      <w:tr>
        <w:trPr/>
        <w:tc>
          <w:tcPr>
            <w:tcW w:w="455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9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9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52" w:type="dxa"/>
            <w:tcBorders/>
            <w:shd w:fill="auto" w:val="clear"/>
            <w:vAlign w:val="bottom"/>
          </w:tcPr>
          <w:p>
            <w:pPr>
              <w:pStyle w:val="HorizontalLine"/>
              <w:pBdr>
                <w:bottom w:val="single" w:sz="18" w:space="0" w:color="000000"/>
              </w:pBdr>
              <w:spacing w:before="0" w:after="283"/>
              <w:rPr/>
            </w:pPr>
            <w:r>
              <w:rPr/>
            </w:r>
          </w:p>
        </w:tc>
        <w:tc>
          <w:tcPr>
            <w:tcW w:w="88"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an integral part of the above statements.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5" w:name="tx48591_3"/>
      <w:bookmarkEnd w:id="5"/>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CONDENSED CONSOLIDATED STATEMENTS OF CASH FLOWS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Dollars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921"/>
        <w:gridCol w:w="405"/>
        <w:gridCol w:w="135"/>
        <w:gridCol w:w="432"/>
        <w:gridCol w:w="86"/>
        <w:gridCol w:w="360"/>
        <w:gridCol w:w="135"/>
        <w:gridCol w:w="647"/>
        <w:gridCol w:w="84"/>
      </w:tblGrid>
      <w:tr>
        <w:trPr/>
        <w:tc>
          <w:tcPr>
            <w:tcW w:w="792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79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795"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 ENDED</w:t>
              <w:br/>
              <w:t>SEPTEMBER 30,</w:t>
            </w:r>
          </w:p>
          <w:p>
            <w:pPr>
              <w:pStyle w:val="HorizontalLine"/>
              <w:pBdr>
                <w:bottom w:val="single" w:sz="6" w:space="0" w:color="00000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79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56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78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4" w:type="dxa"/>
            <w:tcBorders/>
            <w:shd w:fill="auto" w:val="clear"/>
            <w:vAlign w:val="bottom"/>
          </w:tcPr>
          <w:p>
            <w:pPr>
              <w:pStyle w:val="TableContents"/>
              <w:spacing w:before="0" w:after="283"/>
              <w:rPr/>
            </w:pPr>
            <w:r>
              <w:rPr/>
              <w:t> </w:t>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7921"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loss to net cash (used in) provided by operating activities: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7921"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876</w:t>
            </w:r>
          </w:p>
        </w:tc>
        <w:tc>
          <w:tcPr>
            <w:tcW w:w="86"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970</w:t>
            </w:r>
          </w:p>
        </w:tc>
        <w:tc>
          <w:tcPr>
            <w:tcW w:w="84" w:type="dxa"/>
            <w:tcBorders/>
            <w:shd w:fill="auto" w:val="clear"/>
            <w:vAlign w:val="bottom"/>
          </w:tcPr>
          <w:p>
            <w:pPr>
              <w:pStyle w:val="TableContents"/>
              <w:spacing w:before="0" w:after="283"/>
              <w:rPr/>
            </w:pPr>
            <w:r>
              <w:rPr/>
              <w:t> </w:t>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gains included in net loss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21" w:type="dxa"/>
            <w:tcBorders/>
            <w:shd w:fill="auto" w:val="clear"/>
          </w:tcPr>
          <w:p>
            <w:pPr>
              <w:pStyle w:val="TableContents"/>
              <w:spacing w:before="0" w:after="283"/>
              <w:rPr>
                <w:rFonts w:ascii="Times New Roman" w:hAnsi="Times New Roman"/>
                <w:sz w:val="20"/>
              </w:rPr>
            </w:pPr>
            <w:r>
              <w:rPr>
                <w:rFonts w:ascii="Times New Roman" w:hAnsi="Times New Roman"/>
                <w:sz w:val="20"/>
              </w:rPr>
              <w:t>Non cash interest expenses included in net loss</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86"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286</w:t>
            </w:r>
          </w:p>
        </w:tc>
        <w:tc>
          <w:tcPr>
            <w:tcW w:w="84" w:type="dxa"/>
            <w:tcBorders/>
            <w:shd w:fill="auto" w:val="clear"/>
            <w:vAlign w:val="bottom"/>
          </w:tcPr>
          <w:p>
            <w:pPr>
              <w:pStyle w:val="TableContents"/>
              <w:spacing w:before="0" w:after="283"/>
              <w:rPr/>
            </w:pPr>
            <w:r>
              <w:rPr/>
              <w:t> </w:t>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Changes in operating assets and liabilities: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7921"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(596</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(1,629</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740</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(1,385</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21"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(196</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(713</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(788</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21"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628</w:t>
            </w:r>
          </w:p>
        </w:tc>
        <w:tc>
          <w:tcPr>
            <w:tcW w:w="86"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2,260</w:t>
            </w:r>
          </w:p>
        </w:tc>
        <w:tc>
          <w:tcPr>
            <w:tcW w:w="84" w:type="dxa"/>
            <w:tcBorders/>
            <w:shd w:fill="auto" w:val="clear"/>
            <w:vAlign w:val="bottom"/>
          </w:tcPr>
          <w:p>
            <w:pPr>
              <w:pStyle w:val="TableContents"/>
              <w:spacing w:before="0" w:after="283"/>
              <w:rPr/>
            </w:pPr>
            <w:r>
              <w:rPr/>
              <w:t> </w:t>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1,234</w:t>
            </w:r>
          </w:p>
        </w:tc>
        <w:tc>
          <w:tcPr>
            <w:tcW w:w="84" w:type="dxa"/>
            <w:tcBorders/>
            <w:shd w:fill="CCEEFF" w:val="clear"/>
            <w:vAlign w:val="bottom"/>
          </w:tcPr>
          <w:p>
            <w:pPr>
              <w:pStyle w:val="TableContents"/>
              <w:spacing w:before="0" w:after="283"/>
              <w:rPr/>
            </w:pPr>
            <w:r>
              <w:rPr/>
              <w:t> </w:t>
            </w:r>
          </w:p>
        </w:tc>
      </w:tr>
      <w:tr>
        <w:trPr/>
        <w:tc>
          <w:tcPr>
            <w:tcW w:w="7921"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432"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operating activities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545</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432"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investing activities: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7921"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 of property and equipment</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(452</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432"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(452</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432"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c>
          <w:tcPr>
            <w:tcW w:w="7921"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stock issuance</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6"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84" w:type="dxa"/>
            <w:tcBorders/>
            <w:shd w:fill="auto" w:val="clear"/>
            <w:vAlign w:val="bottom"/>
          </w:tcPr>
          <w:p>
            <w:pPr>
              <w:pStyle w:val="TableContents"/>
              <w:spacing w:before="0" w:after="283"/>
              <w:rPr/>
            </w:pPr>
            <w:r>
              <w:rPr/>
              <w:t> </w:t>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Net borrowings on revolving credit line</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451</w:t>
            </w:r>
          </w:p>
        </w:tc>
        <w:tc>
          <w:tcPr>
            <w:tcW w:w="84" w:type="dxa"/>
            <w:tcBorders/>
            <w:shd w:fill="CCEEFF" w:val="clear"/>
            <w:vAlign w:val="bottom"/>
          </w:tcPr>
          <w:p>
            <w:pPr>
              <w:pStyle w:val="TableContents"/>
              <w:spacing w:before="0" w:after="283"/>
              <w:rPr/>
            </w:pPr>
            <w:r>
              <w:rPr/>
              <w:t> </w:t>
            </w:r>
          </w:p>
        </w:tc>
      </w:tr>
      <w:tr>
        <w:trPr/>
        <w:tc>
          <w:tcPr>
            <w:tcW w:w="79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432"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financing activities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w:t>
            </w:r>
          </w:p>
        </w:tc>
        <w:tc>
          <w:tcPr>
            <w:tcW w:w="84" w:type="dxa"/>
            <w:tcBorders/>
            <w:shd w:fill="CCEEFF" w:val="clear"/>
            <w:vAlign w:val="bottom"/>
          </w:tcPr>
          <w:p>
            <w:pPr>
              <w:pStyle w:val="TableContents"/>
              <w:spacing w:before="0" w:after="283"/>
              <w:rPr/>
            </w:pPr>
            <w:r>
              <w:rPr/>
              <w:t> </w:t>
            </w:r>
          </w:p>
        </w:tc>
      </w:tr>
      <w:tr>
        <w:trPr/>
        <w:tc>
          <w:tcPr>
            <w:tcW w:w="79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432"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 in cash and cash equivalents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84" w:type="dxa"/>
            <w:tcBorders/>
            <w:shd w:fill="CCEEFF" w:val="clear"/>
            <w:vAlign w:val="bottom"/>
          </w:tcPr>
          <w:p>
            <w:pPr>
              <w:pStyle w:val="TableContents"/>
              <w:spacing w:before="0" w:after="283"/>
              <w:rPr/>
            </w:pPr>
            <w:r>
              <w:rPr/>
              <w:t> </w:t>
            </w:r>
          </w:p>
        </w:tc>
      </w:tr>
      <w:tr>
        <w:trPr/>
        <w:tc>
          <w:tcPr>
            <w:tcW w:w="7921"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the period</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86"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84" w:type="dxa"/>
            <w:tcBorders/>
            <w:shd w:fill="auto" w:val="clear"/>
            <w:vAlign w:val="bottom"/>
          </w:tcPr>
          <w:p>
            <w:pPr>
              <w:pStyle w:val="TableContents"/>
              <w:spacing w:before="0" w:after="283"/>
              <w:rPr/>
            </w:pPr>
            <w:r>
              <w:rPr/>
              <w:t> </w:t>
            </w:r>
          </w:p>
        </w:tc>
      </w:tr>
      <w:tr>
        <w:trPr/>
        <w:tc>
          <w:tcPr>
            <w:tcW w:w="79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432"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84" w:type="dxa"/>
            <w:tcBorders/>
            <w:shd w:fill="auto" w:val="clear"/>
            <w:vAlign w:val="bottom"/>
          </w:tcPr>
          <w:p>
            <w:pPr>
              <w:pStyle w:val="HorizontalLine"/>
              <w:pBdr>
                <w:bottom w:val="single" w:sz="6" w:space="0" w:color="FFFFFF"/>
              </w:pBdr>
              <w:spacing w:before="0" w:after="283"/>
              <w:rPr/>
            </w:pPr>
            <w:r>
              <w:rPr/>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the period</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533</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84" w:type="dxa"/>
            <w:tcBorders/>
            <w:shd w:fill="CCEEFF" w:val="clear"/>
            <w:vAlign w:val="bottom"/>
          </w:tcPr>
          <w:p>
            <w:pPr>
              <w:pStyle w:val="TableContents"/>
              <w:spacing w:before="0" w:after="283"/>
              <w:rPr/>
            </w:pPr>
            <w:r>
              <w:rPr/>
              <w:t> </w:t>
            </w:r>
          </w:p>
        </w:tc>
      </w:tr>
      <w:tr>
        <w:trPr/>
        <w:tc>
          <w:tcPr>
            <w:tcW w:w="79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18" w:space="0" w:color="000000"/>
              </w:pBdr>
              <w:spacing w:before="0" w:after="283"/>
              <w:rPr/>
            </w:pPr>
            <w:r>
              <w:rPr/>
            </w:r>
          </w:p>
        </w:tc>
        <w:tc>
          <w:tcPr>
            <w:tcW w:w="432"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HorizontalLine"/>
              <w:pBdr>
                <w:bottom w:val="single" w:sz="18"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18" w:space="0" w:color="000000"/>
              </w:pBdr>
              <w:spacing w:before="0" w:after="283"/>
              <w:rPr/>
            </w:pPr>
            <w:r>
              <w:rPr/>
            </w:r>
          </w:p>
        </w:tc>
        <w:tc>
          <w:tcPr>
            <w:tcW w:w="647"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r>
        <w:trPr/>
        <w:tc>
          <w:tcPr>
            <w:tcW w:w="7921"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SUPPLEMENTAL DISCLOSURES OF CASH FLOW INFORMATION</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r>
      <w:tr>
        <w:trPr>
          <w:trHeight w:val="120" w:hRule="atLeast"/>
        </w:trPr>
        <w:tc>
          <w:tcPr>
            <w:tcW w:w="7921" w:type="dxa"/>
            <w:tcBorders/>
            <w:shd w:fill="auto" w:val="clear"/>
            <w:vAlign w:val="center"/>
          </w:tcPr>
          <w:p>
            <w:pPr>
              <w:pStyle w:val="TableContents"/>
              <w:spacing w:before="0" w:after="283"/>
              <w:rPr>
                <w:sz w:val="4"/>
                <w:szCs w:val="4"/>
              </w:rPr>
            </w:pPr>
            <w:r>
              <w:rPr>
                <w:sz w:val="4"/>
                <w:szCs w:val="4"/>
              </w:rPr>
            </w:r>
          </w:p>
        </w:tc>
        <w:tc>
          <w:tcPr>
            <w:tcW w:w="1058" w:type="dxa"/>
            <w:gridSpan w:val="4"/>
            <w:tcBorders/>
            <w:shd w:fill="auto" w:val="clear"/>
            <w:vAlign w:val="center"/>
          </w:tcPr>
          <w:p>
            <w:pPr>
              <w:pStyle w:val="TableContents"/>
              <w:spacing w:before="0" w:after="283"/>
              <w:rPr>
                <w:sz w:val="4"/>
                <w:szCs w:val="4"/>
              </w:rPr>
            </w:pPr>
            <w:r>
              <w:rPr>
                <w:sz w:val="4"/>
                <w:szCs w:val="4"/>
              </w:rPr>
            </w:r>
          </w:p>
        </w:tc>
        <w:tc>
          <w:tcPr>
            <w:tcW w:w="1226" w:type="dxa"/>
            <w:gridSpan w:val="4"/>
            <w:tcBorders/>
            <w:shd w:fill="auto" w:val="clear"/>
            <w:vAlign w:val="center"/>
          </w:tcPr>
          <w:p>
            <w:pPr>
              <w:pStyle w:val="TableContents"/>
              <w:spacing w:before="0" w:after="283"/>
              <w:rPr>
                <w:sz w:val="4"/>
                <w:szCs w:val="4"/>
              </w:rPr>
            </w:pPr>
            <w:r>
              <w:rPr>
                <w:sz w:val="4"/>
                <w:szCs w:val="4"/>
              </w:rPr>
            </w:r>
          </w:p>
        </w:tc>
      </w:tr>
      <w:tr>
        <w:trPr/>
        <w:tc>
          <w:tcPr>
            <w:tcW w:w="7921" w:type="dxa"/>
            <w:tcBorders/>
            <w:shd w:fill="auto" w:val="clear"/>
          </w:tcPr>
          <w:p>
            <w:pPr>
              <w:pStyle w:val="TableContents"/>
              <w:spacing w:before="0" w:after="283"/>
              <w:rPr>
                <w:rFonts w:ascii="Times New Roman" w:hAnsi="Times New Roman"/>
                <w:sz w:val="20"/>
              </w:rPr>
            </w:pPr>
            <w:r>
              <w:rPr>
                <w:rFonts w:ascii="Times New Roman" w:hAnsi="Times New Roman"/>
                <w:sz w:val="20"/>
              </w:rPr>
              <w:t>Cash paid (refunded) during the period for:</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906</w:t>
            </w:r>
          </w:p>
        </w:tc>
        <w:tc>
          <w:tcPr>
            <w:tcW w:w="84" w:type="dxa"/>
            <w:tcBorders/>
            <w:shd w:fill="CCEEFF" w:val="clear"/>
            <w:vAlign w:val="bottom"/>
          </w:tcPr>
          <w:p>
            <w:pPr>
              <w:pStyle w:val="TableContents"/>
              <w:spacing w:before="0" w:after="283"/>
              <w:rPr/>
            </w:pPr>
            <w:r>
              <w:rPr/>
              <w:t> </w:t>
            </w:r>
          </w:p>
        </w:tc>
      </w:tr>
      <w:tr>
        <w:trPr/>
        <w:tc>
          <w:tcPr>
            <w:tcW w:w="79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18" w:space="0" w:color="000000"/>
              </w:pBdr>
              <w:spacing w:before="0" w:after="283"/>
              <w:rPr/>
            </w:pPr>
            <w:r>
              <w:rPr/>
            </w:r>
          </w:p>
        </w:tc>
        <w:tc>
          <w:tcPr>
            <w:tcW w:w="432"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HorizontalLine"/>
              <w:pBdr>
                <w:bottom w:val="single" w:sz="18"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18" w:space="0" w:color="000000"/>
              </w:pBdr>
              <w:spacing w:before="0" w:after="283"/>
              <w:rPr/>
            </w:pPr>
            <w:r>
              <w:rPr/>
            </w:r>
          </w:p>
        </w:tc>
        <w:tc>
          <w:tcPr>
            <w:tcW w:w="647"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r>
        <w:trPr/>
        <w:tc>
          <w:tcPr>
            <w:tcW w:w="7921"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w:t>
            </w:r>
          </w:p>
        </w:tc>
        <w:tc>
          <w:tcPr>
            <w:tcW w:w="40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86"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92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18" w:space="0" w:color="000000"/>
              </w:pBdr>
              <w:spacing w:before="0" w:after="283"/>
              <w:rPr/>
            </w:pPr>
            <w:r>
              <w:rPr/>
            </w:r>
          </w:p>
        </w:tc>
        <w:tc>
          <w:tcPr>
            <w:tcW w:w="432"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HorizontalLine"/>
              <w:pBdr>
                <w:bottom w:val="single" w:sz="18"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18" w:space="0" w:color="000000"/>
              </w:pBdr>
              <w:spacing w:before="0" w:after="283"/>
              <w:rPr/>
            </w:pPr>
            <w:r>
              <w:rPr/>
            </w:r>
          </w:p>
        </w:tc>
        <w:tc>
          <w:tcPr>
            <w:tcW w:w="647" w:type="dxa"/>
            <w:tcBorders/>
            <w:shd w:fill="auto" w:val="clear"/>
            <w:vAlign w:val="bottom"/>
          </w:tcPr>
          <w:p>
            <w:pPr>
              <w:pStyle w:val="HorizontalLine"/>
              <w:pBdr>
                <w:bottom w:val="single" w:sz="18" w:space="0" w:color="000000"/>
              </w:pBdr>
              <w:spacing w:before="0" w:after="283"/>
              <w:rPr/>
            </w:pPr>
            <w:r>
              <w:rPr/>
            </w:r>
          </w:p>
        </w:tc>
        <w:tc>
          <w:tcPr>
            <w:tcW w:w="84"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notes to condensed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6" w:name="tx48591_4"/>
      <w:bookmarkEnd w:id="6"/>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(Dollars in thousands)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Basis of reporting for condensed consolidated financial statements and significant accounting policies.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accompanying unaudited condensed consolidated financial statements of CECO Environmental Corp. and subsidiaries (the Company, we, us, or our) have been prepared in accordance with accounting principles generally accepted in the United States of America. In the opinion of management, the accompanying unaudited condensed consolidated financial statements of the Company contain all adjustments (consisting only of normal recurring accruals) necessary to present fairly the financial position as of September 30, 2005 and December 31, 2004 and the results of operations for the three-month and nine-month periods ended September 30, 2005 and 2004 and of cash flows for the nine-month periods ended September 30, 2005 and 2004. The results of operations for the three-month period and nine-month period ended September 30, 2005 are not necessarily indicative of the results to be expected for the full year.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These financial statements should be read in conjunction with the audited financial statements and notes thereto in our 2004 Annual Report on Form 10-K filed with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Stock Based Compensation - We apply Accounting Principles Board Opinion No. 25 and related interpretations in the accounting for stock option plans.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We did not incur any compensation expense in 2005 or 2004 related to our stock option plans. We adopted the disclosure-only provisions of SFAS No. 123, Accounting for Stock-Based Compensation and related pronouncements.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compares 2005 and 2004 as reported to the pro forma results, considering both options and warrants discussed in Note 11 in our 2004 Annual Report filed on Form 10-K, had we adopted the expense recognition provision of SFAS No. 123: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597"/>
        <w:gridCol w:w="359"/>
        <w:gridCol w:w="147"/>
        <w:gridCol w:w="405"/>
        <w:gridCol w:w="94"/>
        <w:gridCol w:w="315"/>
        <w:gridCol w:w="147"/>
        <w:gridCol w:w="407"/>
        <w:gridCol w:w="80"/>
        <w:gridCol w:w="307"/>
        <w:gridCol w:w="136"/>
        <w:gridCol w:w="336"/>
        <w:gridCol w:w="86"/>
        <w:gridCol w:w="311"/>
        <w:gridCol w:w="136"/>
        <w:gridCol w:w="439"/>
        <w:gridCol w:w="86"/>
      </w:tblGrid>
      <w:tr>
        <w:trPr/>
        <w:tc>
          <w:tcPr>
            <w:tcW w:w="5597"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r>
      <w:tr>
        <w:trPr/>
        <w:tc>
          <w:tcPr>
            <w:tcW w:w="559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515"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September 30,</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444"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 Ended</w:t>
              <w:br/>
              <w:t>September 30,</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559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55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94"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55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47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5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559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 as reported</w:t>
            </w:r>
          </w:p>
        </w:tc>
        <w:tc>
          <w:tcPr>
            <w:tcW w:w="3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w:t>
            </w:r>
          </w:p>
        </w:tc>
        <w:tc>
          <w:tcPr>
            <w:tcW w:w="94"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8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97" w:type="dxa"/>
            <w:tcBorders/>
            <w:shd w:fill="auto" w:val="clear"/>
          </w:tcPr>
          <w:p>
            <w:pPr>
              <w:pStyle w:val="TableContents"/>
              <w:spacing w:before="0" w:after="283"/>
              <w:rPr>
                <w:rFonts w:ascii="Times New Roman" w:hAnsi="Times New Roman"/>
                <w:sz w:val="20"/>
              </w:rPr>
            </w:pPr>
            <w:r>
              <w:rPr>
                <w:rFonts w:ascii="Times New Roman" w:hAnsi="Times New Roman"/>
                <w:sz w:val="20"/>
              </w:rPr>
              <w:t>Deduct: compensation cost based on fair value recognition, net of tax</w:t>
            </w:r>
          </w:p>
        </w:tc>
        <w:tc>
          <w:tcPr>
            <w:tcW w:w="3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9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9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405" w:type="dxa"/>
            <w:tcBorders/>
            <w:shd w:fill="auto" w:val="clear"/>
            <w:vAlign w:val="bottom"/>
          </w:tcPr>
          <w:p>
            <w:pPr>
              <w:pStyle w:val="HorizontalLine"/>
              <w:pBdr>
                <w:bottom w:val="single" w:sz="6" w:space="0" w:color="000000"/>
              </w:pBdr>
              <w:spacing w:before="0" w:after="283"/>
              <w:rPr/>
            </w:pPr>
            <w:r>
              <w:rPr/>
            </w:r>
          </w:p>
        </w:tc>
        <w:tc>
          <w:tcPr>
            <w:tcW w:w="94" w:type="dxa"/>
            <w:tcBorders/>
            <w:shd w:fill="auto" w:val="clear"/>
            <w:vAlign w:val="bottom"/>
          </w:tcPr>
          <w:p>
            <w:pPr>
              <w:pStyle w:val="HorizontalLine"/>
              <w:pBdr>
                <w:bottom w:val="single" w:sz="6" w:space="0" w:color="FFFFFF"/>
              </w:pBdr>
              <w:spacing w:before="0" w:after="283"/>
              <w:rPr/>
            </w:pPr>
            <w:r>
              <w:rPr/>
            </w:r>
          </w:p>
        </w:tc>
        <w:tc>
          <w:tcPr>
            <w:tcW w:w="315"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407"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07"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336"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c>
          <w:tcPr>
            <w:tcW w:w="31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439"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c>
          <w:tcPr>
            <w:tcW w:w="5597"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 net income (loss) under SFAS No. 123</w:t>
            </w:r>
          </w:p>
        </w:tc>
        <w:tc>
          <w:tcPr>
            <w:tcW w:w="3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94"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w:t>
            </w:r>
          </w:p>
        </w:tc>
        <w:tc>
          <w:tcPr>
            <w:tcW w:w="8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(436</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97"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405" w:type="dxa"/>
            <w:tcBorders/>
            <w:shd w:fill="auto" w:val="clear"/>
            <w:vAlign w:val="bottom"/>
          </w:tcPr>
          <w:p>
            <w:pPr>
              <w:pStyle w:val="HorizontalLine"/>
              <w:pBdr>
                <w:bottom w:val="single" w:sz="18" w:space="0" w:color="000000"/>
              </w:pBdr>
              <w:spacing w:before="0" w:after="283"/>
              <w:rPr/>
            </w:pPr>
            <w:r>
              <w:rPr/>
            </w:r>
          </w:p>
        </w:tc>
        <w:tc>
          <w:tcPr>
            <w:tcW w:w="94" w:type="dxa"/>
            <w:tcBorders/>
            <w:shd w:fill="auto" w:val="clear"/>
            <w:vAlign w:val="bottom"/>
          </w:tcPr>
          <w:p>
            <w:pPr>
              <w:pStyle w:val="HorizontalLine"/>
              <w:pBdr>
                <w:bottom w:val="single" w:sz="18" w:space="0" w:color="FFFFFF"/>
              </w:pBdr>
              <w:spacing w:before="0" w:after="283"/>
              <w:rPr/>
            </w:pPr>
            <w:r>
              <w:rPr/>
            </w:r>
          </w:p>
        </w:tc>
        <w:tc>
          <w:tcPr>
            <w:tcW w:w="315"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407"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07"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336"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HorizontalLine"/>
              <w:pBdr>
                <w:bottom w:val="single" w:sz="18" w:space="0" w:color="FFFFFF"/>
              </w:pBdr>
              <w:spacing w:before="0" w:after="283"/>
              <w:rPr/>
            </w:pPr>
            <w:r>
              <w:rPr/>
            </w:r>
          </w:p>
        </w:tc>
        <w:tc>
          <w:tcPr>
            <w:tcW w:w="31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439"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HorizontalLine"/>
              <w:pBdr>
                <w:bottom w:val="single" w:sz="18" w:space="0" w:color="FFFFFF"/>
              </w:pBdr>
              <w:spacing w:before="0" w:after="283"/>
              <w:rPr/>
            </w:pPr>
            <w:r>
              <w:rPr/>
            </w:r>
          </w:p>
        </w:tc>
      </w:tr>
      <w:tr>
        <w:trPr/>
        <w:tc>
          <w:tcPr>
            <w:tcW w:w="559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 per share:</w:t>
            </w:r>
          </w:p>
        </w:tc>
        <w:tc>
          <w:tcPr>
            <w:tcW w:w="3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439"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5597" w:type="dxa"/>
            <w:tcBorders/>
            <w:shd w:fill="auto" w:val="clear"/>
          </w:tcPr>
          <w:p>
            <w:pPr>
              <w:pStyle w:val="TableContents"/>
              <w:spacing w:before="0" w:after="283"/>
              <w:rPr>
                <w:rFonts w:ascii="Times New Roman" w:hAnsi="Times New Roman"/>
                <w:sz w:val="20"/>
              </w:rPr>
            </w:pPr>
            <w:r>
              <w:rPr>
                <w:rFonts w:ascii="Times New Roman" w:hAnsi="Times New Roman"/>
                <w:sz w:val="20"/>
              </w:rPr>
              <w:t>Basic as reported</w:t>
            </w:r>
          </w:p>
        </w:tc>
        <w:tc>
          <w:tcPr>
            <w:tcW w:w="3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94"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8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8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97" w:type="dxa"/>
            <w:tcBorders/>
            <w:shd w:fill="CCEEFF" w:val="clear"/>
          </w:tcPr>
          <w:p>
            <w:pPr>
              <w:pStyle w:val="TableContents"/>
              <w:spacing w:before="0" w:after="283"/>
              <w:rPr>
                <w:rFonts w:ascii="Times New Roman" w:hAnsi="Times New Roman"/>
                <w:sz w:val="20"/>
              </w:rPr>
            </w:pPr>
            <w:r>
              <w:rPr>
                <w:rFonts w:ascii="Times New Roman" w:hAnsi="Times New Roman"/>
                <w:sz w:val="20"/>
              </w:rPr>
              <w:t>Basic pro forma under SFAS No. 123</w:t>
            </w:r>
          </w:p>
        </w:tc>
        <w:tc>
          <w:tcPr>
            <w:tcW w:w="3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94"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8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97" w:type="dxa"/>
            <w:tcBorders/>
            <w:shd w:fill="auto" w:val="clear"/>
          </w:tcPr>
          <w:p>
            <w:pPr>
              <w:pStyle w:val="TableContents"/>
              <w:spacing w:before="0" w:after="283"/>
              <w:rPr>
                <w:rFonts w:ascii="Times New Roman" w:hAnsi="Times New Roman"/>
                <w:sz w:val="20"/>
              </w:rPr>
            </w:pPr>
            <w:r>
              <w:rPr>
                <w:rFonts w:ascii="Times New Roman" w:hAnsi="Times New Roman"/>
                <w:sz w:val="20"/>
              </w:rPr>
              <w:t>Diluted as reported</w:t>
            </w:r>
          </w:p>
        </w:tc>
        <w:tc>
          <w:tcPr>
            <w:tcW w:w="3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94"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8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8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597"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pro forma under SFAS No. 123</w:t>
            </w:r>
          </w:p>
        </w:tc>
        <w:tc>
          <w:tcPr>
            <w:tcW w:w="3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94"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8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Certain amounts in the September 30, 2004 financial statements have been reclassified to conform to the September 30, 2005 presentation.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New Accounting Standards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2003, the FASB issued a revised FASB Interpretation No. 46, entitled Consolidation of Variable Interest Entities. As revised, the new interpretation requires that the Company consolidate all variable interest entities in its financial statements under certain circumstances. We adopted the revised interpretation as of March 31, 2004 as required; however, the adoption of this interpretation did not affect our financial condition or results of operations, as we do not have any variable interest entities.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2004, the FASB issued SFAS No. 151, Inventory Costs, an amendment of ARB No. 43, Chapter 4. This statement clarifies the accounting for abnormal amounts of idle facility expense, freight, handling cost and wasted material. SFAS No. 151 is effective for inventory costs incurred during fiscal years beginning after June 15, 2005. The adoption of this interpretation will not affect our financial condition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May 2005, the FASB issued SFAS No. 154, Accounting Changes and Error Correctionsa Replacement of APB Opinion No. 20 and FASB Statement No. 3. This Statement replaces APB Opinion No. 20, Accounting Changes, and FASB Statement No. 3, Reporting Accounting Changes in Interim Financial Statements, and changes the requirements for the accounting for and reporting of a change in accounting principle. This Statement requires retrospective application to prior periods financial statements of changes in accounting principle, unless it is impracticable to determine either the period-specific effects or the cumulative effect of the change. This Statement applies to all voluntary changes in accounting principle. It also applies to changes required by an accounting pronouncement in the unusual instance that the pronouncement does not include specific transition provisions. This Statement is effective for accounting changes and error corrections made in fiscal years beginning after December 15, 2005. The adoption of this Statement is not expected to have a material effect on our Condensed Consolidated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2004, the Financial Accounting Standards Board (FASB) issued FAS 123 (revised 2004)Share-Based Payments (FAS 123-R). FAS 123-R replaces FAS 123Accounting for Stock-Based Compensation, and supersedes APB 25Accounting for Stock Issued to Employees. As revised by the Securities and Exchange Commission, we will be required to adopt FAS 123-R beginning January 1, 2006. FAS 123-R requires all share-based awards to employees, and any subsequent modifications to those awards, to be recognized in the financial statements based on a fair-value-based method. The pro forma disclosures previously permitted under FAS 123 will no longer be an alternative to financial statement recognition.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FAS 123-R, we must determine the appropriate fair-value model to be used for valuing share-based payments, the amortization method for compensation cost and the transition method to be used at the date of adoption. FAS 123-R permits companies to adopt the new standard using either a modified prospective transition method or a modified retrospective transition method. Using the modified prospective transition method, compensation expense would be recorded for all unvested awards at the beginning of the first quarter of FAS 123-R adoption based upon the values assigned to grants and modifications of stock compensation used in the proforma disclosures made in accordance with the original provisions of FAS 123. Under the modified retrospective method, companies are permitted to restate financial statements of previous periods using those proforma amounts.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currently evaluating the requirements of this standard. We expect that the effect on net income and earnings per share in the periods following adoption will be consistent with amounts reported in our pro forma disclosures under FAS 123 (see Note 1). However, the actual effect on net income and earnings per share will vary depending on the terms and number of options ultimately granted.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Inventories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Inventories consist of the following: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292"/>
        <w:gridCol w:w="659"/>
        <w:gridCol w:w="173"/>
        <w:gridCol w:w="678"/>
        <w:gridCol w:w="80"/>
        <w:gridCol w:w="611"/>
        <w:gridCol w:w="163"/>
        <w:gridCol w:w="650"/>
        <w:gridCol w:w="82"/>
      </w:tblGrid>
      <w:tr>
        <w:trPr/>
        <w:tc>
          <w:tcPr>
            <w:tcW w:w="6292"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r>
      <w:tr>
        <w:trPr/>
        <w:tc>
          <w:tcPr>
            <w:tcW w:w="6292"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85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September 30,</w:t>
              <w:b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81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br/>
              <w:t>2004</w:t>
            </w:r>
          </w:p>
          <w:p>
            <w:pPr>
              <w:pStyle w:val="HorizontalLine"/>
              <w:pBdr>
                <w:bottom w:val="single" w:sz="6" w:space="0" w:color="000000"/>
              </w:pBdr>
              <w:spacing w:before="0" w:after="283"/>
              <w:rPr/>
            </w:pPr>
            <w:r>
              <w:rPr/>
            </w:r>
          </w:p>
        </w:tc>
        <w:tc>
          <w:tcPr>
            <w:tcW w:w="82" w:type="dxa"/>
            <w:tcBorders/>
            <w:shd w:fill="auto" w:val="clear"/>
            <w:vAlign w:val="bottom"/>
          </w:tcPr>
          <w:p>
            <w:pPr>
              <w:pStyle w:val="TableContents"/>
              <w:spacing w:before="0" w:after="283"/>
              <w:rPr/>
            </w:pPr>
            <w:r>
              <w:rPr/>
              <w:t> </w:t>
            </w:r>
          </w:p>
        </w:tc>
      </w:tr>
      <w:tr>
        <w:trPr/>
        <w:tc>
          <w:tcPr>
            <w:tcW w:w="6292"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materials and subassemblies</w:t>
            </w:r>
          </w:p>
        </w:tc>
        <w:tc>
          <w:tcPr>
            <w:tcW w:w="65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1,057</w:t>
            </w:r>
          </w:p>
        </w:tc>
        <w:tc>
          <w:tcPr>
            <w:tcW w:w="8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888</w:t>
            </w:r>
          </w:p>
        </w:tc>
        <w:tc>
          <w:tcPr>
            <w:tcW w:w="82" w:type="dxa"/>
            <w:tcBorders/>
            <w:shd w:fill="CCEEFF" w:val="clear"/>
            <w:vAlign w:val="bottom"/>
          </w:tcPr>
          <w:p>
            <w:pPr>
              <w:pStyle w:val="TableContents"/>
              <w:spacing w:before="0" w:after="283"/>
              <w:rPr/>
            </w:pPr>
            <w:r>
              <w:rPr/>
              <w:t> </w:t>
            </w:r>
          </w:p>
        </w:tc>
      </w:tr>
      <w:tr>
        <w:trPr/>
        <w:tc>
          <w:tcPr>
            <w:tcW w:w="6292" w:type="dxa"/>
            <w:tcBorders/>
            <w:shd w:fill="auto" w:val="clear"/>
          </w:tcPr>
          <w:p>
            <w:pPr>
              <w:pStyle w:val="TableContents"/>
              <w:spacing w:before="0" w:after="283"/>
              <w:rPr>
                <w:rFonts w:ascii="Times New Roman" w:hAnsi="Times New Roman"/>
                <w:sz w:val="20"/>
              </w:rPr>
            </w:pPr>
            <w:r>
              <w:rPr>
                <w:rFonts w:ascii="Times New Roman" w:hAnsi="Times New Roman"/>
                <w:sz w:val="20"/>
              </w:rPr>
              <w:t>Finished goods</w:t>
            </w:r>
          </w:p>
        </w:tc>
        <w:tc>
          <w:tcPr>
            <w:tcW w:w="65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8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82" w:type="dxa"/>
            <w:tcBorders/>
            <w:shd w:fill="auto" w:val="clear"/>
            <w:vAlign w:val="bottom"/>
          </w:tcPr>
          <w:p>
            <w:pPr>
              <w:pStyle w:val="TableContents"/>
              <w:spacing w:before="0" w:after="283"/>
              <w:rPr/>
            </w:pPr>
            <w:r>
              <w:rPr/>
              <w:t> </w:t>
            </w:r>
          </w:p>
        </w:tc>
      </w:tr>
      <w:tr>
        <w:trPr/>
        <w:tc>
          <w:tcPr>
            <w:tcW w:w="6292" w:type="dxa"/>
            <w:tcBorders/>
            <w:shd w:fill="CCEEFF" w:val="clear"/>
          </w:tcPr>
          <w:p>
            <w:pPr>
              <w:pStyle w:val="TableContents"/>
              <w:spacing w:before="0" w:after="283"/>
              <w:rPr>
                <w:rFonts w:ascii="Times New Roman" w:hAnsi="Times New Roman"/>
                <w:sz w:val="20"/>
              </w:rPr>
            </w:pPr>
            <w:r>
              <w:rPr>
                <w:rFonts w:ascii="Times New Roman" w:hAnsi="Times New Roman"/>
                <w:sz w:val="20"/>
              </w:rPr>
              <w:t>Parts for resale</w:t>
            </w:r>
          </w:p>
        </w:tc>
        <w:tc>
          <w:tcPr>
            <w:tcW w:w="65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w:t>
            </w:r>
          </w:p>
        </w:tc>
        <w:tc>
          <w:tcPr>
            <w:tcW w:w="8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w:t>
            </w:r>
          </w:p>
        </w:tc>
        <w:tc>
          <w:tcPr>
            <w:tcW w:w="82" w:type="dxa"/>
            <w:tcBorders/>
            <w:shd w:fill="CCEEFF" w:val="clear"/>
            <w:vAlign w:val="bottom"/>
          </w:tcPr>
          <w:p>
            <w:pPr>
              <w:pStyle w:val="TableContents"/>
              <w:spacing w:before="0" w:after="283"/>
              <w:rPr/>
            </w:pPr>
            <w:r>
              <w:rPr/>
              <w:t> </w:t>
            </w:r>
          </w:p>
        </w:tc>
      </w:tr>
      <w:tr>
        <w:trPr/>
        <w:tc>
          <w:tcPr>
            <w:tcW w:w="6292" w:type="dxa"/>
            <w:tcBorders/>
            <w:shd w:fill="auto" w:val="clear"/>
          </w:tcPr>
          <w:p>
            <w:pPr>
              <w:pStyle w:val="TableContents"/>
              <w:spacing w:before="0" w:after="283"/>
              <w:rPr>
                <w:rFonts w:ascii="Times New Roman" w:hAnsi="Times New Roman"/>
                <w:sz w:val="20"/>
              </w:rPr>
            </w:pPr>
            <w:r>
              <w:rPr>
                <w:rFonts w:ascii="Times New Roman" w:hAnsi="Times New Roman"/>
                <w:sz w:val="20"/>
              </w:rPr>
              <w:t>Reserve for obsolescence</w:t>
            </w:r>
          </w:p>
        </w:tc>
        <w:tc>
          <w:tcPr>
            <w:tcW w:w="65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92"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73" w:type="dxa"/>
            <w:tcBorders/>
            <w:shd w:fill="auto" w:val="clear"/>
            <w:vAlign w:val="bottom"/>
          </w:tcPr>
          <w:p>
            <w:pPr>
              <w:pStyle w:val="HorizontalLine"/>
              <w:pBdr>
                <w:bottom w:val="single" w:sz="6" w:space="0" w:color="000000"/>
              </w:pBdr>
              <w:spacing w:before="0" w:after="283"/>
              <w:rPr/>
            </w:pPr>
            <w:r>
              <w:rPr/>
            </w:r>
          </w:p>
        </w:tc>
        <w:tc>
          <w:tcPr>
            <w:tcW w:w="678"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11"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6" w:space="0" w:color="000000"/>
              </w:pBdr>
              <w:spacing w:before="0" w:after="283"/>
              <w:rPr/>
            </w:pPr>
            <w:r>
              <w:rPr/>
            </w:r>
          </w:p>
        </w:tc>
        <w:tc>
          <w:tcPr>
            <w:tcW w:w="650" w:type="dxa"/>
            <w:tcBorders/>
            <w:shd w:fill="auto" w:val="clear"/>
            <w:vAlign w:val="bottom"/>
          </w:tcPr>
          <w:p>
            <w:pPr>
              <w:pStyle w:val="HorizontalLine"/>
              <w:pBdr>
                <w:bottom w:val="single" w:sz="6" w:space="0" w:color="000000"/>
              </w:pBdr>
              <w:spacing w:before="0" w:after="283"/>
              <w:rPr/>
            </w:pPr>
            <w:r>
              <w:rPr/>
            </w:r>
          </w:p>
        </w:tc>
        <w:tc>
          <w:tcPr>
            <w:tcW w:w="82" w:type="dxa"/>
            <w:tcBorders/>
            <w:shd w:fill="auto" w:val="clear"/>
            <w:vAlign w:val="bottom"/>
          </w:tcPr>
          <w:p>
            <w:pPr>
              <w:pStyle w:val="HorizontalLine"/>
              <w:pBdr>
                <w:bottom w:val="single" w:sz="6" w:space="0" w:color="FFFFFF"/>
              </w:pBdr>
              <w:spacing w:before="0" w:after="283"/>
              <w:rPr/>
            </w:pPr>
            <w:r>
              <w:rPr/>
            </w:r>
          </w:p>
        </w:tc>
      </w:tr>
      <w:tr>
        <w:trPr/>
        <w:tc>
          <w:tcPr>
            <w:tcW w:w="6292" w:type="dxa"/>
            <w:tcBorders/>
            <w:shd w:fill="CCEEFF" w:val="clear"/>
          </w:tcPr>
          <w:p>
            <w:pPr>
              <w:pStyle w:val="TableContents"/>
              <w:spacing w:before="0" w:after="283"/>
              <w:rPr/>
            </w:pPr>
            <w:r>
              <w:rPr/>
              <w:t> </w:t>
            </w:r>
          </w:p>
        </w:tc>
        <w:tc>
          <w:tcPr>
            <w:tcW w:w="65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1,885</w:t>
            </w:r>
          </w:p>
        </w:tc>
        <w:tc>
          <w:tcPr>
            <w:tcW w:w="80"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1,689</w:t>
            </w:r>
          </w:p>
        </w:tc>
        <w:tc>
          <w:tcPr>
            <w:tcW w:w="82" w:type="dxa"/>
            <w:tcBorders/>
            <w:shd w:fill="CCEEFF" w:val="clear"/>
            <w:vAlign w:val="bottom"/>
          </w:tcPr>
          <w:p>
            <w:pPr>
              <w:pStyle w:val="TableContents"/>
              <w:spacing w:before="0" w:after="283"/>
              <w:rPr/>
            </w:pPr>
            <w:r>
              <w:rPr/>
              <w:t> </w:t>
            </w:r>
          </w:p>
        </w:tc>
      </w:tr>
      <w:tr>
        <w:trPr/>
        <w:tc>
          <w:tcPr>
            <w:tcW w:w="6292"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73" w:type="dxa"/>
            <w:tcBorders/>
            <w:shd w:fill="auto" w:val="clear"/>
            <w:vAlign w:val="bottom"/>
          </w:tcPr>
          <w:p>
            <w:pPr>
              <w:pStyle w:val="HorizontalLine"/>
              <w:pBdr>
                <w:bottom w:val="single" w:sz="18" w:space="0" w:color="000000"/>
              </w:pBdr>
              <w:spacing w:before="0" w:after="283"/>
              <w:rPr/>
            </w:pPr>
            <w:r>
              <w:rPr/>
            </w:r>
          </w:p>
        </w:tc>
        <w:tc>
          <w:tcPr>
            <w:tcW w:w="678"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11" w:type="dxa"/>
            <w:tcBorders/>
            <w:shd w:fill="auto" w:val="clear"/>
            <w:vAlign w:val="bottom"/>
          </w:tcPr>
          <w:p>
            <w:pPr>
              <w:pStyle w:val="TableContents"/>
              <w:spacing w:before="0" w:after="283"/>
              <w:rPr/>
            </w:pPr>
            <w:r>
              <w:rPr/>
              <w:t> </w:t>
            </w:r>
          </w:p>
        </w:tc>
        <w:tc>
          <w:tcPr>
            <w:tcW w:w="163" w:type="dxa"/>
            <w:tcBorders/>
            <w:shd w:fill="auto" w:val="clear"/>
            <w:vAlign w:val="bottom"/>
          </w:tcPr>
          <w:p>
            <w:pPr>
              <w:pStyle w:val="HorizontalLine"/>
              <w:pBdr>
                <w:bottom w:val="single" w:sz="18" w:space="0" w:color="000000"/>
              </w:pBdr>
              <w:spacing w:before="0" w:after="283"/>
              <w:rPr/>
            </w:pPr>
            <w:r>
              <w:rPr/>
            </w:r>
          </w:p>
        </w:tc>
        <w:tc>
          <w:tcPr>
            <w:tcW w:w="650" w:type="dxa"/>
            <w:tcBorders/>
            <w:shd w:fill="auto" w:val="clear"/>
            <w:vAlign w:val="bottom"/>
          </w:tcPr>
          <w:p>
            <w:pPr>
              <w:pStyle w:val="HorizontalLine"/>
              <w:pBdr>
                <w:bottom w:val="single" w:sz="18" w:space="0" w:color="000000"/>
              </w:pBdr>
              <w:spacing w:before="0" w:after="283"/>
              <w:rPr/>
            </w:pPr>
            <w:r>
              <w:rPr/>
            </w:r>
          </w:p>
        </w:tc>
        <w:tc>
          <w:tcPr>
            <w:tcW w:w="82"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Business Segment Information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condensed consolidated financial statements herein reflect the operating results of the segment.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Earnings Per Share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the three months ended September 30, 2005 and 2004, basic weighted average common shares outstanding were 9,993,260 and 9,991,678, respectively, while diluted average common shares outstanding were 11,169,034 and 10,015,537, respectively. For the nine months ended September 30, 2005 and 2004, basic weighted average common shares outstanding and diluted average common shares outstanding were 9,993,260 and 9,988,840, respectively. We consider outstanding options and warrants in computing diluted net income per share only when they are dilutive. Options and warrants to purchase 3,435,700 and 3,503,700 shares for the nine months ended September 30, 2005 and 2004, respectively, were not included in the computation of diluted earnings per share due to their having an anti-dilutive effect.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Debt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bank and related debt as of September 30, 2005 was $8.8 million and $8.7 million at December 31, 2004. Unused credit availability under our $10.0 million revolving line of credit at September 30, 2005 was $1.2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bank term loan and revolving line of credit are reported as current portion of debt in the balance sheet at September 30, 2005, since the term loan and the revolving line of credit mature in January 2006. In August 2005, the credit agreement was amended to extend the maturity date of CECOs $3.1 million term loan from August 31, 2005 to January 1, 2006. Additionally, Fifth Third Bank, our revolving credit lender, acquired the term debt interests of the other two participating banks, resulting in the consolidation of our total credit facility within one bank. This eliminated scheduled quarterly principal payments and reduced the rate of interest on the term debt by 100 basis points. Terms on the revolving line of credit remained unchanged. Letters of credit issued under this agreement do not reduce our borrowing base availability but are counted in the aggregate toward our $10 million credit limit. Additionally, these letters of credit are secured by the personal guaranty of our Chairman, Phillip DeZwirek.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NOTES TO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received credit approval from our existing line of credit lender for a new loan agreement, which is contingent upon closing the sale of our Cincinnati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June 2005, we accepted an offer to sell our Cincinnati property with a contemplated closing date of July 15, 2005 subject to various contingencies. The purchase agreement called for 10.7 acres of real estate and improvements to be divided into two parcels, with the first parcel scheduled to close on or before July 15, 2005, for a purchase price of $6.9 million and the second parcel was scheduled to close on or before April 1, 2006, for a purchase price of $1.1 million. In July, August and September of 2005, the buyer exercised each of its three, thirty day options and extended the closing to October 31, 2005. On October 20, 2005, the buyer chose to assign the agreement, with our consent, to a third party that had indicated its desire to purchase the Cincinnati properties. In addition, under the agreement, the closing of Parcel A has been extended until December 31, 2005.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Employee Benefit Plans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sponsor a non-contributory defined benefit pension plan for certain union employees. The plan is funded in accordance with the funding requirements of the Employee Retirement Income Security Act of 1974. We also sponsor a post-retirement health care plan for office employees retiring before January 1, 1990. The plan allows retirees who have attained the age of 65 to elect the type of coverage desired. Retirement and health care plan expense is based on valuations performed by plan actuaries as of the beginning of each fiscal year.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components of the expense consisted of the following: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398"/>
        <w:gridCol w:w="412"/>
        <w:gridCol w:w="161"/>
        <w:gridCol w:w="381"/>
        <w:gridCol w:w="103"/>
        <w:gridCol w:w="375"/>
        <w:gridCol w:w="161"/>
        <w:gridCol w:w="382"/>
        <w:gridCol w:w="80"/>
        <w:gridCol w:w="360"/>
        <w:gridCol w:w="124"/>
        <w:gridCol w:w="400"/>
        <w:gridCol w:w="80"/>
        <w:gridCol w:w="360"/>
        <w:gridCol w:w="125"/>
        <w:gridCol w:w="400"/>
        <w:gridCol w:w="86"/>
      </w:tblGrid>
      <w:tr>
        <w:trPr/>
        <w:tc>
          <w:tcPr>
            <w:tcW w:w="5398"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r>
      <w:tr>
        <w:trPr/>
        <w:tc>
          <w:tcPr>
            <w:tcW w:w="539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563"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September 30,</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89"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 Ended</w:t>
              <w:br/>
              <w:t>September 30,</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539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54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54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52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5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5398" w:type="dxa"/>
            <w:tcBorders/>
            <w:shd w:fill="CCEEFF" w:val="clear"/>
          </w:tcPr>
          <w:p>
            <w:pPr>
              <w:pStyle w:val="TableContents"/>
              <w:spacing w:before="0" w:after="283"/>
              <w:rPr>
                <w:rFonts w:ascii="Times New Roman" w:hAnsi="Times New Roman"/>
                <w:sz w:val="20"/>
              </w:rPr>
            </w:pPr>
            <w:r>
              <w:rPr>
                <w:rFonts w:ascii="Times New Roman" w:hAnsi="Times New Roman"/>
                <w:sz w:val="20"/>
              </w:rPr>
              <w:t>Retirement plan:</w:t>
            </w:r>
          </w:p>
        </w:tc>
        <w:tc>
          <w:tcPr>
            <w:tcW w:w="41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5398" w:type="dxa"/>
            <w:tcBorders/>
            <w:shd w:fill="auto" w:val="clear"/>
          </w:tcPr>
          <w:p>
            <w:pPr>
              <w:pStyle w:val="TableContents"/>
              <w:spacing w:before="0" w:after="283"/>
              <w:rPr>
                <w:rFonts w:ascii="Times New Roman" w:hAnsi="Times New Roman"/>
                <w:sz w:val="20"/>
              </w:rPr>
            </w:pPr>
            <w:r>
              <w:rPr>
                <w:rFonts w:ascii="Times New Roman" w:hAnsi="Times New Roman"/>
                <w:sz w:val="20"/>
              </w:rPr>
              <w:t>Service cost</w:t>
            </w:r>
          </w:p>
        </w:tc>
        <w:tc>
          <w:tcPr>
            <w:tcW w:w="41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0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86" w:type="dxa"/>
            <w:tcBorders/>
            <w:shd w:fill="auto" w:val="clear"/>
            <w:vAlign w:val="bottom"/>
          </w:tcPr>
          <w:p>
            <w:pPr>
              <w:pStyle w:val="TableContents"/>
              <w:spacing w:before="0" w:after="283"/>
              <w:rPr/>
            </w:pPr>
            <w:r>
              <w:rPr/>
              <w:t> </w:t>
            </w:r>
          </w:p>
        </w:tc>
      </w:tr>
      <w:tr>
        <w:trPr/>
        <w:tc>
          <w:tcPr>
            <w:tcW w:w="539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41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0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86" w:type="dxa"/>
            <w:tcBorders/>
            <w:shd w:fill="CCEEFF" w:val="clear"/>
            <w:vAlign w:val="bottom"/>
          </w:tcPr>
          <w:p>
            <w:pPr>
              <w:pStyle w:val="TableContents"/>
              <w:spacing w:before="0" w:after="283"/>
              <w:rPr/>
            </w:pPr>
            <w:r>
              <w:rPr/>
              <w:t> </w:t>
            </w:r>
          </w:p>
        </w:tc>
      </w:tr>
      <w:tr>
        <w:trPr/>
        <w:tc>
          <w:tcPr>
            <w:tcW w:w="5398" w:type="dxa"/>
            <w:tcBorders/>
            <w:shd w:fill="auto"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41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398"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of prior service cost</w:t>
            </w:r>
          </w:p>
        </w:tc>
        <w:tc>
          <w:tcPr>
            <w:tcW w:w="41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86" w:type="dxa"/>
            <w:tcBorders/>
            <w:shd w:fill="CCEEFF" w:val="clear"/>
            <w:vAlign w:val="bottom"/>
          </w:tcPr>
          <w:p>
            <w:pPr>
              <w:pStyle w:val="TableContents"/>
              <w:spacing w:before="0" w:after="283"/>
              <w:rPr/>
            </w:pPr>
            <w:r>
              <w:rPr/>
              <w:t> </w:t>
            </w:r>
          </w:p>
        </w:tc>
      </w:tr>
      <w:tr>
        <w:trPr/>
        <w:tc>
          <w:tcPr>
            <w:tcW w:w="5398"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net actuarial (gain)/loss</w:t>
            </w:r>
          </w:p>
        </w:tc>
        <w:tc>
          <w:tcPr>
            <w:tcW w:w="41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0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86" w:type="dxa"/>
            <w:tcBorders/>
            <w:shd w:fill="auto" w:val="clear"/>
            <w:vAlign w:val="bottom"/>
          </w:tcPr>
          <w:p>
            <w:pPr>
              <w:pStyle w:val="TableContents"/>
              <w:spacing w:before="0" w:after="283"/>
              <w:rPr/>
            </w:pPr>
            <w:r>
              <w:rPr/>
              <w:t> </w:t>
            </w:r>
          </w:p>
        </w:tc>
      </w:tr>
      <w:tr>
        <w:trPr/>
        <w:tc>
          <w:tcPr>
            <w:tcW w:w="539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6" w:space="0" w:color="000000"/>
              </w:pBdr>
              <w:spacing w:before="0" w:after="283"/>
              <w:rPr/>
            </w:pPr>
            <w:r>
              <w:rPr/>
            </w:r>
          </w:p>
        </w:tc>
        <w:tc>
          <w:tcPr>
            <w:tcW w:w="38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HorizontalLine"/>
              <w:pBdr>
                <w:bottom w:val="single" w:sz="6" w:space="0" w:color="FFFFFF"/>
              </w:pBdr>
              <w:spacing w:before="0" w:after="283"/>
              <w:rPr/>
            </w:pPr>
            <w:r>
              <w:rPr/>
            </w:r>
          </w:p>
        </w:tc>
        <w:tc>
          <w:tcPr>
            <w:tcW w:w="375"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6" w:space="0" w:color="000000"/>
              </w:pBdr>
              <w:spacing w:before="0" w:after="283"/>
              <w:rPr/>
            </w:pPr>
            <w:r>
              <w:rPr/>
            </w:r>
          </w:p>
        </w:tc>
        <w:tc>
          <w:tcPr>
            <w:tcW w:w="382"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HorizontalLine"/>
              <w:pBdr>
                <w:bottom w:val="single" w:sz="6" w:space="0" w:color="000000"/>
              </w:pBdr>
              <w:spacing w:before="0" w:after="283"/>
              <w:rPr/>
            </w:pPr>
            <w:r>
              <w:rPr/>
            </w:r>
          </w:p>
        </w:tc>
        <w:tc>
          <w:tcPr>
            <w:tcW w:w="40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00"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HorizontalLine"/>
              <w:pBdr>
                <w:bottom w:val="single" w:sz="6" w:space="0" w:color="FFFFFF"/>
              </w:pBdr>
              <w:spacing w:before="0" w:after="283"/>
              <w:rPr/>
            </w:pPr>
            <w:r>
              <w:rPr/>
            </w:r>
          </w:p>
        </w:tc>
      </w:tr>
      <w:tr>
        <w:trPr/>
        <w:tc>
          <w:tcPr>
            <w:tcW w:w="5398" w:type="dxa"/>
            <w:tcBorders/>
            <w:shd w:fill="CCEEFF" w:val="clear"/>
          </w:tcPr>
          <w:p>
            <w:pPr>
              <w:pStyle w:val="TableContents"/>
              <w:spacing w:before="0" w:after="283"/>
              <w:rPr>
                <w:rFonts w:ascii="Times New Roman" w:hAnsi="Times New Roman"/>
                <w:sz w:val="20"/>
              </w:rPr>
            </w:pPr>
            <w:r>
              <w:rPr>
                <w:rFonts w:ascii="Times New Roman" w:hAnsi="Times New Roman"/>
                <w:sz w:val="20"/>
              </w:rPr>
              <w:t>Net periodic benefit cost</w:t>
            </w:r>
          </w:p>
        </w:tc>
        <w:tc>
          <w:tcPr>
            <w:tcW w:w="41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0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w:t>
            </w:r>
          </w:p>
        </w:tc>
        <w:tc>
          <w:tcPr>
            <w:tcW w:w="86" w:type="dxa"/>
            <w:tcBorders/>
            <w:shd w:fill="CCEEFF" w:val="clear"/>
            <w:vAlign w:val="bottom"/>
          </w:tcPr>
          <w:p>
            <w:pPr>
              <w:pStyle w:val="TableContents"/>
              <w:spacing w:before="0" w:after="283"/>
              <w:rPr/>
            </w:pPr>
            <w:r>
              <w:rPr/>
              <w:t> </w:t>
            </w:r>
          </w:p>
        </w:tc>
      </w:tr>
      <w:tr>
        <w:trPr/>
        <w:tc>
          <w:tcPr>
            <w:tcW w:w="539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38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HorizontalLine"/>
              <w:pBdr>
                <w:bottom w:val="single" w:sz="18" w:space="0" w:color="FFFFFF"/>
              </w:pBdr>
              <w:spacing w:before="0" w:after="283"/>
              <w:rPr/>
            </w:pPr>
            <w:r>
              <w:rPr/>
            </w:r>
          </w:p>
        </w:tc>
        <w:tc>
          <w:tcPr>
            <w:tcW w:w="375"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38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HorizontalLine"/>
              <w:pBdr>
                <w:bottom w:val="single" w:sz="18" w:space="0" w:color="000000"/>
              </w:pBdr>
              <w:spacing w:before="0" w:after="283"/>
              <w:rPr/>
            </w:pPr>
            <w:r>
              <w:rPr/>
            </w:r>
          </w:p>
        </w:tc>
        <w:tc>
          <w:tcPr>
            <w:tcW w:w="40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00"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HorizontalLine"/>
              <w:pBdr>
                <w:bottom w:val="single" w:sz="18" w:space="0" w:color="FFFFFF"/>
              </w:pBdr>
              <w:spacing w:before="0" w:after="283"/>
              <w:rPr/>
            </w:pPr>
            <w:r>
              <w:rPr/>
            </w:r>
          </w:p>
        </w:tc>
      </w:tr>
      <w:tr>
        <w:trPr/>
        <w:tc>
          <w:tcPr>
            <w:tcW w:w="5398" w:type="dxa"/>
            <w:tcBorders/>
            <w:shd w:fill="CCEEFF" w:val="clear"/>
          </w:tcPr>
          <w:p>
            <w:pPr>
              <w:pStyle w:val="TableContents"/>
              <w:spacing w:before="0" w:after="283"/>
              <w:rPr>
                <w:rFonts w:ascii="Times New Roman" w:hAnsi="Times New Roman"/>
                <w:sz w:val="20"/>
              </w:rPr>
            </w:pPr>
            <w:r>
              <w:rPr>
                <w:rFonts w:ascii="Times New Roman" w:hAnsi="Times New Roman"/>
                <w:sz w:val="20"/>
              </w:rPr>
              <w:t>Health care plan:</w:t>
            </w:r>
          </w:p>
        </w:tc>
        <w:tc>
          <w:tcPr>
            <w:tcW w:w="412"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5398"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w:t>
            </w:r>
          </w:p>
        </w:tc>
        <w:tc>
          <w:tcPr>
            <w:tcW w:w="41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0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80"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86" w:type="dxa"/>
            <w:tcBorders/>
            <w:shd w:fill="auto" w:val="clear"/>
            <w:vAlign w:val="bottom"/>
          </w:tcPr>
          <w:p>
            <w:pPr>
              <w:pStyle w:val="TableContents"/>
              <w:spacing w:before="0" w:after="283"/>
              <w:rPr/>
            </w:pPr>
            <w:r>
              <w:rPr/>
              <w:t> </w:t>
            </w:r>
          </w:p>
        </w:tc>
      </w:tr>
      <w:tr>
        <w:trPr/>
        <w:tc>
          <w:tcPr>
            <w:tcW w:w="539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38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HorizontalLine"/>
              <w:pBdr>
                <w:bottom w:val="single" w:sz="18" w:space="0" w:color="FFFFFF"/>
              </w:pBdr>
              <w:spacing w:before="0" w:after="283"/>
              <w:rPr/>
            </w:pPr>
            <w:r>
              <w:rPr/>
            </w:r>
          </w:p>
        </w:tc>
        <w:tc>
          <w:tcPr>
            <w:tcW w:w="375" w:type="dxa"/>
            <w:tcBorders/>
            <w:shd w:fill="auto" w:val="clear"/>
            <w:vAlign w:val="bottom"/>
          </w:tcPr>
          <w:p>
            <w:pPr>
              <w:pStyle w:val="TableContents"/>
              <w:spacing w:before="0" w:after="283"/>
              <w:rPr/>
            </w:pPr>
            <w:r>
              <w:rPr/>
              <w:t> </w:t>
            </w:r>
          </w:p>
        </w:tc>
        <w:tc>
          <w:tcPr>
            <w:tcW w:w="161" w:type="dxa"/>
            <w:tcBorders/>
            <w:shd w:fill="auto" w:val="clear"/>
            <w:vAlign w:val="bottom"/>
          </w:tcPr>
          <w:p>
            <w:pPr>
              <w:pStyle w:val="HorizontalLine"/>
              <w:pBdr>
                <w:bottom w:val="single" w:sz="18" w:space="0" w:color="000000"/>
              </w:pBdr>
              <w:spacing w:before="0" w:after="283"/>
              <w:rPr/>
            </w:pPr>
            <w:r>
              <w:rPr/>
            </w:r>
          </w:p>
        </w:tc>
        <w:tc>
          <w:tcPr>
            <w:tcW w:w="382"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HorizontalLine"/>
              <w:pBdr>
                <w:bottom w:val="single" w:sz="18" w:space="0" w:color="000000"/>
              </w:pBdr>
              <w:spacing w:before="0" w:after="283"/>
              <w:rPr/>
            </w:pPr>
            <w:r>
              <w:rPr/>
            </w:r>
          </w:p>
        </w:tc>
        <w:tc>
          <w:tcPr>
            <w:tcW w:w="40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00"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previously disclosed in our financial statements for the year ended December 31, 2004 that we expected to make $398 in contributions to the Pension Plan during the year ending December 31, 2005. As of September 30, 2005, $308 has been contributed to the Pension Plan and we plan on making the balance of $90 during the fourth quarter of Fiscal Year 2005.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bookmarkStart w:id="7" w:name="tx48591_5"/>
      <w:bookmarkEnd w:id="7"/>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condensed consolidated statements of operations for the three-month and nine-month periods ended September 30, 2005 and 2004 reflect our operations consolidated with the operations of our subsidiaries.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382"/>
        <w:gridCol w:w="301"/>
        <w:gridCol w:w="125"/>
        <w:gridCol w:w="381"/>
        <w:gridCol w:w="185"/>
        <w:gridCol w:w="252"/>
        <w:gridCol w:w="125"/>
        <w:gridCol w:w="381"/>
        <w:gridCol w:w="185"/>
        <w:gridCol w:w="252"/>
        <w:gridCol w:w="125"/>
        <w:gridCol w:w="380"/>
        <w:gridCol w:w="185"/>
        <w:gridCol w:w="252"/>
        <w:gridCol w:w="125"/>
        <w:gridCol w:w="381"/>
        <w:gridCol w:w="188"/>
      </w:tblGrid>
      <w:tr>
        <w:trPr/>
        <w:tc>
          <w:tcPr>
            <w:tcW w:w="638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6382"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449"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Three Months Ended</w:t>
              <w:br/>
              <w:t>September 30,</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448"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Nine Months Ended</w:t>
              <w:br/>
              <w:t>September 30,</w:t>
            </w:r>
          </w:p>
          <w:p>
            <w:pPr>
              <w:pStyle w:val="HorizontalLine"/>
              <w:pBdr>
                <w:bottom w:val="single" w:sz="6" w:space="0" w:color="000000"/>
              </w:pBdr>
              <w:spacing w:before="0" w:after="283"/>
              <w:rPr/>
            </w:pPr>
            <w:r>
              <w:rPr/>
            </w:r>
          </w:p>
        </w:tc>
        <w:tc>
          <w:tcPr>
            <w:tcW w:w="188" w:type="dxa"/>
            <w:tcBorders/>
            <w:shd w:fill="auto" w:val="clear"/>
            <w:vAlign w:val="bottom"/>
          </w:tcPr>
          <w:p>
            <w:pPr>
              <w:pStyle w:val="TableContents"/>
              <w:spacing w:before="0" w:after="283"/>
              <w:rPr/>
            </w:pPr>
            <w:r>
              <w:rPr/>
              <w:t> </w:t>
            </w:r>
          </w:p>
        </w:tc>
      </w:tr>
      <w:tr>
        <w:trPr/>
        <w:tc>
          <w:tcPr>
            <w:tcW w:w="6382"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($s in millions)</w:t>
            </w:r>
          </w:p>
          <w:p>
            <w:pPr>
              <w:pStyle w:val="TableContents"/>
              <w:spacing w:before="0" w:after="0"/>
              <w:rPr/>
            </w:pPr>
            <w:r>
              <w:rPr/>
              <w:t> </w:t>
            </w:r>
          </w:p>
        </w:tc>
        <w:tc>
          <w:tcPr>
            <w:tcW w:w="301" w:type="dxa"/>
            <w:tcBorders/>
            <w:shd w:fill="auto" w:val="clear"/>
            <w:vAlign w:val="bottom"/>
          </w:tcPr>
          <w:p>
            <w:pPr>
              <w:pStyle w:val="TableContents"/>
              <w:spacing w:before="0" w:after="283"/>
              <w:rPr/>
            </w:pPr>
            <w:r>
              <w:rPr/>
              <w:t>  </w:t>
            </w:r>
          </w:p>
        </w:tc>
        <w:tc>
          <w:tcPr>
            <w:tcW w:w="50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50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50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188" w:type="dxa"/>
            <w:tcBorders/>
            <w:shd w:fill="auto" w:val="clear"/>
            <w:vAlign w:val="bottom"/>
          </w:tcPr>
          <w:p>
            <w:pPr>
              <w:pStyle w:val="TableContents"/>
              <w:spacing w:before="0" w:after="283"/>
              <w:rPr/>
            </w:pPr>
            <w:r>
              <w:rPr/>
              <w:t> </w:t>
            </w:r>
          </w:p>
        </w:tc>
      </w:tr>
      <w:tr>
        <w:trPr/>
        <w:tc>
          <w:tcPr>
            <w:tcW w:w="6382" w:type="dxa"/>
            <w:tcBorders/>
            <w:shd w:fill="CCEEFF" w:val="clear"/>
          </w:tcPr>
          <w:p>
            <w:pPr>
              <w:pStyle w:val="TableContents"/>
              <w:spacing w:before="0" w:after="283"/>
              <w:rPr>
                <w:rFonts w:ascii="Times New Roman" w:hAnsi="Times New Roman"/>
                <w:sz w:val="20"/>
              </w:rPr>
            </w:pPr>
            <w:r>
              <w:rPr>
                <w:rFonts w:ascii="Times New Roman" w:hAnsi="Times New Roman"/>
                <w:sz w:val="20"/>
              </w:rPr>
              <w:t>Sales</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58.5</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w:t>
            </w:r>
          </w:p>
        </w:tc>
        <w:tc>
          <w:tcPr>
            <w:tcW w:w="188" w:type="dxa"/>
            <w:tcBorders/>
            <w:shd w:fill="CCEEFF" w:val="clear"/>
            <w:vAlign w:val="bottom"/>
          </w:tcPr>
          <w:p>
            <w:pPr>
              <w:pStyle w:val="TableContents"/>
              <w:spacing w:before="0" w:after="283"/>
              <w:rPr/>
            </w:pPr>
            <w:r>
              <w:rPr/>
              <w:t> </w:t>
            </w:r>
          </w:p>
        </w:tc>
      </w:tr>
      <w:tr>
        <w:trPr/>
        <w:tc>
          <w:tcPr>
            <w:tcW w:w="6382"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w:t>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47.5</w:t>
            </w:r>
          </w:p>
        </w:tc>
        <w:tc>
          <w:tcPr>
            <w:tcW w:w="185"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38.2</w:t>
            </w:r>
          </w:p>
        </w:tc>
        <w:tc>
          <w:tcPr>
            <w:tcW w:w="188" w:type="dxa"/>
            <w:tcBorders/>
            <w:shd w:fill="auto" w:val="clear"/>
            <w:vAlign w:val="bottom"/>
          </w:tcPr>
          <w:p>
            <w:pPr>
              <w:pStyle w:val="TableContents"/>
              <w:spacing w:before="0" w:after="283"/>
              <w:rPr/>
            </w:pPr>
            <w:r>
              <w:rPr/>
              <w:t> </w:t>
            </w:r>
          </w:p>
        </w:tc>
      </w:tr>
      <w:tr>
        <w:trPr/>
        <w:tc>
          <w:tcPr>
            <w:tcW w:w="6382"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81"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81"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80"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381" w:type="dxa"/>
            <w:tcBorders/>
            <w:shd w:fill="auto" w:val="clear"/>
            <w:vAlign w:val="bottom"/>
          </w:tcPr>
          <w:p>
            <w:pPr>
              <w:pStyle w:val="HorizontalLine"/>
              <w:pBdr>
                <w:bottom w:val="single" w:sz="6" w:space="0" w:color="000000"/>
              </w:pBdr>
              <w:spacing w:before="0" w:after="283"/>
              <w:rPr/>
            </w:pPr>
            <w:r>
              <w:rPr/>
            </w:r>
          </w:p>
        </w:tc>
        <w:tc>
          <w:tcPr>
            <w:tcW w:w="188" w:type="dxa"/>
            <w:tcBorders/>
            <w:shd w:fill="auto" w:val="clear"/>
            <w:vAlign w:val="bottom"/>
          </w:tcPr>
          <w:p>
            <w:pPr>
              <w:pStyle w:val="HorizontalLine"/>
              <w:pBdr>
                <w:bottom w:val="single" w:sz="6" w:space="0" w:color="FFFFFF"/>
              </w:pBdr>
              <w:spacing w:before="0" w:after="283"/>
              <w:rPr/>
            </w:pPr>
            <w:r>
              <w:rPr/>
            </w:r>
          </w:p>
        </w:tc>
      </w:tr>
      <w:tr>
        <w:trPr/>
        <w:tc>
          <w:tcPr>
            <w:tcW w:w="6382"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(excluding depreciation)</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88" w:type="dxa"/>
            <w:tcBorders/>
            <w:shd w:fill="CCEEFF" w:val="clear"/>
            <w:vAlign w:val="bottom"/>
          </w:tcPr>
          <w:p>
            <w:pPr>
              <w:pStyle w:val="TableContents"/>
              <w:spacing w:before="0" w:after="283"/>
              <w:rPr/>
            </w:pPr>
            <w:r>
              <w:rPr/>
              <w:t> </w:t>
            </w:r>
          </w:p>
        </w:tc>
      </w:tr>
      <w:tr>
        <w:trPr/>
        <w:tc>
          <w:tcPr>
            <w:tcW w:w="6382"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382" w:type="dxa"/>
            <w:tcBorders/>
            <w:shd w:fill="auto" w:val="clear"/>
            <w:vAlign w:val="center"/>
          </w:tcPr>
          <w:p>
            <w:pPr>
              <w:pStyle w:val="TableContents"/>
              <w:spacing w:before="0" w:after="283"/>
              <w:rPr>
                <w:sz w:val="4"/>
                <w:szCs w:val="4"/>
              </w:rPr>
            </w:pPr>
            <w:r>
              <w:rPr>
                <w:sz w:val="4"/>
                <w:szCs w:val="4"/>
              </w:rPr>
            </w:r>
          </w:p>
        </w:tc>
        <w:tc>
          <w:tcPr>
            <w:tcW w:w="992" w:type="dxa"/>
            <w:gridSpan w:val="4"/>
            <w:tcBorders/>
            <w:shd w:fill="auto" w:val="clear"/>
            <w:vAlign w:val="center"/>
          </w:tcPr>
          <w:p>
            <w:pPr>
              <w:pStyle w:val="TableContents"/>
              <w:spacing w:before="0" w:after="283"/>
              <w:rPr>
                <w:sz w:val="4"/>
                <w:szCs w:val="4"/>
              </w:rPr>
            </w:pPr>
            <w:r>
              <w:rPr>
                <w:sz w:val="4"/>
                <w:szCs w:val="4"/>
              </w:rPr>
            </w:r>
          </w:p>
        </w:tc>
        <w:tc>
          <w:tcPr>
            <w:tcW w:w="943" w:type="dxa"/>
            <w:gridSpan w:val="4"/>
            <w:tcBorders/>
            <w:shd w:fill="auto" w:val="clear"/>
            <w:vAlign w:val="center"/>
          </w:tcPr>
          <w:p>
            <w:pPr>
              <w:pStyle w:val="TableContents"/>
              <w:spacing w:before="0" w:after="283"/>
              <w:rPr>
                <w:sz w:val="4"/>
                <w:szCs w:val="4"/>
              </w:rPr>
            </w:pPr>
            <w:r>
              <w:rPr>
                <w:sz w:val="4"/>
                <w:szCs w:val="4"/>
              </w:rPr>
            </w:r>
          </w:p>
        </w:tc>
        <w:tc>
          <w:tcPr>
            <w:tcW w:w="942" w:type="dxa"/>
            <w:gridSpan w:val="4"/>
            <w:tcBorders/>
            <w:shd w:fill="auto" w:val="clear"/>
            <w:vAlign w:val="center"/>
          </w:tcPr>
          <w:p>
            <w:pPr>
              <w:pStyle w:val="TableContents"/>
              <w:spacing w:before="0" w:after="283"/>
              <w:rPr>
                <w:sz w:val="4"/>
                <w:szCs w:val="4"/>
              </w:rPr>
            </w:pPr>
            <w:r>
              <w:rPr>
                <w:sz w:val="4"/>
                <w:szCs w:val="4"/>
              </w:rPr>
            </w:r>
          </w:p>
        </w:tc>
        <w:tc>
          <w:tcPr>
            <w:tcW w:w="946" w:type="dxa"/>
            <w:gridSpan w:val="4"/>
            <w:tcBorders/>
            <w:shd w:fill="auto" w:val="clear"/>
            <w:vAlign w:val="center"/>
          </w:tcPr>
          <w:p>
            <w:pPr>
              <w:pStyle w:val="TableContents"/>
              <w:spacing w:before="0" w:after="283"/>
              <w:rPr>
                <w:sz w:val="4"/>
                <w:szCs w:val="4"/>
              </w:rPr>
            </w:pPr>
            <w:r>
              <w:rPr>
                <w:sz w:val="4"/>
                <w:szCs w:val="4"/>
              </w:rPr>
            </w:r>
          </w:p>
        </w:tc>
      </w:tr>
      <w:tr>
        <w:trPr/>
        <w:tc>
          <w:tcPr>
            <w:tcW w:w="6382"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 expenses</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88" w:type="dxa"/>
            <w:tcBorders/>
            <w:shd w:fill="CCEEFF" w:val="clear"/>
            <w:vAlign w:val="bottom"/>
          </w:tcPr>
          <w:p>
            <w:pPr>
              <w:pStyle w:val="TableContents"/>
              <w:spacing w:before="0" w:after="283"/>
              <w:rPr/>
            </w:pPr>
            <w:r>
              <w:rPr/>
              <w:t> </w:t>
            </w:r>
          </w:p>
        </w:tc>
      </w:tr>
      <w:tr>
        <w:trPr/>
        <w:tc>
          <w:tcPr>
            <w:tcW w:w="6382"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382" w:type="dxa"/>
            <w:tcBorders/>
            <w:shd w:fill="auto" w:val="clear"/>
            <w:vAlign w:val="center"/>
          </w:tcPr>
          <w:p>
            <w:pPr>
              <w:pStyle w:val="TableContents"/>
              <w:spacing w:before="0" w:after="283"/>
              <w:rPr>
                <w:sz w:val="4"/>
                <w:szCs w:val="4"/>
              </w:rPr>
            </w:pPr>
            <w:r>
              <w:rPr>
                <w:sz w:val="4"/>
                <w:szCs w:val="4"/>
              </w:rPr>
            </w:r>
          </w:p>
        </w:tc>
        <w:tc>
          <w:tcPr>
            <w:tcW w:w="992" w:type="dxa"/>
            <w:gridSpan w:val="4"/>
            <w:tcBorders/>
            <w:shd w:fill="auto" w:val="clear"/>
            <w:vAlign w:val="center"/>
          </w:tcPr>
          <w:p>
            <w:pPr>
              <w:pStyle w:val="TableContents"/>
              <w:spacing w:before="0" w:after="283"/>
              <w:rPr>
                <w:sz w:val="4"/>
                <w:szCs w:val="4"/>
              </w:rPr>
            </w:pPr>
            <w:r>
              <w:rPr>
                <w:sz w:val="4"/>
                <w:szCs w:val="4"/>
              </w:rPr>
            </w:r>
          </w:p>
        </w:tc>
        <w:tc>
          <w:tcPr>
            <w:tcW w:w="943" w:type="dxa"/>
            <w:gridSpan w:val="4"/>
            <w:tcBorders/>
            <w:shd w:fill="auto" w:val="clear"/>
            <w:vAlign w:val="center"/>
          </w:tcPr>
          <w:p>
            <w:pPr>
              <w:pStyle w:val="TableContents"/>
              <w:spacing w:before="0" w:after="283"/>
              <w:rPr>
                <w:sz w:val="4"/>
                <w:szCs w:val="4"/>
              </w:rPr>
            </w:pPr>
            <w:r>
              <w:rPr>
                <w:sz w:val="4"/>
                <w:szCs w:val="4"/>
              </w:rPr>
            </w:r>
          </w:p>
        </w:tc>
        <w:tc>
          <w:tcPr>
            <w:tcW w:w="942" w:type="dxa"/>
            <w:gridSpan w:val="4"/>
            <w:tcBorders/>
            <w:shd w:fill="auto" w:val="clear"/>
            <w:vAlign w:val="center"/>
          </w:tcPr>
          <w:p>
            <w:pPr>
              <w:pStyle w:val="TableContents"/>
              <w:spacing w:before="0" w:after="283"/>
              <w:rPr>
                <w:sz w:val="4"/>
                <w:szCs w:val="4"/>
              </w:rPr>
            </w:pPr>
            <w:r>
              <w:rPr>
                <w:sz w:val="4"/>
                <w:szCs w:val="4"/>
              </w:rPr>
            </w:r>
          </w:p>
        </w:tc>
        <w:tc>
          <w:tcPr>
            <w:tcW w:w="946" w:type="dxa"/>
            <w:gridSpan w:val="4"/>
            <w:tcBorders/>
            <w:shd w:fill="auto" w:val="clear"/>
            <w:vAlign w:val="center"/>
          </w:tcPr>
          <w:p>
            <w:pPr>
              <w:pStyle w:val="TableContents"/>
              <w:spacing w:before="0" w:after="283"/>
              <w:rPr>
                <w:sz w:val="4"/>
                <w:szCs w:val="4"/>
              </w:rPr>
            </w:pPr>
            <w:r>
              <w:rPr>
                <w:sz w:val="4"/>
                <w:szCs w:val="4"/>
              </w:rPr>
            </w:r>
          </w:p>
        </w:tc>
      </w:tr>
      <w:tr>
        <w:trPr/>
        <w:tc>
          <w:tcPr>
            <w:tcW w:w="6382"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85"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88" w:type="dxa"/>
            <w:tcBorders/>
            <w:shd w:fill="CCEEFF" w:val="clear"/>
            <w:vAlign w:val="bottom"/>
          </w:tcPr>
          <w:p>
            <w:pPr>
              <w:pStyle w:val="TableContents"/>
              <w:spacing w:before="0" w:after="283"/>
              <w:rPr/>
            </w:pPr>
            <w:r>
              <w:rPr/>
              <w:t> </w:t>
            </w:r>
          </w:p>
        </w:tc>
      </w:tr>
      <w:tr>
        <w:trPr/>
        <w:tc>
          <w:tcPr>
            <w:tcW w:w="6382"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Consolidated net sales for the third quarter were $23.4 million, an increase of $4.9 million compared to the same quarter in 2004. Consolidated net sales for the first nine months of 2005 were $58.5 million, an increase of $10.8 million, compared to the same period in 2004. For the quarter and the first nine months, we reported sales increases from our construction activities as well as higher revenues from equipment sales. A large portion of this increase was due to revenues from CECO Abatements ethanol projects.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New orders booked were $19.3 million during the third quarter of 2005 and $60.0 million for the nine months ended September 30, 2005 as compared to $26.9 million during the third quarter of 2004 and $57.8 million for the nine months ended September 30,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Third quarter 2005 gross profit was $4.5 million (19.3%). This compares to gross profit of $3.5 million (19.0%) during the same period in 2004. Gross profit for the quarter as a percent of sales was slightly higher (.3%). For the first nine months of 2005, gross profit was $11.0 million, an increase of $1.5 million compared to the same period in 2004. Gross profit as a percent of sales decreased 1.1% from 19.8% in 2004 to 18.7% in 2005 due to lower margins on construction contracts in the prior quarters.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Selling and administrative expenses increased by $501,000 or 20.3% to $3.0 million during the third quarter of 2005 from $2.5 million in the same period of 2004. Selling and administrative expenses in the third quarter of 2004 were reduced by $100,000 received from an escrow deposit, which was released to us without any further obligation as of September 30, 2004. The offsetting increase was due to increases in incentive compensation accruals relating to improved financial performance, increased selling and administrative wages and higher professional fees. Selling and administrative expenses increased by $767,000 or 9.8% to $8.6 million during the first nine months of 2005 from $7.8 million in the same period of 2004. This nine month increase was due to the same factors previously discussed.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Depreciation and amortization decreased by $29,000 to $293,000 during the third quarter of 2005 from $322,000 in the same period of 2004. Depreciation and amortization decreased by $94,000 to $876,000 in the first nine months of 2005 from $970,000 in the same period of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Operating income increased by $521,000 or 70.8% to $1.3 million in the third quarter of 2005 compared to operating income of $736,000 during the same quarter of 2004. The impact of increased revenues and slightly higher margins in the third quarter, offset by increases in selling and administrative expenses, were the primary factors for the increase in operating income. Operating income for the first nine months of 2005 increased by $829,000 or 125.6% to $1.5 million compared to operating income of $660,000 during the same period of 2004. This increase was also due to increased revenues offset by slightly lower margins in the prior quarters and increases in selling and administrative expenses.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expense was $273,000 in the third quarter of 2005 compared to other income of $19,000 in the third quarter of 2004. The third quarter of 2005 includes a non-cash charge of $293,000 for the fair market value adjustment of detachable stock warrants. Other expense for the first nine months of 2005 was $197,000 compared to other income of $55,000 during the same period in 2004. The expense for the first nine months of 2005 includes the third quarter charge for warrants partially offset by the amortization of the deferred gain recognized from the sale and leaseback of our Conshohocken, Pennsylvania property in 2003. A deferred gain of $218,000 is being recognized over the ensuing three-year leaseback period.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expense decreased by $75,000 to $594,000 from $669,000 during the third quarter of 2005. Interest expense decreased by $92,000 to $1.8 million from $1.9 million during the first nine months of 2005. The decrease in both periods was due to lower debt balances partially offset by higher interest rates.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Federal and state income tax provision was $35,000 during the third quarter of 2005 compared to a benefit of $199,000 during the third quarter of 2004. Federal and state income tax benefit was $482,000 for the first nine months of 2005, a decrease of $293,000 from the comparable period in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federal and state income tax benefit for the first nine months of 2005 was 92%, which reflects the estimated effective tax rate for 2005. Our effective income tax rate was adjusted in the third quarter from 58% to 92% to reflect the reduction in our estimated pretax income for the year. This adjustment had the effect of decreasing the effective income tax rate for the 2005 third quarter to 9.0%. Our effective income tax rate is affected by certain permanent differences including non-deductible interest expense. The federal and state income tax benefit for the first nine months of 2004 was 65%, which reflected the estimated effective tax rate for 2004. Our effective income tax rate was adjusted in the third quarter from 45% to 65% to reflect the reduction in our estimated pretax income for the year. This adjustment had the affect of decreasing the effective income tax rate for the 2004 third quarter to (231%).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income for the quarter ended September 30, 2005 was $355,000 compared with net income of $285,000 for the same period in 2004. Net loss for the nine months ended September 30, 2005 was $42,000 compared with a net loss of $418,000 for the same period in 2004. This increase in net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income for the quarter and decrease in the net loss for the nine months ended September 30, 2005 was the result of improved operating results along with the adjustment of the effective tax rate offset by the non-cash expense for valuation of warrants which amounted to $23,000 net of the tax benefit.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Backlog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backlog consists of orders we have received for products and services we expect to ship and deliver within the next 12 months. There can be no assurances that backlog will be replicated, increased or translated into higher revenues in the future. The success of our business depends on a multitude of factors related to our backlog and the orders secured during the subsequent period(s).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backlog, as of September 30, 2005 was $22.2 million compared to $20.7 million as of December 31, 2004. The success of our business depends on a multitude of factors related to our backlog and the orders secured during the subsequent period(s).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Financial Condition, Liquidity and Capital Resources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principal sources of liquidity are cash flow from operations and available borrowings under our revolving credit facility. Our principal uses of cash are operating costs, debt service, payment of interest on our outstanding senior debt, working capital and other general corporate requirements.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September 30, 2005 and December 31, 2004, cash and cash equivalents totaled $533,000 and $339,000, respectively. Generally, we do not carry significant cash and cash equivalent balances because excess amounts are used to pay down our revolving line of credit.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Total bank and related debt as of September 30, 2005 was $8.8 million and $8.7 million at December 31, 2004. Unused credit availability under our $10.0 million revolving line of credit at September 30, 2005 was $1.2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bank term loan and revolving line of credit are reported as current portion of debt in the balance sheet at September 30, 2005, since the term loan and the revolving line of credit mature in January 2006. In August 2005, the credit agreement was amended to extend the maturity date of CECOs $3.1 million term loan from August 31, 2005 to January 1, 2006. Additionally, Fifth Third Bank, our revolving credit lender, acquired the term debt interests of the other two participating banks, resulting in the consolidation of our total credit facility within one bank. This eliminated scheduled quarterly principal payments and reduced the rate of interest on the term debt by 100 basis points. Terms on the revolving line of credit remained unchanged.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received credit approval from our existing line of credit lender for a new loan agreement which is contingent upon closing the sale of our Cincinnati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June 2005, we accepted an offer to sell our Cincinnati property with a contemplated closing date of July 15, 2005 subject to various contingencies. The purchase agreement called for 10.7 acres of real estate and improvements to be divided into two parcels, with the first parcel scheduled to close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or before July 15, 2005, for a purchase price of $6.9 million and the second parcel was scheduled to close on or before April 1, 2006, for a purchase price of $1.1 million. In July, August and September of 2005, the buyer exercised each of its three, thirty day options and extended the closing to October 31, 2005. In connection with these extensions, the buyer has paid nonrefundable extension fees of $175,000, which have been recorded as a contingent liability in the accompanying consolidated balance sheet.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October 20, 2005, due to time constraints and other pending projects, the buyer chose to assign the agreement, with our consent, to a third party that had indicated its desire to purchase the Cincinnati properties. Therefore, the agreement was amended and the buyer transferred all of its right, title and interest under the agreement to Millworks Town Center, LLC. In addition, under the amendment, the closing of Parcel A has been extended until December 31,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refundable deposit of $200,000 that was held in escrow was returned to the buyer by the title agent. The extension fees paid by the buyer, totaling $175,000, were retained by us in accordance with the terms of the original agreement. The closing of the acquisition is still subject to various customary closing conditions.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Overview of Cash Flows and Liquidity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5678"/>
        <w:gridCol w:w="466"/>
        <w:gridCol w:w="165"/>
        <w:gridCol w:w="533"/>
        <w:gridCol w:w="106"/>
        <w:gridCol w:w="429"/>
        <w:gridCol w:w="165"/>
        <w:gridCol w:w="537"/>
        <w:gridCol w:w="85"/>
      </w:tblGrid>
      <w:tr>
        <w:trPr/>
        <w:tc>
          <w:tcPr>
            <w:tcW w:w="5678"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r>
      <w:tr>
        <w:trPr/>
        <w:tc>
          <w:tcPr>
            <w:tcW w:w="5678"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935"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For the nine months ended</w:t>
              <w:br/>
              <w:t>September 30,</w:t>
            </w:r>
          </w:p>
          <w:p>
            <w:pPr>
              <w:pStyle w:val="HorizontalLine"/>
              <w:pBdr>
                <w:bottom w:val="single" w:sz="6" w:space="0" w:color="000000"/>
              </w:pBdr>
              <w:spacing w:before="0" w:after="283"/>
              <w:rPr/>
            </w:pPr>
            <w:r>
              <w:rPr/>
            </w:r>
          </w:p>
        </w:tc>
        <w:tc>
          <w:tcPr>
            <w:tcW w:w="85" w:type="dxa"/>
            <w:tcBorders/>
            <w:shd w:fill="auto" w:val="clear"/>
            <w:vAlign w:val="bottom"/>
          </w:tcPr>
          <w:p>
            <w:pPr>
              <w:pStyle w:val="TableContents"/>
              <w:spacing w:before="0" w:after="283"/>
              <w:rPr/>
            </w:pPr>
            <w:r>
              <w:rPr/>
              <w:t> </w:t>
            </w:r>
          </w:p>
        </w:tc>
      </w:tr>
      <w:tr>
        <w:trPr/>
        <w:tc>
          <w:tcPr>
            <w:tcW w:w="567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($s in thousands)</w:t>
            </w:r>
          </w:p>
          <w:p>
            <w:pPr>
              <w:pStyle w:val="TableContents"/>
              <w:spacing w:before="0" w:after="0"/>
              <w:rPr/>
            </w:pPr>
            <w:r>
              <w:rPr/>
              <w:t> </w:t>
            </w:r>
          </w:p>
        </w:tc>
        <w:tc>
          <w:tcPr>
            <w:tcW w:w="466" w:type="dxa"/>
            <w:tcBorders/>
            <w:shd w:fill="auto" w:val="clear"/>
            <w:vAlign w:val="bottom"/>
          </w:tcPr>
          <w:p>
            <w:pPr>
              <w:pStyle w:val="TableContents"/>
              <w:spacing w:before="0" w:after="283"/>
              <w:rPr/>
            </w:pPr>
            <w:r>
              <w:rPr/>
              <w:t>  </w:t>
            </w:r>
          </w:p>
        </w:tc>
        <w:tc>
          <w:tcPr>
            <w:tcW w:w="69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106"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7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85" w:type="dxa"/>
            <w:tcBorders/>
            <w:shd w:fill="auto" w:val="clear"/>
            <w:vAlign w:val="bottom"/>
          </w:tcPr>
          <w:p>
            <w:pPr>
              <w:pStyle w:val="TableContents"/>
              <w:spacing w:before="0" w:after="283"/>
              <w:rPr/>
            </w:pPr>
            <w:r>
              <w:rPr/>
              <w:t> </w:t>
            </w:r>
          </w:p>
        </w:tc>
      </w:tr>
      <w:tr>
        <w:trPr/>
        <w:tc>
          <w:tcPr>
            <w:tcW w:w="5678"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cash flow provided by (used in)</w:t>
            </w:r>
          </w:p>
        </w:tc>
        <w:tc>
          <w:tcPr>
            <w:tcW w:w="46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545</w:t>
            </w:r>
          </w:p>
        </w:tc>
        <w:tc>
          <w:tcPr>
            <w:tcW w:w="106"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678"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46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(452</w:t>
            </w:r>
          </w:p>
        </w:tc>
        <w:tc>
          <w:tcPr>
            <w:tcW w:w="1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67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financing activities</w:t>
            </w:r>
          </w:p>
        </w:tc>
        <w:tc>
          <w:tcPr>
            <w:tcW w:w="46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06"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w:t>
            </w:r>
          </w:p>
        </w:tc>
        <w:tc>
          <w:tcPr>
            <w:tcW w:w="85" w:type="dxa"/>
            <w:tcBorders/>
            <w:shd w:fill="CCEEFF" w:val="clear"/>
            <w:vAlign w:val="bottom"/>
          </w:tcPr>
          <w:p>
            <w:pPr>
              <w:pStyle w:val="TableContents"/>
              <w:spacing w:before="0" w:after="283"/>
              <w:rPr/>
            </w:pPr>
            <w:r>
              <w:rPr/>
              <w:t> </w:t>
            </w:r>
          </w:p>
        </w:tc>
      </w:tr>
      <w:tr>
        <w:trPr/>
        <w:tc>
          <w:tcPr>
            <w:tcW w:w="5678"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6" w:space="0" w:color="000000"/>
              </w:pBdr>
              <w:spacing w:before="0" w:after="283"/>
              <w:rPr/>
            </w:pPr>
            <w:r>
              <w:rPr/>
            </w:r>
          </w:p>
        </w:tc>
        <w:tc>
          <w:tcPr>
            <w:tcW w:w="533"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6" w:space="0" w:color="000000"/>
              </w:pBdr>
              <w:spacing w:before="0" w:after="283"/>
              <w:rPr/>
            </w:pPr>
            <w:r>
              <w:rPr/>
            </w:r>
          </w:p>
        </w:tc>
        <w:tc>
          <w:tcPr>
            <w:tcW w:w="537" w:type="dxa"/>
            <w:tcBorders/>
            <w:shd w:fill="auto" w:val="clear"/>
            <w:vAlign w:val="bottom"/>
          </w:tcPr>
          <w:p>
            <w:pPr>
              <w:pStyle w:val="HorizontalLine"/>
              <w:pBdr>
                <w:bottom w:val="single" w:sz="6" w:space="0" w:color="000000"/>
              </w:pBdr>
              <w:spacing w:before="0" w:after="283"/>
              <w:rPr/>
            </w:pPr>
            <w:r>
              <w:rPr/>
            </w:r>
          </w:p>
        </w:tc>
        <w:tc>
          <w:tcPr>
            <w:tcW w:w="85" w:type="dxa"/>
            <w:tcBorders/>
            <w:shd w:fill="auto" w:val="clear"/>
            <w:vAlign w:val="bottom"/>
          </w:tcPr>
          <w:p>
            <w:pPr>
              <w:pStyle w:val="HorizontalLine"/>
              <w:pBdr>
                <w:bottom w:val="single" w:sz="6" w:space="0" w:color="FFFFFF"/>
              </w:pBdr>
              <w:spacing w:before="0" w:after="283"/>
              <w:rPr/>
            </w:pPr>
            <w:r>
              <w:rPr/>
            </w:r>
          </w:p>
        </w:tc>
      </w:tr>
      <w:tr>
        <w:trPr/>
        <w:tc>
          <w:tcPr>
            <w:tcW w:w="567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w:t>
            </w:r>
          </w:p>
        </w:tc>
        <w:tc>
          <w:tcPr>
            <w:tcW w:w="46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w:t>
            </w:r>
          </w:p>
        </w:tc>
        <w:tc>
          <w:tcPr>
            <w:tcW w:w="106"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85" w:type="dxa"/>
            <w:tcBorders/>
            <w:shd w:fill="CCEEFF" w:val="clear"/>
            <w:vAlign w:val="bottom"/>
          </w:tcPr>
          <w:p>
            <w:pPr>
              <w:pStyle w:val="TableContents"/>
              <w:spacing w:before="0" w:after="283"/>
              <w:rPr/>
            </w:pPr>
            <w:r>
              <w:rPr/>
              <w:t> </w:t>
            </w:r>
          </w:p>
        </w:tc>
      </w:tr>
      <w:tr>
        <w:trPr/>
        <w:tc>
          <w:tcPr>
            <w:tcW w:w="5678"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18" w:space="0" w:color="000000"/>
              </w:pBdr>
              <w:spacing w:before="0" w:after="283"/>
              <w:rPr/>
            </w:pPr>
            <w:r>
              <w:rPr/>
            </w:r>
          </w:p>
        </w:tc>
        <w:tc>
          <w:tcPr>
            <w:tcW w:w="533"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429" w:type="dxa"/>
            <w:tcBorders/>
            <w:shd w:fill="auto" w:val="clear"/>
            <w:vAlign w:val="bottom"/>
          </w:tcPr>
          <w:p>
            <w:pPr>
              <w:pStyle w:val="TableContents"/>
              <w:spacing w:before="0" w:after="283"/>
              <w:rPr/>
            </w:pPr>
            <w:r>
              <w:rPr/>
              <w:t> </w:t>
            </w:r>
          </w:p>
        </w:tc>
        <w:tc>
          <w:tcPr>
            <w:tcW w:w="165" w:type="dxa"/>
            <w:tcBorders/>
            <w:shd w:fill="auto" w:val="clear"/>
            <w:vAlign w:val="bottom"/>
          </w:tcPr>
          <w:p>
            <w:pPr>
              <w:pStyle w:val="HorizontalLine"/>
              <w:pBdr>
                <w:bottom w:val="single" w:sz="18" w:space="0" w:color="000000"/>
              </w:pBdr>
              <w:spacing w:before="0" w:after="283"/>
              <w:rPr/>
            </w:pPr>
            <w:r>
              <w:rPr/>
            </w:r>
          </w:p>
        </w:tc>
        <w:tc>
          <w:tcPr>
            <w:tcW w:w="537" w:type="dxa"/>
            <w:tcBorders/>
            <w:shd w:fill="auto" w:val="clear"/>
            <w:vAlign w:val="bottom"/>
          </w:tcPr>
          <w:p>
            <w:pPr>
              <w:pStyle w:val="HorizontalLine"/>
              <w:pBdr>
                <w:bottom w:val="single" w:sz="18" w:space="0" w:color="000000"/>
              </w:pBdr>
              <w:spacing w:before="0" w:after="283"/>
              <w:rPr/>
            </w:pPr>
            <w:r>
              <w:rPr/>
            </w:r>
          </w:p>
        </w:tc>
        <w:tc>
          <w:tcPr>
            <w:tcW w:w="85"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Cash provided by operating activities increased to $545,000 in 2005 compared to cash used in 2004 of $112,000. Cash provided by operating activities for the first nine months of 2005 was the result of a decrease of $740,000 in costs in excess of billings and estimated earnings on uncompleted contracts and an increase in accounts payable of $628,000, partially offset by an increase in accounts receivable of $596,000 and increases in prepaid expenses and other assets of $713,000, a decrease in billings in excess of cost and estimated earnings of $336,000 and an increase in inventories of $196,000. Other changes in working capital items used cash of $24,000. Our net investment in working capital (excluding cash and cash equivalents and current portion of debt) at September 30, 2005 and December 31, 2004 was $6.2 million and $5.8 million,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Net cash used in investing activities related to the acquisition of capital expenditures for property and equipment was $452,000 for the first nine months of 2005 compared with $281,000 for the same period in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Financing activities provided cash of $101,000 during the first nine months of 2005 compared with cash provided by financing activities of $461,000 during the same period of 2004. Approximately $1.1 million was borrowed against the line of credit and $1.0 million was used to reduce the term debt. We are managing our capital expenditure spending in light of the current level of sales. Should sales continue to increase in 2005, we would anticipate increased capital spending. Additionally, capital expenditures may be incurred depending on the ultimate disposition of our Cincinnati property.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Forward-Looking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desire to take advantage of the safe harbor provisions of the Private Securities Litigation Reform Act of 1995 and are making this cautionary statement in connection with such safe harbor legislation. This Form 10-Q, the Annual Report to Shareholders, Form 10-K or Form 8-K of the Company or any other written or oral statements made by or on our behalf may include forward-looking statements, which reflect our current views with respect to future events and financial performance.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words believe, expect, anticipate, intends, estimate, forecast, project, should and similar expressions are intended to identify forward-looking statements within the meaning of the Private Securities Litigation Reform Act of 1995. All forecasts and projections in this Form 10-Q are forward-looking statements, and are based on managements current expectations of our near-term results, based on current information available pertaining to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war, changes in governmental spending and budgetary policies, governmental laws and regulations surrounding various matters such as environmental remediation, contract pricing, and international trading restrictions, customer product acceptance, continued access to capital markets, and foreign currency risks.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8" w:name="tx48591_6"/>
      <w:bookmarkEnd w:id="8"/>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ITEM 3. QUANTITATIVE AND QUALITATIVE DISCLOSURE ABOUT MARKET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Risk Management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Interest Rate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may use interest rate swap contracts to adjust the portion of our total debt that is subject to variable interest rates. Our interest rate swap contract matured in 2002 and was not renewed.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remaining amount of loans outstanding under the Credit Agreement bear interest at the floating rates as described in Note 9 to the consolidated statements contained in the Companys 2004 Annual Report on Form 10-K filed with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Credit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part of our ongoing control procedures, we monitor concentrations of credit risk associated with financial institutions with which we conduct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9" w:name="tx48591_7"/>
      <w:bookmarkEnd w:id="9"/>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ITEM 4. CONTROLS AND PROCEDURES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Evaluation of Disclosure Controls and Procedures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maintain disclosure controls and procedures (as defined in Rule 13a-15(e)) under the Securities and Exchange Act of 1934 (the Exchange Act) designed to ensure that information required to be disclosed in reports filed under the Securities Exchange Act of 1934, as amended, is recorded, processed, summarized and reported within the specified time periods. Our Chief Executive Officer and Chief Financial Officer evaluated, with the participation of our management, the effectiveness of our disclosure controls and procedures as of September 30, 2005. Based on the evaluation, our Chief Executive Officer and Chief Financial Officer concluded that our disclosure controls and procedures are effective. There were no significant changes in our disclosure controls or in other factors that could significantly affect our disclosure controls and procedures subsequent to the evaluation.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Internal Controls Over Financial Reporting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not subject to the disclosure requirements promulgated under Section 404 of the Sarbanes-Oxley Act of 2002 regarding internal controls over financial reporting until we file our Annual Report on Form 10-K for the year ended December 31, 2007. There were no significant changes in our internal control over financial reporting that occurred during our most recent fiscal quarter that materially affected, or is reasonably likely to materially affect, our internal control over financial reporting.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10" w:name="tx48591_8"/>
      <w:bookmarkEnd w:id="10"/>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PART II - -OTHER INFORMATION </w:t>
      </w:r>
    </w:p>
    <w:p>
      <w:pPr>
        <w:pStyle w:val="TextBody"/>
        <w:spacing w:before="0" w:after="0"/>
        <w:rPr/>
      </w:pPr>
      <w:r>
        <w:rPr/>
        <w:t> </w:t>
      </w:r>
    </w:p>
    <w:p>
      <w:pPr>
        <w:pStyle w:val="TextBody"/>
        <w:spacing w:before="0" w:after="0"/>
        <w:rPr>
          <w:rFonts w:ascii="Times New Roman" w:hAnsi="Times New Roman"/>
          <w:sz w:val="20"/>
        </w:rPr>
      </w:pPr>
      <w:bookmarkStart w:id="11" w:name="tx48591_9"/>
      <w:bookmarkEnd w:id="11"/>
      <w:r>
        <w:rPr>
          <w:rFonts w:ascii="Times New Roman" w:hAnsi="Times New Roman"/>
          <w:sz w:val="20"/>
        </w:rPr>
        <w:t xml:space="preserve">ITEM 6. EXHIBITS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10.1 First amendment to restated and amended purchase agreement between Trademark Property Company and Kirk &amp; Blum Manufacturing dated July 15,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10.2 Second amendment to restated and amended purchase agreement between Trademark Property Company and Kirk &amp; Blum Manufacturing dated September 14,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10.3 Third amendment and assignment to restated and amended purchase agreement between Trademark Property Company, Millworks Town Center, LLC and Kirk &amp; Blum Manufacturing dated October 20,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31.1 Rule 13(a)/15d-14(a) Certification by Chief Executive Officer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31.2 Rule 13(a)/15d-14(a) Certification by Chief Financial Officer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32.1 Certification of Chief Executive Officer (18 U.S. Section 1350)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Exhibit 32.2 Certification of Chief Financial Officer (18 U.S. Section 1350)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12" w:name="tx48591_10"/>
      <w:bookmarkEnd w:id="12"/>
      <w:r>
        <w:rPr>
          <w:rFonts w:ascii="Times New Roman" w:hAnsi="Times New Roman"/>
          <w:sz w:val="20"/>
          <w:u w:val="single"/>
        </w:rPr>
        <w:t xml:space="preserve">CECO ENVIRONMENTAL CORP.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Dennis W. Blazer</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w:t>
              <w:br/>
              <w:t>Chief Financial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Date: November 07, 2005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TextBody"/>
        <w:spacing w:before="0" w:after="0"/>
        <w:jc w:val="right"/>
        <w:rPr>
          <w:rFonts w:ascii="Times New Roman" w:hAnsi="Times New Roman"/>
          <w:b/>
          <w:sz w:val="20"/>
        </w:rPr>
      </w:pPr>
      <w:bookmarkStart w:id="13" w:name="dex101.htm"/>
      <w:bookmarkStart w:id="14" w:name="ksdex101"/>
      <w:bookmarkEnd w:id="13"/>
      <w:bookmarkEnd w:id="14"/>
      <w:r>
        <w:rPr>
          <w:rFonts w:ascii="Times New Roman" w:hAnsi="Times New Roman"/>
          <w:b/>
          <w:sz w:val="20"/>
        </w:rPr>
        <w:t xml:space="preserve">Exhibit 10.1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FIRST AMENDMENT TO RESTATED AND AMENDED PURCHASE AGREEMENT </w:t>
      </w:r>
    </w:p>
    <w:p>
      <w:pPr>
        <w:pStyle w:val="TextBody"/>
        <w:spacing w:before="0" w:after="0"/>
        <w:rPr/>
      </w:pPr>
      <w:r>
        <w:rPr/>
        <w:t> </w:t>
      </w:r>
    </w:p>
    <w:p>
      <w:pPr>
        <w:pStyle w:val="TextBody"/>
        <w:spacing w:before="0" w:after="0"/>
        <w:rPr/>
      </w:pPr>
      <w:r>
        <w:rPr>
          <w:rFonts w:ascii="Times New Roman" w:hAnsi="Times New Roman"/>
          <w:sz w:val="20"/>
        </w:rPr>
        <w:t>This First Amendment to Restated and Amended Purchase Agreement (</w:t>
      </w:r>
      <w:r>
        <w:rPr>
          <w:rFonts w:ascii="Times New Roman" w:hAnsi="Times New Roman"/>
          <w:b/>
          <w:sz w:val="20"/>
        </w:rPr>
        <w:t>First Amendment</w:t>
      </w:r>
      <w:r>
        <w:rPr>
          <w:rFonts w:ascii="Times New Roman" w:hAnsi="Times New Roman"/>
          <w:sz w:val="20"/>
        </w:rPr>
        <w:t>) is effective as of the 15</w:t>
      </w:r>
      <w:r>
        <w:rPr>
          <w:rFonts w:ascii="Times New Roman" w:hAnsi="Times New Roman"/>
          <w:color w:val="000000"/>
          <w:position w:val="5"/>
          <w:sz w:val="11"/>
          <w:sz w:val="14"/>
        </w:rPr>
        <w:t>th</w:t>
      </w:r>
      <w:r>
        <w:rPr>
          <w:color w:val="000000"/>
        </w:rPr>
        <w:t xml:space="preserve"> </w:t>
      </w:r>
      <w:r>
        <w:rPr>
          <w:rFonts w:ascii="Times New Roman" w:hAnsi="Times New Roman"/>
          <w:color w:val="000000"/>
          <w:sz w:val="20"/>
        </w:rPr>
        <w:t xml:space="preserve">day of July, 2005, by </w:t>
      </w:r>
      <w:r>
        <w:rPr>
          <w:rFonts w:ascii="Times New Roman" w:hAnsi="Times New Roman"/>
          <w:b/>
          <w:color w:val="000000"/>
          <w:sz w:val="20"/>
        </w:rPr>
        <w:t>TRADEMARK PROPERTY COMPANY</w:t>
      </w:r>
      <w:r>
        <w:rPr>
          <w:rFonts w:ascii="Times New Roman" w:hAnsi="Times New Roman"/>
          <w:color w:val="000000"/>
          <w:sz w:val="20"/>
        </w:rPr>
        <w:t>, a Texas corporation (</w:t>
      </w:r>
      <w:r>
        <w:rPr>
          <w:rFonts w:ascii="Times New Roman" w:hAnsi="Times New Roman"/>
          <w:b/>
          <w:color w:val="000000"/>
          <w:sz w:val="20"/>
        </w:rPr>
        <w:t>Purchaser</w:t>
      </w:r>
      <w:r>
        <w:rPr>
          <w:rFonts w:ascii="Times New Roman" w:hAnsi="Times New Roman"/>
          <w:color w:val="000000"/>
          <w:sz w:val="20"/>
        </w:rPr>
        <w:t xml:space="preserve">), and </w:t>
      </w:r>
      <w:r>
        <w:rPr>
          <w:rFonts w:ascii="Times New Roman" w:hAnsi="Times New Roman"/>
          <w:b/>
          <w:color w:val="000000"/>
          <w:sz w:val="20"/>
        </w:rPr>
        <w:t>THE KIRK &amp; BLUM MANUFACTURING COMPANY</w:t>
      </w:r>
      <w:r>
        <w:rPr>
          <w:rFonts w:ascii="Times New Roman" w:hAnsi="Times New Roman"/>
          <w:color w:val="000000"/>
          <w:sz w:val="20"/>
        </w:rPr>
        <w:t>, an Ohio corporation (</w:t>
      </w:r>
      <w:r>
        <w:rPr>
          <w:rFonts w:ascii="Times New Roman" w:hAnsi="Times New Roman"/>
          <w:b/>
          <w:color w:val="000000"/>
          <w:sz w:val="20"/>
        </w:rPr>
        <w:t>Seller</w:t>
      </w:r>
      <w:r>
        <w:rPr>
          <w:rFonts w:ascii="Times New Roman" w:hAnsi="Times New Roman"/>
          <w:color w:val="000000"/>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WITNESSETH: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Seller and Purchaser entered into that certain Restated and Amended Purchase Agreement dated June 20, 2005 (</w:t>
      </w:r>
      <w:r>
        <w:rPr>
          <w:rFonts w:ascii="Times New Roman" w:hAnsi="Times New Roman"/>
          <w:b/>
          <w:sz w:val="20"/>
        </w:rPr>
        <w:t>Agreement</w:t>
      </w:r>
      <w:r>
        <w:rPr>
          <w:rFonts w:ascii="Times New Roman" w:hAnsi="Times New Roman"/>
          <w:sz w:val="20"/>
        </w:rPr>
        <w:t xml:space="preserve">), covering the sale of two (2) separate parcels of land, as more particularly described therein;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xml:space="preserve">, Seller and Purchaser desire to amend the Agreement as set forth below;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NOW, THEREFORE</w:t>
      </w:r>
      <w:r>
        <w:rPr>
          <w:rFonts w:ascii="Times New Roman" w:hAnsi="Times New Roman"/>
          <w:sz w:val="20"/>
        </w:rPr>
        <w:t xml:space="preserve">, for good and valuable consideration  which the parties acknowledge receiving  Seller and Purchaser hereby agree to amend Section 2(b) of the Agreement to provide that if Purchaser at any time prior to the Closing of Parcel A discovers groundwater contamination existing in a Class A or Critical Resource aquifer within the Property or within any other portion of the Millworks development, including land owned by UNOVA and/or Milacron, then notwithstanding anything in the Agreement to the contrary, Purchaser may terminate the Agreement by written notice to Seller, and in such event, the Refundable Deposit shall be fully refundable to Purchaser.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Except as specifically modified by the terms of this First Amendment, all of the terms and provisions of the Agreement shall remain in full force and effect and unmodified and are hereby ratified by the parties. All defined terms used herein will have the same meaning as in the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Agreement may be executed in any number of counterparts, each of which will be an original, and all of which  when taken together  will constitute one (1) document. Facsimile signatures will be treated as original signatures for all purposes hereunder.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EFFECTIVE</w:t>
      </w:r>
      <w:r>
        <w:rPr>
          <w:rFonts w:ascii="Times New Roman" w:hAnsi="Times New Roman"/>
          <w:sz w:val="20"/>
        </w:rPr>
        <w:t xml:space="preserve"> as of the day and year first above written. </w:t>
      </w:r>
    </w:p>
    <w:p>
      <w:pPr>
        <w:pStyle w:val="TextBody"/>
        <w:spacing w:before="0" w:after="0"/>
        <w:rPr/>
      </w:pPr>
      <w:r>
        <w:rPr/>
        <w:t> </w:t>
      </w:r>
    </w:p>
    <w:tbl>
      <w:tblPr>
        <w:tblW w:w="4655" w:type="dxa"/>
        <w:jc w:val="right"/>
        <w:tblInd w:w="0" w:type="dxa"/>
        <w:tblCellMar>
          <w:top w:w="0" w:type="dxa"/>
          <w:left w:w="0" w:type="dxa"/>
          <w:bottom w:w="0" w:type="dxa"/>
          <w:right w:w="0" w:type="dxa"/>
        </w:tblCellMar>
      </w:tblPr>
      <w:tblGrid>
        <w:gridCol w:w="3731"/>
        <w:gridCol w:w="461"/>
        <w:gridCol w:w="463"/>
      </w:tblGrid>
      <w:tr>
        <w:trPr/>
        <w:tc>
          <w:tcPr>
            <w:tcW w:w="373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4655"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THE KIRK &amp; BLUM MANUFACTURING COMPANY,</w:t>
            </w:r>
          </w:p>
          <w:p>
            <w:pPr>
              <w:pStyle w:val="TableContents"/>
              <w:spacing w:before="0" w:after="15"/>
              <w:rPr>
                <w:rFonts w:ascii="Times New Roman" w:hAnsi="Times New Roman"/>
                <w:sz w:val="20"/>
              </w:rPr>
            </w:pPr>
            <w:r>
              <w:rPr>
                <w:rFonts w:ascii="Times New Roman" w:hAnsi="Times New Roman"/>
                <w:sz w:val="20"/>
              </w:rPr>
              <w:t>an Ohio corporation</w:t>
            </w:r>
          </w:p>
        </w:tc>
      </w:tr>
      <w:tr>
        <w:trPr>
          <w:trHeight w:val="240" w:hRule="atLeast"/>
        </w:trPr>
        <w:tc>
          <w:tcPr>
            <w:tcW w:w="3731" w:type="dxa"/>
            <w:tcBorders/>
            <w:shd w:fill="auto" w:val="clear"/>
            <w:vAlign w:val="center"/>
          </w:tcPr>
          <w:p>
            <w:pPr>
              <w:pStyle w:val="TableContents"/>
              <w:spacing w:before="0" w:after="283"/>
              <w:rPr>
                <w:sz w:val="4"/>
                <w:szCs w:val="4"/>
              </w:rPr>
            </w:pPr>
            <w:r>
              <w:rPr>
                <w:sz w:val="4"/>
                <w:szCs w:val="4"/>
              </w:rPr>
            </w:r>
          </w:p>
        </w:tc>
        <w:tc>
          <w:tcPr>
            <w:tcW w:w="924" w:type="dxa"/>
            <w:gridSpan w:val="2"/>
            <w:tcBorders/>
            <w:shd w:fill="auto" w:val="clear"/>
            <w:vAlign w:val="center"/>
          </w:tcPr>
          <w:p>
            <w:pPr>
              <w:pStyle w:val="TableContents"/>
              <w:spacing w:before="0" w:after="283"/>
              <w:rPr>
                <w:sz w:val="4"/>
                <w:szCs w:val="4"/>
              </w:rPr>
            </w:pPr>
            <w:r>
              <w:rPr>
                <w:sz w:val="4"/>
                <w:szCs w:val="4"/>
              </w:rPr>
            </w:r>
          </w:p>
        </w:tc>
      </w:tr>
      <w:tr>
        <w:trPr/>
        <w:tc>
          <w:tcPr>
            <w:tcW w:w="373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461"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0"/>
              <w:rPr/>
            </w:pPr>
            <w:r>
              <w:rPr/>
              <w:t> </w:t>
            </w:r>
          </w:p>
          <w:p>
            <w:pPr>
              <w:pStyle w:val="HorizontalLine"/>
              <w:pBdr>
                <w:bottom w:val="single" w:sz="6" w:space="0" w:color="000000"/>
              </w:pBdr>
              <w:spacing w:before="0" w:after="283"/>
              <w:rPr/>
            </w:pPr>
            <w:r>
              <w:rPr/>
            </w:r>
          </w:p>
        </w:tc>
      </w:tr>
      <w:tr>
        <w:trPr/>
        <w:tc>
          <w:tcPr>
            <w:tcW w:w="373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461"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0"/>
              <w:rPr/>
            </w:pPr>
            <w:r>
              <w:rPr/>
              <w:t> </w:t>
            </w:r>
          </w:p>
          <w:p>
            <w:pPr>
              <w:pStyle w:val="HorizontalLine"/>
              <w:pBdr>
                <w:bottom w:val="single" w:sz="6" w:space="0" w:color="000000"/>
              </w:pBdr>
              <w:spacing w:before="0" w:after="283"/>
              <w:rPr/>
            </w:pPr>
            <w:r>
              <w:rPr/>
            </w:r>
          </w:p>
        </w:tc>
      </w:tr>
      <w:tr>
        <w:trPr/>
        <w:tc>
          <w:tcPr>
            <w:tcW w:w="3731"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461"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0"/>
              <w:rPr/>
            </w:pPr>
            <w:r>
              <w:rPr/>
              <w:t> </w:t>
            </w:r>
          </w:p>
          <w:p>
            <w:pPr>
              <w:pStyle w:val="HorizontalLine"/>
              <w:pBdr>
                <w:bottom w:val="single" w:sz="6" w:space="0" w:color="000000"/>
              </w:pBdr>
              <w:spacing w:before="0" w:after="283"/>
              <w:rPr/>
            </w:pPr>
            <w:r>
              <w:rPr/>
            </w:r>
          </w:p>
        </w:tc>
      </w:tr>
      <w:tr>
        <w:trPr>
          <w:trHeight w:val="240" w:hRule="atLeast"/>
        </w:trPr>
        <w:tc>
          <w:tcPr>
            <w:tcW w:w="4655" w:type="dxa"/>
            <w:gridSpan w:val="3"/>
            <w:tcBorders/>
            <w:shd w:fill="auto" w:val="clear"/>
            <w:vAlign w:val="center"/>
          </w:tcPr>
          <w:p>
            <w:pPr>
              <w:pStyle w:val="TableContents"/>
              <w:spacing w:before="0" w:after="283"/>
              <w:rPr>
                <w:sz w:val="4"/>
                <w:szCs w:val="4"/>
              </w:rPr>
            </w:pPr>
            <w:r>
              <w:rPr>
                <w:sz w:val="4"/>
                <w:szCs w:val="4"/>
              </w:rPr>
            </w:r>
          </w:p>
        </w:tc>
      </w:tr>
      <w:tr>
        <w:trPr/>
        <w:tc>
          <w:tcPr>
            <w:tcW w:w="4655"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TRADEMARK PROPERTY COMPANY,</w:t>
            </w:r>
          </w:p>
          <w:p>
            <w:pPr>
              <w:pStyle w:val="TableContents"/>
              <w:spacing w:before="0" w:after="15"/>
              <w:rPr>
                <w:rFonts w:ascii="Times New Roman" w:hAnsi="Times New Roman"/>
                <w:sz w:val="20"/>
              </w:rPr>
            </w:pPr>
            <w:r>
              <w:rPr>
                <w:rFonts w:ascii="Times New Roman" w:hAnsi="Times New Roman"/>
                <w:sz w:val="20"/>
              </w:rPr>
              <w:t>a Texas corporation</w:t>
            </w:r>
          </w:p>
        </w:tc>
      </w:tr>
      <w:tr>
        <w:trPr>
          <w:trHeight w:val="240" w:hRule="atLeast"/>
        </w:trPr>
        <w:tc>
          <w:tcPr>
            <w:tcW w:w="3731" w:type="dxa"/>
            <w:tcBorders/>
            <w:shd w:fill="auto" w:val="clear"/>
            <w:vAlign w:val="center"/>
          </w:tcPr>
          <w:p>
            <w:pPr>
              <w:pStyle w:val="TableContents"/>
              <w:spacing w:before="0" w:after="283"/>
              <w:rPr>
                <w:sz w:val="4"/>
                <w:szCs w:val="4"/>
              </w:rPr>
            </w:pPr>
            <w:r>
              <w:rPr>
                <w:sz w:val="4"/>
                <w:szCs w:val="4"/>
              </w:rPr>
            </w:r>
          </w:p>
        </w:tc>
        <w:tc>
          <w:tcPr>
            <w:tcW w:w="924" w:type="dxa"/>
            <w:gridSpan w:val="2"/>
            <w:tcBorders/>
            <w:shd w:fill="auto" w:val="clear"/>
            <w:vAlign w:val="center"/>
          </w:tcPr>
          <w:p>
            <w:pPr>
              <w:pStyle w:val="TableContents"/>
              <w:spacing w:before="0" w:after="283"/>
              <w:rPr>
                <w:sz w:val="4"/>
                <w:szCs w:val="4"/>
              </w:rPr>
            </w:pPr>
            <w:r>
              <w:rPr>
                <w:sz w:val="4"/>
                <w:szCs w:val="4"/>
              </w:rPr>
            </w:r>
          </w:p>
        </w:tc>
      </w:tr>
      <w:tr>
        <w:trPr/>
        <w:tc>
          <w:tcPr>
            <w:tcW w:w="373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461"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0"/>
              <w:rPr/>
            </w:pPr>
            <w:r>
              <w:rPr/>
              <w:t> </w:t>
            </w:r>
          </w:p>
          <w:p>
            <w:pPr>
              <w:pStyle w:val="HorizontalLine"/>
              <w:pBdr>
                <w:bottom w:val="single" w:sz="6" w:space="0" w:color="000000"/>
              </w:pBdr>
              <w:spacing w:before="0" w:after="283"/>
              <w:rPr/>
            </w:pPr>
            <w:r>
              <w:rPr/>
            </w:r>
          </w:p>
        </w:tc>
      </w:tr>
      <w:tr>
        <w:trPr/>
        <w:tc>
          <w:tcPr>
            <w:tcW w:w="373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461"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0"/>
              <w:rPr/>
            </w:pPr>
            <w:r>
              <w:rPr/>
              <w:t> </w:t>
            </w:r>
          </w:p>
          <w:p>
            <w:pPr>
              <w:pStyle w:val="HorizontalLine"/>
              <w:pBdr>
                <w:bottom w:val="single" w:sz="6" w:space="0" w:color="000000"/>
              </w:pBdr>
              <w:spacing w:before="0" w:after="283"/>
              <w:rPr/>
            </w:pPr>
            <w:r>
              <w:rPr/>
            </w:r>
          </w:p>
        </w:tc>
      </w:tr>
      <w:tr>
        <w:trPr/>
        <w:tc>
          <w:tcPr>
            <w:tcW w:w="3731"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461"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0"/>
              <w:rPr/>
            </w:pPr>
            <w:r>
              <w:rPr/>
              <w:t> </w:t>
            </w:r>
          </w:p>
          <w:p>
            <w:pPr>
              <w:pStyle w:val="HorizontalLine"/>
              <w:pBdr>
                <w:bottom w:val="single" w:sz="6" w:space="0" w:color="000000"/>
              </w:pBdr>
              <w:spacing w:before="0" w:after="283"/>
              <w:rPr/>
            </w:pPr>
            <w:r>
              <w:rPr/>
            </w:r>
          </w:p>
        </w:tc>
      </w:tr>
    </w:tbl>
    <w:p>
      <w:pPr>
        <w:pStyle w:val="TextBody"/>
        <w:spacing w:before="0" w:after="0"/>
        <w:jc w:val="right"/>
        <w:rPr>
          <w:rFonts w:ascii="Times New Roman" w:hAnsi="Times New Roman"/>
          <w:b/>
          <w:sz w:val="20"/>
        </w:rPr>
      </w:pPr>
      <w:r>
        <w:br w:type="page"/>
      </w:r>
      <w:bookmarkStart w:id="15" w:name="dex102.htm"/>
      <w:bookmarkStart w:id="16" w:name="ksdex102"/>
      <w:bookmarkEnd w:id="15"/>
      <w:bookmarkEnd w:id="16"/>
      <w:r>
        <w:rPr>
          <w:rFonts w:ascii="Times New Roman" w:hAnsi="Times New Roman"/>
          <w:b/>
          <w:sz w:val="20"/>
        </w:rPr>
        <w:t xml:space="preserve">Exhibit 10.2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SECOND AMENDMENT TO RESTATED AND AMENDED PURCHASE AGREEMENT </w:t>
      </w:r>
    </w:p>
    <w:p>
      <w:pPr>
        <w:pStyle w:val="TextBody"/>
        <w:spacing w:before="0" w:after="0"/>
        <w:rPr/>
      </w:pPr>
      <w:r>
        <w:rPr/>
        <w:t> </w:t>
      </w:r>
    </w:p>
    <w:p>
      <w:pPr>
        <w:pStyle w:val="TextBody"/>
        <w:spacing w:before="0" w:after="0"/>
        <w:rPr/>
      </w:pPr>
      <w:r>
        <w:rPr>
          <w:rFonts w:ascii="Times New Roman" w:hAnsi="Times New Roman"/>
          <w:sz w:val="20"/>
        </w:rPr>
        <w:t>This Second Amendment to Restated and Amended Purchase Agreement (</w:t>
      </w:r>
      <w:r>
        <w:rPr>
          <w:rFonts w:ascii="Times New Roman" w:hAnsi="Times New Roman"/>
          <w:b/>
          <w:sz w:val="20"/>
        </w:rPr>
        <w:t>Second Amendment</w:t>
      </w:r>
      <w:r>
        <w:rPr>
          <w:rFonts w:ascii="Times New Roman" w:hAnsi="Times New Roman"/>
          <w:sz w:val="20"/>
        </w:rPr>
        <w:t>) is effective as of the 14</w:t>
      </w:r>
      <w:r>
        <w:rPr>
          <w:rFonts w:ascii="Times New Roman" w:hAnsi="Times New Roman"/>
          <w:color w:val="000000"/>
          <w:position w:val="5"/>
          <w:sz w:val="11"/>
          <w:sz w:val="14"/>
        </w:rPr>
        <w:t>th</w:t>
      </w:r>
      <w:r>
        <w:rPr>
          <w:color w:val="000000"/>
        </w:rPr>
        <w:t xml:space="preserve"> </w:t>
      </w:r>
      <w:r>
        <w:rPr>
          <w:rFonts w:ascii="Times New Roman" w:hAnsi="Times New Roman"/>
          <w:color w:val="000000"/>
          <w:sz w:val="20"/>
        </w:rPr>
        <w:t xml:space="preserve">day of September, 2005, by </w:t>
      </w:r>
      <w:r>
        <w:rPr>
          <w:rFonts w:ascii="Times New Roman" w:hAnsi="Times New Roman"/>
          <w:b/>
          <w:color w:val="000000"/>
          <w:sz w:val="20"/>
        </w:rPr>
        <w:t>TRADEMARK PROPERTY COMPANY</w:t>
      </w:r>
      <w:r>
        <w:rPr>
          <w:rFonts w:ascii="Times New Roman" w:hAnsi="Times New Roman"/>
          <w:color w:val="000000"/>
          <w:sz w:val="20"/>
        </w:rPr>
        <w:t>, a Texas corporation (</w:t>
      </w:r>
      <w:r>
        <w:rPr>
          <w:rFonts w:ascii="Times New Roman" w:hAnsi="Times New Roman"/>
          <w:b/>
          <w:color w:val="000000"/>
          <w:sz w:val="20"/>
        </w:rPr>
        <w:t>Purchaser</w:t>
      </w:r>
      <w:r>
        <w:rPr>
          <w:rFonts w:ascii="Times New Roman" w:hAnsi="Times New Roman"/>
          <w:color w:val="000000"/>
          <w:sz w:val="20"/>
        </w:rPr>
        <w:t xml:space="preserve">), and </w:t>
      </w:r>
      <w:r>
        <w:rPr>
          <w:rFonts w:ascii="Times New Roman" w:hAnsi="Times New Roman"/>
          <w:b/>
          <w:color w:val="000000"/>
          <w:sz w:val="20"/>
        </w:rPr>
        <w:t>THE KIRK &amp; BLUM MANUFACTURING COMPANY</w:t>
      </w:r>
      <w:r>
        <w:rPr>
          <w:rFonts w:ascii="Times New Roman" w:hAnsi="Times New Roman"/>
          <w:color w:val="000000"/>
          <w:sz w:val="20"/>
        </w:rPr>
        <w:t>, an Ohio corporation (</w:t>
      </w:r>
      <w:r>
        <w:rPr>
          <w:rFonts w:ascii="Times New Roman" w:hAnsi="Times New Roman"/>
          <w:b/>
          <w:color w:val="000000"/>
          <w:sz w:val="20"/>
        </w:rPr>
        <w:t>Seller</w:t>
      </w:r>
      <w:r>
        <w:rPr>
          <w:rFonts w:ascii="Times New Roman" w:hAnsi="Times New Roman"/>
          <w:color w:val="000000"/>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WITNESSETH: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Seller and Purchaser entered into that certain Restated and Amended Purchase Agreement dated June 20, 2005, as amended by that certain First Amendment to Restated and Amended Purchase Agreement dated July 15, 2005 (as amended, the </w:t>
      </w:r>
      <w:r>
        <w:rPr>
          <w:rFonts w:ascii="Times New Roman" w:hAnsi="Times New Roman"/>
          <w:b/>
          <w:sz w:val="20"/>
        </w:rPr>
        <w:t>Agreement</w:t>
      </w:r>
      <w:r>
        <w:rPr>
          <w:rFonts w:ascii="Times New Roman" w:hAnsi="Times New Roman"/>
          <w:sz w:val="20"/>
        </w:rPr>
        <w:t xml:space="preserve">), covering the sale of two (2) separate parcels of land, as more particularly described therein (unless otherwise defined herein, all defined terms in this Second Amendment will have the same meaning as in the Agreement);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Section 5 of the Agreement provides that the Closing of Parcel A must occur on or before July 15, 2005, subject to Purchasers right to extend such closing for up to three (3) thirty (30) day periods (</w:t>
      </w:r>
      <w:r>
        <w:rPr>
          <w:rFonts w:ascii="Times New Roman" w:hAnsi="Times New Roman"/>
          <w:b/>
          <w:sz w:val="20"/>
        </w:rPr>
        <w:t>First</w:t>
      </w:r>
      <w:r>
        <w:rPr>
          <w:rFonts w:ascii="Times New Roman" w:hAnsi="Times New Roman"/>
          <w:sz w:val="20"/>
        </w:rPr>
        <w:t>, </w:t>
      </w:r>
      <w:r>
        <w:rPr>
          <w:rFonts w:ascii="Times New Roman" w:hAnsi="Times New Roman"/>
          <w:b/>
          <w:sz w:val="20"/>
        </w:rPr>
        <w:t>Second</w:t>
      </w:r>
      <w:r>
        <w:rPr>
          <w:rFonts w:ascii="Times New Roman" w:hAnsi="Times New Roman"/>
          <w:sz w:val="20"/>
        </w:rPr>
        <w:t>, and </w:t>
      </w:r>
      <w:r>
        <w:rPr>
          <w:rFonts w:ascii="Times New Roman" w:hAnsi="Times New Roman"/>
          <w:b/>
          <w:sz w:val="20"/>
        </w:rPr>
        <w:t>Third Extensions</w:t>
      </w:r>
      <w:r>
        <w:rPr>
          <w:rFonts w:ascii="Times New Roman" w:hAnsi="Times New Roman"/>
          <w:sz w:val="20"/>
        </w:rPr>
        <w:t xml:space="preserve">,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xml:space="preserve">, Purchaser has previously exercised its First and Second Extensions and has paid Seller Extension Fees of $50,000.00 for each extension;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xml:space="preserve">, Purchaser desires to exercise its Third Extension right;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xml:space="preserve">, Seller has agreed to extend the Third Extension so that after Purchaser exercises the Third Extension, the Closing of Parcel A must occur on or before October 31, 2005;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xml:space="preserve">, Seller and Purchaser desire to enter into this Second Amendment to evidence their agreement regarding the foregoing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NOW, THEREFORE</w:t>
      </w:r>
      <w:r>
        <w:rPr>
          <w:rFonts w:ascii="Times New Roman" w:hAnsi="Times New Roman"/>
          <w:sz w:val="20"/>
        </w:rPr>
        <w:t xml:space="preserve">, for good and valuable consideration  which the parties acknowledge receiving  </w:t>
      </w:r>
    </w:p>
    <w:p>
      <w:pPr>
        <w:pStyle w:val="TextBody"/>
        <w:spacing w:before="0" w:after="0"/>
        <w:rPr>
          <w:rFonts w:ascii="Times New Roman" w:hAnsi="Times New Roman"/>
          <w:sz w:val="20"/>
        </w:rPr>
      </w:pPr>
      <w:r>
        <w:rPr>
          <w:rFonts w:ascii="Times New Roman" w:hAnsi="Times New Roman"/>
          <w:sz w:val="20"/>
        </w:rPr>
        <w:t xml:space="preserve">Seller and Purchaser hereby agree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By its execution of this Second Amendment, Purchaser hereby exercises the Third Extension.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Contemporaneously with Purchasers execution of this Second Amendment, Purchaser is delivering to Seller $75,000.00 as the Extension Fee for the Third Extension.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Purchasers exercise of the Third Extension will extend the Closing of Parcel A until on or before October 31, 2005, notwithstanding anything in the Agreement to the contrary.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Except as specifically modified by the terms of this Second Amendment, all of the terms and provisions of the Agreement shall remain in full force and effect and unmodified and are hereby ratified by the parties.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Agreement may be executed in any number of counterparts, each of which will be an original, and all of which  when taken together  will constitute one (1) document. Facsimile signatures will be treated as original signatures for all purposes hereunder.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EFFECTIVE</w:t>
      </w:r>
      <w:r>
        <w:rPr>
          <w:rFonts w:ascii="Times New Roman" w:hAnsi="Times New Roman"/>
          <w:sz w:val="20"/>
        </w:rPr>
        <w:t xml:space="preserve"> as of the day and year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1511"/>
        <w:gridCol w:w="174"/>
        <w:gridCol w:w="2397"/>
      </w:tblGrid>
      <w:tr>
        <w:trPr/>
        <w:tc>
          <w:tcPr>
            <w:tcW w:w="151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THE KIRK &amp; BLUM MANUFACTURING</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COMPANY,</w:t>
            </w:r>
            <w:r>
              <w:rPr>
                <w:rFonts w:ascii="Times New Roman" w:hAnsi="Times New Roman"/>
                <w:sz w:val="20"/>
              </w:rPr>
              <w:t xml:space="preserve"> an Ohio corporation</w:t>
            </w:r>
          </w:p>
        </w:tc>
      </w:tr>
      <w:tr>
        <w:trPr>
          <w:trHeight w:val="240" w:hRule="atLeast"/>
        </w:trPr>
        <w:tc>
          <w:tcPr>
            <w:tcW w:w="1511" w:type="dxa"/>
            <w:tcBorders/>
            <w:shd w:fill="auto" w:val="clear"/>
            <w:vAlign w:val="center"/>
          </w:tcPr>
          <w:p>
            <w:pPr>
              <w:pStyle w:val="TableContents"/>
              <w:spacing w:before="0" w:after="283"/>
              <w:rPr>
                <w:sz w:val="4"/>
                <w:szCs w:val="4"/>
              </w:rPr>
            </w:pPr>
            <w:r>
              <w:rPr>
                <w:sz w:val="4"/>
                <w:szCs w:val="4"/>
              </w:rPr>
            </w:r>
          </w:p>
        </w:tc>
        <w:tc>
          <w:tcPr>
            <w:tcW w:w="2571" w:type="dxa"/>
            <w:gridSpan w:val="2"/>
            <w:tcBorders/>
            <w:shd w:fill="auto" w:val="clear"/>
            <w:vAlign w:val="center"/>
          </w:tcPr>
          <w:p>
            <w:pPr>
              <w:pStyle w:val="TableContents"/>
              <w:spacing w:before="0" w:after="283"/>
              <w:rPr>
                <w:sz w:val="4"/>
                <w:szCs w:val="4"/>
              </w:rPr>
            </w:pPr>
            <w:r>
              <w:rPr>
                <w:sz w:val="4"/>
                <w:szCs w:val="4"/>
              </w:rPr>
            </w:r>
          </w:p>
        </w:tc>
      </w:tr>
      <w:tr>
        <w:trPr/>
        <w:tc>
          <w:tcPr>
            <w:tcW w:w="151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74" w:type="dxa"/>
            <w:tcBorders/>
            <w:shd w:fill="auto" w:val="clear"/>
            <w:vAlign w:val="bottom"/>
          </w:tcPr>
          <w:p>
            <w:pPr>
              <w:pStyle w:val="TableContents"/>
              <w:spacing w:before="0" w:after="283"/>
              <w:rPr/>
            </w:pPr>
            <w:r>
              <w:rPr/>
              <w:t> </w:t>
            </w:r>
          </w:p>
        </w:tc>
        <w:tc>
          <w:tcPr>
            <w:tcW w:w="2397"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151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74" w:type="dxa"/>
            <w:tcBorders/>
            <w:shd w:fill="auto" w:val="clear"/>
            <w:vAlign w:val="bottom"/>
          </w:tcPr>
          <w:p>
            <w:pPr>
              <w:pStyle w:val="TableContents"/>
              <w:spacing w:before="0" w:after="283"/>
              <w:rPr/>
            </w:pPr>
            <w:r>
              <w:rPr/>
              <w:t> </w:t>
            </w:r>
          </w:p>
        </w:tc>
        <w:tc>
          <w:tcPr>
            <w:tcW w:w="2397"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1511"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174" w:type="dxa"/>
            <w:tcBorders/>
            <w:shd w:fill="auto" w:val="clear"/>
            <w:vAlign w:val="bottom"/>
          </w:tcPr>
          <w:p>
            <w:pPr>
              <w:pStyle w:val="TableContents"/>
              <w:spacing w:before="0" w:after="283"/>
              <w:rPr/>
            </w:pPr>
            <w:r>
              <w:rPr/>
              <w:t> </w:t>
            </w:r>
          </w:p>
        </w:tc>
        <w:tc>
          <w:tcPr>
            <w:tcW w:w="2397"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TRADEMARK PROPERTY COMPANY,</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 Texas corporation</w:t>
            </w:r>
          </w:p>
        </w:tc>
      </w:tr>
      <w:tr>
        <w:trPr>
          <w:trHeight w:val="240" w:hRule="atLeast"/>
        </w:trPr>
        <w:tc>
          <w:tcPr>
            <w:tcW w:w="1511" w:type="dxa"/>
            <w:tcBorders/>
            <w:shd w:fill="auto" w:val="clear"/>
            <w:vAlign w:val="center"/>
          </w:tcPr>
          <w:p>
            <w:pPr>
              <w:pStyle w:val="TableContents"/>
              <w:spacing w:before="0" w:after="283"/>
              <w:rPr>
                <w:sz w:val="4"/>
                <w:szCs w:val="4"/>
              </w:rPr>
            </w:pPr>
            <w:r>
              <w:rPr>
                <w:sz w:val="4"/>
                <w:szCs w:val="4"/>
              </w:rPr>
            </w:r>
          </w:p>
        </w:tc>
        <w:tc>
          <w:tcPr>
            <w:tcW w:w="2571" w:type="dxa"/>
            <w:gridSpan w:val="2"/>
            <w:tcBorders/>
            <w:shd w:fill="auto" w:val="clear"/>
            <w:vAlign w:val="center"/>
          </w:tcPr>
          <w:p>
            <w:pPr>
              <w:pStyle w:val="TableContents"/>
              <w:spacing w:before="0" w:after="283"/>
              <w:rPr>
                <w:sz w:val="4"/>
                <w:szCs w:val="4"/>
              </w:rPr>
            </w:pPr>
            <w:r>
              <w:rPr>
                <w:sz w:val="4"/>
                <w:szCs w:val="4"/>
              </w:rPr>
            </w:r>
          </w:p>
        </w:tc>
      </w:tr>
      <w:tr>
        <w:trPr/>
        <w:tc>
          <w:tcPr>
            <w:tcW w:w="151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74" w:type="dxa"/>
            <w:tcBorders/>
            <w:shd w:fill="auto" w:val="clear"/>
            <w:vAlign w:val="bottom"/>
          </w:tcPr>
          <w:p>
            <w:pPr>
              <w:pStyle w:val="TableContents"/>
              <w:spacing w:before="0" w:after="283"/>
              <w:rPr/>
            </w:pPr>
            <w:r>
              <w:rPr/>
              <w:t> </w:t>
            </w:r>
          </w:p>
        </w:tc>
        <w:tc>
          <w:tcPr>
            <w:tcW w:w="2397"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151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74" w:type="dxa"/>
            <w:tcBorders/>
            <w:shd w:fill="auto" w:val="clear"/>
            <w:vAlign w:val="bottom"/>
          </w:tcPr>
          <w:p>
            <w:pPr>
              <w:pStyle w:val="TableContents"/>
              <w:spacing w:before="0" w:after="283"/>
              <w:rPr/>
            </w:pPr>
            <w:r>
              <w:rPr/>
              <w:t> </w:t>
            </w:r>
          </w:p>
        </w:tc>
        <w:tc>
          <w:tcPr>
            <w:tcW w:w="2397"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1511"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174" w:type="dxa"/>
            <w:tcBorders/>
            <w:shd w:fill="auto" w:val="clear"/>
            <w:vAlign w:val="bottom"/>
          </w:tcPr>
          <w:p>
            <w:pPr>
              <w:pStyle w:val="TableContents"/>
              <w:spacing w:before="0" w:after="283"/>
              <w:rPr/>
            </w:pPr>
            <w:r>
              <w:rPr/>
              <w:t> </w:t>
            </w:r>
          </w:p>
        </w:tc>
        <w:tc>
          <w:tcPr>
            <w:tcW w:w="2397"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TextBody"/>
        <w:spacing w:before="0" w:after="0"/>
        <w:jc w:val="right"/>
        <w:rPr>
          <w:rFonts w:ascii="Times New Roman" w:hAnsi="Times New Roman"/>
          <w:b/>
          <w:sz w:val="20"/>
        </w:rPr>
      </w:pPr>
      <w:bookmarkStart w:id="17" w:name="dex103.htm"/>
      <w:bookmarkStart w:id="18" w:name="ksdex103"/>
      <w:bookmarkEnd w:id="17"/>
      <w:bookmarkEnd w:id="18"/>
      <w:r>
        <w:rPr>
          <w:rFonts w:ascii="Times New Roman" w:hAnsi="Times New Roman"/>
          <w:b/>
          <w:sz w:val="20"/>
        </w:rPr>
        <w:t xml:space="preserve">Exhibit 10.3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THIRD AMENDMENT AND ASSIGNMENT TO </w:t>
      </w:r>
    </w:p>
    <w:p>
      <w:pPr>
        <w:pStyle w:val="TextBody"/>
        <w:spacing w:before="0" w:after="0"/>
        <w:jc w:val="center"/>
        <w:rPr>
          <w:rFonts w:ascii="Times New Roman" w:hAnsi="Times New Roman"/>
          <w:b/>
          <w:sz w:val="20"/>
        </w:rPr>
      </w:pPr>
      <w:r>
        <w:rPr>
          <w:rFonts w:ascii="Times New Roman" w:hAnsi="Times New Roman"/>
          <w:b/>
          <w:sz w:val="20"/>
        </w:rPr>
        <w:t xml:space="preserve">RESTATED AND AMENDED PURCHASE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This Third Amendment and Assignment to Restated and Amended Purchase Agreement (</w:t>
      </w:r>
      <w:r>
        <w:rPr>
          <w:rFonts w:ascii="Times New Roman" w:hAnsi="Times New Roman"/>
          <w:b/>
          <w:sz w:val="20"/>
        </w:rPr>
        <w:t>Third Amendment</w:t>
      </w:r>
      <w:r>
        <w:rPr>
          <w:rFonts w:ascii="Times New Roman" w:hAnsi="Times New Roman"/>
          <w:sz w:val="20"/>
        </w:rPr>
        <w:t xml:space="preserve">) is effective as of the </w:t>
      </w:r>
      <w:r>
        <w:rPr>
          <w:rFonts w:ascii="Times New Roman" w:hAnsi="Times New Roman"/>
          <w:sz w:val="20"/>
          <w:u w:val="single"/>
        </w:rPr>
        <w:t>        </w:t>
      </w:r>
      <w:r>
        <w:rPr>
          <w:rFonts w:ascii="Times New Roman" w:hAnsi="Times New Roman"/>
          <w:sz w:val="20"/>
        </w:rPr>
        <w:t xml:space="preserve"> of </w:t>
      </w:r>
      <w:r>
        <w:rPr>
          <w:rFonts w:ascii="Times New Roman" w:hAnsi="Times New Roman"/>
          <w:sz w:val="20"/>
          <w:u w:val="single"/>
        </w:rPr>
        <w:t>                        </w:t>
      </w:r>
      <w:r>
        <w:rPr>
          <w:rFonts w:ascii="Times New Roman" w:hAnsi="Times New Roman"/>
          <w:sz w:val="20"/>
        </w:rPr>
        <w:t xml:space="preserve">, 2005, among </w:t>
      </w:r>
      <w:r>
        <w:rPr>
          <w:rFonts w:ascii="Times New Roman" w:hAnsi="Times New Roman"/>
          <w:b/>
          <w:sz w:val="20"/>
        </w:rPr>
        <w:t>TRADEMARK PROPERTY COMPANY</w:t>
      </w:r>
      <w:r>
        <w:rPr>
          <w:rFonts w:ascii="Times New Roman" w:hAnsi="Times New Roman"/>
          <w:sz w:val="20"/>
        </w:rPr>
        <w:t>, a Texas Corporation (</w:t>
      </w:r>
      <w:r>
        <w:rPr>
          <w:rFonts w:ascii="Times New Roman" w:hAnsi="Times New Roman"/>
          <w:b/>
          <w:sz w:val="20"/>
        </w:rPr>
        <w:t>Assignor</w:t>
      </w:r>
      <w:r>
        <w:rPr>
          <w:rFonts w:ascii="Times New Roman" w:hAnsi="Times New Roman"/>
          <w:sz w:val="20"/>
        </w:rPr>
        <w:t xml:space="preserve">), </w:t>
      </w:r>
      <w:r>
        <w:rPr>
          <w:rFonts w:ascii="Times New Roman" w:hAnsi="Times New Roman"/>
          <w:b/>
          <w:sz w:val="20"/>
        </w:rPr>
        <w:t>MILLWORKS TOWN CENTER, LLC</w:t>
      </w:r>
      <w:r>
        <w:rPr>
          <w:rFonts w:ascii="Times New Roman" w:hAnsi="Times New Roman"/>
          <w:sz w:val="20"/>
        </w:rPr>
        <w:t>, an Ohio limited liability company (</w:t>
      </w:r>
      <w:r>
        <w:rPr>
          <w:rFonts w:ascii="Times New Roman" w:hAnsi="Times New Roman"/>
          <w:b/>
          <w:sz w:val="20"/>
        </w:rPr>
        <w:t>Assignee</w:t>
      </w:r>
      <w:r>
        <w:rPr>
          <w:rFonts w:ascii="Times New Roman" w:hAnsi="Times New Roman"/>
          <w:sz w:val="20"/>
        </w:rPr>
        <w:t xml:space="preserve">), and </w:t>
      </w:r>
      <w:r>
        <w:rPr>
          <w:rFonts w:ascii="Times New Roman" w:hAnsi="Times New Roman"/>
          <w:b/>
          <w:sz w:val="20"/>
        </w:rPr>
        <w:t>THE KIRK &amp; BLUM MANUFACTURING COMPANY</w:t>
      </w:r>
      <w:r>
        <w:rPr>
          <w:rFonts w:ascii="Times New Roman" w:hAnsi="Times New Roman"/>
          <w:sz w:val="20"/>
        </w:rPr>
        <w:t>, an Ohio corporation (</w:t>
      </w:r>
      <w:r>
        <w:rPr>
          <w:rFonts w:ascii="Times New Roman" w:hAnsi="Times New Roman"/>
          <w:b/>
          <w:sz w:val="20"/>
        </w:rPr>
        <w:t>Seller</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WITNESSETH: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Seller and Assignor entered into that certain Restated and Amended Purchase Agreement dated June 20, 2005, as amended by that certain First Amendment to Restated and Amended Purchase Agreement dated July 15, 2005, and the Second Amendment to Restated and Amended Purchase Agreement dated September 14, 2005 (as amended, the </w:t>
      </w:r>
      <w:r>
        <w:rPr>
          <w:rFonts w:ascii="Times New Roman" w:hAnsi="Times New Roman"/>
          <w:b/>
          <w:sz w:val="20"/>
        </w:rPr>
        <w:t>Agreement</w:t>
      </w:r>
      <w:r>
        <w:rPr>
          <w:rFonts w:ascii="Times New Roman" w:hAnsi="Times New Roman"/>
          <w:sz w:val="20"/>
        </w:rPr>
        <w:t xml:space="preserve">), covering the sale of two (2) separate parcels of land, as more particularly described therein (unless otherwise defined herein, all defined terms in this Third Amendment will have the same meaning as in the Agreement);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xml:space="preserve">, Assignor has previously deposited $200,000 Refundable Deposit pursuant to Section 2(b) of the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xml:space="preserve">, Assignor and Seller have previously agreed that the Closing of Parcel A must occur on or before October 31,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xml:space="preserve">, Assignor desires to assign and transfer all of its rights and obligations under the Agreement to Assignee, and Assignee desires to accept such assignment and transfer based upon the amendments contained herein;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WHEREAS</w:t>
      </w:r>
      <w:r>
        <w:rPr>
          <w:rFonts w:ascii="Times New Roman" w:hAnsi="Times New Roman"/>
          <w:sz w:val="20"/>
        </w:rPr>
        <w:t xml:space="preserve">, Seller consents to the assignment and transfer of all of Assignors rights and obligations under the Agreement to Assignee;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NOW, THEREFORE</w:t>
      </w:r>
      <w:r>
        <w:rPr>
          <w:rFonts w:ascii="Times New Roman" w:hAnsi="Times New Roman"/>
          <w:sz w:val="20"/>
        </w:rPr>
        <w:t xml:space="preserve">, for good and valuable consideration  which the parties acknowledge receiving  Seller, Assignee and Assignor hereby agree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Assignor hereby ASSIGNS, TRANSFERS, SETS OVER, DELIVERS AND CONVEYS to Assignee all of Assignors right, title, and interest as Purchaser under the Agreement, together with, to the extent assignable, all of Assignors rights, duties, obligations under Assignors Clean Ohio application and Assignors Development Agreement with the City of Cincinnati (collectively, the Clean Ohio and City of Cincinnati Documents).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Assignee hereby agrees to perform all of the covenants and agreements contained in the Agreement which are to be performed by the Purchaser thereunder and to otherwise fully assume all liabilities, obligations, and responsibilities of the Purchaser under the Agreement. Additionally, Assignee agrees to assume and perform all of Assignors covenants and agreements contained in the Clean Ohio and City of Cincinnati Documents.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By its execution of this Third Amendment, Seller hereby consents to the assignment of the Agreement from Assignor to Assignee.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4. Seller hereby releases Assignor from all obligations of the Purchaser under the Agreement, and Seller agrees that in the event of any default of Purchaser under the Agreement, Seller shall not pursue any action against, nor make any demand to, Assignor in connection with such default.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Closing of Parcel A is extended until on or before December 31, 2005, notwithstanding anything in the Agreement to the contrary.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 The $200,000.00 Refundable Deposit referenced in Section 2(b) of the Agreement shall be returned immediately to Assignor from the Title Company and shall not be required in order for the Agreement to remain in full effect, notwithstanding anything in the Agreement to the contrary.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 The following language from the First Amendment to Restated and Amended Purchase Agreement shall be deleted from the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Seller and Purchaser hereby agree to amend Section 2(b) of the Agreement to provide that if Purchaser at any time prior to the Closing of Parcel A discovers groundwater contamination existing in a Class A or Critical Resource aquifer within the Property or within any other portion of the Millworks development, including land owned by UNOVA and/or Milacron, then notwithstanding anything in the Agreement to the contrary, Purchaser may terminate the Agreement by written notice to Seller, and in such event, the Refundable Deposit shall be fully refundable to Purchaser, but in no event shall any Extension Fee be refundable to Purchaser under any circumstance. Purchaser shall pay to Seller the first Extension Fee with respect to Parcel A with Sellers execution of this Amendment.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other conditions contained in Section 2(b) shall remain effective and Assignee shall continue to have the right to terminate the Agreement if any such conditions are not satisfied prior to Closing.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8. Environmental inspection reports, pursuant to Section 4 of the Agreement, shall be shared at the sole discretion of Assignor and Assignee with UNOVA and its environmental consultants. The environmental inspection reports include all investigation conducted by Assignor and its development partner, Vision Land Development. To the extent assignable, Assignor hereby assigns to Assignee all of Assignors rights, title and interest in and to any environmental reports or audits and any other due diligence materials obtained by or within the control of Assignor in any way related to the Property. Assignor shall provide copies or originals of all such items to Assignee and execute such additional assignments and other documents as may be necessary to effectuate such assignments.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Except as specifically modified by the terms of this Third Amendment, all of the terms and provisions of the Agreement shall remain in full force and effect and unmodified and are hereby ratified by the parties.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Agreement may be executed in any number of counterparts, each of which will be an original, and all of which  when taken together  will constitute one (1) document. Facsimile signatures will be treated as original signatures for all purposes hereunder. </w:t>
      </w:r>
    </w:p>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(signature blocks on following page)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EFFECTIVE</w:t>
      </w:r>
      <w:r>
        <w:rPr>
          <w:rFonts w:ascii="Times New Roman" w:hAnsi="Times New Roman"/>
          <w:sz w:val="20"/>
        </w:rPr>
        <w:t xml:space="preserve"> as of the day and year first above written.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38"/>
        <w:gridCol w:w="127"/>
        <w:gridCol w:w="1525"/>
        <w:gridCol w:w="182"/>
        <w:gridCol w:w="3833"/>
      </w:tblGrid>
      <w:tr>
        <w:trPr/>
        <w:tc>
          <w:tcPr>
            <w:tcW w:w="453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3833" w:type="dxa"/>
            <w:tcBorders/>
            <w:shd w:fill="auto" w:val="clear"/>
            <w:vAlign w:val="center"/>
          </w:tcPr>
          <w:p>
            <w:pPr>
              <w:pStyle w:val="TableContents"/>
              <w:spacing w:before="0" w:after="283"/>
              <w:rPr>
                <w:sz w:val="4"/>
                <w:szCs w:val="4"/>
              </w:rPr>
            </w:pPr>
            <w:r>
              <w:rPr>
                <w:sz w:val="4"/>
                <w:szCs w:val="4"/>
              </w:rPr>
            </w:r>
          </w:p>
        </w:tc>
      </w:tr>
      <w:tr>
        <w:trPr/>
        <w:tc>
          <w:tcPr>
            <w:tcW w:w="4538" w:type="dxa"/>
            <w:tcBorders/>
            <w:shd w:fill="auto" w:val="clear"/>
          </w:tcPr>
          <w:p>
            <w:pPr>
              <w:pStyle w:val="TableContents"/>
              <w:spacing w:before="0" w:after="283"/>
              <w:rPr>
                <w:rFonts w:ascii="Times New Roman" w:hAnsi="Times New Roman"/>
                <w:b/>
                <w:sz w:val="20"/>
              </w:rPr>
            </w:pPr>
            <w:r>
              <w:rPr>
                <w:rFonts w:ascii="Times New Roman" w:hAnsi="Times New Roman"/>
                <w:b/>
                <w:sz w:val="20"/>
              </w:rPr>
              <w:t>ASSIGNOR:</w:t>
            </w:r>
          </w:p>
        </w:tc>
        <w:tc>
          <w:tcPr>
            <w:tcW w:w="127" w:type="dxa"/>
            <w:tcBorders/>
            <w:shd w:fill="auto" w:val="clear"/>
            <w:vAlign w:val="bottom"/>
          </w:tcPr>
          <w:p>
            <w:pPr>
              <w:pStyle w:val="TableContents"/>
              <w:spacing w:before="0" w:after="283"/>
              <w:rPr/>
            </w:pPr>
            <w:r>
              <w:rPr/>
              <w:t> </w:t>
            </w:r>
          </w:p>
        </w:tc>
        <w:tc>
          <w:tcPr>
            <w:tcW w:w="5540"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TRADEMARK PROPERTY COMPANY,</w:t>
            </w:r>
          </w:p>
        </w:tc>
      </w:tr>
      <w:tr>
        <w:trPr/>
        <w:tc>
          <w:tcPr>
            <w:tcW w:w="4538"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54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 Texas corporation</w:t>
            </w:r>
          </w:p>
        </w:tc>
      </w:tr>
      <w:tr>
        <w:trPr>
          <w:trHeight w:val="240" w:hRule="atLeast"/>
        </w:trPr>
        <w:tc>
          <w:tcPr>
            <w:tcW w:w="4538" w:type="dxa"/>
            <w:tcBorders/>
            <w:shd w:fill="auto" w:val="clear"/>
            <w:vAlign w:val="center"/>
          </w:tcPr>
          <w:p>
            <w:pPr>
              <w:pStyle w:val="TableContents"/>
              <w:spacing w:before="0" w:after="283"/>
              <w:rPr>
                <w:sz w:val="4"/>
                <w:szCs w:val="4"/>
              </w:rPr>
            </w:pPr>
            <w:r>
              <w:rPr>
                <w:sz w:val="4"/>
                <w:szCs w:val="4"/>
              </w:rPr>
            </w:r>
          </w:p>
        </w:tc>
        <w:tc>
          <w:tcPr>
            <w:tcW w:w="1652" w:type="dxa"/>
            <w:gridSpan w:val="2"/>
            <w:tcBorders/>
            <w:shd w:fill="auto" w:val="clear"/>
            <w:vAlign w:val="center"/>
          </w:tcPr>
          <w:p>
            <w:pPr>
              <w:pStyle w:val="TableContents"/>
              <w:spacing w:before="0" w:after="283"/>
              <w:rPr>
                <w:sz w:val="4"/>
                <w:szCs w:val="4"/>
              </w:rPr>
            </w:pPr>
            <w:r>
              <w:rPr>
                <w:sz w:val="4"/>
                <w:szCs w:val="4"/>
              </w:rPr>
            </w:r>
          </w:p>
        </w:tc>
        <w:tc>
          <w:tcPr>
            <w:tcW w:w="4015" w:type="dxa"/>
            <w:gridSpan w:val="2"/>
            <w:tcBorders/>
            <w:shd w:fill="auto" w:val="clear"/>
            <w:vAlign w:val="center"/>
          </w:tcPr>
          <w:p>
            <w:pPr>
              <w:pStyle w:val="TableContents"/>
              <w:spacing w:before="0" w:after="283"/>
              <w:rPr>
                <w:sz w:val="4"/>
                <w:szCs w:val="4"/>
              </w:rPr>
            </w:pPr>
            <w:r>
              <w:rPr>
                <w:sz w:val="4"/>
                <w:szCs w:val="4"/>
              </w:rPr>
            </w:r>
          </w:p>
        </w:tc>
      </w:tr>
      <w:tr>
        <w:trPr/>
        <w:tc>
          <w:tcPr>
            <w:tcW w:w="4538"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5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2" w:type="dxa"/>
            <w:tcBorders/>
            <w:shd w:fill="auto" w:val="clear"/>
            <w:vAlign w:val="bottom"/>
          </w:tcPr>
          <w:p>
            <w:pPr>
              <w:pStyle w:val="TableContents"/>
              <w:spacing w:before="0" w:after="283"/>
              <w:rPr/>
            </w:pPr>
            <w:r>
              <w:rPr/>
              <w:t> </w:t>
            </w:r>
          </w:p>
        </w:tc>
        <w:tc>
          <w:tcPr>
            <w:tcW w:w="3833"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4538"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52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82" w:type="dxa"/>
            <w:tcBorders/>
            <w:shd w:fill="auto" w:val="clear"/>
            <w:vAlign w:val="bottom"/>
          </w:tcPr>
          <w:p>
            <w:pPr>
              <w:pStyle w:val="TableContents"/>
              <w:spacing w:before="0" w:after="283"/>
              <w:rPr/>
            </w:pPr>
            <w:r>
              <w:rPr/>
              <w:t> </w:t>
            </w:r>
          </w:p>
        </w:tc>
        <w:tc>
          <w:tcPr>
            <w:tcW w:w="3833"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4538"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525"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182" w:type="dxa"/>
            <w:tcBorders/>
            <w:shd w:fill="auto" w:val="clear"/>
            <w:vAlign w:val="bottom"/>
          </w:tcPr>
          <w:p>
            <w:pPr>
              <w:pStyle w:val="TableContents"/>
              <w:spacing w:before="0" w:after="283"/>
              <w:rPr/>
            </w:pPr>
            <w:r>
              <w:rPr/>
              <w:t> </w:t>
            </w:r>
          </w:p>
        </w:tc>
        <w:tc>
          <w:tcPr>
            <w:tcW w:w="3833"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rHeight w:val="240" w:hRule="atLeast"/>
        </w:trPr>
        <w:tc>
          <w:tcPr>
            <w:tcW w:w="4538" w:type="dxa"/>
            <w:tcBorders/>
            <w:shd w:fill="auto" w:val="clear"/>
            <w:vAlign w:val="center"/>
          </w:tcPr>
          <w:p>
            <w:pPr>
              <w:pStyle w:val="TableContents"/>
              <w:spacing w:before="0" w:after="283"/>
              <w:rPr>
                <w:sz w:val="4"/>
                <w:szCs w:val="4"/>
              </w:rPr>
            </w:pPr>
            <w:r>
              <w:rPr>
                <w:sz w:val="4"/>
                <w:szCs w:val="4"/>
              </w:rPr>
            </w:r>
          </w:p>
        </w:tc>
        <w:tc>
          <w:tcPr>
            <w:tcW w:w="5667" w:type="dxa"/>
            <w:gridSpan w:val="4"/>
            <w:tcBorders/>
            <w:shd w:fill="auto" w:val="clear"/>
            <w:vAlign w:val="center"/>
          </w:tcPr>
          <w:p>
            <w:pPr>
              <w:pStyle w:val="TableContents"/>
              <w:spacing w:before="0" w:after="283"/>
              <w:rPr>
                <w:sz w:val="4"/>
                <w:szCs w:val="4"/>
              </w:rPr>
            </w:pPr>
            <w:r>
              <w:rPr>
                <w:sz w:val="4"/>
                <w:szCs w:val="4"/>
              </w:rPr>
            </w:r>
          </w:p>
        </w:tc>
      </w:tr>
      <w:tr>
        <w:trPr/>
        <w:tc>
          <w:tcPr>
            <w:tcW w:w="4538" w:type="dxa"/>
            <w:tcBorders/>
            <w:shd w:fill="auto" w:val="clear"/>
          </w:tcPr>
          <w:p>
            <w:pPr>
              <w:pStyle w:val="TableContents"/>
              <w:spacing w:before="0" w:after="283"/>
              <w:rPr>
                <w:rFonts w:ascii="Times New Roman" w:hAnsi="Times New Roman"/>
                <w:b/>
                <w:sz w:val="20"/>
              </w:rPr>
            </w:pPr>
            <w:r>
              <w:rPr>
                <w:rFonts w:ascii="Times New Roman" w:hAnsi="Times New Roman"/>
                <w:b/>
                <w:sz w:val="20"/>
              </w:rPr>
              <w:t>ASSIGNEE:</w:t>
            </w:r>
          </w:p>
        </w:tc>
        <w:tc>
          <w:tcPr>
            <w:tcW w:w="127" w:type="dxa"/>
            <w:tcBorders/>
            <w:shd w:fill="auto" w:val="clear"/>
            <w:vAlign w:val="bottom"/>
          </w:tcPr>
          <w:p>
            <w:pPr>
              <w:pStyle w:val="TableContents"/>
              <w:spacing w:before="0" w:after="283"/>
              <w:rPr/>
            </w:pPr>
            <w:r>
              <w:rPr/>
              <w:t> </w:t>
            </w:r>
          </w:p>
        </w:tc>
        <w:tc>
          <w:tcPr>
            <w:tcW w:w="5540"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MILLWORKS TOWN CENTER, LLC,</w:t>
            </w:r>
          </w:p>
        </w:tc>
      </w:tr>
      <w:tr>
        <w:trPr/>
        <w:tc>
          <w:tcPr>
            <w:tcW w:w="4538"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54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an Ohio limited liability company</w:t>
            </w:r>
          </w:p>
        </w:tc>
      </w:tr>
      <w:tr>
        <w:trPr>
          <w:trHeight w:val="240" w:hRule="atLeast"/>
        </w:trPr>
        <w:tc>
          <w:tcPr>
            <w:tcW w:w="4538" w:type="dxa"/>
            <w:tcBorders/>
            <w:shd w:fill="auto" w:val="clear"/>
            <w:vAlign w:val="center"/>
          </w:tcPr>
          <w:p>
            <w:pPr>
              <w:pStyle w:val="TableContents"/>
              <w:spacing w:before="0" w:after="283"/>
              <w:rPr>
                <w:sz w:val="4"/>
                <w:szCs w:val="4"/>
              </w:rPr>
            </w:pPr>
            <w:r>
              <w:rPr>
                <w:sz w:val="4"/>
                <w:szCs w:val="4"/>
              </w:rPr>
            </w:r>
          </w:p>
        </w:tc>
        <w:tc>
          <w:tcPr>
            <w:tcW w:w="1652" w:type="dxa"/>
            <w:gridSpan w:val="2"/>
            <w:tcBorders/>
            <w:shd w:fill="auto" w:val="clear"/>
            <w:vAlign w:val="center"/>
          </w:tcPr>
          <w:p>
            <w:pPr>
              <w:pStyle w:val="TableContents"/>
              <w:spacing w:before="0" w:after="283"/>
              <w:rPr>
                <w:sz w:val="4"/>
                <w:szCs w:val="4"/>
              </w:rPr>
            </w:pPr>
            <w:r>
              <w:rPr>
                <w:sz w:val="4"/>
                <w:szCs w:val="4"/>
              </w:rPr>
            </w:r>
          </w:p>
        </w:tc>
        <w:tc>
          <w:tcPr>
            <w:tcW w:w="4015" w:type="dxa"/>
            <w:gridSpan w:val="2"/>
            <w:tcBorders/>
            <w:shd w:fill="auto" w:val="clear"/>
            <w:vAlign w:val="center"/>
          </w:tcPr>
          <w:p>
            <w:pPr>
              <w:pStyle w:val="TableContents"/>
              <w:spacing w:before="0" w:after="283"/>
              <w:rPr>
                <w:sz w:val="4"/>
                <w:szCs w:val="4"/>
              </w:rPr>
            </w:pPr>
            <w:r>
              <w:rPr>
                <w:sz w:val="4"/>
                <w:szCs w:val="4"/>
              </w:rPr>
            </w:r>
          </w:p>
        </w:tc>
      </w:tr>
      <w:tr>
        <w:trPr/>
        <w:tc>
          <w:tcPr>
            <w:tcW w:w="4538"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5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2" w:type="dxa"/>
            <w:tcBorders/>
            <w:shd w:fill="auto" w:val="clear"/>
            <w:vAlign w:val="bottom"/>
          </w:tcPr>
          <w:p>
            <w:pPr>
              <w:pStyle w:val="TableContents"/>
              <w:spacing w:before="0" w:after="283"/>
              <w:rPr/>
            </w:pPr>
            <w:r>
              <w:rPr/>
              <w:t> </w:t>
            </w:r>
          </w:p>
        </w:tc>
        <w:tc>
          <w:tcPr>
            <w:tcW w:w="3833"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4538"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52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82" w:type="dxa"/>
            <w:tcBorders/>
            <w:shd w:fill="auto" w:val="clear"/>
            <w:vAlign w:val="bottom"/>
          </w:tcPr>
          <w:p>
            <w:pPr>
              <w:pStyle w:val="TableContents"/>
              <w:spacing w:before="0" w:after="283"/>
              <w:rPr/>
            </w:pPr>
            <w:r>
              <w:rPr/>
              <w:t> </w:t>
            </w:r>
          </w:p>
        </w:tc>
        <w:tc>
          <w:tcPr>
            <w:tcW w:w="3833"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4538"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525"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182" w:type="dxa"/>
            <w:tcBorders/>
            <w:shd w:fill="auto" w:val="clear"/>
            <w:vAlign w:val="bottom"/>
          </w:tcPr>
          <w:p>
            <w:pPr>
              <w:pStyle w:val="TableContents"/>
              <w:spacing w:before="0" w:after="283"/>
              <w:rPr/>
            </w:pPr>
            <w:r>
              <w:rPr/>
              <w:t> </w:t>
            </w:r>
          </w:p>
        </w:tc>
        <w:tc>
          <w:tcPr>
            <w:tcW w:w="3833"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rHeight w:val="240" w:hRule="atLeast"/>
        </w:trPr>
        <w:tc>
          <w:tcPr>
            <w:tcW w:w="4538" w:type="dxa"/>
            <w:tcBorders/>
            <w:shd w:fill="auto" w:val="clear"/>
            <w:vAlign w:val="center"/>
          </w:tcPr>
          <w:p>
            <w:pPr>
              <w:pStyle w:val="TableContents"/>
              <w:spacing w:before="0" w:after="283"/>
              <w:rPr>
                <w:sz w:val="4"/>
                <w:szCs w:val="4"/>
              </w:rPr>
            </w:pPr>
            <w:r>
              <w:rPr>
                <w:sz w:val="4"/>
                <w:szCs w:val="4"/>
              </w:rPr>
            </w:r>
          </w:p>
        </w:tc>
        <w:tc>
          <w:tcPr>
            <w:tcW w:w="5667" w:type="dxa"/>
            <w:gridSpan w:val="4"/>
            <w:tcBorders/>
            <w:shd w:fill="auto" w:val="clear"/>
            <w:vAlign w:val="center"/>
          </w:tcPr>
          <w:p>
            <w:pPr>
              <w:pStyle w:val="TableContents"/>
              <w:spacing w:before="0" w:after="283"/>
              <w:rPr>
                <w:sz w:val="4"/>
                <w:szCs w:val="4"/>
              </w:rPr>
            </w:pPr>
            <w:r>
              <w:rPr>
                <w:sz w:val="4"/>
                <w:szCs w:val="4"/>
              </w:rPr>
            </w:r>
          </w:p>
        </w:tc>
      </w:tr>
      <w:tr>
        <w:trPr/>
        <w:tc>
          <w:tcPr>
            <w:tcW w:w="4538" w:type="dxa"/>
            <w:tcBorders/>
            <w:shd w:fill="auto" w:val="clear"/>
          </w:tcPr>
          <w:p>
            <w:pPr>
              <w:pStyle w:val="TableContents"/>
              <w:spacing w:before="0" w:after="283"/>
              <w:rPr>
                <w:rFonts w:ascii="Times New Roman" w:hAnsi="Times New Roman"/>
                <w:b/>
                <w:sz w:val="20"/>
              </w:rPr>
            </w:pPr>
            <w:r>
              <w:rPr>
                <w:rFonts w:ascii="Times New Roman" w:hAnsi="Times New Roman"/>
                <w:b/>
                <w:sz w:val="20"/>
              </w:rPr>
              <w:t>SELLER:</w:t>
            </w:r>
          </w:p>
        </w:tc>
        <w:tc>
          <w:tcPr>
            <w:tcW w:w="127" w:type="dxa"/>
            <w:tcBorders/>
            <w:shd w:fill="auto" w:val="clear"/>
            <w:vAlign w:val="bottom"/>
          </w:tcPr>
          <w:p>
            <w:pPr>
              <w:pStyle w:val="TableContents"/>
              <w:spacing w:before="0" w:after="283"/>
              <w:rPr/>
            </w:pPr>
            <w:r>
              <w:rPr/>
              <w:t> </w:t>
            </w:r>
          </w:p>
        </w:tc>
        <w:tc>
          <w:tcPr>
            <w:tcW w:w="5540"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THE KIRK &amp; BLUM MANUFACTURING COMPANY,</w:t>
            </w:r>
          </w:p>
        </w:tc>
      </w:tr>
      <w:tr>
        <w:trPr/>
        <w:tc>
          <w:tcPr>
            <w:tcW w:w="4538"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54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an Ohio corporation</w:t>
            </w:r>
          </w:p>
        </w:tc>
      </w:tr>
      <w:tr>
        <w:trPr>
          <w:trHeight w:val="240" w:hRule="atLeast"/>
        </w:trPr>
        <w:tc>
          <w:tcPr>
            <w:tcW w:w="4538" w:type="dxa"/>
            <w:tcBorders/>
            <w:shd w:fill="auto" w:val="clear"/>
            <w:vAlign w:val="center"/>
          </w:tcPr>
          <w:p>
            <w:pPr>
              <w:pStyle w:val="TableContents"/>
              <w:spacing w:before="0" w:after="283"/>
              <w:rPr>
                <w:sz w:val="4"/>
                <w:szCs w:val="4"/>
              </w:rPr>
            </w:pPr>
            <w:r>
              <w:rPr>
                <w:sz w:val="4"/>
                <w:szCs w:val="4"/>
              </w:rPr>
            </w:r>
          </w:p>
        </w:tc>
        <w:tc>
          <w:tcPr>
            <w:tcW w:w="1652" w:type="dxa"/>
            <w:gridSpan w:val="2"/>
            <w:tcBorders/>
            <w:shd w:fill="auto" w:val="clear"/>
            <w:vAlign w:val="center"/>
          </w:tcPr>
          <w:p>
            <w:pPr>
              <w:pStyle w:val="TableContents"/>
              <w:spacing w:before="0" w:after="283"/>
              <w:rPr>
                <w:sz w:val="4"/>
                <w:szCs w:val="4"/>
              </w:rPr>
            </w:pPr>
            <w:r>
              <w:rPr>
                <w:sz w:val="4"/>
                <w:szCs w:val="4"/>
              </w:rPr>
            </w:r>
          </w:p>
        </w:tc>
        <w:tc>
          <w:tcPr>
            <w:tcW w:w="4015" w:type="dxa"/>
            <w:gridSpan w:val="2"/>
            <w:tcBorders/>
            <w:shd w:fill="auto" w:val="clear"/>
            <w:vAlign w:val="center"/>
          </w:tcPr>
          <w:p>
            <w:pPr>
              <w:pStyle w:val="TableContents"/>
              <w:spacing w:before="0" w:after="283"/>
              <w:rPr>
                <w:sz w:val="4"/>
                <w:szCs w:val="4"/>
              </w:rPr>
            </w:pPr>
            <w:r>
              <w:rPr>
                <w:sz w:val="4"/>
                <w:szCs w:val="4"/>
              </w:rPr>
            </w:r>
          </w:p>
        </w:tc>
      </w:tr>
      <w:tr>
        <w:trPr/>
        <w:tc>
          <w:tcPr>
            <w:tcW w:w="4538"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5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2" w:type="dxa"/>
            <w:tcBorders/>
            <w:shd w:fill="auto" w:val="clear"/>
            <w:vAlign w:val="bottom"/>
          </w:tcPr>
          <w:p>
            <w:pPr>
              <w:pStyle w:val="TableContents"/>
              <w:spacing w:before="0" w:after="283"/>
              <w:rPr/>
            </w:pPr>
            <w:r>
              <w:rPr/>
              <w:t> </w:t>
            </w:r>
          </w:p>
        </w:tc>
        <w:tc>
          <w:tcPr>
            <w:tcW w:w="3833"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4538"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52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82" w:type="dxa"/>
            <w:tcBorders/>
            <w:shd w:fill="auto" w:val="clear"/>
            <w:vAlign w:val="bottom"/>
          </w:tcPr>
          <w:p>
            <w:pPr>
              <w:pStyle w:val="TableContents"/>
              <w:spacing w:before="0" w:after="283"/>
              <w:rPr/>
            </w:pPr>
            <w:r>
              <w:rPr/>
              <w:t> </w:t>
            </w:r>
          </w:p>
        </w:tc>
        <w:tc>
          <w:tcPr>
            <w:tcW w:w="3833"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4538"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525" w:type="dxa"/>
            <w:tcBorders/>
            <w:shd w:fill="auto" w:val="clear"/>
          </w:tcPr>
          <w:p>
            <w:pPr>
              <w:pStyle w:val="TableContents"/>
              <w:spacing w:before="0" w:after="283"/>
              <w:rPr>
                <w:rFonts w:ascii="Times New Roman" w:hAnsi="Times New Roman"/>
                <w:sz w:val="20"/>
              </w:rPr>
            </w:pPr>
            <w:r>
              <w:rPr>
                <w:rFonts w:ascii="Times New Roman" w:hAnsi="Times New Roman"/>
                <w:sz w:val="20"/>
              </w:rPr>
              <w:t>Its:</w:t>
            </w:r>
          </w:p>
        </w:tc>
        <w:tc>
          <w:tcPr>
            <w:tcW w:w="182" w:type="dxa"/>
            <w:tcBorders/>
            <w:shd w:fill="auto" w:val="clear"/>
            <w:vAlign w:val="bottom"/>
          </w:tcPr>
          <w:p>
            <w:pPr>
              <w:pStyle w:val="TableContents"/>
              <w:spacing w:before="0" w:after="283"/>
              <w:rPr/>
            </w:pPr>
            <w:r>
              <w:rPr/>
              <w:t> </w:t>
            </w:r>
          </w:p>
        </w:tc>
        <w:tc>
          <w:tcPr>
            <w:tcW w:w="3833"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TextBody"/>
        <w:spacing w:before="0" w:after="0"/>
        <w:jc w:val="right"/>
        <w:rPr>
          <w:rFonts w:ascii="Times New Roman" w:hAnsi="Times New Roman"/>
          <w:b/>
          <w:sz w:val="20"/>
        </w:rPr>
      </w:pPr>
      <w:bookmarkStart w:id="19" w:name="dex311.htm"/>
      <w:bookmarkStart w:id="20" w:name="ksdex311"/>
      <w:bookmarkEnd w:id="19"/>
      <w:bookmarkEnd w:id="20"/>
      <w:r>
        <w:rPr>
          <w:rFonts w:ascii="Times New Roman" w:hAnsi="Times New Roman"/>
          <w:b/>
          <w:sz w:val="20"/>
        </w:rPr>
        <w:t xml:space="preserve">Exhibit 31.1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Phillip DeZwirek,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for the Company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to our internal control over financial reporting that occurred during our most recent fiscal quarter that has materially affected, or is reasonably likely to materially affect, our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controls over financial reporting, to our auditors and the audit committee of our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our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our internal control over financial reporting.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 Chief Executive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November 07, 2005</w:t>
            </w:r>
          </w:p>
        </w:tc>
      </w:tr>
    </w:tbl>
    <w:p>
      <w:pPr>
        <w:pStyle w:val="TextBody"/>
        <w:spacing w:before="0" w:after="0"/>
        <w:jc w:val="right"/>
        <w:rPr>
          <w:rFonts w:ascii="Times New Roman" w:hAnsi="Times New Roman"/>
          <w:b/>
          <w:sz w:val="20"/>
        </w:rPr>
      </w:pPr>
      <w:r>
        <w:br w:type="page"/>
      </w:r>
      <w:bookmarkStart w:id="21" w:name="dex312.htm"/>
      <w:bookmarkStart w:id="22" w:name="ksdex312"/>
      <w:bookmarkEnd w:id="21"/>
      <w:bookmarkEnd w:id="22"/>
      <w:r>
        <w:rPr>
          <w:rFonts w:ascii="Times New Roman" w:hAnsi="Times New Roman"/>
          <w:b/>
          <w:sz w:val="20"/>
        </w:rPr>
        <w:t xml:space="preserve">Exhibit 31.2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Dennis W. Blazer,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for the Company and we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our disclosure controls and procedures and presented in this quarterly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changes to our internal control over financial reporting that occurred during our most recent fiscal quarter that has materially affected, or is reasonably likely to materially affect, our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controls over financial reporting, to our auditors and the audit committee of our board of directors (or persons performing the equivalent function):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our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our internal control over financial reporting.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Dennis W. Blazer</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 Chief 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November 07, 2005</w:t>
            </w:r>
          </w:p>
        </w:tc>
      </w:tr>
    </w:tbl>
    <w:p>
      <w:pPr>
        <w:pStyle w:val="TextBody"/>
        <w:spacing w:before="0" w:after="0"/>
        <w:jc w:val="right"/>
        <w:rPr>
          <w:rFonts w:ascii="Times New Roman" w:hAnsi="Times New Roman"/>
          <w:b/>
          <w:sz w:val="20"/>
        </w:rPr>
      </w:pPr>
      <w:r>
        <w:br w:type="page"/>
      </w:r>
      <w:bookmarkStart w:id="23" w:name="dex321.htm"/>
      <w:bookmarkStart w:id="24" w:name="ksdex321"/>
      <w:bookmarkEnd w:id="23"/>
      <w:bookmarkEnd w:id="24"/>
      <w:r>
        <w:rPr>
          <w:rFonts w:ascii="Times New Roman" w:hAnsi="Times New Roman"/>
          <w:b/>
          <w:sz w:val="20"/>
        </w:rPr>
        <w:t xml:space="preserve">Exhibit 32.1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September 30, 2005 as filed with the Securities and Exchange Commission on the date hereof (the Report), I, Phillip DeZwirek, Chairman of the Board and Chief Executive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and Chief Executive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November 07, 2005</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r>
        <w:br w:type="page"/>
      </w:r>
    </w:p>
    <w:p>
      <w:pPr>
        <w:pStyle w:val="TextBody"/>
        <w:spacing w:before="0" w:after="0"/>
        <w:jc w:val="right"/>
        <w:rPr>
          <w:rFonts w:ascii="Times New Roman" w:hAnsi="Times New Roman"/>
          <w:b/>
          <w:sz w:val="20"/>
        </w:rPr>
      </w:pPr>
      <w:bookmarkStart w:id="25" w:name="dex322.htm"/>
      <w:bookmarkStart w:id="26" w:name="ksdex322"/>
      <w:bookmarkEnd w:id="25"/>
      <w:bookmarkEnd w:id="26"/>
      <w:r>
        <w:rPr>
          <w:rFonts w:ascii="Times New Roman" w:hAnsi="Times New Roman"/>
          <w:b/>
          <w:sz w:val="20"/>
        </w:rPr>
        <w:t xml:space="preserve">Exhibit 32.2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September 30, 2005 as filed with the Securities and Exchange Commission on the date hereof (the Report), I, Dennis W. Blazer, V.P.  Finance and Administration and Chief Financial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Dennis W. Blazer</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V.P.  Finance and Administration and</w:t>
            </w:r>
          </w:p>
          <w:p>
            <w:pPr>
              <w:pStyle w:val="TableContents"/>
              <w:spacing w:before="0" w:after="15"/>
              <w:rPr>
                <w:rFonts w:ascii="Times New Roman" w:hAnsi="Times New Roman"/>
                <w:sz w:val="20"/>
              </w:rPr>
            </w:pPr>
            <w:r>
              <w:rPr>
                <w:rFonts w:ascii="Times New Roman" w:hAnsi="Times New Roman"/>
                <w:sz w:val="20"/>
              </w:rPr>
              <w:t>Chief 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November 07, 2005</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signed original of this written statement required by Section 906 has been provided to CECO Environmental Corp. and will be retained by CECO Environmental Corp. and furnished to the Securities and Exchange Commission or its staff upon request.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28</Pages>
  <Words>9580</Words>
  <CharactersWithSpaces>60266</CharactersWithSpaces>
  <Paragraphs>2430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 906 CFO Certification</dc:title>
</cp:coreProperties>
</file>