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45"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4"/>
        </w:rPr>
      </w:pPr>
      <w:r>
        <w:rPr>
          <w:rFonts w:ascii="Times New Roman" w:hAnsi="Times New Roman"/>
          <w:b/>
          <w:sz w:val="24"/>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Securities Exchange Act of 1934 </w:t>
      </w:r>
    </w:p>
    <w:p>
      <w:pPr>
        <w:pStyle w:val="TextBody"/>
        <w:spacing w:before="180" w:after="0"/>
        <w:jc w:val="center"/>
        <w:rPr>
          <w:rFonts w:ascii="Times New Roman" w:hAnsi="Times New Roman"/>
          <w:b/>
          <w:sz w:val="20"/>
        </w:rPr>
      </w:pPr>
      <w:r>
        <w:rPr>
          <w:rFonts w:ascii="Times New Roman" w:hAnsi="Times New Roman"/>
          <w:b/>
          <w:sz w:val="20"/>
        </w:rPr>
        <w:t xml:space="preserve">Date of Report (Date of earliest event reported): March 12, 2009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14"/>
        </w:rPr>
      </w:pPr>
      <w:r>
        <w:rPr>
          <w:rFonts w:ascii="Times New Roman" w:hAnsi="Times New Roman"/>
          <w:b/>
          <w:sz w:val="14"/>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000-7099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(Commission 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3120 Forrer Street,</w:t>
            </w:r>
          </w:p>
          <w:p>
            <w:pPr>
              <w:pStyle w:val="TableContents"/>
              <w:spacing w:before="0" w:after="15"/>
              <w:jc w:val="center"/>
              <w:rPr>
                <w:rFonts w:ascii="Times New Roman" w:hAnsi="Times New Roman"/>
                <w:b/>
                <w:sz w:val="20"/>
              </w:rPr>
            </w:pPr>
            <w:r>
              <w:rPr>
                <w:rFonts w:ascii="Times New Roman" w:hAnsi="Times New Roman"/>
                <w:b/>
                <w:sz w:val="20"/>
              </w:rPr>
              <w:t>Cincinnati, OH</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4"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1" w:type="dxa"/>
            <w:tcBorders/>
            <w:shd w:fill="auto" w:val="clear"/>
            <w:vAlign w:val="bottom"/>
          </w:tcPr>
          <w:p>
            <w:pPr>
              <w:pStyle w:val="TableContents"/>
              <w:spacing w:before="0" w:after="283"/>
              <w:rPr/>
            </w:pPr>
            <w:r>
              <w:rPr/>
              <w:t> </w:t>
            </w:r>
          </w:p>
        </w:tc>
        <w:tc>
          <w:tcPr>
            <w:tcW w:w="4900"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lineRule="atLeast" w:line="141"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999999"/>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March 12, 2009, CECO Environmental Corp. (the Company) issued a press release announcing its financial results for the three and twelve months ended December 31, 2008. A copy of the press release is furnished as Exhibit 99.1. to this report and is incorporated herein by reference.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exhibits,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99"/>
        <w:gridCol w:w="413"/>
        <w:gridCol w:w="9293"/>
      </w:tblGrid>
      <w:tr>
        <w:trPr/>
        <w:tc>
          <w:tcPr>
            <w:tcW w:w="49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bottom"/>
          </w:tcPr>
          <w:p>
            <w:pPr>
              <w:pStyle w:val="TableContents"/>
              <w:spacing w:before="0" w:after="283"/>
              <w:rPr>
                <w:sz w:val="4"/>
                <w:szCs w:val="4"/>
              </w:rPr>
            </w:pPr>
            <w:r>
              <w:rPr>
                <w:sz w:val="4"/>
                <w:szCs w:val="4"/>
              </w:rPr>
            </w:r>
          </w:p>
        </w:tc>
        <w:tc>
          <w:tcPr>
            <w:tcW w:w="9293" w:type="dxa"/>
            <w:tcBorders/>
            <w:shd w:fill="auto" w:val="clear"/>
            <w:vAlign w:val="center"/>
          </w:tcPr>
          <w:p>
            <w:pPr>
              <w:pStyle w:val="TableContents"/>
              <w:spacing w:before="0" w:after="283"/>
              <w:rPr>
                <w:sz w:val="4"/>
                <w:szCs w:val="4"/>
              </w:rPr>
            </w:pPr>
            <w:r>
              <w:rPr>
                <w:sz w:val="4"/>
                <w:szCs w:val="4"/>
              </w:rPr>
            </w:r>
          </w:p>
        </w:tc>
      </w:tr>
      <w:tr>
        <w:trPr/>
        <w:tc>
          <w:tcPr>
            <w:tcW w:w="499"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w:t>
              <w:br/>
              <w:t>Number</w:t>
            </w:r>
          </w:p>
        </w:tc>
        <w:tc>
          <w:tcPr>
            <w:tcW w:w="413" w:type="dxa"/>
            <w:tcBorders/>
            <w:shd w:fill="auto" w:val="clear"/>
            <w:vAlign w:val="bottom"/>
          </w:tcPr>
          <w:p>
            <w:pPr>
              <w:pStyle w:val="TableContents"/>
              <w:spacing w:before="0" w:after="283"/>
              <w:rPr/>
            </w:pPr>
            <w:r>
              <w:rPr/>
              <w:t> </w:t>
            </w:r>
          </w:p>
        </w:tc>
        <w:tc>
          <w:tcPr>
            <w:tcW w:w="9293" w:type="dxa"/>
            <w:tcBorders>
              <w:bottom w:val="single" w:sz="2" w:space="0" w:color="000000"/>
            </w:tcBorders>
            <w:shd w:fill="auto" w:val="clear"/>
            <w:tcMar>
              <w:bottom w:w="28" w:type="dxa"/>
            </w:tcMar>
            <w:vAlign w:val="bottom"/>
          </w:tcPr>
          <w:p>
            <w:pPr>
              <w:pStyle w:val="TableContents"/>
              <w:spacing w:before="0" w:after="15"/>
              <w:rPr>
                <w:rFonts w:ascii="Times New Roman" w:hAnsi="Times New Roman"/>
                <w:b/>
                <w:sz w:val="14"/>
              </w:rPr>
            </w:pPr>
            <w:r>
              <w:rPr>
                <w:rFonts w:ascii="Times New Roman" w:hAnsi="Times New Roman"/>
                <w:b/>
                <w:sz w:val="14"/>
              </w:rPr>
              <w:t>Exhibit Title</w:t>
            </w:r>
          </w:p>
        </w:tc>
      </w:tr>
      <w:tr>
        <w:trPr/>
        <w:tc>
          <w:tcPr>
            <w:tcW w:w="499"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413" w:type="dxa"/>
            <w:tcBorders/>
            <w:shd w:fill="auto" w:val="clear"/>
            <w:vAlign w:val="bottom"/>
          </w:tcPr>
          <w:p>
            <w:pPr>
              <w:pStyle w:val="TableContents"/>
              <w:spacing w:before="0" w:after="283"/>
              <w:rPr/>
            </w:pPr>
            <w:r>
              <w:rPr/>
              <w:t> </w:t>
            </w:r>
          </w:p>
        </w:tc>
        <w:tc>
          <w:tcPr>
            <w:tcW w:w="9293"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March 12, 2009.</w:t>
            </w:r>
          </w:p>
        </w:tc>
      </w:tr>
    </w:tbl>
    <w:p>
      <w:pPr>
        <w:pStyle w:val="HorizontalLine"/>
        <w:pBdr>
          <w:bottom w:val="double" w:sz="6" w:space="0" w:color="999999"/>
        </w:pBdr>
        <w:rPr/>
      </w:pPr>
      <w:r>
        <w:br w:type="page"/>
      </w:r>
      <w:r>
        <w:rPr/>
      </w:r>
    </w:p>
    <w:p>
      <w:pPr>
        <w:pStyle w:val="TextBody"/>
        <w:spacing w:before="0" w:after="0"/>
        <w:rPr>
          <w:rFonts w:ascii="Times New Roman" w:hAnsi="Times New Roman"/>
          <w:b/>
          <w:sz w:val="20"/>
        </w:rPr>
      </w:pPr>
      <w:r>
        <w:rPr>
          <w:rFonts w:ascii="Times New Roman" w:hAnsi="Times New Roman"/>
          <w:b/>
          <w:sz w:val="20"/>
        </w:rPr>
        <w:t xml:space="preserve">Signatures </w:t>
      </w:r>
    </w:p>
    <w:p>
      <w:pPr>
        <w:pStyle w:val="TextBody"/>
        <w:spacing w:before="9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660"/>
        <w:gridCol w:w="111"/>
        <w:gridCol w:w="260"/>
        <w:gridCol w:w="111"/>
        <w:gridCol w:w="5063"/>
      </w:tblGrid>
      <w:tr>
        <w:trPr/>
        <w:tc>
          <w:tcPr>
            <w:tcW w:w="46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5063" w:type="dxa"/>
            <w:tcBorders/>
            <w:shd w:fill="auto" w:val="clear"/>
            <w:vAlign w:val="center"/>
          </w:tcPr>
          <w:p>
            <w:pPr>
              <w:pStyle w:val="TableContents"/>
              <w:spacing w:before="0" w:after="283"/>
              <w:rPr>
                <w:sz w:val="4"/>
                <w:szCs w:val="4"/>
              </w:rPr>
            </w:pPr>
            <w:r>
              <w:rPr>
                <w:sz w:val="4"/>
                <w:szCs w:val="4"/>
              </w:rPr>
            </w:r>
          </w:p>
        </w:tc>
      </w:tr>
      <w:tr>
        <w:trPr/>
        <w:tc>
          <w:tcPr>
            <w:tcW w:w="4660" w:type="dxa"/>
            <w:tcBorders/>
            <w:shd w:fill="auto" w:val="clear"/>
          </w:tcPr>
          <w:p>
            <w:pPr>
              <w:pStyle w:val="TableContents"/>
              <w:spacing w:before="0" w:after="283"/>
              <w:rPr>
                <w:rFonts w:ascii="Times New Roman" w:hAnsi="Times New Roman"/>
                <w:sz w:val="20"/>
              </w:rPr>
            </w:pPr>
            <w:r>
              <w:rPr>
                <w:rFonts w:ascii="Times New Roman" w:hAnsi="Times New Roman"/>
                <w:sz w:val="20"/>
              </w:rPr>
              <w:t>Date: March 12, 2009</w:t>
            </w:r>
          </w:p>
        </w:tc>
        <w:tc>
          <w:tcPr>
            <w:tcW w:w="111" w:type="dxa"/>
            <w:tcBorders/>
            <w:shd w:fill="auto" w:val="clear"/>
            <w:vAlign w:val="bottom"/>
          </w:tcPr>
          <w:p>
            <w:pPr>
              <w:pStyle w:val="TableContents"/>
              <w:spacing w:before="0" w:after="283"/>
              <w:rPr/>
            </w:pPr>
            <w:r>
              <w:rPr/>
              <w:t> </w:t>
            </w:r>
          </w:p>
        </w:tc>
        <w:tc>
          <w:tcPr>
            <w:tcW w:w="5434"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660" w:type="dxa"/>
            <w:tcBorders/>
            <w:shd w:fill="auto" w:val="clear"/>
            <w:vAlign w:val="center"/>
          </w:tcPr>
          <w:p>
            <w:pPr>
              <w:pStyle w:val="TableContents"/>
              <w:spacing w:before="0" w:after="283"/>
              <w:rPr>
                <w:sz w:val="4"/>
                <w:szCs w:val="4"/>
              </w:rPr>
            </w:pPr>
            <w:r>
              <w:rPr>
                <w:sz w:val="4"/>
                <w:szCs w:val="4"/>
              </w:rPr>
            </w:r>
          </w:p>
        </w:tc>
        <w:tc>
          <w:tcPr>
            <w:tcW w:w="371" w:type="dxa"/>
            <w:gridSpan w:val="2"/>
            <w:tcBorders/>
            <w:shd w:fill="auto" w:val="clear"/>
            <w:vAlign w:val="center"/>
          </w:tcPr>
          <w:p>
            <w:pPr>
              <w:pStyle w:val="TableContents"/>
              <w:spacing w:before="0" w:after="283"/>
              <w:rPr>
                <w:sz w:val="4"/>
                <w:szCs w:val="4"/>
              </w:rPr>
            </w:pPr>
            <w:r>
              <w:rPr>
                <w:sz w:val="4"/>
                <w:szCs w:val="4"/>
              </w:rPr>
            </w:r>
          </w:p>
        </w:tc>
        <w:tc>
          <w:tcPr>
            <w:tcW w:w="5174" w:type="dxa"/>
            <w:gridSpan w:val="2"/>
            <w:tcBorders/>
            <w:shd w:fill="auto" w:val="clear"/>
            <w:vAlign w:val="center"/>
          </w:tcPr>
          <w:p>
            <w:pPr>
              <w:pStyle w:val="TableContents"/>
              <w:spacing w:before="0" w:after="283"/>
              <w:rPr>
                <w:sz w:val="4"/>
                <w:szCs w:val="4"/>
              </w:rPr>
            </w:pPr>
            <w:r>
              <w:rPr>
                <w:sz w:val="4"/>
                <w:szCs w:val="4"/>
              </w:rPr>
            </w:r>
          </w:p>
        </w:tc>
      </w:tr>
      <w:tr>
        <w:trPr/>
        <w:tc>
          <w:tcPr>
            <w:tcW w:w="46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5063" w:type="dxa"/>
            <w:tcBorders/>
            <w:shd w:fill="auto" w:val="clear"/>
            <w:vAlign w:val="bottom"/>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Dennis W. Blazer</w:t>
            </w:r>
          </w:p>
        </w:tc>
      </w:tr>
      <w:tr>
        <w:trPr/>
        <w:tc>
          <w:tcPr>
            <w:tcW w:w="46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0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6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0" w:type="dxa"/>
            <w:tcBorders/>
            <w:shd w:fill="auto" w:val="clear"/>
            <w:vAlign w:val="bottom"/>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5063"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PresidentFinance and Administration 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1552575"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51435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NasdaqGM:CECE</w:t>
            </w:r>
          </w:p>
        </w:tc>
        <w:tc>
          <w:tcPr>
            <w:tcW w:w="204"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18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RECORD FOURTH QUARTER 2008 PROFIT </w:t>
      </w:r>
    </w:p>
    <w:p>
      <w:pPr>
        <w:pStyle w:val="TextBody"/>
        <w:spacing w:before="180" w:after="0"/>
        <w:jc w:val="center"/>
        <w:rPr>
          <w:rFonts w:ascii="Times New Roman" w:hAnsi="Times New Roman"/>
          <w:b/>
          <w:sz w:val="20"/>
        </w:rPr>
      </w:pPr>
      <w:r>
        <w:rPr>
          <w:rFonts w:ascii="Times New Roman" w:hAnsi="Times New Roman"/>
          <w:b/>
          <w:sz w:val="20"/>
        </w:rPr>
        <w:t xml:space="preserve">Quarterly Operating Income Increases 57% to $4.4 Million </w:t>
      </w:r>
    </w:p>
    <w:p>
      <w:pPr>
        <w:pStyle w:val="TextBody"/>
        <w:spacing w:before="0" w:after="0"/>
        <w:jc w:val="center"/>
        <w:rPr>
          <w:rFonts w:ascii="Times New Roman" w:hAnsi="Times New Roman"/>
          <w:b/>
          <w:sz w:val="20"/>
        </w:rPr>
      </w:pPr>
      <w:r>
        <w:rPr>
          <w:rFonts w:ascii="Times New Roman" w:hAnsi="Times New Roman"/>
          <w:b/>
          <w:sz w:val="20"/>
        </w:rPr>
        <w:t xml:space="preserve">Quarterly Operating Margin Increases by 3.4 Percentage Points </w:t>
      </w:r>
    </w:p>
    <w:p>
      <w:pPr>
        <w:pStyle w:val="TextBody"/>
        <w:spacing w:before="180" w:after="0"/>
        <w:rPr>
          <w:rFonts w:ascii="Times New Roman" w:hAnsi="Times New Roman"/>
          <w:sz w:val="20"/>
        </w:rPr>
      </w:pPr>
      <w:r>
        <w:rPr>
          <w:rFonts w:ascii="Times New Roman" w:hAnsi="Times New Roman"/>
          <w:b/>
          <w:sz w:val="20"/>
        </w:rPr>
        <w:t xml:space="preserve">CINCINNATI, OHIO, March 12, 2009 - CECO Environmental Corp. </w:t>
      </w:r>
      <w:r>
        <w:rPr>
          <w:rFonts w:ascii="Times New Roman" w:hAnsi="Times New Roman"/>
          <w:sz w:val="20"/>
        </w:rPr>
        <w:t xml:space="preserve">(NasdaqGM:CECE), a leading provider of industrial ventilation and pollution control systems, today announced record fourth quarter and full year results for the period ended December 31, 2008. </w:t>
      </w:r>
    </w:p>
    <w:p>
      <w:pPr>
        <w:pStyle w:val="TextBody"/>
        <w:spacing w:before="180" w:after="0"/>
        <w:rPr>
          <w:rFonts w:ascii="Times New Roman" w:hAnsi="Times New Roman"/>
          <w:b/>
          <w:sz w:val="20"/>
        </w:rPr>
      </w:pPr>
      <w:r>
        <w:rPr>
          <w:rFonts w:ascii="Times New Roman" w:hAnsi="Times New Roman"/>
          <w:b/>
          <w:sz w:val="20"/>
        </w:rPr>
        <w:t xml:space="preserve">Financial highlights for the fourth quarter of 2008 compared to the fourth quarter of 2007 include: </w:t>
      </w:r>
    </w:p>
    <w:p>
      <w:pPr>
        <w:pStyle w:val="TextBody"/>
        <w:spacing w:before="90" w:after="0"/>
        <w:rPr>
          <w:rFonts w:ascii="Times New Roman" w:hAnsi="Times New Roman"/>
          <w:sz w:val="20"/>
        </w:rPr>
      </w:pPr>
      <w:r>
        <w:rPr>
          <w:rFonts w:ascii="Times New Roman" w:hAnsi="Times New Roman"/>
          <w:sz w:val="20"/>
        </w:rPr>
        <w:t xml:space="preserve">Net sales decreased 14.3% from $68.0 million to $58.3 million; </w:t>
      </w:r>
    </w:p>
    <w:p>
      <w:pPr>
        <w:pStyle w:val="TextBody"/>
        <w:spacing w:before="180" w:after="0"/>
        <w:rPr>
          <w:rFonts w:ascii="Times New Roman" w:hAnsi="Times New Roman"/>
          <w:sz w:val="20"/>
        </w:rPr>
      </w:pPr>
      <w:r>
        <w:rPr>
          <w:rFonts w:ascii="Times New Roman" w:hAnsi="Times New Roman"/>
          <w:sz w:val="20"/>
        </w:rPr>
        <w:t xml:space="preserve">Gross profit increased 34.8% from $11.2 million to $15.1 million; </w:t>
      </w:r>
    </w:p>
    <w:p>
      <w:pPr>
        <w:pStyle w:val="TextBody"/>
        <w:spacing w:before="180" w:after="0"/>
        <w:rPr>
          <w:rFonts w:ascii="Times New Roman" w:hAnsi="Times New Roman"/>
          <w:sz w:val="20"/>
        </w:rPr>
      </w:pPr>
      <w:r>
        <w:rPr>
          <w:rFonts w:ascii="Times New Roman" w:hAnsi="Times New Roman"/>
          <w:sz w:val="20"/>
        </w:rPr>
        <w:t xml:space="preserve">Gross profit margins increased by 9.4 percentage points; </w:t>
      </w:r>
    </w:p>
    <w:p>
      <w:pPr>
        <w:pStyle w:val="TextBody"/>
        <w:spacing w:before="180" w:after="0"/>
        <w:rPr>
          <w:rFonts w:ascii="Times New Roman" w:hAnsi="Times New Roman"/>
          <w:sz w:val="20"/>
        </w:rPr>
      </w:pPr>
      <w:r>
        <w:rPr>
          <w:rFonts w:ascii="Times New Roman" w:hAnsi="Times New Roman"/>
          <w:sz w:val="20"/>
        </w:rPr>
        <w:t xml:space="preserve">Operating income increased 57.1% from $2.8 million to $4.4 million; </w:t>
      </w:r>
    </w:p>
    <w:p>
      <w:pPr>
        <w:pStyle w:val="TextBody"/>
        <w:spacing w:before="180" w:after="0"/>
        <w:rPr>
          <w:rFonts w:ascii="Times New Roman" w:hAnsi="Times New Roman"/>
          <w:sz w:val="20"/>
        </w:rPr>
      </w:pPr>
      <w:r>
        <w:rPr>
          <w:rFonts w:ascii="Times New Roman" w:hAnsi="Times New Roman"/>
          <w:sz w:val="20"/>
        </w:rPr>
        <w:t xml:space="preserve">Operating margins increased by 3.4 percentage points; </w:t>
      </w:r>
    </w:p>
    <w:p>
      <w:pPr>
        <w:pStyle w:val="TextBody"/>
        <w:spacing w:before="180" w:after="0"/>
        <w:rPr>
          <w:rFonts w:ascii="Times New Roman" w:hAnsi="Times New Roman"/>
          <w:sz w:val="20"/>
        </w:rPr>
      </w:pPr>
      <w:r>
        <w:rPr>
          <w:rFonts w:ascii="Times New Roman" w:hAnsi="Times New Roman"/>
          <w:sz w:val="20"/>
        </w:rPr>
        <w:t xml:space="preserve">Other income of $.9 million represents unrealized foreign exchange gains; </w:t>
      </w:r>
    </w:p>
    <w:p>
      <w:pPr>
        <w:pStyle w:val="TextBody"/>
        <w:spacing w:before="180" w:after="0"/>
        <w:rPr>
          <w:rFonts w:ascii="Times New Roman" w:hAnsi="Times New Roman"/>
          <w:sz w:val="20"/>
        </w:rPr>
      </w:pPr>
      <w:r>
        <w:rPr>
          <w:rFonts w:ascii="Times New Roman" w:hAnsi="Times New Roman"/>
          <w:sz w:val="20"/>
        </w:rPr>
        <w:t xml:space="preserve">Net income  increased $1.6 million to $3.4 million, an 88.9% increase; </w:t>
      </w:r>
    </w:p>
    <w:p>
      <w:pPr>
        <w:pStyle w:val="TextBody"/>
        <w:spacing w:before="180" w:after="0"/>
        <w:rPr>
          <w:rFonts w:ascii="Times New Roman" w:hAnsi="Times New Roman"/>
          <w:sz w:val="20"/>
        </w:rPr>
      </w:pPr>
      <w:r>
        <w:rPr>
          <w:rFonts w:ascii="Times New Roman" w:hAnsi="Times New Roman"/>
          <w:sz w:val="20"/>
        </w:rPr>
        <w:t xml:space="preserve">Earnings per diluted share increased 58.3% to $0.19 from $0.12 in 2007. </w:t>
      </w:r>
    </w:p>
    <w:p>
      <w:pPr>
        <w:pStyle w:val="TextBody"/>
        <w:spacing w:before="180" w:after="0"/>
        <w:rPr>
          <w:rFonts w:ascii="Times New Roman" w:hAnsi="Times New Roman"/>
          <w:b/>
          <w:sz w:val="20"/>
        </w:rPr>
      </w:pPr>
      <w:r>
        <w:rPr>
          <w:rFonts w:ascii="Times New Roman" w:hAnsi="Times New Roman"/>
          <w:b/>
          <w:sz w:val="20"/>
        </w:rPr>
        <w:t xml:space="preserve">Financial highlights for the twelve months ended December 31, 2008 compared to twelve months ended December 31, 2007 include: </w:t>
      </w:r>
    </w:p>
    <w:p>
      <w:pPr>
        <w:pStyle w:val="TextBody"/>
        <w:spacing w:before="90" w:after="0"/>
        <w:rPr>
          <w:rFonts w:ascii="Times New Roman" w:hAnsi="Times New Roman"/>
          <w:sz w:val="20"/>
        </w:rPr>
      </w:pPr>
      <w:r>
        <w:rPr>
          <w:rFonts w:ascii="Times New Roman" w:hAnsi="Times New Roman"/>
          <w:sz w:val="20"/>
        </w:rPr>
        <w:t xml:space="preserve">Net sales decreased 7.7% to $217.9 million; </w:t>
      </w:r>
    </w:p>
    <w:p>
      <w:pPr>
        <w:pStyle w:val="TextBody"/>
        <w:spacing w:before="180" w:after="0"/>
        <w:rPr>
          <w:rFonts w:ascii="Times New Roman" w:hAnsi="Times New Roman"/>
          <w:sz w:val="20"/>
        </w:rPr>
      </w:pPr>
      <w:r>
        <w:rPr>
          <w:rFonts w:ascii="Times New Roman" w:hAnsi="Times New Roman"/>
          <w:sz w:val="20"/>
        </w:rPr>
        <w:t xml:space="preserve">Gross profit increased 10.7% to $43.4 million; </w:t>
      </w:r>
    </w:p>
    <w:p>
      <w:pPr>
        <w:pStyle w:val="TextBody"/>
        <w:spacing w:before="180" w:after="0"/>
        <w:rPr>
          <w:rFonts w:ascii="Times New Roman" w:hAnsi="Times New Roman"/>
          <w:sz w:val="20"/>
        </w:rPr>
      </w:pPr>
      <w:r>
        <w:rPr>
          <w:rFonts w:ascii="Times New Roman" w:hAnsi="Times New Roman"/>
          <w:sz w:val="20"/>
        </w:rPr>
        <w:t xml:space="preserve">Gross profit margins increased by 3.3 percentage points; </w:t>
      </w:r>
    </w:p>
    <w:p>
      <w:pPr>
        <w:pStyle w:val="TextBody"/>
        <w:spacing w:before="180" w:after="0"/>
        <w:rPr>
          <w:rFonts w:ascii="Times New Roman" w:hAnsi="Times New Roman"/>
          <w:sz w:val="20"/>
        </w:rPr>
      </w:pPr>
      <w:r>
        <w:rPr>
          <w:rFonts w:ascii="Times New Roman" w:hAnsi="Times New Roman"/>
          <w:sz w:val="20"/>
        </w:rPr>
        <w:t xml:space="preserve">Operating income decreased 34.9% to $8.2 million; </w:t>
      </w:r>
    </w:p>
    <w:p>
      <w:pPr>
        <w:pStyle w:val="TextBody"/>
        <w:spacing w:before="180" w:after="0"/>
        <w:rPr>
          <w:rFonts w:ascii="Times New Roman" w:hAnsi="Times New Roman"/>
          <w:sz w:val="20"/>
        </w:rPr>
      </w:pPr>
      <w:r>
        <w:rPr>
          <w:rFonts w:ascii="Times New Roman" w:hAnsi="Times New Roman"/>
          <w:sz w:val="20"/>
        </w:rPr>
        <w:t xml:space="preserve">Net income - $5.0 million compared to $6.3 million in 2007; </w:t>
      </w:r>
    </w:p>
    <w:p>
      <w:pPr>
        <w:pStyle w:val="TextBody"/>
        <w:spacing w:before="180" w:after="0"/>
        <w:rPr>
          <w:rFonts w:ascii="Times New Roman" w:hAnsi="Times New Roman"/>
          <w:sz w:val="20"/>
        </w:rPr>
      </w:pPr>
      <w:r>
        <w:rPr>
          <w:rFonts w:ascii="Times New Roman" w:hAnsi="Times New Roman"/>
          <w:sz w:val="20"/>
        </w:rPr>
        <w:t xml:space="preserve">Earnings per diluted share - $0.30 compared to $0.45 in 2007. </w:t>
      </w:r>
    </w:p>
    <w:p>
      <w:pPr>
        <w:pStyle w:val="TextBody"/>
        <w:spacing w:before="180" w:after="0"/>
        <w:rPr>
          <w:rFonts w:ascii="Times New Roman" w:hAnsi="Times New Roman"/>
          <w:sz w:val="20"/>
        </w:rPr>
      </w:pPr>
      <w:r>
        <w:rPr>
          <w:rFonts w:ascii="Times New Roman" w:hAnsi="Times New Roman"/>
          <w:sz w:val="20"/>
        </w:rPr>
        <w:t xml:space="preserve">Backlog as of December 31, 2008 was $68.0 million compared to $85.5 million as of December 31, 2007.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Chairman and CEO, Phillip DeZwirek, stated, Our record fourth quarter gross profit results reflect the continuing success of our vertical and horizontal integration strategy as well as our global expansion to Asia and South America. It is noteworthy that our quarterly gross profit margin percentage increased to 25.9% which reflects the shift in our product mix to higher margin product and service offerings. </w:t>
      </w:r>
    </w:p>
    <w:p>
      <w:pPr>
        <w:pStyle w:val="TextBody"/>
        <w:spacing w:before="180" w:after="0"/>
        <w:rPr>
          <w:rFonts w:ascii="Times New Roman" w:hAnsi="Times New Roman"/>
          <w:sz w:val="20"/>
        </w:rPr>
      </w:pPr>
      <w:r>
        <w:rPr>
          <w:rFonts w:ascii="Times New Roman" w:hAnsi="Times New Roman"/>
          <w:sz w:val="20"/>
        </w:rPr>
        <w:t xml:space="preserve">Rick Blum, COO, commented, In addition to our increasing gross profit margins it is important to also note the increasing diversification of our customer base. This diversification has not only been in terms of new industries like power and refining but also new geographic areas such as China, Japan, Korea and Saudi Arabia. </w:t>
      </w:r>
    </w:p>
    <w:p>
      <w:pPr>
        <w:pStyle w:val="TextBody"/>
        <w:spacing w:before="180" w:after="0"/>
        <w:rPr>
          <w:rFonts w:ascii="Times New Roman" w:hAnsi="Times New Roman"/>
          <w:sz w:val="20"/>
        </w:rPr>
      </w:pPr>
      <w:r>
        <w:rPr>
          <w:rFonts w:ascii="Times New Roman" w:hAnsi="Times New Roman"/>
          <w:sz w:val="20"/>
        </w:rPr>
        <w:t xml:space="preserve">CECO will hold its quarterly conference call to discuss fourth quarter results on Thursday, March 12, 2009 at 10:30 a.m. Eastern Daylight Time. </w:t>
      </w:r>
    </w:p>
    <w:p>
      <w:pPr>
        <w:pStyle w:val="TextBody"/>
        <w:spacing w:before="180" w:after="0"/>
        <w:rPr>
          <w:rFonts w:ascii="Times New Roman" w:hAnsi="Times New Roman"/>
          <w:sz w:val="20"/>
        </w:rPr>
      </w:pPr>
      <w:r>
        <w:rPr>
          <w:rFonts w:ascii="Times New Roman" w:hAnsi="Times New Roman"/>
          <w:sz w:val="20"/>
        </w:rPr>
        <w:t xml:space="preserve">Dial in number: 866.730.5763 </w:t>
      </w:r>
    </w:p>
    <w:p>
      <w:pPr>
        <w:pStyle w:val="TextBody"/>
        <w:spacing w:before="0" w:after="0"/>
        <w:rPr>
          <w:rFonts w:ascii="Times New Roman" w:hAnsi="Times New Roman"/>
          <w:sz w:val="20"/>
        </w:rPr>
      </w:pPr>
      <w:r>
        <w:rPr>
          <w:rFonts w:ascii="Times New Roman" w:hAnsi="Times New Roman"/>
          <w:sz w:val="20"/>
        </w:rPr>
        <w:t xml:space="preserve">International: 857.350.1587 </w:t>
      </w:r>
    </w:p>
    <w:p>
      <w:pPr>
        <w:pStyle w:val="TextBody"/>
        <w:spacing w:before="0" w:after="0"/>
        <w:rPr>
          <w:rFonts w:ascii="Times New Roman" w:hAnsi="Times New Roman"/>
          <w:sz w:val="20"/>
        </w:rPr>
      </w:pPr>
      <w:r>
        <w:rPr>
          <w:rFonts w:ascii="Times New Roman" w:hAnsi="Times New Roman"/>
          <w:sz w:val="20"/>
        </w:rPr>
        <w:t xml:space="preserve">Passcode: 43462973 </w:t>
      </w:r>
    </w:p>
    <w:p>
      <w:pPr>
        <w:pStyle w:val="TextBody"/>
        <w:spacing w:before="27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Through its subsidiaries  Busch, CECOaire, CECO Filters, CECO Abatement Systems, kbd/Technic, Kirk &amp; Blum, H. M. White, Inc., Effox, GMD, Fisher-Klosterman, Flextor and AVC Specialists  CECO provides a wide spectrum of air quality services and products including: industrial air filters, environmental maintenance, monitoring and management services, and air quality improvements systems. CECO is a full-service provider to the steel, military, aluminum, automotive, ethanol, aerospace, electric power, semiconductor, chemical, cement, metalworking, glass, foundry and virtually all industrial process industries. </w:t>
      </w:r>
    </w:p>
    <w:p>
      <w:pPr>
        <w:pStyle w:val="TextBody"/>
        <w:spacing w:before="270" w:after="0"/>
        <w:rPr>
          <w:rFonts w:ascii="Times New Roman" w:hAnsi="Times New Roman"/>
          <w:sz w:val="20"/>
        </w:rPr>
      </w:pPr>
      <w:r>
        <w:rPr>
          <w:rFonts w:ascii="Times New Roman" w:hAnsi="Times New Roman"/>
          <w:sz w:val="20"/>
        </w:rPr>
        <w:t xml:space="preserve">For more information please visit the Companys website at http://www.cecoenviro.com/ </w:t>
      </w:r>
    </w:p>
    <w:p>
      <w:pPr>
        <w:pStyle w:val="TextBody"/>
        <w:spacing w:before="90" w:after="0"/>
        <w:rPr>
          <w:rFonts w:ascii="Times New Roman" w:hAnsi="Times New Roman"/>
          <w:sz w:val="20"/>
        </w:rPr>
      </w:pPr>
      <w:r>
        <w:rPr>
          <w:rFonts w:ascii="Times New Roman" w:hAnsi="Times New Roman"/>
          <w:sz w:val="20"/>
        </w:rPr>
        <w:t xml:space="preserve">Contact: </w:t>
      </w:r>
    </w:p>
    <w:p>
      <w:pPr>
        <w:pStyle w:val="TextBody"/>
        <w:spacing w:before="9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Phillip DeZwirek, CECO Environmental Corp. </w:t>
      </w:r>
    </w:p>
    <w:p>
      <w:pPr>
        <w:pStyle w:val="TextBody"/>
        <w:spacing w:before="0" w:after="0"/>
        <w:rPr>
          <w:rFonts w:ascii="Times New Roman" w:hAnsi="Times New Roman"/>
          <w:sz w:val="20"/>
        </w:rPr>
      </w:pPr>
      <w:r>
        <w:rPr>
          <w:rFonts w:ascii="Times New Roman" w:hAnsi="Times New Roman"/>
          <w:sz w:val="20"/>
        </w:rPr>
        <w:t xml:space="preserve">Email: investors@cecoenviro.com </w:t>
      </w:r>
    </w:p>
    <w:p>
      <w:pPr>
        <w:pStyle w:val="TextBody"/>
        <w:spacing w:before="0" w:after="0"/>
        <w:rPr>
          <w:rFonts w:ascii="Times New Roman" w:hAnsi="Times New Roman"/>
          <w:sz w:val="20"/>
        </w:rPr>
      </w:pPr>
      <w:r>
        <w:rPr>
          <w:rFonts w:ascii="Times New Roman" w:hAnsi="Times New Roman"/>
          <w:sz w:val="20"/>
        </w:rPr>
        <w:t xml:space="preserve">1-800-606-CECO (2326) </w:t>
      </w:r>
    </w:p>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 </w:t>
      </w:r>
      <w:r>
        <w:br w:type="page"/>
      </w:r>
    </w:p>
    <w:p>
      <w:pPr>
        <w:pStyle w:val="HorizontalLine"/>
        <w:pBdr>
          <w:bottom w:val="double" w:sz="6" w:space="0" w:color="999999"/>
        </w:pBdr>
        <w:rPr/>
      </w:pPr>
      <w:r>
        <w:rPr/>
      </w:r>
    </w:p>
    <w:p>
      <w:pPr>
        <w:pStyle w:val="TextBody"/>
        <w:spacing w:before="0" w:after="0"/>
        <w:rPr>
          <w:rFonts w:ascii="Times New Roman" w:hAnsi="Times New Roman"/>
          <w:sz w:val="20"/>
        </w:rPr>
      </w:pPr>
      <w:r>
        <w:rPr>
          <w:rFonts w:ascii="Times New Roman" w:hAnsi="Times New Roman"/>
          <w:sz w:val="20"/>
        </w:rPr>
        <w:t xml:space="preserve">CECO Environmental </w:t>
      </w:r>
    </w:p>
    <w:p>
      <w:pPr>
        <w:pStyle w:val="TextBody"/>
        <w:spacing w:before="0" w:after="0"/>
        <w:rPr>
          <w:rFonts w:ascii="Times New Roman" w:hAnsi="Times New Roman"/>
          <w:sz w:val="20"/>
        </w:rPr>
      </w:pPr>
      <w:r>
        <w:rPr>
          <w:rFonts w:ascii="Times New Roman" w:hAnsi="Times New Roman"/>
          <w:sz w:val="20"/>
        </w:rPr>
        <w:t xml:space="preserve">Condensed Consolidated Statement of Income </w:t>
      </w:r>
    </w:p>
    <w:p>
      <w:pPr>
        <w:pStyle w:val="TextBody"/>
        <w:spacing w:before="0" w:after="0"/>
        <w:rPr>
          <w:rFonts w:ascii="Times New Roman" w:hAnsi="Times New Roman"/>
          <w:sz w:val="20"/>
        </w:rPr>
      </w:pPr>
      <w:r>
        <w:rPr>
          <w:rFonts w:ascii="Times New Roman" w:hAnsi="Times New Roman"/>
          <w:sz w:val="20"/>
        </w:rPr>
        <w:t xml:space="preserve">(In thousands, except share and per share data)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574"/>
        <w:gridCol w:w="287"/>
        <w:gridCol w:w="125"/>
        <w:gridCol w:w="951"/>
        <w:gridCol w:w="80"/>
        <w:gridCol w:w="239"/>
        <w:gridCol w:w="125"/>
        <w:gridCol w:w="951"/>
        <w:gridCol w:w="80"/>
        <w:gridCol w:w="239"/>
        <w:gridCol w:w="124"/>
        <w:gridCol w:w="951"/>
        <w:gridCol w:w="80"/>
        <w:gridCol w:w="239"/>
        <w:gridCol w:w="125"/>
        <w:gridCol w:w="951"/>
        <w:gridCol w:w="84"/>
      </w:tblGrid>
      <w:tr>
        <w:trPr/>
        <w:tc>
          <w:tcPr>
            <w:tcW w:w="4574"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center"/>
          </w:tcPr>
          <w:p>
            <w:pPr>
              <w:pStyle w:val="TableContents"/>
              <w:spacing w:before="0" w:after="283"/>
              <w:rPr>
                <w:sz w:val="4"/>
                <w:szCs w:val="4"/>
              </w:rPr>
            </w:pPr>
            <w:r>
              <w:rPr>
                <w:sz w:val="4"/>
                <w:szCs w:val="4"/>
              </w:rPr>
            </w:r>
          </w:p>
        </w:tc>
      </w:tr>
      <w:tr>
        <w:trPr/>
        <w:tc>
          <w:tcPr>
            <w:tcW w:w="457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247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2470"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Twelve months ended</w:t>
            </w:r>
          </w:p>
        </w:tc>
        <w:tc>
          <w:tcPr>
            <w:tcW w:w="84" w:type="dxa"/>
            <w:tcBorders/>
            <w:shd w:fill="auto" w:val="clear"/>
            <w:vAlign w:val="bottom"/>
          </w:tcPr>
          <w:p>
            <w:pPr>
              <w:pStyle w:val="TableContents"/>
              <w:spacing w:before="0" w:after="283"/>
              <w:rPr/>
            </w:pPr>
            <w:r>
              <w:rPr/>
              <w:t> </w:t>
            </w:r>
          </w:p>
        </w:tc>
      </w:tr>
      <w:tr>
        <w:trPr/>
        <w:tc>
          <w:tcPr>
            <w:tcW w:w="4574" w:type="dxa"/>
            <w:tcBorders/>
            <w:shd w:fill="auto" w:val="clear"/>
            <w:vAlign w:val="bottom"/>
          </w:tcPr>
          <w:p>
            <w:pPr>
              <w:pStyle w:val="TableContents"/>
              <w:spacing w:before="0" w:after="283"/>
              <w:rPr/>
            </w:pPr>
            <w:r>
              <w:rPr/>
              <w:t> </w:t>
            </w:r>
          </w:p>
        </w:tc>
        <w:tc>
          <w:tcPr>
            <w:tcW w:w="287"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12/31/2007</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7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12/31/2008</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076"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12/31/2007</w:t>
            </w:r>
          </w:p>
        </w:tc>
        <w:tc>
          <w:tcPr>
            <w:tcW w:w="84" w:type="dxa"/>
            <w:tcBorders/>
            <w:shd w:fill="auto" w:val="clear"/>
            <w:vAlign w:val="bottom"/>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58,344</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67,986</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217,890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235,953</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43,260</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56,801</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174,499</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196,764</w:t>
            </w:r>
          </w:p>
        </w:tc>
        <w:tc>
          <w:tcPr>
            <w:tcW w:w="84" w:type="dxa"/>
            <w:tcBorders/>
            <w:shd w:fill="auto" w:val="clear"/>
            <w:vAlign w:val="bottom"/>
          </w:tcPr>
          <w:p>
            <w:pPr>
              <w:pStyle w:val="TableContents"/>
              <w:spacing w:before="0" w:after="283"/>
              <w:rPr/>
            </w:pPr>
            <w:r>
              <w:rPr/>
              <w:t> </w:t>
            </w:r>
          </w:p>
        </w:tc>
      </w:tr>
      <w:tr>
        <w:trPr/>
        <w:tc>
          <w:tcPr>
            <w:tcW w:w="457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15,084</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11,185</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43,391</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39,189</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Selling &amp; administrative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10,072</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8,192</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33,645</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26,164</w:t>
            </w:r>
          </w:p>
        </w:tc>
        <w:tc>
          <w:tcPr>
            <w:tcW w:w="84" w:type="dxa"/>
            <w:tcBorders/>
            <w:shd w:fill="auto" w:val="clear"/>
            <w:vAlign w:val="bottom"/>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569</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1,551</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391</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Operating income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4,443</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2,783</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8,195</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12,634</w:t>
            </w:r>
          </w:p>
        </w:tc>
        <w:tc>
          <w:tcPr>
            <w:tcW w:w="84" w:type="dxa"/>
            <w:tcBorders/>
            <w:shd w:fill="auto" w:val="clear"/>
            <w:vAlign w:val="bottom"/>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Other income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920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(433</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(1,479</w:t>
            </w:r>
          </w:p>
        </w:tc>
        <w:tc>
          <w:tcPr>
            <w:tcW w:w="8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(1,978</w:t>
            </w:r>
          </w:p>
        </w:tc>
        <w:tc>
          <w:tcPr>
            <w:tcW w:w="8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r>
      <w:tr>
        <w:trPr/>
        <w:tc>
          <w:tcPr>
            <w:tcW w:w="457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Income before tax</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4,930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2,649</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7,636</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10,666</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1,570</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2,626</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4,361</w:t>
            </w:r>
          </w:p>
        </w:tc>
        <w:tc>
          <w:tcPr>
            <w:tcW w:w="84" w:type="dxa"/>
            <w:tcBorders/>
            <w:shd w:fill="auto" w:val="clear"/>
            <w:vAlign w:val="bottom"/>
          </w:tcPr>
          <w:p>
            <w:pPr>
              <w:pStyle w:val="TableContents"/>
              <w:spacing w:before="0" w:after="283"/>
              <w:rPr/>
            </w:pPr>
            <w:r>
              <w:rPr/>
              <w:t> </w:t>
            </w:r>
          </w:p>
        </w:tc>
      </w:tr>
      <w:tr>
        <w:trPr/>
        <w:tc>
          <w:tcPr>
            <w:tcW w:w="457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51" w:type="dxa"/>
            <w:tcBorders>
              <w:top w:val="single" w:sz="2"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(loss)</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3,360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1,818</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5,010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6,305</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vAlign w:val="bottom"/>
          </w:tcPr>
          <w:p>
            <w:pPr>
              <w:pStyle w:val="TableContents"/>
              <w:spacing w:before="0" w:after="283"/>
              <w:rPr>
                <w:sz w:val="4"/>
                <w:szCs w:val="4"/>
              </w:rPr>
            </w:pPr>
            <w:r>
              <w:rPr>
                <w:sz w:val="4"/>
                <w:szCs w:val="4"/>
              </w:rPr>
            </w:r>
          </w:p>
        </w:tc>
        <w:tc>
          <w:tcPr>
            <w:tcW w:w="287"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80" w:type="dxa"/>
            <w:tcBorders/>
            <w:shd w:fill="auto" w:val="clear"/>
            <w:vAlign w:val="center"/>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51" w:type="dxa"/>
            <w:tcBorders>
              <w:top w:val="double" w:sz="6" w:space="0" w:color="000000"/>
            </w:tcBorders>
            <w:shd w:fill="auto" w:val="clear"/>
            <w:tcMar>
              <w:top w:w="28" w:type="dxa"/>
            </w:tcMar>
            <w:vAlign w:val="bottom"/>
          </w:tcPr>
          <w:p>
            <w:pPr>
              <w:pStyle w:val="TableContents"/>
              <w:spacing w:before="0" w:after="283"/>
              <w:rPr/>
            </w:pPr>
            <w:r>
              <w:rPr/>
              <w:t> </w:t>
            </w:r>
          </w:p>
        </w:tc>
        <w:tc>
          <w:tcPr>
            <w:tcW w:w="84" w:type="dxa"/>
            <w:tcBorders/>
            <w:shd w:fill="auto" w:val="clear"/>
            <w:vAlign w:val="center"/>
          </w:tcPr>
          <w:p>
            <w:pPr>
              <w:pStyle w:val="TableContents"/>
              <w:spacing w:before="0" w:after="283"/>
              <w:rPr/>
            </w:pPr>
            <w:r>
              <w:rPr/>
              <w:t> </w:t>
            </w:r>
          </w:p>
        </w:tc>
      </w:tr>
      <w:tr>
        <w:trPr>
          <w:trHeight w:val="120" w:hRule="atLeast"/>
        </w:trPr>
        <w:tc>
          <w:tcPr>
            <w:tcW w:w="4574" w:type="dxa"/>
            <w:tcBorders/>
            <w:shd w:fill="auto" w:val="clear"/>
            <w:vAlign w:val="center"/>
          </w:tcPr>
          <w:p>
            <w:pPr>
              <w:pStyle w:val="TableContents"/>
              <w:spacing w:before="0" w:after="283"/>
              <w:rPr>
                <w:sz w:val="4"/>
                <w:szCs w:val="4"/>
              </w:rPr>
            </w:pPr>
            <w:r>
              <w:rPr>
                <w:sz w:val="4"/>
                <w:szCs w:val="4"/>
              </w:rPr>
            </w:r>
          </w:p>
        </w:tc>
        <w:tc>
          <w:tcPr>
            <w:tcW w:w="1443" w:type="dxa"/>
            <w:gridSpan w:val="4"/>
            <w:tcBorders/>
            <w:shd w:fill="auto" w:val="clear"/>
            <w:vAlign w:val="center"/>
          </w:tcPr>
          <w:p>
            <w:pPr>
              <w:pStyle w:val="TableContents"/>
              <w:spacing w:before="0" w:after="283"/>
              <w:rPr>
                <w:sz w:val="4"/>
                <w:szCs w:val="4"/>
              </w:rPr>
            </w:pPr>
            <w:r>
              <w:rPr>
                <w:sz w:val="4"/>
                <w:szCs w:val="4"/>
              </w:rPr>
            </w:r>
          </w:p>
        </w:tc>
        <w:tc>
          <w:tcPr>
            <w:tcW w:w="1395" w:type="dxa"/>
            <w:gridSpan w:val="4"/>
            <w:tcBorders/>
            <w:shd w:fill="auto" w:val="clear"/>
            <w:vAlign w:val="center"/>
          </w:tcPr>
          <w:p>
            <w:pPr>
              <w:pStyle w:val="TableContents"/>
              <w:spacing w:before="0" w:after="283"/>
              <w:rPr>
                <w:sz w:val="4"/>
                <w:szCs w:val="4"/>
              </w:rPr>
            </w:pPr>
            <w:r>
              <w:rPr>
                <w:sz w:val="4"/>
                <w:szCs w:val="4"/>
              </w:rPr>
            </w:r>
          </w:p>
        </w:tc>
        <w:tc>
          <w:tcPr>
            <w:tcW w:w="1394" w:type="dxa"/>
            <w:gridSpan w:val="4"/>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bottom"/>
          </w:tcPr>
          <w:p>
            <w:pPr>
              <w:pStyle w:val="TableContents"/>
              <w:spacing w:before="0" w:after="283"/>
              <w:rPr>
                <w:sz w:val="4"/>
                <w:szCs w:val="4"/>
              </w:rPr>
            </w:pPr>
            <w:r>
              <w:rPr>
                <w:sz w:val="4"/>
                <w:szCs w:val="4"/>
              </w:rPr>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51" w:type="dxa"/>
            <w:tcBorders/>
            <w:shd w:fill="auto" w:val="clear"/>
            <w:vAlign w:val="bottom"/>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per basic share*</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0.20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0.47</w:t>
            </w:r>
          </w:p>
        </w:tc>
        <w:tc>
          <w:tcPr>
            <w:tcW w:w="84" w:type="dxa"/>
            <w:tcBorders/>
            <w:shd w:fill="CCEEFF" w:val="clear"/>
            <w:vAlign w:val="bottom"/>
          </w:tcPr>
          <w:p>
            <w:pPr>
              <w:pStyle w:val="TableContents"/>
              <w:spacing w:before="0" w:after="283"/>
              <w:rPr/>
            </w:pPr>
            <w:r>
              <w:rPr/>
              <w:t> </w:t>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Net income per diluted share*</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0.19</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0.45</w:t>
            </w:r>
          </w:p>
        </w:tc>
        <w:tc>
          <w:tcPr>
            <w:tcW w:w="84" w:type="dxa"/>
            <w:tcBorders/>
            <w:shd w:fill="auto" w:val="clear"/>
            <w:vAlign w:val="bottom"/>
          </w:tcPr>
          <w:p>
            <w:pPr>
              <w:pStyle w:val="TableContents"/>
              <w:spacing w:before="0" w:after="283"/>
              <w:rPr/>
            </w:pPr>
            <w:r>
              <w:rPr/>
              <w:t> </w:t>
            </w:r>
          </w:p>
        </w:tc>
      </w:tr>
      <w:tr>
        <w:trPr>
          <w:trHeight w:val="120" w:hRule="atLeast"/>
        </w:trPr>
        <w:tc>
          <w:tcPr>
            <w:tcW w:w="4574" w:type="dxa"/>
            <w:tcBorders/>
            <w:shd w:fill="auto" w:val="clear"/>
            <w:vAlign w:val="center"/>
          </w:tcPr>
          <w:p>
            <w:pPr>
              <w:pStyle w:val="TableContents"/>
              <w:spacing w:before="0" w:after="283"/>
              <w:rPr>
                <w:sz w:val="4"/>
                <w:szCs w:val="4"/>
              </w:rPr>
            </w:pPr>
            <w:r>
              <w:rPr>
                <w:sz w:val="4"/>
                <w:szCs w:val="4"/>
              </w:rPr>
            </w:r>
          </w:p>
        </w:tc>
        <w:tc>
          <w:tcPr>
            <w:tcW w:w="1443" w:type="dxa"/>
            <w:gridSpan w:val="4"/>
            <w:tcBorders/>
            <w:shd w:fill="auto" w:val="clear"/>
            <w:vAlign w:val="center"/>
          </w:tcPr>
          <w:p>
            <w:pPr>
              <w:pStyle w:val="TableContents"/>
              <w:spacing w:before="0" w:after="283"/>
              <w:rPr>
                <w:sz w:val="4"/>
                <w:szCs w:val="4"/>
              </w:rPr>
            </w:pPr>
            <w:r>
              <w:rPr>
                <w:sz w:val="4"/>
                <w:szCs w:val="4"/>
              </w:rPr>
            </w:r>
          </w:p>
        </w:tc>
        <w:tc>
          <w:tcPr>
            <w:tcW w:w="1395" w:type="dxa"/>
            <w:gridSpan w:val="4"/>
            <w:tcBorders/>
            <w:shd w:fill="auto" w:val="clear"/>
            <w:vAlign w:val="center"/>
          </w:tcPr>
          <w:p>
            <w:pPr>
              <w:pStyle w:val="TableContents"/>
              <w:spacing w:before="0" w:after="283"/>
              <w:rPr>
                <w:sz w:val="4"/>
                <w:szCs w:val="4"/>
              </w:rPr>
            </w:pPr>
            <w:r>
              <w:rPr>
                <w:sz w:val="4"/>
                <w:szCs w:val="4"/>
              </w:rPr>
            </w:r>
          </w:p>
        </w:tc>
        <w:tc>
          <w:tcPr>
            <w:tcW w:w="1394" w:type="dxa"/>
            <w:gridSpan w:val="4"/>
            <w:tcBorders/>
            <w:shd w:fill="auto" w:val="clear"/>
            <w:vAlign w:val="center"/>
          </w:tcPr>
          <w:p>
            <w:pPr>
              <w:pStyle w:val="TableContents"/>
              <w:spacing w:before="0" w:after="283"/>
              <w:rPr>
                <w:sz w:val="4"/>
                <w:szCs w:val="4"/>
              </w:rPr>
            </w:pPr>
            <w:r>
              <w:rPr>
                <w:sz w:val="4"/>
                <w:szCs w:val="4"/>
              </w:rPr>
            </w:r>
          </w:p>
        </w:tc>
        <w:tc>
          <w:tcPr>
            <w:tcW w:w="1399" w:type="dxa"/>
            <w:gridSpan w:val="4"/>
            <w:tcBorders/>
            <w:shd w:fill="auto" w:val="clear"/>
            <w:vAlign w:val="center"/>
          </w:tcPr>
          <w:p>
            <w:pPr>
              <w:pStyle w:val="TableContents"/>
              <w:spacing w:before="0" w:after="283"/>
              <w:rPr>
                <w:sz w:val="4"/>
                <w:szCs w:val="4"/>
              </w:rPr>
            </w:pPr>
            <w:r>
              <w:rPr>
                <w:sz w:val="4"/>
                <w:szCs w:val="4"/>
              </w:rPr>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shares outstanding</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951" w:type="dxa"/>
            <w:tcBorders/>
            <w:shd w:fill="CCEEFF" w:val="clear"/>
            <w:vAlign w:val="bottom"/>
          </w:tcPr>
          <w:p>
            <w:pPr>
              <w:pStyle w:val="TableContents"/>
              <w:spacing w:before="0" w:after="283"/>
              <w:rPr>
                <w:sz w:val="4"/>
                <w:szCs w:val="4"/>
              </w:rPr>
            </w:pPr>
            <w:r>
              <w:rPr>
                <w:sz w:val="4"/>
                <w:szCs w:val="4"/>
              </w:rPr>
            </w:r>
          </w:p>
        </w:tc>
        <w:tc>
          <w:tcPr>
            <w:tcW w:w="80" w:type="dxa"/>
            <w:tcBorders/>
            <w:shd w:fill="CCEEFF" w:val="clear"/>
            <w:vAlign w:val="bottom"/>
          </w:tcPr>
          <w:p>
            <w:pPr>
              <w:pStyle w:val="TableContents"/>
              <w:spacing w:before="0" w:after="283"/>
              <w:rPr>
                <w:sz w:val="4"/>
                <w:szCs w:val="4"/>
              </w:rPr>
            </w:pPr>
            <w:r>
              <w:rPr>
                <w:sz w:val="4"/>
                <w:szCs w:val="4"/>
              </w:rPr>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51" w:type="dxa"/>
            <w:tcBorders/>
            <w:shd w:fill="CCEEFF" w:val="clear"/>
            <w:vAlign w:val="bottom"/>
          </w:tcPr>
          <w:p>
            <w:pPr>
              <w:pStyle w:val="TableContents"/>
              <w:spacing w:before="0" w:after="283"/>
              <w:rPr>
                <w:sz w:val="4"/>
                <w:szCs w:val="4"/>
              </w:rPr>
            </w:pPr>
            <w:r>
              <w:rPr>
                <w:sz w:val="4"/>
                <w:szCs w:val="4"/>
              </w:rPr>
            </w:r>
          </w:p>
        </w:tc>
        <w:tc>
          <w:tcPr>
            <w:tcW w:w="84" w:type="dxa"/>
            <w:tcBorders/>
            <w:shd w:fill="CCEEFF" w:val="clear"/>
            <w:vAlign w:val="bottom"/>
          </w:tcPr>
          <w:p>
            <w:pPr>
              <w:pStyle w:val="TableContents"/>
              <w:spacing w:before="0" w:after="283"/>
              <w:rPr>
                <w:sz w:val="4"/>
                <w:szCs w:val="4"/>
              </w:rPr>
            </w:pPr>
            <w:r>
              <w:rPr>
                <w:sz w:val="4"/>
                <w:szCs w:val="4"/>
              </w:rPr>
            </w:r>
          </w:p>
        </w:tc>
      </w:tr>
      <w:tr>
        <w:trPr/>
        <w:tc>
          <w:tcPr>
            <w:tcW w:w="4574"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28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14,243,221</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14,650,164</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14,633,209</w:t>
            </w:r>
          </w:p>
        </w:tc>
        <w:tc>
          <w:tcPr>
            <w:tcW w:w="80" w:type="dxa"/>
            <w:tcBorders/>
            <w:shd w:fill="auto" w:val="clear"/>
            <w:vAlign w:val="bottom"/>
          </w:tcPr>
          <w:p>
            <w:pPr>
              <w:pStyle w:val="TableContents"/>
              <w:spacing w:before="0" w:after="283"/>
              <w:rPr/>
            </w:pPr>
            <w:r>
              <w:rPr/>
              <w:t> </w:t>
            </w:r>
          </w:p>
        </w:tc>
        <w:tc>
          <w:tcPr>
            <w:tcW w:w="239"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5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13,456,580</w:t>
            </w:r>
          </w:p>
        </w:tc>
        <w:tc>
          <w:tcPr>
            <w:tcW w:w="84" w:type="dxa"/>
            <w:tcBorders/>
            <w:shd w:fill="auto" w:val="clear"/>
            <w:vAlign w:val="bottom"/>
          </w:tcPr>
          <w:p>
            <w:pPr>
              <w:pStyle w:val="TableContents"/>
              <w:spacing w:before="0" w:after="283"/>
              <w:rPr/>
            </w:pPr>
            <w:r>
              <w:rPr/>
              <w:t> </w:t>
            </w:r>
          </w:p>
        </w:tc>
      </w:tr>
      <w:tr>
        <w:trPr/>
        <w:tc>
          <w:tcPr>
            <w:tcW w:w="4574"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28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15,242,537</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15,253,834</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15,275,690</w:t>
            </w:r>
          </w:p>
        </w:tc>
        <w:tc>
          <w:tcPr>
            <w:tcW w:w="80" w:type="dxa"/>
            <w:tcBorders/>
            <w:shd w:fill="CCEEFF" w:val="clear"/>
            <w:vAlign w:val="bottom"/>
          </w:tcPr>
          <w:p>
            <w:pPr>
              <w:pStyle w:val="TableContents"/>
              <w:spacing w:before="0" w:after="283"/>
              <w:rPr/>
            </w:pPr>
            <w:r>
              <w:rPr/>
              <w:t> </w:t>
            </w:r>
          </w:p>
        </w:tc>
        <w:tc>
          <w:tcPr>
            <w:tcW w:w="239"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14,042,324</w:t>
            </w:r>
          </w:p>
        </w:tc>
        <w:tc>
          <w:tcPr>
            <w:tcW w:w="84" w:type="dxa"/>
            <w:tcBorders/>
            <w:shd w:fill="CCEEFF" w:val="clear"/>
            <w:vAlign w:val="bottom"/>
          </w:tcPr>
          <w:p>
            <w:pPr>
              <w:pStyle w:val="TableContents"/>
              <w:spacing w:before="0" w:after="283"/>
              <w:rPr/>
            </w:pPr>
            <w:r>
              <w:rPr/>
              <w:t> </w:t>
            </w:r>
          </w:p>
        </w:tc>
      </w:tr>
    </w:tbl>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numerator for basic and diluted earnings per share calculations is reduced for the net after tax effect of interest expense and foreign exchange gains related to subordinated debt.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1175</Words>
  <CharactersWithSpaces>7965</CharactersWithSpaces>
  <Paragraphs>512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