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right"/>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August 24, 2011 </w:t>
      </w:r>
    </w:p>
    <w:p>
      <w:pPr>
        <w:pStyle w:val="TextBody"/>
        <w:spacing w:before="180" w:after="0"/>
        <w:rPr>
          <w:rFonts w:ascii="Times New Roman" w:hAnsi="Times New Roman"/>
          <w:b/>
          <w:sz w:val="20"/>
          <w:u w:val="single"/>
        </w:rPr>
      </w:pPr>
      <w:r>
        <w:rPr>
          <w:rFonts w:ascii="Times New Roman" w:hAnsi="Times New Roman"/>
          <w:b/>
          <w:sz w:val="20"/>
          <w:u w:val="single"/>
        </w:rPr>
        <w:t xml:space="preserve">VIA EDGAR </w:t>
      </w:r>
    </w:p>
    <w:p>
      <w:pPr>
        <w:pStyle w:val="TextBody"/>
        <w:spacing w:before="90" w:after="0"/>
        <w:rPr>
          <w:rFonts w:ascii="Times New Roman" w:hAnsi="Times New Roman"/>
          <w:sz w:val="20"/>
        </w:rPr>
      </w:pPr>
      <w:r>
        <w:rPr>
          <w:rFonts w:ascii="Times New Roman" w:hAnsi="Times New Roman"/>
          <w:sz w:val="20"/>
        </w:rPr>
        <w:t xml:space="preserve">Rufus Decker </w:t>
      </w:r>
    </w:p>
    <w:p>
      <w:pPr>
        <w:pStyle w:val="TextBody"/>
        <w:spacing w:before="0" w:after="0"/>
        <w:rPr>
          <w:rFonts w:ascii="Times New Roman" w:hAnsi="Times New Roman"/>
          <w:sz w:val="20"/>
        </w:rPr>
      </w:pPr>
      <w:r>
        <w:rPr>
          <w:rFonts w:ascii="Times New Roman" w:hAnsi="Times New Roman"/>
          <w:sz w:val="20"/>
        </w:rPr>
        <w:t xml:space="preserve">Division of Corporation Finance </w:t>
      </w:r>
    </w:p>
    <w:p>
      <w:pPr>
        <w:pStyle w:val="TextBody"/>
        <w:spacing w:before="0" w:after="0"/>
        <w:rPr>
          <w:rFonts w:ascii="Times New Roman" w:hAnsi="Times New Roman"/>
          <w:sz w:val="20"/>
        </w:rPr>
      </w:pPr>
      <w:r>
        <w:rPr>
          <w:rFonts w:ascii="Times New Roman" w:hAnsi="Times New Roman"/>
          <w:sz w:val="20"/>
        </w:rPr>
        <w:t xml:space="preserve">U.S. Securities and Exchange Commission </w:t>
      </w:r>
    </w:p>
    <w:p>
      <w:pPr>
        <w:pStyle w:val="TextBody"/>
        <w:spacing w:before="0" w:after="0"/>
        <w:rPr>
          <w:rFonts w:ascii="Times New Roman" w:hAnsi="Times New Roman"/>
          <w:sz w:val="20"/>
        </w:rPr>
      </w:pPr>
      <w:r>
        <w:rPr>
          <w:rFonts w:ascii="Times New Roman" w:hAnsi="Times New Roman"/>
          <w:sz w:val="20"/>
        </w:rPr>
        <w:t xml:space="preserve">100 F Street, N.E. </w:t>
      </w:r>
    </w:p>
    <w:p>
      <w:pPr>
        <w:pStyle w:val="TextBody"/>
        <w:spacing w:before="0" w:after="0"/>
        <w:rPr>
          <w:rFonts w:ascii="Times New Roman" w:hAnsi="Times New Roman"/>
          <w:sz w:val="20"/>
        </w:rPr>
      </w:pPr>
      <w:r>
        <w:rPr>
          <w:rFonts w:ascii="Times New Roman" w:hAnsi="Times New Roman"/>
          <w:sz w:val="20"/>
        </w:rPr>
        <w:t xml:space="preserve">Washington, DC 20549-6561A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RE:</w:t>
            </w:r>
          </w:p>
        </w:tc>
        <w:tc>
          <w:tcPr>
            <w:tcW w:w="9391" w:type="dxa"/>
            <w:tcBorders/>
            <w:shd w:fill="auto" w:val="clear"/>
          </w:tcPr>
          <w:p>
            <w:pPr>
              <w:pStyle w:val="TableContents"/>
              <w:spacing w:before="0" w:after="283"/>
              <w:jc w:val="left"/>
              <w:rPr>
                <w:rFonts w:ascii="Times New Roman" w:hAnsi="Times New Roman"/>
                <w:b/>
                <w:sz w:val="20"/>
              </w:rPr>
            </w:pPr>
            <w:r>
              <w:rPr>
                <w:rFonts w:ascii="Times New Roman" w:hAnsi="Times New Roman"/>
                <w:b/>
                <w:sz w:val="20"/>
              </w:rPr>
              <w:t xml:space="preserve">CECO Environmental Corp. </w:t>
            </w:r>
          </w:p>
        </w:tc>
      </w:tr>
    </w:tbl>
    <w:p>
      <w:pPr>
        <w:pStyle w:val="TextBody"/>
        <w:spacing w:before="0" w:after="0"/>
        <w:rPr>
          <w:rFonts w:ascii="Times New Roman" w:hAnsi="Times New Roman"/>
          <w:b/>
          <w:sz w:val="20"/>
        </w:rPr>
      </w:pPr>
      <w:r>
        <w:rPr>
          <w:rFonts w:ascii="Times New Roman" w:hAnsi="Times New Roman"/>
          <w:b/>
          <w:sz w:val="20"/>
        </w:rPr>
        <w:t xml:space="preserve">Form 10-K for the Fiscal Year ended December 31, 2010 </w:t>
      </w:r>
    </w:p>
    <w:p>
      <w:pPr>
        <w:pStyle w:val="TextBody"/>
        <w:spacing w:before="0" w:after="0"/>
        <w:rPr>
          <w:rFonts w:ascii="Times New Roman" w:hAnsi="Times New Roman"/>
          <w:b/>
          <w:sz w:val="20"/>
        </w:rPr>
      </w:pPr>
      <w:r>
        <w:rPr>
          <w:rFonts w:ascii="Times New Roman" w:hAnsi="Times New Roman"/>
          <w:b/>
          <w:sz w:val="20"/>
        </w:rPr>
        <w:t xml:space="preserve">Filed March 15, 2011 </w:t>
      </w:r>
    </w:p>
    <w:p>
      <w:pPr>
        <w:pStyle w:val="TextBody"/>
        <w:spacing w:before="0" w:after="0"/>
        <w:rPr>
          <w:rFonts w:ascii="Times New Roman" w:hAnsi="Times New Roman"/>
          <w:b/>
          <w:sz w:val="20"/>
        </w:rPr>
      </w:pPr>
      <w:r>
        <w:rPr>
          <w:rFonts w:ascii="Times New Roman" w:hAnsi="Times New Roman"/>
          <w:b/>
          <w:sz w:val="20"/>
        </w:rPr>
        <w:t xml:space="preserve">Form 10-Q for the Fiscal Quarter ended March 31, 2011 </w:t>
      </w:r>
    </w:p>
    <w:p>
      <w:pPr>
        <w:pStyle w:val="TextBody"/>
        <w:spacing w:before="0" w:after="0"/>
        <w:rPr>
          <w:rFonts w:ascii="Times New Roman" w:hAnsi="Times New Roman"/>
          <w:b/>
          <w:sz w:val="20"/>
        </w:rPr>
      </w:pPr>
      <w:r>
        <w:rPr>
          <w:rFonts w:ascii="Times New Roman" w:hAnsi="Times New Roman"/>
          <w:b/>
          <w:sz w:val="20"/>
        </w:rPr>
        <w:t xml:space="preserve">Filed May 11, 2011 </w:t>
      </w:r>
    </w:p>
    <w:p>
      <w:pPr>
        <w:pStyle w:val="TextBody"/>
        <w:spacing w:before="0" w:after="0"/>
        <w:rPr>
          <w:rFonts w:ascii="Times New Roman" w:hAnsi="Times New Roman"/>
          <w:b/>
          <w:sz w:val="20"/>
        </w:rPr>
      </w:pPr>
      <w:r>
        <w:rPr>
          <w:rFonts w:ascii="Times New Roman" w:hAnsi="Times New Roman"/>
          <w:b/>
          <w:sz w:val="20"/>
        </w:rPr>
        <w:t xml:space="preserve">File No. 0-7099 </w:t>
      </w:r>
    </w:p>
    <w:p>
      <w:pPr>
        <w:pStyle w:val="TextBody"/>
        <w:spacing w:before="180" w:after="0"/>
        <w:rPr>
          <w:rFonts w:ascii="Times New Roman" w:hAnsi="Times New Roman"/>
          <w:sz w:val="20"/>
        </w:rPr>
      </w:pPr>
      <w:r>
        <w:rPr>
          <w:rFonts w:ascii="Times New Roman" w:hAnsi="Times New Roman"/>
          <w:sz w:val="20"/>
        </w:rPr>
        <w:t xml:space="preserve">Dear Mr. Decker: </w:t>
      </w:r>
    </w:p>
    <w:p>
      <w:pPr>
        <w:pStyle w:val="TextBody"/>
        <w:spacing w:before="180" w:after="0"/>
        <w:rPr>
          <w:rFonts w:ascii="Times New Roman" w:hAnsi="Times New Roman"/>
          <w:sz w:val="20"/>
        </w:rPr>
      </w:pPr>
      <w:r>
        <w:rPr>
          <w:rFonts w:ascii="Times New Roman" w:hAnsi="Times New Roman"/>
          <w:sz w:val="20"/>
        </w:rPr>
        <w:t xml:space="preserve">CECO Environmental Corp. (we or the Company) has received your letter dated August 3, 2011. The following reflects our review of the comments of the staff (the Staff) of the Securities and Exchange Commission (the Commission) you provided, keyed to your letter. </w:t>
      </w:r>
    </w:p>
    <w:p>
      <w:pPr>
        <w:pStyle w:val="TextBody"/>
        <w:spacing w:before="270" w:after="0"/>
        <w:rPr>
          <w:rFonts w:ascii="Times New Roman" w:hAnsi="Times New Roman"/>
          <w:sz w:val="20"/>
          <w:u w:val="single"/>
        </w:rPr>
      </w:pPr>
      <w:r>
        <w:rPr>
          <w:rFonts w:ascii="Times New Roman" w:hAnsi="Times New Roman"/>
          <w:sz w:val="20"/>
          <w:u w:val="single"/>
        </w:rPr>
        <w:t xml:space="preserve">Form 10-K for the Fiscal Year ended December 31, 2010 </w:t>
      </w:r>
    </w:p>
    <w:p>
      <w:pPr>
        <w:pStyle w:val="TextBody"/>
        <w:spacing w:before="90" w:after="0"/>
        <w:rPr>
          <w:rFonts w:ascii="Times New Roman" w:hAnsi="Times New Roman"/>
          <w:sz w:val="20"/>
          <w:u w:val="single"/>
        </w:rPr>
      </w:pPr>
      <w:r>
        <w:rPr>
          <w:rFonts w:ascii="Times New Roman" w:hAnsi="Times New Roman"/>
          <w:sz w:val="20"/>
          <w:u w:val="single"/>
        </w:rPr>
        <w:t xml:space="preserve">General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Comment:</w:t>
            </w:r>
            <w:r>
              <w:rPr>
                <w:rFonts w:ascii="Times New Roman" w:hAnsi="Times New Roman"/>
                <w:sz w:val="20"/>
              </w:rPr>
              <w:t xml:space="preserve"> </w:t>
            </w:r>
            <w:r>
              <w:rPr>
                <w:rFonts w:ascii="Times New Roman" w:hAnsi="Times New Roman"/>
                <w:i/>
                <w:sz w:val="20"/>
              </w:rPr>
              <w:t>Given your disclosure on page F-10 regarding derivative instruments, it is not clear how you have complied with the disclosure requirements set forth in ASC 815-10-50. Please advise or revise your disclosures in future filings accordingly. Please show us in your supplemental response what any revisions will look like.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b/>
          <w:sz w:val="20"/>
        </w:rPr>
        <w:t xml:space="preserve">Response: </w:t>
      </w:r>
      <w:r>
        <w:rPr>
          <w:rFonts w:ascii="Times New Roman" w:hAnsi="Times New Roman"/>
          <w:sz w:val="20"/>
        </w:rPr>
        <w:t xml:space="preserve">We did not have any outstanding derivative instruments during the years ended December 31, 2010 or 2009. We will remove the disclosure on page F-10 regarding derivative instruments in future filings. </w:t>
      </w:r>
    </w:p>
    <w:p>
      <w:pPr>
        <w:pStyle w:val="TextBody"/>
        <w:spacing w:before="270" w:after="0"/>
        <w:rPr>
          <w:rFonts w:ascii="Times New Roman" w:hAnsi="Times New Roman"/>
          <w:sz w:val="20"/>
          <w:u w:val="single"/>
        </w:rPr>
      </w:pPr>
      <w:r>
        <w:rPr>
          <w:rFonts w:ascii="Times New Roman" w:hAnsi="Times New Roman"/>
          <w:sz w:val="20"/>
          <w:u w:val="single"/>
        </w:rPr>
        <w:t xml:space="preserve">Item 7  Managements Discussion and Analysis of Financial Condition and Results of Operations, page 30 </w:t>
      </w:r>
    </w:p>
    <w:p>
      <w:pPr>
        <w:pStyle w:val="TextBody"/>
        <w:spacing w:before="90" w:after="0"/>
        <w:rPr>
          <w:rFonts w:ascii="Times New Roman" w:hAnsi="Times New Roman"/>
          <w:sz w:val="20"/>
          <w:u w:val="single"/>
        </w:rPr>
      </w:pPr>
      <w:r>
        <w:rPr>
          <w:rFonts w:ascii="Times New Roman" w:hAnsi="Times New Roman"/>
          <w:sz w:val="20"/>
          <w:u w:val="single"/>
        </w:rPr>
        <w:t xml:space="preserve">Results of Operations, page 33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Comment:</w:t>
            </w:r>
            <w:r>
              <w:rPr>
                <w:rFonts w:ascii="Times New Roman" w:hAnsi="Times New Roman"/>
                <w:sz w:val="20"/>
              </w:rPr>
              <w:t xml:space="preserve"> </w:t>
            </w:r>
            <w:r>
              <w:rPr>
                <w:rFonts w:ascii="Times New Roman" w:hAnsi="Times New Roman"/>
                <w:i/>
                <w:sz w:val="20"/>
              </w:rPr>
              <w:t>In future filings, please enhance your discussion of net sales by reportable segment to separately discuss with quantification the business reasons for changes between periods in revenues from external customers. Please also disclose with quantification the business reasons for changes between periods in amounts shown in the corporate and other column on page F-31 of your segment footnote. Please show us in your supplemental response what the revisions will look like.</w:t>
            </w:r>
            <w:r>
              <w:rPr>
                <w:rFonts w:ascii="Times New Roman" w:hAnsi="Times New Roman"/>
                <w:sz w:val="20"/>
              </w:rPr>
              <w:t xml:space="preserv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 xml:space="preserve">Response: </w:t>
      </w:r>
      <w:r>
        <w:rPr>
          <w:rFonts w:ascii="Times New Roman" w:hAnsi="Times New Roman"/>
          <w:sz w:val="20"/>
        </w:rPr>
        <w:t xml:space="preserve">Future filings will include enhanced tables and language similar to the following: </w:t>
      </w:r>
    </w:p>
    <w:p>
      <w:pPr>
        <w:pStyle w:val="TextBody"/>
        <w:spacing w:before="90" w:after="0"/>
        <w:rPr>
          <w:rFonts w:ascii="Times New Roman" w:hAnsi="Times New Roman"/>
          <w:sz w:val="20"/>
        </w:rPr>
      </w:pPr>
      <w:r>
        <w:rPr>
          <w:rFonts w:ascii="Times New Roman" w:hAnsi="Times New Roman"/>
          <w:sz w:val="20"/>
        </w:rPr>
        <w:t xml:space="preserve">CECOs operations are organized and reviewed by management along its product lines and presented in three reportable segments. The results of the segments are reviewed through to the Income from operations line on the Statements of Operations. </w:t>
      </w:r>
    </w:p>
    <w:p>
      <w:pPr>
        <w:pStyle w:val="TextBody"/>
        <w:spacing w:before="270" w:after="0"/>
        <w:rPr>
          <w:rFonts w:ascii="Times New Roman" w:hAnsi="Times New Roman"/>
          <w:b/>
          <w:i/>
          <w:sz w:val="20"/>
        </w:rPr>
      </w:pPr>
      <w:r>
        <w:rPr>
          <w:rFonts w:ascii="Times New Roman" w:hAnsi="Times New Roman"/>
          <w:b/>
          <w:i/>
          <w:sz w:val="20"/>
        </w:rPr>
        <w:t xml:space="preserve">Engineered Equipment and Parts Group </w:t>
      </w:r>
    </w:p>
    <w:p>
      <w:pPr>
        <w:pStyle w:val="TextBody"/>
        <w:spacing w:before="90" w:after="0"/>
        <w:rPr>
          <w:rFonts w:ascii="Times New Roman" w:hAnsi="Times New Roman"/>
          <w:sz w:val="20"/>
        </w:rPr>
      </w:pPr>
      <w:r>
        <w:rPr>
          <w:rFonts w:ascii="Times New Roman" w:hAnsi="Times New Roman"/>
          <w:sz w:val="20"/>
        </w:rPr>
        <w:t xml:space="preserve">Our Engineered Equipment and Parts Group, located in the United States as well as Canada, Brazil, China, and India, is comprised of CECO Filters, Busch International, CECO Abatement, Effox, FKI, Flextor and A.V.C. We enable our customers to meet BACT requirements and compliance targets for fumes, volatile organic compounds, process, and industrial odors. Our services eliminate toxic emission fumes and volatile organic compounds from large-scale industrial processes. We have a presence in the chemical processing, ethanol, paint booth emissions, wastewater treatment, and wood products industries. </w:t>
      </w:r>
    </w:p>
    <w:p>
      <w:pPr>
        <w:pStyle w:val="TextBody"/>
        <w:spacing w:before="270" w:after="0"/>
        <w:rPr>
          <w:rFonts w:ascii="Times New Roman" w:hAnsi="Times New Roman"/>
          <w:b/>
          <w:i/>
          <w:sz w:val="20"/>
        </w:rPr>
      </w:pPr>
      <w:r>
        <w:rPr>
          <w:rFonts w:ascii="Times New Roman" w:hAnsi="Times New Roman"/>
          <w:b/>
          <w:i/>
          <w:sz w:val="20"/>
        </w:rPr>
        <w:t xml:space="preserve">Contracting/Services Group </w:t>
      </w:r>
    </w:p>
    <w:p>
      <w:pPr>
        <w:pStyle w:val="TextBody"/>
        <w:spacing w:before="90" w:after="0"/>
        <w:rPr>
          <w:rFonts w:ascii="Times New Roman" w:hAnsi="Times New Roman"/>
          <w:sz w:val="20"/>
        </w:rPr>
      </w:pPr>
      <w:r>
        <w:rPr>
          <w:rFonts w:ascii="Times New Roman" w:hAnsi="Times New Roman"/>
          <w:sz w:val="20"/>
        </w:rPr>
        <w:t xml:space="preserve">Our Contracting/Services Group is comprised of the contracting/services operations of our Kirk &amp; Blum divisions. We provide custom metal fabrication services at our Kirk &amp; Blum Columbia Tennessee and Louisville Kentucky locations. These facilities are used to fabricate parts, subassemblies, and customized products for air pollution and non-air pollution applications from sheet, plate, and structurals. </w:t>
      </w:r>
    </w:p>
    <w:p>
      <w:pPr>
        <w:pStyle w:val="TextBody"/>
        <w:spacing w:before="270" w:after="0"/>
        <w:rPr>
          <w:rFonts w:ascii="Times New Roman" w:hAnsi="Times New Roman"/>
          <w:b/>
          <w:i/>
          <w:sz w:val="20"/>
        </w:rPr>
      </w:pPr>
      <w:r>
        <w:rPr>
          <w:rFonts w:ascii="Times New Roman" w:hAnsi="Times New Roman"/>
          <w:b/>
          <w:i/>
          <w:sz w:val="20"/>
        </w:rPr>
        <w:t xml:space="preserve">Component Parts Group </w:t>
      </w:r>
    </w:p>
    <w:p>
      <w:pPr>
        <w:pStyle w:val="TextBody"/>
        <w:spacing w:before="90" w:after="0"/>
        <w:rPr>
          <w:rFonts w:ascii="Times New Roman" w:hAnsi="Times New Roman"/>
          <w:sz w:val="20"/>
        </w:rPr>
      </w:pPr>
      <w:r>
        <w:rPr>
          <w:rFonts w:ascii="Times New Roman" w:hAnsi="Times New Roman"/>
          <w:sz w:val="20"/>
        </w:rPr>
        <w:t xml:space="preserve">We market component parts for industrial air systems to contractors, distributors and dealers throughout the United States. </w:t>
      </w:r>
    </w:p>
    <w:p>
      <w:pPr>
        <w:pStyle w:val="TextBody"/>
        <w:spacing w:before="90" w:after="0"/>
        <w:rPr>
          <w:rFonts w:ascii="Times New Roman" w:hAnsi="Times New Roman"/>
          <w:sz w:val="20"/>
        </w:rPr>
      </w:pPr>
      <w:r>
        <w:rPr>
          <w:rFonts w:ascii="Times New Roman" w:hAnsi="Times New Roman"/>
          <w:sz w:val="20"/>
        </w:rPr>
        <w:t xml:space="preserve">The accounting policies of the segments are the same as those in the consolidated financial statements. </w:t>
      </w:r>
    </w:p>
    <w:p>
      <w:pPr>
        <w:pStyle w:val="TextBody"/>
        <w:spacing w:before="270" w:after="0"/>
        <w:rPr>
          <w:rFonts w:ascii="Times New Roman" w:hAnsi="Times New Roman"/>
          <w:b/>
          <w:i/>
          <w:sz w:val="20"/>
        </w:rPr>
      </w:pPr>
      <w:r>
        <w:rPr>
          <w:rFonts w:ascii="Times New Roman" w:hAnsi="Times New Roman"/>
          <w:b/>
          <w:i/>
          <w:sz w:val="20"/>
        </w:rPr>
        <w:t xml:space="preserve">Results of Operations </w:t>
      </w:r>
    </w:p>
    <w:p>
      <w:pPr>
        <w:pStyle w:val="TextBody"/>
        <w:spacing w:before="90" w:after="0"/>
        <w:rPr>
          <w:rFonts w:ascii="Times New Roman" w:hAnsi="Times New Roman"/>
          <w:b/>
          <w:i/>
          <w:sz w:val="20"/>
        </w:rPr>
      </w:pPr>
      <w:r>
        <w:rPr>
          <w:rFonts w:ascii="Times New Roman" w:hAnsi="Times New Roman"/>
          <w:b/>
          <w:i/>
          <w:sz w:val="20"/>
        </w:rPr>
        <w:t xml:space="preserve">Segment Analysis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268"/>
        <w:gridCol w:w="307"/>
        <w:gridCol w:w="125"/>
        <w:gridCol w:w="702"/>
        <w:gridCol w:w="125"/>
        <w:gridCol w:w="272"/>
        <w:gridCol w:w="125"/>
        <w:gridCol w:w="702"/>
        <w:gridCol w:w="129"/>
      </w:tblGrid>
      <w:tr>
        <w:trPr/>
        <w:tc>
          <w:tcPr>
            <w:tcW w:w="526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in thousands</w:t>
            </w:r>
          </w:p>
        </w:tc>
        <w:tc>
          <w:tcPr>
            <w:tcW w:w="307"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2009</w:t>
            </w:r>
          </w:p>
        </w:tc>
        <w:tc>
          <w:tcPr>
            <w:tcW w:w="129" w:type="dxa"/>
            <w:tcBorders/>
            <w:shd w:fill="auto" w:val="clear"/>
            <w:vAlign w:val="bottom"/>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Sales by Business Segment</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Engineered equipment and parts (EE&amp;P)</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United States</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78,188</w:t>
            </w:r>
          </w:p>
        </w:tc>
        <w:tc>
          <w:tcPr>
            <w:tcW w:w="12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81,825</w:t>
            </w:r>
          </w:p>
        </w:tc>
        <w:tc>
          <w:tcPr>
            <w:tcW w:w="129" w:type="dxa"/>
            <w:tcBorders/>
            <w:shd w:fill="CCEEFF" w:val="clear"/>
            <w:vAlign w:val="bottom"/>
          </w:tcPr>
          <w:p>
            <w:pPr>
              <w:pStyle w:val="TableContents"/>
              <w:spacing w:before="0" w:after="283"/>
              <w:rPr/>
            </w:pPr>
            <w:r>
              <w:rPr/>
              <w:t>  </w:t>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Canada</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12,880</w:t>
            </w:r>
          </w:p>
        </w:tc>
        <w:tc>
          <w:tcPr>
            <w:tcW w:w="12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6,894</w:t>
            </w:r>
          </w:p>
        </w:tc>
        <w:tc>
          <w:tcPr>
            <w:tcW w:w="129" w:type="dxa"/>
            <w:tcBorders/>
            <w:shd w:fill="auto" w:val="clear"/>
            <w:vAlign w:val="bottom"/>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Brazil</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528</w:t>
            </w:r>
          </w:p>
        </w:tc>
        <w:tc>
          <w:tcPr>
            <w:tcW w:w="12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129" w:type="dxa"/>
            <w:tcBorders/>
            <w:shd w:fill="CCEEFF" w:val="clear"/>
            <w:vAlign w:val="bottom"/>
          </w:tcPr>
          <w:p>
            <w:pPr>
              <w:pStyle w:val="TableContents"/>
              <w:spacing w:before="0" w:after="283"/>
              <w:rPr/>
            </w:pPr>
            <w:r>
              <w:rPr/>
              <w:t>  </w:t>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China</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4,900</w:t>
            </w:r>
          </w:p>
        </w:tc>
        <w:tc>
          <w:tcPr>
            <w:tcW w:w="12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1,031</w:t>
            </w:r>
          </w:p>
        </w:tc>
        <w:tc>
          <w:tcPr>
            <w:tcW w:w="129" w:type="dxa"/>
            <w:tcBorders/>
            <w:shd w:fill="auto" w:val="clear"/>
            <w:vAlign w:val="bottom"/>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India</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843</w:t>
            </w:r>
          </w:p>
        </w:tc>
        <w:tc>
          <w:tcPr>
            <w:tcW w:w="12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w:t>
            </w:r>
          </w:p>
        </w:tc>
        <w:tc>
          <w:tcPr>
            <w:tcW w:w="129" w:type="dxa"/>
            <w:tcBorders/>
            <w:shd w:fill="CCEEFF" w:val="clear"/>
            <w:vAlign w:val="bottom"/>
          </w:tcPr>
          <w:p>
            <w:pPr>
              <w:pStyle w:val="TableContents"/>
              <w:spacing w:before="0" w:after="283"/>
              <w:rPr/>
            </w:pPr>
            <w:r>
              <w:rPr/>
              <w:t>  </w:t>
            </w:r>
          </w:p>
        </w:tc>
      </w:tr>
      <w:tr>
        <w:trPr/>
        <w:tc>
          <w:tcPr>
            <w:tcW w:w="5268"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5268" w:type="dxa"/>
            <w:tcBorders/>
            <w:shd w:fill="auto" w:val="clear"/>
            <w:vAlign w:val="center"/>
          </w:tcPr>
          <w:p>
            <w:pPr>
              <w:pStyle w:val="TableContents"/>
              <w:spacing w:before="0" w:after="283"/>
              <w:rPr>
                <w:sz w:val="4"/>
                <w:szCs w:val="4"/>
              </w:rPr>
            </w:pPr>
            <w:r>
              <w:rPr>
                <w:sz w:val="4"/>
                <w:szCs w:val="4"/>
              </w:rPr>
            </w:r>
          </w:p>
        </w:tc>
        <w:tc>
          <w:tcPr>
            <w:tcW w:w="1259" w:type="dxa"/>
            <w:gridSpan w:val="4"/>
            <w:tcBorders/>
            <w:shd w:fill="auto" w:val="clear"/>
            <w:vAlign w:val="center"/>
          </w:tcPr>
          <w:p>
            <w:pPr>
              <w:pStyle w:val="TableContents"/>
              <w:spacing w:before="0" w:after="283"/>
              <w:rPr>
                <w:sz w:val="4"/>
                <w:szCs w:val="4"/>
              </w:rPr>
            </w:pPr>
            <w:r>
              <w:rPr>
                <w:sz w:val="4"/>
                <w:szCs w:val="4"/>
              </w:rPr>
            </w:r>
          </w:p>
        </w:tc>
        <w:tc>
          <w:tcPr>
            <w:tcW w:w="1228" w:type="dxa"/>
            <w:gridSpan w:val="4"/>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subtotal (a)</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97,339</w:t>
            </w:r>
          </w:p>
        </w:tc>
        <w:tc>
          <w:tcPr>
            <w:tcW w:w="12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90,841</w:t>
            </w:r>
          </w:p>
        </w:tc>
        <w:tc>
          <w:tcPr>
            <w:tcW w:w="129" w:type="dxa"/>
            <w:tcBorders/>
            <w:shd w:fill="auto" w:val="clear"/>
            <w:vAlign w:val="bottom"/>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Contracting / Services (C/S) (b)</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37,122</w:t>
            </w:r>
          </w:p>
        </w:tc>
        <w:tc>
          <w:tcPr>
            <w:tcW w:w="12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41,451</w:t>
            </w:r>
          </w:p>
        </w:tc>
        <w:tc>
          <w:tcPr>
            <w:tcW w:w="129" w:type="dxa"/>
            <w:tcBorders/>
            <w:shd w:fill="CCEEFF" w:val="clear"/>
            <w:vAlign w:val="bottom"/>
          </w:tcPr>
          <w:p>
            <w:pPr>
              <w:pStyle w:val="TableContents"/>
              <w:spacing w:before="0" w:after="283"/>
              <w:rPr/>
            </w:pPr>
            <w:r>
              <w:rPr/>
              <w:t>  </w:t>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Component Parts (CP) (c)</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18,148</w:t>
            </w:r>
          </w:p>
        </w:tc>
        <w:tc>
          <w:tcPr>
            <w:tcW w:w="12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14,067</w:t>
            </w:r>
          </w:p>
        </w:tc>
        <w:tc>
          <w:tcPr>
            <w:tcW w:w="129" w:type="dxa"/>
            <w:tcBorders/>
            <w:shd w:fill="auto" w:val="clear"/>
            <w:vAlign w:val="bottom"/>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and other (d)</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1,548</w:t>
            </w:r>
          </w:p>
        </w:tc>
        <w:tc>
          <w:tcPr>
            <w:tcW w:w="12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1,462</w:t>
            </w:r>
          </w:p>
        </w:tc>
        <w:tc>
          <w:tcPr>
            <w:tcW w:w="129" w:type="dxa"/>
            <w:tcBorders/>
            <w:shd w:fill="CCEEFF" w:val="clear"/>
            <w:vAlign w:val="bottom"/>
          </w:tcPr>
          <w:p>
            <w:pPr>
              <w:pStyle w:val="TableContents"/>
              <w:spacing w:before="0" w:after="283"/>
              <w:rPr/>
            </w:pPr>
            <w:r>
              <w:rPr/>
              <w:t>  </w:t>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Eliminations</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(13,555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(8,836</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68"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sales</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140,602</w:t>
            </w:r>
          </w:p>
        </w:tc>
        <w:tc>
          <w:tcPr>
            <w:tcW w:w="12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138,985</w:t>
            </w:r>
          </w:p>
        </w:tc>
        <w:tc>
          <w:tcPr>
            <w:tcW w:w="129" w:type="dxa"/>
            <w:tcBorders/>
            <w:shd w:fill="CCEEFF" w:val="clear"/>
            <w:vAlign w:val="bottom"/>
          </w:tcPr>
          <w:p>
            <w:pPr>
              <w:pStyle w:val="TableContents"/>
              <w:spacing w:before="0" w:after="283"/>
              <w:rPr/>
            </w:pPr>
            <w:r>
              <w:rPr/>
              <w:t>  </w:t>
            </w:r>
          </w:p>
        </w:tc>
      </w:tr>
      <w:tr>
        <w:trPr/>
        <w:tc>
          <w:tcPr>
            <w:tcW w:w="5268"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intra-segment sales of $2,693 and $958 in 2010 and 2009, respectively and inter-segment sales of $1,864 and $1,093 in 2010 and 2009, respectively.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intra-segment sales of $539 and $1,244 in 2010 and 2009, respectively and inter-segment sales of $5,677 and $4,350 in 2010 and 2009, respectively.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intra-segment sales of $712 and $31 in 2010 and 2009, respectively and inter-segment sales of $1,764 and $1,042 in 2010 and 2009, respectively.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the operations of our Engineering Group, which is not significant to the overall operations of the Company. Includes inter-segment sales of $306 and $118 in 2010 and 2009, respectively. </w:t>
            </w:r>
          </w:p>
        </w:tc>
      </w:tr>
    </w:tbl>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205"/>
        <w:gridCol w:w="428"/>
        <w:gridCol w:w="125"/>
        <w:gridCol w:w="578"/>
        <w:gridCol w:w="125"/>
        <w:gridCol w:w="383"/>
        <w:gridCol w:w="125"/>
        <w:gridCol w:w="657"/>
        <w:gridCol w:w="129"/>
      </w:tblGrid>
      <w:tr>
        <w:trPr/>
        <w:tc>
          <w:tcPr>
            <w:tcW w:w="5205"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Operating income (loss)</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7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Engineered equipment and parts</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9,314</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423</w:t>
            </w:r>
          </w:p>
        </w:tc>
        <w:tc>
          <w:tcPr>
            <w:tcW w:w="129" w:type="dxa"/>
            <w:tcBorders/>
            <w:shd w:fill="auto" w:val="clear"/>
            <w:vAlign w:val="bottom"/>
          </w:tcPr>
          <w:p>
            <w:pPr>
              <w:pStyle w:val="TableContents"/>
              <w:spacing w:before="0" w:after="283"/>
              <w:rPr/>
            </w:pPr>
            <w:r>
              <w:rPr/>
              <w:t>  </w:t>
            </w:r>
          </w:p>
        </w:tc>
      </w:tr>
      <w:tr>
        <w:trPr/>
        <w:tc>
          <w:tcPr>
            <w:tcW w:w="5205" w:type="dxa"/>
            <w:tcBorders/>
            <w:shd w:fill="CCEEFF" w:val="clear"/>
          </w:tcPr>
          <w:p>
            <w:pPr>
              <w:pStyle w:val="TableContents"/>
              <w:spacing w:before="0" w:after="283"/>
              <w:rPr>
                <w:rFonts w:ascii="Times New Roman" w:hAnsi="Times New Roman"/>
                <w:sz w:val="20"/>
              </w:rPr>
            </w:pPr>
            <w:r>
              <w:rPr>
                <w:rFonts w:ascii="Times New Roman" w:hAnsi="Times New Roman"/>
                <w:sz w:val="20"/>
              </w:rPr>
              <w:t>Contracting / Services</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Component Parts</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2,798</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565</w:t>
            </w:r>
          </w:p>
        </w:tc>
        <w:tc>
          <w:tcPr>
            <w:tcW w:w="129" w:type="dxa"/>
            <w:tcBorders/>
            <w:shd w:fill="auto" w:val="clear"/>
            <w:vAlign w:val="bottom"/>
          </w:tcPr>
          <w:p>
            <w:pPr>
              <w:pStyle w:val="TableContents"/>
              <w:spacing w:before="0" w:after="283"/>
              <w:rPr/>
            </w:pPr>
            <w:r>
              <w:rPr/>
              <w:t>  </w:t>
            </w:r>
          </w:p>
        </w:tc>
      </w:tr>
      <w:tr>
        <w:trPr/>
        <w:tc>
          <w:tcPr>
            <w:tcW w:w="5205"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and other (e)</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(6,830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(15,309</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Eliminations</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05"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7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05"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operating income (loss)</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5,036</w:t>
            </w:r>
          </w:p>
        </w:tc>
        <w:tc>
          <w:tcPr>
            <w:tcW w:w="12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(15,830</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05"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7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7"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Corporate compensation, professional services, information technology, and other general and administrative Corporate expenses. Also included are the operations of our Engineering Group, which is not significant to the overall operations of the Company. </w:t>
            </w:r>
          </w:p>
        </w:tc>
      </w:tr>
    </w:tbl>
    <w:p>
      <w:pPr>
        <w:pStyle w:val="TextBody"/>
        <w:spacing w:before="90" w:after="0"/>
        <w:rPr>
          <w:rFonts w:ascii="Times New Roman" w:hAnsi="Times New Roman"/>
          <w:sz w:val="20"/>
        </w:rPr>
      </w:pPr>
      <w:r>
        <w:rPr>
          <w:rFonts w:ascii="Times New Roman" w:hAnsi="Times New Roman"/>
          <w:sz w:val="20"/>
        </w:rPr>
        <w:t xml:space="preserve">The amount for 2009 includes $8.6 million of the $17.1 million impairment losses discussed in Note 7 of the Consolidated Financial Statements. </w:t>
      </w:r>
    </w:p>
    <w:p>
      <w:pPr>
        <w:pStyle w:val="TextBody"/>
        <w:spacing w:before="180" w:after="0"/>
        <w:rPr>
          <w:rFonts w:ascii="Times New Roman" w:hAnsi="Times New Roman"/>
          <w:sz w:val="20"/>
        </w:rPr>
      </w:pPr>
      <w:r>
        <w:rPr>
          <w:rFonts w:ascii="Times New Roman" w:hAnsi="Times New Roman"/>
          <w:sz w:val="20"/>
        </w:rPr>
        <w:t xml:space="preserve">The amounts presented above and following comments at the reportable business segment level include both external and intersegment net sales and operating income (loss). See Note 18 to the Consolidated Financial Statements. </w:t>
      </w:r>
    </w:p>
    <w:p>
      <w:pPr>
        <w:pStyle w:val="TextBody"/>
        <w:spacing w:before="270" w:after="0"/>
        <w:rPr>
          <w:rFonts w:ascii="Times New Roman" w:hAnsi="Times New Roman"/>
          <w:i/>
          <w:sz w:val="20"/>
          <w:u w:val="single"/>
        </w:rPr>
      </w:pPr>
      <w:r>
        <w:rPr>
          <w:rFonts w:ascii="Times New Roman" w:hAnsi="Times New Roman"/>
          <w:i/>
          <w:sz w:val="20"/>
          <w:u w:val="single"/>
        </w:rPr>
        <w:t xml:space="preserve">Engineered Equipment and Parts Group </w:t>
      </w:r>
    </w:p>
    <w:p>
      <w:pPr>
        <w:pStyle w:val="TextBody"/>
        <w:spacing w:before="90" w:after="0"/>
        <w:rPr>
          <w:rFonts w:ascii="Times New Roman" w:hAnsi="Times New Roman"/>
          <w:sz w:val="20"/>
        </w:rPr>
      </w:pPr>
      <w:r>
        <w:rPr>
          <w:rFonts w:ascii="Times New Roman" w:hAnsi="Times New Roman"/>
          <w:sz w:val="20"/>
        </w:rPr>
        <w:t xml:space="preserve">Our Engineered Equipment and Parts Group net sales were $97.3 million in 2010, an increase of $6.5 million, or 7.2%, compared to $90.8 million in 2009. This increase is primarily due to $3.9 million in increased revenues from our FKI Shanghai division coupled with increased revenues at CECO Filters, Busch and CECO Abatement. The increase at our Shanghai division is primarily the result of increased demand in China for air pollution control and industrial ventilation equipment. The increases at CECO Filters, Busch and CECO Abatement are due to the improving domestic market for these products. These revenue increases were partially offset by reduced revenues at our Effox-Flextor divisions of $2.7 million which was primarily due to reduced demand for dampers and expansion joints from the power industry.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Operating income from the Engineered Equipment and Parts Group totaled $9.3 million in 2010, compared to $9.0 million in 2009, an increase of $0.3 million (excluding goodwill impairment charges of $8.6 million). This increase is primarily due to revenue driven increased operating leverage from our FKI-Shanghai division of $1.4 million as well as combined increased operating income from other FKI divisions, CECO Filters, Busch, and CECO Abatement of $1.7 million, offset by a decline in operating income from Effox-Flextor of $2.9 million. </w:t>
      </w:r>
    </w:p>
    <w:p>
      <w:pPr>
        <w:pStyle w:val="TextBody"/>
        <w:spacing w:before="270" w:after="0"/>
        <w:rPr>
          <w:rFonts w:ascii="Times New Roman" w:hAnsi="Times New Roman"/>
          <w:i/>
          <w:sz w:val="20"/>
          <w:u w:val="single"/>
        </w:rPr>
      </w:pPr>
      <w:r>
        <w:rPr>
          <w:rFonts w:ascii="Times New Roman" w:hAnsi="Times New Roman"/>
          <w:i/>
          <w:sz w:val="20"/>
          <w:u w:val="single"/>
        </w:rPr>
        <w:t xml:space="preserve">Contracting/Services Group </w:t>
      </w:r>
    </w:p>
    <w:p>
      <w:pPr>
        <w:pStyle w:val="TextBody"/>
        <w:spacing w:before="90" w:after="0"/>
        <w:rPr>
          <w:rFonts w:ascii="Times New Roman" w:hAnsi="Times New Roman"/>
          <w:sz w:val="20"/>
        </w:rPr>
      </w:pPr>
      <w:r>
        <w:rPr>
          <w:rFonts w:ascii="Times New Roman" w:hAnsi="Times New Roman"/>
          <w:sz w:val="20"/>
        </w:rPr>
        <w:t xml:space="preserve">The Company is making a strategic shift away from lower margin, higher risk contracting work and has raised the minimum acceptable margins for this group by several percentage points. As a result, Contracting /Services Group net sales were $37.1 million in 2010, a decrease of $4.4 million, or 10.6%, compared to $41.5 million in 2009. Additionally, this decrease is also partially due to reduced demand for these services which resulted from the economic decline. </w:t>
      </w:r>
    </w:p>
    <w:p>
      <w:pPr>
        <w:pStyle w:val="TextBody"/>
        <w:spacing w:before="180" w:after="0"/>
        <w:rPr>
          <w:rFonts w:ascii="Times New Roman" w:hAnsi="Times New Roman"/>
          <w:sz w:val="20"/>
        </w:rPr>
      </w:pPr>
      <w:r>
        <w:rPr>
          <w:rFonts w:ascii="Times New Roman" w:hAnsi="Times New Roman"/>
          <w:sz w:val="20"/>
        </w:rPr>
        <w:t xml:space="preserve">Operating income for the Contracting/Services Group was essentially break-even for 2010 compared to an operating loss of $1.4 million for 2009. This increase is primarily due to reduced costs in 2010 from facilities consolidations and streamlining efforts as well as better project management and more aggressive pricing strategies as previously mentioned. </w:t>
      </w:r>
    </w:p>
    <w:p>
      <w:pPr>
        <w:pStyle w:val="TextBody"/>
        <w:spacing w:before="270" w:after="0"/>
        <w:rPr>
          <w:rFonts w:ascii="Times New Roman" w:hAnsi="Times New Roman"/>
          <w:i/>
          <w:sz w:val="20"/>
          <w:u w:val="single"/>
        </w:rPr>
      </w:pPr>
      <w:r>
        <w:rPr>
          <w:rFonts w:ascii="Times New Roman" w:hAnsi="Times New Roman"/>
          <w:i/>
          <w:sz w:val="20"/>
          <w:u w:val="single"/>
        </w:rPr>
        <w:t xml:space="preserve">Component Parts Group </w:t>
      </w:r>
    </w:p>
    <w:p>
      <w:pPr>
        <w:pStyle w:val="TextBody"/>
        <w:spacing w:before="90" w:after="0"/>
        <w:rPr>
          <w:rFonts w:ascii="Times New Roman" w:hAnsi="Times New Roman"/>
          <w:sz w:val="20"/>
        </w:rPr>
      </w:pPr>
      <w:r>
        <w:rPr>
          <w:rFonts w:ascii="Times New Roman" w:hAnsi="Times New Roman"/>
          <w:sz w:val="20"/>
        </w:rPr>
        <w:t xml:space="preserve">Component Parts Group net sales were $18.2 million in 2010, an increase of $4.2 million, or 30.0%, compared to $14.0 million in 2009. This increase is primarily due to increased demand for our component parts and clamp together duct products, which is the result of many smaller contractors buying these products instead of making them in-house. </w:t>
      </w:r>
    </w:p>
    <w:p>
      <w:pPr>
        <w:pStyle w:val="TextBody"/>
        <w:spacing w:before="180" w:after="0"/>
        <w:rPr>
          <w:rFonts w:ascii="Times New Roman" w:hAnsi="Times New Roman"/>
          <w:sz w:val="20"/>
        </w:rPr>
      </w:pPr>
      <w:r>
        <w:rPr>
          <w:rFonts w:ascii="Times New Roman" w:hAnsi="Times New Roman"/>
          <w:sz w:val="20"/>
        </w:rPr>
        <w:t xml:space="preserve">Operating income for the Component Parts Group was $2.8 million for 2010, an increase of $2.2 million from $0.6 million for 2009. This increase is primarily due to increased revenues as described above and increased pricing strategies. </w:t>
      </w:r>
    </w:p>
    <w:p>
      <w:pPr>
        <w:pStyle w:val="TextBody"/>
        <w:spacing w:before="270" w:after="0"/>
        <w:rPr>
          <w:rFonts w:ascii="Times New Roman" w:hAnsi="Times New Roman"/>
          <w:i/>
          <w:sz w:val="20"/>
          <w:u w:val="single"/>
        </w:rPr>
      </w:pPr>
      <w:r>
        <w:rPr>
          <w:rFonts w:ascii="Times New Roman" w:hAnsi="Times New Roman"/>
          <w:i/>
          <w:sz w:val="20"/>
          <w:u w:val="single"/>
        </w:rPr>
        <w:t xml:space="preserve">Engineering Group </w:t>
      </w:r>
    </w:p>
    <w:p>
      <w:pPr>
        <w:pStyle w:val="TextBody"/>
        <w:spacing w:before="90" w:after="0"/>
        <w:rPr>
          <w:rFonts w:ascii="Times New Roman" w:hAnsi="Times New Roman"/>
          <w:sz w:val="20"/>
        </w:rPr>
      </w:pPr>
      <w:r>
        <w:rPr>
          <w:rFonts w:ascii="Times New Roman" w:hAnsi="Times New Roman"/>
          <w:sz w:val="20"/>
        </w:rPr>
        <w:t xml:space="preserve">Engineering Group net sales remained flat at $1.5 million for 2010 and 2009. Operating income increased slightly from break-even in 2009 to $0.1 million in 2010. The Engineering Group functions as a conduit for new business opportunities in our other divisions as many of the projects designed by this group can use the equipment that is manufactured, installed and serviced by our other operating groups. </w:t>
      </w:r>
    </w:p>
    <w:p>
      <w:pPr>
        <w:pStyle w:val="TextBody"/>
        <w:spacing w:before="180" w:after="0"/>
        <w:rPr>
          <w:rFonts w:ascii="Times New Roman" w:hAnsi="Times New Roman"/>
          <w:sz w:val="20"/>
        </w:rPr>
      </w:pPr>
      <w:r>
        <w:rPr>
          <w:rFonts w:ascii="Times New Roman" w:hAnsi="Times New Roman"/>
          <w:sz w:val="20"/>
        </w:rPr>
        <w:t xml:space="preserve">See also pages 15 and 16 of our Quarterly Report on Form 10-Q filed with the Commission on August 12, 2011 (the Second Quarter 10-Q) </w:t>
      </w:r>
    </w:p>
    <w:p>
      <w:pPr>
        <w:pStyle w:val="TextBody"/>
        <w:spacing w:before="270" w:after="0"/>
        <w:rPr>
          <w:rFonts w:ascii="Times New Roman" w:hAnsi="Times New Roman"/>
          <w:sz w:val="20"/>
          <w:u w:val="single"/>
        </w:rPr>
      </w:pPr>
      <w:r>
        <w:rPr>
          <w:rFonts w:ascii="Times New Roman" w:hAnsi="Times New Roman"/>
          <w:sz w:val="20"/>
          <w:u w:val="single"/>
        </w:rPr>
        <w:t xml:space="preserve">Item 9A  Controls and Procedures, page 46 </w:t>
      </w:r>
    </w:p>
    <w:p>
      <w:pPr>
        <w:pStyle w:val="TextBody"/>
        <w:spacing w:before="90" w:after="0"/>
        <w:rPr>
          <w:rFonts w:ascii="Times New Roman" w:hAnsi="Times New Roman"/>
          <w:sz w:val="20"/>
          <w:u w:val="single"/>
        </w:rPr>
      </w:pPr>
      <w:r>
        <w:rPr>
          <w:rFonts w:ascii="Times New Roman" w:hAnsi="Times New Roman"/>
          <w:sz w:val="20"/>
          <w:u w:val="single"/>
        </w:rPr>
        <w:t xml:space="preserve">Disclosure Controls and Procedures, page 46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Comment:</w:t>
            </w:r>
            <w:r>
              <w:rPr>
                <w:rFonts w:ascii="Times New Roman" w:hAnsi="Times New Roman"/>
                <w:sz w:val="20"/>
              </w:rPr>
              <w:t xml:space="preserve"> </w:t>
            </w:r>
            <w:r>
              <w:rPr>
                <w:rFonts w:ascii="Times New Roman" w:hAnsi="Times New Roman"/>
                <w:i/>
                <w:sz w:val="20"/>
              </w:rPr>
              <w:t>We note that your conclusion regarding the effectiveness of your disclosure controls and procedures is limited to ensuring that information we are required to disclose in reports that are filed or submitted under the Securities Exchange Act of 1934 is recorded, processed, summarized and reported within the time period specified in SEC rules and forms. This description appears to be based on the definition of disclosure controls and procedures provided in Rules 13a-15(e) and 15d-15(e) under the Securities Exchange Act of 1934, as amended. As described, however, this description does not fully conform to the definition set forth in those</w:t>
            </w:r>
            <w:r>
              <w:rPr>
                <w:rFonts w:ascii="Times New Roman" w:hAnsi="Times New Roman"/>
                <w:sz w:val="20"/>
              </w:rPr>
              <w:t xml:space="preserv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rPr/>
      </w:pPr>
      <w:r>
        <w:rPr/>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vAlign w:val="cente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i/>
                <w:sz w:val="20"/>
              </w:rPr>
              <w:t>rules. Please confirm, if true, that the conclusion regarding effectiveness is based on the full definition of disclosure controls and procedures set forth in the applicable rules, and revise accordingly in future filings. Alternatively, you may simply state in future filings that your certifying officers concluded on the applicable dates that your disclosure controls and procedures were effective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b/>
          <w:sz w:val="20"/>
        </w:rPr>
        <w:t xml:space="preserve">Response: </w:t>
      </w:r>
      <w:r>
        <w:rPr>
          <w:rFonts w:ascii="Times New Roman" w:hAnsi="Times New Roman"/>
          <w:sz w:val="20"/>
        </w:rPr>
        <w:t xml:space="preserve">We confirm that the conclusion regarding effectiveness is based on the full definition of disclosure controls and procedures set forth in the applicable rules, and will revise accordingly in future filings. Future filings will include language similar to the following: </w:t>
      </w:r>
    </w:p>
    <w:p>
      <w:pPr>
        <w:pStyle w:val="TextBody"/>
        <w:spacing w:before="90" w:after="0"/>
        <w:rPr>
          <w:rFonts w:ascii="Times New Roman" w:hAnsi="Times New Roman"/>
          <w:sz w:val="20"/>
        </w:rPr>
      </w:pPr>
      <w:r>
        <w:rPr>
          <w:rFonts w:ascii="Times New Roman" w:hAnsi="Times New Roman"/>
          <w:sz w:val="20"/>
        </w:rPr>
        <w:t xml:space="preserve">We maintain disclosure controls and procedures, as such term is defined under Securities Exchange Act Rule 13a- 15(e). Our management, with the participation of our Chief Executive Officer and Chief Financial Officer, has evaluated our disclosure controls and procedures pursuant to Rule 13a-15 of the Securities Exchange Act of 1934, as amended, as of December 31, 2010. Based on this evaluation, our Chief Executive Officer and Chief Financial Officer concluded that these disclosure controls and procedures were effective as of December 31, 2010. </w:t>
      </w:r>
    </w:p>
    <w:p>
      <w:pPr>
        <w:pStyle w:val="TextBody"/>
        <w:spacing w:before="90" w:after="0"/>
        <w:rPr>
          <w:rFonts w:ascii="Times New Roman" w:hAnsi="Times New Roman"/>
          <w:sz w:val="20"/>
        </w:rPr>
      </w:pPr>
      <w:r>
        <w:rPr>
          <w:rFonts w:ascii="Times New Roman" w:hAnsi="Times New Roman"/>
          <w:sz w:val="20"/>
        </w:rPr>
        <w:t xml:space="preserve">Please also see Item 4, page 21 of our Second Quarter 10-Q.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Comment:</w:t>
            </w:r>
            <w:r>
              <w:rPr>
                <w:rFonts w:ascii="Times New Roman" w:hAnsi="Times New Roman"/>
                <w:sz w:val="20"/>
              </w:rPr>
              <w:t xml:space="preserve"> </w:t>
            </w:r>
            <w:r>
              <w:rPr>
                <w:rFonts w:ascii="Times New Roman" w:hAnsi="Times New Roman"/>
                <w:i/>
                <w:sz w:val="20"/>
              </w:rPr>
              <w:t>We note your statement that disclosure controls and procedures can provide only reasonable assurance of achieving desired control objectives. Please confirm to us, if true, that your disclosure controls and procedures are designed to provide reasonable assurance of achieving their objectives and that your principal executive officer and principal financial officer concluded that your disclosure controls and procedures are effective at that reasonable assurance level. In the alternative, please remove the reference to the level of assurance of disclosure controls and procedures. Refer to Section II.F.4 of Managements Reports on Internal Control over Financial Reporting and Certification of Disclosure in Exchange Act Periodic Reports, SEC Release No. 33-8238, available on our website at http://www.sec.gov/rules/final/33-8238.htm. Please also comply with this comment in future filings.</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b/>
          <w:sz w:val="20"/>
        </w:rPr>
        <w:t xml:space="preserve">Response: </w:t>
      </w:r>
      <w:r>
        <w:rPr>
          <w:rFonts w:ascii="Times New Roman" w:hAnsi="Times New Roman"/>
          <w:sz w:val="20"/>
        </w:rPr>
        <w:t xml:space="preserve">We confirm that our disclosure controls and procedures are designed to provide reasonable assurance of achieving their objectives and that our principal executive officer and principal financial officer concluded that our disclosure controls and procedures are effective at that reasonable assurance level. We also confirm that future filings will omit the reference to the level of assurance of disclosure controls and procedures and will comply with this comment. </w:t>
      </w:r>
    </w:p>
    <w:p>
      <w:pPr>
        <w:pStyle w:val="TextBody"/>
        <w:spacing w:before="270" w:after="0"/>
        <w:rPr>
          <w:rFonts w:ascii="Times New Roman" w:hAnsi="Times New Roman"/>
          <w:sz w:val="20"/>
          <w:u w:val="single"/>
        </w:rPr>
      </w:pPr>
      <w:r>
        <w:rPr>
          <w:rFonts w:ascii="Times New Roman" w:hAnsi="Times New Roman"/>
          <w:sz w:val="20"/>
          <w:u w:val="single"/>
        </w:rPr>
        <w:t xml:space="preserve">Item 15  Exhibits and Financial Statement Schedules, page 49 </w:t>
      </w:r>
    </w:p>
    <w:p>
      <w:pPr>
        <w:pStyle w:val="TextBody"/>
        <w:spacing w:before="90" w:after="0"/>
        <w:rPr>
          <w:rFonts w:ascii="Times New Roman" w:hAnsi="Times New Roman"/>
          <w:sz w:val="20"/>
          <w:u w:val="single"/>
        </w:rPr>
      </w:pPr>
      <w:r>
        <w:rPr>
          <w:rFonts w:ascii="Times New Roman" w:hAnsi="Times New Roman"/>
          <w:sz w:val="20"/>
          <w:u w:val="single"/>
        </w:rPr>
        <w:t xml:space="preserve">Note 18  Business Segment Information, page F-30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Comment:</w:t>
            </w:r>
            <w:r>
              <w:rPr>
                <w:rFonts w:ascii="Times New Roman" w:hAnsi="Times New Roman"/>
                <w:sz w:val="20"/>
              </w:rPr>
              <w:t xml:space="preserve"> </w:t>
            </w:r>
            <w:r>
              <w:rPr>
                <w:rFonts w:ascii="Times New Roman" w:hAnsi="Times New Roman"/>
                <w:i/>
                <w:sz w:val="20"/>
              </w:rPr>
              <w:t>In future filings, please revise the table on page F-31 to present for each segment revenues from external customers as well as intersegment revenues as required by ASC 280-10-50-22(a) and (b). Refer to the example set forth in ASC 280-10-55-48. Regarding the intersegment revenues, please also disclose the segment(s) to which the products and services were sold. In addition, please enhance your disclosure in note (a) to the table on page F-31 to disclose in greater detail the types of amounts included in the operating income (loss) line item of the corporate and other column for each period presented. Please also disclose why the corporate and other column has significant negative identifiable assets and why there are significant negative adjustments in the eliminations column related to identifiable assets. Please show us in your supplemental response what the revisions will look like</w:t>
            </w:r>
            <w:r>
              <w:rPr>
                <w:rFonts w:ascii="Times New Roman" w:hAnsi="Times New Roman"/>
                <w:sz w:val="20"/>
              </w:rPr>
              <w:t xml:space="preserve">.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b/>
          <w:sz w:val="20"/>
        </w:rPr>
        <w:t xml:space="preserve">Response: </w:t>
      </w:r>
      <w:r>
        <w:rPr>
          <w:rFonts w:ascii="Times New Roman" w:hAnsi="Times New Roman"/>
          <w:sz w:val="20"/>
        </w:rPr>
        <w:t xml:space="preserve">Future filings will include enhanced disclosure similar to the following: </w:t>
      </w:r>
    </w:p>
    <w:p>
      <w:pPr>
        <w:pStyle w:val="TextBody"/>
        <w:spacing w:before="270" w:after="0"/>
        <w:rPr>
          <w:rFonts w:ascii="Times New Roman" w:hAnsi="Times New Roman"/>
          <w:b/>
          <w:sz w:val="20"/>
        </w:rPr>
      </w:pPr>
      <w:r>
        <w:rPr>
          <w:rFonts w:ascii="Times New Roman" w:hAnsi="Times New Roman"/>
          <w:b/>
          <w:sz w:val="20"/>
        </w:rPr>
        <w:t xml:space="preserve">Summary of Business by Segment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268"/>
        <w:gridCol w:w="307"/>
        <w:gridCol w:w="125"/>
        <w:gridCol w:w="702"/>
        <w:gridCol w:w="125"/>
        <w:gridCol w:w="272"/>
        <w:gridCol w:w="125"/>
        <w:gridCol w:w="702"/>
        <w:gridCol w:w="129"/>
      </w:tblGrid>
      <w:tr>
        <w:trPr/>
        <w:tc>
          <w:tcPr>
            <w:tcW w:w="526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in thousands</w:t>
            </w:r>
          </w:p>
        </w:tc>
        <w:tc>
          <w:tcPr>
            <w:tcW w:w="307"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82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2009</w:t>
            </w:r>
          </w:p>
        </w:tc>
        <w:tc>
          <w:tcPr>
            <w:tcW w:w="129" w:type="dxa"/>
            <w:tcBorders/>
            <w:shd w:fill="auto" w:val="clear"/>
            <w:vAlign w:val="bottom"/>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Sales by Business Segment</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2"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Engineered equipment and parts (EE&amp;P)</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2"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United States</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78,188</w:t>
            </w:r>
          </w:p>
        </w:tc>
        <w:tc>
          <w:tcPr>
            <w:tcW w:w="12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81,825</w:t>
            </w:r>
          </w:p>
        </w:tc>
        <w:tc>
          <w:tcPr>
            <w:tcW w:w="129" w:type="dxa"/>
            <w:tcBorders/>
            <w:shd w:fill="CCEEFF" w:val="clear"/>
            <w:vAlign w:val="bottom"/>
          </w:tcPr>
          <w:p>
            <w:pPr>
              <w:pStyle w:val="TableContents"/>
              <w:spacing w:before="0" w:after="283"/>
              <w:rPr/>
            </w:pPr>
            <w:r>
              <w:rPr/>
              <w:t>  </w:t>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Canada</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12,880</w:t>
            </w:r>
          </w:p>
        </w:tc>
        <w:tc>
          <w:tcPr>
            <w:tcW w:w="12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6,894</w:t>
            </w:r>
          </w:p>
        </w:tc>
        <w:tc>
          <w:tcPr>
            <w:tcW w:w="129" w:type="dxa"/>
            <w:tcBorders/>
            <w:shd w:fill="auto" w:val="clear"/>
            <w:vAlign w:val="bottom"/>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Brazil</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528</w:t>
            </w:r>
          </w:p>
        </w:tc>
        <w:tc>
          <w:tcPr>
            <w:tcW w:w="12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129" w:type="dxa"/>
            <w:tcBorders/>
            <w:shd w:fill="CCEEFF" w:val="clear"/>
            <w:vAlign w:val="bottom"/>
          </w:tcPr>
          <w:p>
            <w:pPr>
              <w:pStyle w:val="TableContents"/>
              <w:spacing w:before="0" w:after="283"/>
              <w:rPr/>
            </w:pPr>
            <w:r>
              <w:rPr/>
              <w:t>  </w:t>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China</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4,900</w:t>
            </w:r>
          </w:p>
        </w:tc>
        <w:tc>
          <w:tcPr>
            <w:tcW w:w="12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1,031</w:t>
            </w:r>
          </w:p>
        </w:tc>
        <w:tc>
          <w:tcPr>
            <w:tcW w:w="129" w:type="dxa"/>
            <w:tcBorders/>
            <w:shd w:fill="auto" w:val="clear"/>
            <w:vAlign w:val="bottom"/>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India</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843</w:t>
            </w:r>
          </w:p>
        </w:tc>
        <w:tc>
          <w:tcPr>
            <w:tcW w:w="12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w:t>
            </w:r>
          </w:p>
        </w:tc>
        <w:tc>
          <w:tcPr>
            <w:tcW w:w="129" w:type="dxa"/>
            <w:tcBorders/>
            <w:shd w:fill="CCEEFF" w:val="clear"/>
            <w:vAlign w:val="bottom"/>
          </w:tcPr>
          <w:p>
            <w:pPr>
              <w:pStyle w:val="TableContents"/>
              <w:spacing w:before="0" w:after="283"/>
              <w:rPr/>
            </w:pPr>
            <w:r>
              <w:rPr/>
              <w:t>  </w:t>
            </w:r>
          </w:p>
        </w:tc>
      </w:tr>
      <w:tr>
        <w:trPr/>
        <w:tc>
          <w:tcPr>
            <w:tcW w:w="5268"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5268" w:type="dxa"/>
            <w:tcBorders/>
            <w:shd w:fill="auto" w:val="clear"/>
            <w:vAlign w:val="center"/>
          </w:tcPr>
          <w:p>
            <w:pPr>
              <w:pStyle w:val="TableContents"/>
              <w:spacing w:before="0" w:after="283"/>
              <w:rPr>
                <w:sz w:val="4"/>
                <w:szCs w:val="4"/>
              </w:rPr>
            </w:pPr>
            <w:r>
              <w:rPr>
                <w:sz w:val="4"/>
                <w:szCs w:val="4"/>
              </w:rPr>
            </w:r>
          </w:p>
        </w:tc>
        <w:tc>
          <w:tcPr>
            <w:tcW w:w="1259" w:type="dxa"/>
            <w:gridSpan w:val="4"/>
            <w:tcBorders/>
            <w:shd w:fill="auto" w:val="clear"/>
            <w:vAlign w:val="center"/>
          </w:tcPr>
          <w:p>
            <w:pPr>
              <w:pStyle w:val="TableContents"/>
              <w:spacing w:before="0" w:after="283"/>
              <w:rPr>
                <w:sz w:val="4"/>
                <w:szCs w:val="4"/>
              </w:rPr>
            </w:pPr>
            <w:r>
              <w:rPr>
                <w:sz w:val="4"/>
                <w:szCs w:val="4"/>
              </w:rPr>
            </w:r>
          </w:p>
        </w:tc>
        <w:tc>
          <w:tcPr>
            <w:tcW w:w="1228" w:type="dxa"/>
            <w:gridSpan w:val="4"/>
            <w:tcBorders/>
            <w:shd w:fill="auto" w:val="clear"/>
            <w:vAlign w:val="center"/>
          </w:tcPr>
          <w:p>
            <w:pPr>
              <w:pStyle w:val="TableContents"/>
              <w:spacing w:before="0" w:after="283"/>
              <w:rPr>
                <w:sz w:val="4"/>
                <w:szCs w:val="4"/>
              </w:rPr>
            </w:pPr>
            <w:r>
              <w:rPr>
                <w:sz w:val="4"/>
                <w:szCs w:val="4"/>
              </w:rPr>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Subtotal (a)</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97,339</w:t>
            </w:r>
          </w:p>
        </w:tc>
        <w:tc>
          <w:tcPr>
            <w:tcW w:w="12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90,841</w:t>
            </w:r>
          </w:p>
        </w:tc>
        <w:tc>
          <w:tcPr>
            <w:tcW w:w="129" w:type="dxa"/>
            <w:tcBorders/>
            <w:shd w:fill="auto" w:val="clear"/>
            <w:vAlign w:val="bottom"/>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Contracting / Services (C/S) (b)</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37,122</w:t>
            </w:r>
          </w:p>
        </w:tc>
        <w:tc>
          <w:tcPr>
            <w:tcW w:w="12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41,451</w:t>
            </w:r>
          </w:p>
        </w:tc>
        <w:tc>
          <w:tcPr>
            <w:tcW w:w="129" w:type="dxa"/>
            <w:tcBorders/>
            <w:shd w:fill="CCEEFF" w:val="clear"/>
            <w:vAlign w:val="bottom"/>
          </w:tcPr>
          <w:p>
            <w:pPr>
              <w:pStyle w:val="TableContents"/>
              <w:spacing w:before="0" w:after="283"/>
              <w:rPr/>
            </w:pPr>
            <w:r>
              <w:rPr/>
              <w:t>  </w:t>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Component Parts (CP) (c)</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18,148</w:t>
            </w:r>
          </w:p>
        </w:tc>
        <w:tc>
          <w:tcPr>
            <w:tcW w:w="125" w:type="dxa"/>
            <w:tcBorders/>
            <w:shd w:fill="auto" w:val="clear"/>
            <w:vAlign w:val="bottom"/>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14,067</w:t>
            </w:r>
          </w:p>
        </w:tc>
        <w:tc>
          <w:tcPr>
            <w:tcW w:w="129" w:type="dxa"/>
            <w:tcBorders/>
            <w:shd w:fill="auto" w:val="clear"/>
            <w:vAlign w:val="bottom"/>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and other (d)</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1,548</w:t>
            </w:r>
          </w:p>
        </w:tc>
        <w:tc>
          <w:tcPr>
            <w:tcW w:w="12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1,462</w:t>
            </w:r>
          </w:p>
        </w:tc>
        <w:tc>
          <w:tcPr>
            <w:tcW w:w="129" w:type="dxa"/>
            <w:tcBorders/>
            <w:shd w:fill="CCEEFF" w:val="clear"/>
            <w:vAlign w:val="bottom"/>
          </w:tcPr>
          <w:p>
            <w:pPr>
              <w:pStyle w:val="TableContents"/>
              <w:spacing w:before="0" w:after="283"/>
              <w:rPr/>
            </w:pPr>
            <w:r>
              <w:rPr/>
              <w:t>  </w:t>
            </w:r>
          </w:p>
        </w:tc>
      </w:tr>
      <w:tr>
        <w:trPr/>
        <w:tc>
          <w:tcPr>
            <w:tcW w:w="5268" w:type="dxa"/>
            <w:tcBorders/>
            <w:shd w:fill="auto" w:val="clear"/>
          </w:tcPr>
          <w:p>
            <w:pPr>
              <w:pStyle w:val="TableContents"/>
              <w:spacing w:before="0" w:after="283"/>
              <w:rPr>
                <w:rFonts w:ascii="Times New Roman" w:hAnsi="Times New Roman"/>
                <w:sz w:val="20"/>
              </w:rPr>
            </w:pPr>
            <w:r>
              <w:rPr>
                <w:rFonts w:ascii="Times New Roman" w:hAnsi="Times New Roman"/>
                <w:sz w:val="20"/>
              </w:rPr>
              <w:t>Eliminations</w:t>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(13,555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(8,836</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68"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2"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68"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sales</w:t>
            </w:r>
          </w:p>
        </w:tc>
        <w:tc>
          <w:tcPr>
            <w:tcW w:w="307"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140,602</w:t>
            </w:r>
          </w:p>
        </w:tc>
        <w:tc>
          <w:tcPr>
            <w:tcW w:w="125" w:type="dxa"/>
            <w:tcBorders/>
            <w:shd w:fill="CCEEFF" w:val="clear"/>
            <w:vAlign w:val="bottom"/>
          </w:tcPr>
          <w:p>
            <w:pPr>
              <w:pStyle w:val="TableContents"/>
              <w:spacing w:before="0" w:after="283"/>
              <w:rPr/>
            </w:pPr>
            <w:r>
              <w:rPr/>
              <w:t>  </w:t>
            </w:r>
          </w:p>
        </w:tc>
        <w:tc>
          <w:tcPr>
            <w:tcW w:w="27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138,985</w:t>
            </w:r>
          </w:p>
        </w:tc>
        <w:tc>
          <w:tcPr>
            <w:tcW w:w="129" w:type="dxa"/>
            <w:tcBorders/>
            <w:shd w:fill="CCEEFF" w:val="clear"/>
            <w:vAlign w:val="bottom"/>
          </w:tcPr>
          <w:p>
            <w:pPr>
              <w:pStyle w:val="TableContents"/>
              <w:spacing w:before="0" w:after="283"/>
              <w:rPr/>
            </w:pPr>
            <w:r>
              <w:rPr/>
              <w:t>  </w:t>
            </w:r>
          </w:p>
        </w:tc>
      </w:tr>
      <w:tr>
        <w:trPr/>
        <w:tc>
          <w:tcPr>
            <w:tcW w:w="5268" w:type="dxa"/>
            <w:tcBorders/>
            <w:shd w:fill="auto" w:val="clear"/>
            <w:vAlign w:val="bottom"/>
          </w:tcPr>
          <w:p>
            <w:pPr>
              <w:pStyle w:val="TableContents"/>
              <w:spacing w:before="0" w:after="283"/>
              <w:rPr>
                <w:sz w:val="4"/>
                <w:szCs w:val="4"/>
              </w:rPr>
            </w:pPr>
            <w:r>
              <w:rPr>
                <w:sz w:val="4"/>
                <w:szCs w:val="4"/>
              </w:rPr>
            </w:r>
          </w:p>
        </w:tc>
        <w:tc>
          <w:tcPr>
            <w:tcW w:w="307"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27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2"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intra-segment sales of $2,693 and $958 in 2010 and 2009, respectively and inter-segment sales of $1,864 and $1,093 in 2010 and 2009, respectively.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(b)</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intra-segment sales of $539 and $1,244 in 2010 and 2009, respectively and inter-segment sales of $5,677 and $4,350 in 2010 and 2009, respectively. </w:t>
            </w:r>
          </w:p>
        </w:tc>
      </w:tr>
    </w:tbl>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intra-segment sales of $712 and $31 in 2010 and 2009, respectively and inter-segment sales of $1,764 and $1,042 in 2010 and 2009, respectively.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(d)</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the operations of our Engineering Group, which is not significant to the overall operations of the Company. Includes inter-segment sales of $306 and $118 in 2010 and 2009, respectively. </w:t>
            </w:r>
          </w:p>
        </w:tc>
      </w:tr>
    </w:tbl>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205"/>
        <w:gridCol w:w="428"/>
        <w:gridCol w:w="125"/>
        <w:gridCol w:w="578"/>
        <w:gridCol w:w="125"/>
        <w:gridCol w:w="383"/>
        <w:gridCol w:w="125"/>
        <w:gridCol w:w="657"/>
        <w:gridCol w:w="129"/>
      </w:tblGrid>
      <w:tr>
        <w:trPr/>
        <w:tc>
          <w:tcPr>
            <w:tcW w:w="5205"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5205"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Operating income (loss)</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7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657"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Engineered equipment and parts</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9,314</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423</w:t>
            </w:r>
          </w:p>
        </w:tc>
        <w:tc>
          <w:tcPr>
            <w:tcW w:w="129" w:type="dxa"/>
            <w:tcBorders/>
            <w:shd w:fill="auto" w:val="clear"/>
            <w:vAlign w:val="bottom"/>
          </w:tcPr>
          <w:p>
            <w:pPr>
              <w:pStyle w:val="TableContents"/>
              <w:spacing w:before="0" w:after="283"/>
              <w:rPr/>
            </w:pPr>
            <w:r>
              <w:rPr/>
              <w:t>  </w:t>
            </w:r>
          </w:p>
        </w:tc>
      </w:tr>
      <w:tr>
        <w:trPr/>
        <w:tc>
          <w:tcPr>
            <w:tcW w:w="5205" w:type="dxa"/>
            <w:tcBorders/>
            <w:shd w:fill="CCEEFF" w:val="clear"/>
          </w:tcPr>
          <w:p>
            <w:pPr>
              <w:pStyle w:val="TableContents"/>
              <w:spacing w:before="0" w:after="283"/>
              <w:rPr>
                <w:rFonts w:ascii="Times New Roman" w:hAnsi="Times New Roman"/>
                <w:sz w:val="20"/>
              </w:rPr>
            </w:pPr>
            <w:r>
              <w:rPr>
                <w:rFonts w:ascii="Times New Roman" w:hAnsi="Times New Roman"/>
                <w:sz w:val="20"/>
              </w:rPr>
              <w:t>Contracting / Services</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2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(1,445</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Component Parts</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2,798</w:t>
            </w:r>
          </w:p>
        </w:tc>
        <w:tc>
          <w:tcPr>
            <w:tcW w:w="125" w:type="dxa"/>
            <w:tcBorders/>
            <w:shd w:fill="auto" w:val="clear"/>
            <w:vAlign w:val="bottom"/>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565</w:t>
            </w:r>
          </w:p>
        </w:tc>
        <w:tc>
          <w:tcPr>
            <w:tcW w:w="129" w:type="dxa"/>
            <w:tcBorders/>
            <w:shd w:fill="auto" w:val="clear"/>
            <w:vAlign w:val="bottom"/>
          </w:tcPr>
          <w:p>
            <w:pPr>
              <w:pStyle w:val="TableContents"/>
              <w:spacing w:before="0" w:after="283"/>
              <w:rPr/>
            </w:pPr>
            <w:r>
              <w:rPr/>
              <w:t>  </w:t>
            </w:r>
          </w:p>
        </w:tc>
      </w:tr>
      <w:tr>
        <w:trPr/>
        <w:tc>
          <w:tcPr>
            <w:tcW w:w="5205"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and other (e)</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(6,830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(15,309</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05" w:type="dxa"/>
            <w:tcBorders/>
            <w:shd w:fill="auto" w:val="clear"/>
          </w:tcPr>
          <w:p>
            <w:pPr>
              <w:pStyle w:val="TableContents"/>
              <w:spacing w:before="0" w:after="283"/>
              <w:rPr>
                <w:rFonts w:ascii="Times New Roman" w:hAnsi="Times New Roman"/>
                <w:sz w:val="20"/>
              </w:rPr>
            </w:pPr>
            <w:r>
              <w:rPr>
                <w:rFonts w:ascii="Times New Roman" w:hAnsi="Times New Roman"/>
                <w:sz w:val="20"/>
              </w:rPr>
              <w:t>Eliminations</w:t>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7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(274</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65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29"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05"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7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657"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5205"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operating income (loss)</w:t>
            </w:r>
          </w:p>
        </w:tc>
        <w:tc>
          <w:tcPr>
            <w:tcW w:w="428"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7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5,036</w:t>
            </w:r>
          </w:p>
        </w:tc>
        <w:tc>
          <w:tcPr>
            <w:tcW w:w="125" w:type="dxa"/>
            <w:tcBorders/>
            <w:shd w:fill="CCEEFF" w:val="clear"/>
            <w:vAlign w:val="bottom"/>
          </w:tcPr>
          <w:p>
            <w:pPr>
              <w:pStyle w:val="TableContents"/>
              <w:spacing w:before="0" w:after="283"/>
              <w:rPr/>
            </w:pPr>
            <w:r>
              <w:rPr/>
              <w:t>  </w:t>
            </w:r>
          </w:p>
        </w:tc>
        <w:tc>
          <w:tcPr>
            <w:tcW w:w="38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5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(15,830</w:t>
            </w:r>
          </w:p>
        </w:tc>
        <w:tc>
          <w:tcPr>
            <w:tcW w:w="129"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r>
      <w:tr>
        <w:trPr/>
        <w:tc>
          <w:tcPr>
            <w:tcW w:w="5205" w:type="dxa"/>
            <w:tcBorders/>
            <w:shd w:fill="auto" w:val="clear"/>
            <w:vAlign w:val="bottom"/>
          </w:tcPr>
          <w:p>
            <w:pPr>
              <w:pStyle w:val="TableContents"/>
              <w:spacing w:before="0" w:after="283"/>
              <w:rPr>
                <w:sz w:val="4"/>
                <w:szCs w:val="4"/>
              </w:rPr>
            </w:pPr>
            <w:r>
              <w:rPr>
                <w:sz w:val="4"/>
                <w:szCs w:val="4"/>
              </w:rPr>
            </w:r>
          </w:p>
        </w:tc>
        <w:tc>
          <w:tcPr>
            <w:tcW w:w="428"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7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8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657"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(e)</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Corporate compensation, professional services, information technology, and other general and administrative Corporate expenses. Also included are the operations of our Engineering Group, which is not significant to the overall operations of the Company.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amount for 2009 includes $8.6 million of the $17.1 million impairment losses discussed in Note 7 of the Consolidated Financial Statements.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919"/>
        <w:gridCol w:w="336"/>
        <w:gridCol w:w="125"/>
        <w:gridCol w:w="336"/>
        <w:gridCol w:w="120"/>
        <w:gridCol w:w="336"/>
        <w:gridCol w:w="125"/>
        <w:gridCol w:w="336"/>
        <w:gridCol w:w="122"/>
      </w:tblGrid>
      <w:tr>
        <w:trPr/>
        <w:tc>
          <w:tcPr>
            <w:tcW w:w="5919"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r>
      <w:tr>
        <w:trPr/>
        <w:tc>
          <w:tcPr>
            <w:tcW w:w="5919"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378" w:type="dxa"/>
            <w:gridSpan w:val="6"/>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December 31,</w:t>
            </w:r>
          </w:p>
        </w:tc>
        <w:tc>
          <w:tcPr>
            <w:tcW w:w="122" w:type="dxa"/>
            <w:tcBorders/>
            <w:shd w:fill="auto" w:val="clear"/>
            <w:vAlign w:val="bottom"/>
          </w:tcPr>
          <w:p>
            <w:pPr>
              <w:pStyle w:val="TableContents"/>
              <w:spacing w:before="0" w:after="283"/>
              <w:rPr/>
            </w:pPr>
            <w:r>
              <w:rPr/>
              <w:t> </w:t>
            </w:r>
          </w:p>
        </w:tc>
      </w:tr>
      <w:tr>
        <w:trPr/>
        <w:tc>
          <w:tcPr>
            <w:tcW w:w="5919"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6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2010</w:t>
            </w:r>
          </w:p>
        </w:tc>
        <w:tc>
          <w:tcPr>
            <w:tcW w:w="12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46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2009</w:t>
            </w:r>
          </w:p>
        </w:tc>
        <w:tc>
          <w:tcPr>
            <w:tcW w:w="122" w:type="dxa"/>
            <w:tcBorders/>
            <w:shd w:fill="auto" w:val="clear"/>
            <w:vAlign w:val="bottom"/>
          </w:tcPr>
          <w:p>
            <w:pPr>
              <w:pStyle w:val="TableContents"/>
              <w:spacing w:before="0" w:after="283"/>
              <w:rPr/>
            </w:pPr>
            <w:r>
              <w:rPr/>
              <w:t> </w:t>
            </w:r>
          </w:p>
        </w:tc>
      </w:tr>
      <w:tr>
        <w:trPr>
          <w:trHeight w:val="120" w:hRule="atLeast"/>
        </w:trPr>
        <w:tc>
          <w:tcPr>
            <w:tcW w:w="5919" w:type="dxa"/>
            <w:tcBorders/>
            <w:shd w:fill="auto" w:val="clear"/>
            <w:vAlign w:val="center"/>
          </w:tcPr>
          <w:p>
            <w:pPr>
              <w:pStyle w:val="TableContents"/>
              <w:spacing w:before="0" w:after="283"/>
              <w:rPr>
                <w:sz w:val="4"/>
                <w:szCs w:val="4"/>
              </w:rPr>
            </w:pPr>
            <w:r>
              <w:rPr>
                <w:sz w:val="4"/>
                <w:szCs w:val="4"/>
              </w:rPr>
            </w:r>
          </w:p>
        </w:tc>
        <w:tc>
          <w:tcPr>
            <w:tcW w:w="917" w:type="dxa"/>
            <w:gridSpan w:val="4"/>
            <w:tcBorders/>
            <w:shd w:fill="auto" w:val="clear"/>
            <w:vAlign w:val="center"/>
          </w:tcPr>
          <w:p>
            <w:pPr>
              <w:pStyle w:val="TableContents"/>
              <w:spacing w:before="0" w:after="283"/>
              <w:rPr>
                <w:sz w:val="4"/>
                <w:szCs w:val="4"/>
              </w:rPr>
            </w:pPr>
            <w:r>
              <w:rPr>
                <w:sz w:val="4"/>
                <w:szCs w:val="4"/>
              </w:rPr>
            </w:r>
          </w:p>
        </w:tc>
        <w:tc>
          <w:tcPr>
            <w:tcW w:w="919" w:type="dxa"/>
            <w:gridSpan w:val="4"/>
            <w:tcBorders/>
            <w:shd w:fill="auto" w:val="clear"/>
            <w:vAlign w:val="center"/>
          </w:tcPr>
          <w:p>
            <w:pPr>
              <w:pStyle w:val="TableContents"/>
              <w:spacing w:before="0" w:after="283"/>
              <w:rPr>
                <w:sz w:val="4"/>
                <w:szCs w:val="4"/>
              </w:rPr>
            </w:pPr>
            <w:r>
              <w:rPr>
                <w:sz w:val="4"/>
                <w:szCs w:val="4"/>
              </w:rPr>
            </w:r>
          </w:p>
        </w:tc>
      </w:tr>
      <w:tr>
        <w:trPr/>
        <w:tc>
          <w:tcPr>
            <w:tcW w:w="5919" w:type="dxa"/>
            <w:tcBorders/>
            <w:shd w:fill="CCEEFF" w:val="clear"/>
          </w:tcPr>
          <w:p>
            <w:pPr>
              <w:pStyle w:val="TableContents"/>
              <w:spacing w:before="0" w:after="283"/>
              <w:rPr>
                <w:rFonts w:ascii="Times New Roman" w:hAnsi="Times New Roman"/>
                <w:b/>
                <w:sz w:val="20"/>
              </w:rPr>
            </w:pPr>
            <w:r>
              <w:rPr>
                <w:rFonts w:ascii="Times New Roman" w:hAnsi="Times New Roman"/>
                <w:b/>
                <w:sz w:val="20"/>
              </w:rPr>
              <w:t>Property and equipment additions</w:t>
            </w:r>
          </w:p>
        </w:tc>
        <w:tc>
          <w:tcPr>
            <w:tcW w:w="3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6"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336" w:type="dxa"/>
            <w:tcBorders/>
            <w:shd w:fill="CCEEFF" w:val="clear"/>
            <w:vAlign w:val="bottom"/>
          </w:tcPr>
          <w:p>
            <w:pPr>
              <w:pStyle w:val="TableContents"/>
              <w:spacing w:before="0" w:after="283"/>
              <w:rPr>
                <w:sz w:val="4"/>
                <w:szCs w:val="4"/>
              </w:rPr>
            </w:pPr>
            <w:r>
              <w:rPr>
                <w:sz w:val="4"/>
                <w:szCs w:val="4"/>
              </w:rPr>
            </w:r>
          </w:p>
        </w:tc>
        <w:tc>
          <w:tcPr>
            <w:tcW w:w="122" w:type="dxa"/>
            <w:tcBorders/>
            <w:shd w:fill="CCEEFF" w:val="clear"/>
            <w:vAlign w:val="bottom"/>
          </w:tcPr>
          <w:p>
            <w:pPr>
              <w:pStyle w:val="TableContents"/>
              <w:spacing w:before="0" w:after="283"/>
              <w:rPr>
                <w:sz w:val="4"/>
                <w:szCs w:val="4"/>
              </w:rPr>
            </w:pPr>
            <w:r>
              <w:rPr>
                <w:sz w:val="4"/>
                <w:szCs w:val="4"/>
              </w:rPr>
            </w:r>
          </w:p>
        </w:tc>
      </w:tr>
      <w:tr>
        <w:trPr/>
        <w:tc>
          <w:tcPr>
            <w:tcW w:w="5919" w:type="dxa"/>
            <w:tcBorders/>
            <w:shd w:fill="auto" w:val="clear"/>
          </w:tcPr>
          <w:p>
            <w:pPr>
              <w:pStyle w:val="TableContents"/>
              <w:spacing w:before="0" w:after="283"/>
              <w:rPr>
                <w:rFonts w:ascii="Times New Roman" w:hAnsi="Times New Roman"/>
                <w:sz w:val="20"/>
              </w:rPr>
            </w:pPr>
            <w:r>
              <w:rPr>
                <w:rFonts w:ascii="Times New Roman" w:hAnsi="Times New Roman"/>
                <w:sz w:val="20"/>
              </w:rPr>
              <w:t>Engineered equipment and parts</w:t>
            </w:r>
          </w:p>
        </w:tc>
        <w:tc>
          <w:tcPr>
            <w:tcW w:w="3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386</w:t>
            </w:r>
          </w:p>
        </w:tc>
        <w:tc>
          <w:tcPr>
            <w:tcW w:w="12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101</w:t>
            </w:r>
          </w:p>
        </w:tc>
        <w:tc>
          <w:tcPr>
            <w:tcW w:w="122" w:type="dxa"/>
            <w:tcBorders/>
            <w:shd w:fill="auto" w:val="clear"/>
            <w:vAlign w:val="bottom"/>
          </w:tcPr>
          <w:p>
            <w:pPr>
              <w:pStyle w:val="TableContents"/>
              <w:spacing w:before="0" w:after="283"/>
              <w:rPr/>
            </w:pPr>
            <w:r>
              <w:rPr/>
              <w:t>  </w:t>
            </w:r>
          </w:p>
        </w:tc>
      </w:tr>
      <w:tr>
        <w:trPr/>
        <w:tc>
          <w:tcPr>
            <w:tcW w:w="5919" w:type="dxa"/>
            <w:tcBorders/>
            <w:shd w:fill="CCEEFF" w:val="clear"/>
          </w:tcPr>
          <w:p>
            <w:pPr>
              <w:pStyle w:val="TableContents"/>
              <w:spacing w:before="0" w:after="283"/>
              <w:rPr>
                <w:rFonts w:ascii="Times New Roman" w:hAnsi="Times New Roman"/>
                <w:sz w:val="20"/>
              </w:rPr>
            </w:pPr>
            <w:r>
              <w:rPr>
                <w:rFonts w:ascii="Times New Roman" w:hAnsi="Times New Roman"/>
                <w:sz w:val="20"/>
              </w:rPr>
              <w:t>Contracting / Services</w:t>
            </w:r>
          </w:p>
        </w:tc>
        <w:tc>
          <w:tcPr>
            <w:tcW w:w="3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109</w:t>
            </w:r>
          </w:p>
        </w:tc>
        <w:tc>
          <w:tcPr>
            <w:tcW w:w="120"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465</w:t>
            </w:r>
          </w:p>
        </w:tc>
        <w:tc>
          <w:tcPr>
            <w:tcW w:w="122" w:type="dxa"/>
            <w:tcBorders/>
            <w:shd w:fill="CCEEFF" w:val="clear"/>
            <w:vAlign w:val="bottom"/>
          </w:tcPr>
          <w:p>
            <w:pPr>
              <w:pStyle w:val="TableContents"/>
              <w:spacing w:before="0" w:after="283"/>
              <w:rPr/>
            </w:pPr>
            <w:r>
              <w:rPr/>
              <w:t>  </w:t>
            </w:r>
          </w:p>
        </w:tc>
      </w:tr>
      <w:tr>
        <w:trPr/>
        <w:tc>
          <w:tcPr>
            <w:tcW w:w="5919" w:type="dxa"/>
            <w:tcBorders/>
            <w:shd w:fill="auto" w:val="clear"/>
          </w:tcPr>
          <w:p>
            <w:pPr>
              <w:pStyle w:val="TableContents"/>
              <w:spacing w:before="0" w:after="283"/>
              <w:rPr>
                <w:rFonts w:ascii="Times New Roman" w:hAnsi="Times New Roman"/>
                <w:sz w:val="20"/>
              </w:rPr>
            </w:pPr>
            <w:r>
              <w:rPr>
                <w:rFonts w:ascii="Times New Roman" w:hAnsi="Times New Roman"/>
                <w:sz w:val="20"/>
              </w:rPr>
              <w:t>Component Parts</w:t>
            </w:r>
          </w:p>
        </w:tc>
        <w:tc>
          <w:tcPr>
            <w:tcW w:w="3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w:t>
            </w:r>
          </w:p>
        </w:tc>
        <w:tc>
          <w:tcPr>
            <w:tcW w:w="12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2" w:type="dxa"/>
            <w:tcBorders/>
            <w:shd w:fill="auto" w:val="clear"/>
            <w:vAlign w:val="bottom"/>
          </w:tcPr>
          <w:p>
            <w:pPr>
              <w:pStyle w:val="TableContents"/>
              <w:spacing w:before="0" w:after="283"/>
              <w:rPr/>
            </w:pPr>
            <w:r>
              <w:rPr/>
              <w:t>  </w:t>
            </w:r>
          </w:p>
        </w:tc>
      </w:tr>
      <w:tr>
        <w:trPr/>
        <w:tc>
          <w:tcPr>
            <w:tcW w:w="5919"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and other (f)</w:t>
            </w:r>
          </w:p>
        </w:tc>
        <w:tc>
          <w:tcPr>
            <w:tcW w:w="3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20"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33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388</w:t>
            </w:r>
          </w:p>
        </w:tc>
        <w:tc>
          <w:tcPr>
            <w:tcW w:w="122" w:type="dxa"/>
            <w:tcBorders/>
            <w:shd w:fill="CCEEFF" w:val="clear"/>
            <w:vAlign w:val="bottom"/>
          </w:tcPr>
          <w:p>
            <w:pPr>
              <w:pStyle w:val="TableContents"/>
              <w:spacing w:before="0" w:after="283"/>
              <w:rPr/>
            </w:pPr>
            <w:r>
              <w:rPr/>
              <w:t>  </w:t>
            </w:r>
          </w:p>
        </w:tc>
      </w:tr>
      <w:tr>
        <w:trPr/>
        <w:tc>
          <w:tcPr>
            <w:tcW w:w="5919"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336"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336" w:type="dxa"/>
            <w:tcBorders/>
            <w:shd w:fill="auto" w:val="clear"/>
            <w:vAlign w:val="bottom"/>
          </w:tcPr>
          <w:p>
            <w:pPr>
              <w:pStyle w:val="TableContents"/>
              <w:pBdr>
                <w:top w:val="single" w:sz="2"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r>
        <w:trPr/>
        <w:tc>
          <w:tcPr>
            <w:tcW w:w="5919" w:type="dxa"/>
            <w:tcBorders/>
            <w:shd w:fill="auto" w:val="clear"/>
          </w:tcPr>
          <w:p>
            <w:pPr>
              <w:pStyle w:val="TableContents"/>
              <w:spacing w:before="0" w:after="283"/>
              <w:rPr>
                <w:rFonts w:ascii="Times New Roman" w:hAnsi="Times New Roman"/>
                <w:b/>
                <w:sz w:val="20"/>
              </w:rPr>
            </w:pPr>
            <w:r>
              <w:rPr>
                <w:rFonts w:ascii="Times New Roman" w:hAnsi="Times New Roman"/>
                <w:b/>
                <w:sz w:val="20"/>
              </w:rPr>
              <w:t>Property and equipment additions</w:t>
            </w:r>
          </w:p>
        </w:tc>
        <w:tc>
          <w:tcPr>
            <w:tcW w:w="3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33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654</w:t>
            </w:r>
          </w:p>
        </w:tc>
        <w:tc>
          <w:tcPr>
            <w:tcW w:w="120" w:type="dxa"/>
            <w:tcBorders/>
            <w:shd w:fill="auto" w:val="clear"/>
            <w:vAlign w:val="bottom"/>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33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999</w:t>
            </w:r>
          </w:p>
        </w:tc>
        <w:tc>
          <w:tcPr>
            <w:tcW w:w="122" w:type="dxa"/>
            <w:tcBorders/>
            <w:shd w:fill="auto" w:val="clear"/>
            <w:vAlign w:val="bottom"/>
          </w:tcPr>
          <w:p>
            <w:pPr>
              <w:pStyle w:val="TableContents"/>
              <w:spacing w:before="0" w:after="283"/>
              <w:rPr/>
            </w:pPr>
            <w:r>
              <w:rPr/>
              <w:t>  </w:t>
            </w:r>
          </w:p>
        </w:tc>
      </w:tr>
      <w:tr>
        <w:trPr/>
        <w:tc>
          <w:tcPr>
            <w:tcW w:w="5919" w:type="dxa"/>
            <w:tcBorders/>
            <w:shd w:fill="auto" w:val="clear"/>
            <w:vAlign w:val="bottom"/>
          </w:tcPr>
          <w:p>
            <w:pPr>
              <w:pStyle w:val="TableContents"/>
              <w:spacing w:before="0" w:after="283"/>
              <w:rPr>
                <w:sz w:val="4"/>
                <w:szCs w:val="4"/>
              </w:rPr>
            </w:pPr>
            <w:r>
              <w:rPr>
                <w:sz w:val="4"/>
                <w:szCs w:val="4"/>
              </w:rPr>
            </w:r>
          </w:p>
        </w:tc>
        <w:tc>
          <w:tcPr>
            <w:tcW w:w="3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336"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3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336" w:type="dxa"/>
            <w:tcBorders/>
            <w:shd w:fill="auto" w:val="clear"/>
            <w:vAlign w:val="bottom"/>
          </w:tcPr>
          <w:p>
            <w:pPr>
              <w:pStyle w:val="TableContents"/>
              <w:pBdr>
                <w:top w:val="double" w:sz="6" w:space="1" w:color="000000"/>
              </w:pBdr>
              <w:spacing w:before="0" w:after="283"/>
              <w:rPr/>
            </w:pPr>
            <w:r>
              <w:rPr/>
              <w:t> </w:t>
            </w:r>
          </w:p>
        </w:tc>
        <w:tc>
          <w:tcPr>
            <w:tcW w:w="122"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(f)</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Corporate and Engineering Group property and equipment additions. </w:t>
            </w:r>
          </w:p>
        </w:tc>
      </w:tr>
    </w:tbl>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648"/>
        <w:gridCol w:w="316"/>
        <w:gridCol w:w="125"/>
        <w:gridCol w:w="491"/>
        <w:gridCol w:w="120"/>
        <w:gridCol w:w="316"/>
        <w:gridCol w:w="125"/>
        <w:gridCol w:w="491"/>
        <w:gridCol w:w="123"/>
      </w:tblGrid>
      <w:tr>
        <w:trPr/>
        <w:tc>
          <w:tcPr>
            <w:tcW w:w="5648"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91"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648" w:type="dxa"/>
            <w:tcBorders/>
            <w:shd w:fill="CCEEFF" w:val="clear"/>
          </w:tcPr>
          <w:p>
            <w:pPr>
              <w:pStyle w:val="TableContents"/>
              <w:spacing w:before="0" w:after="283"/>
              <w:rPr>
                <w:rFonts w:ascii="Times New Roman" w:hAnsi="Times New Roman"/>
                <w:b/>
                <w:sz w:val="20"/>
              </w:rPr>
            </w:pPr>
            <w:r>
              <w:rPr>
                <w:rFonts w:ascii="Times New Roman" w:hAnsi="Times New Roman"/>
                <w:b/>
                <w:sz w:val="20"/>
              </w:rPr>
              <w:t>Depreciation and Amortization</w:t>
            </w:r>
          </w:p>
        </w:tc>
        <w:tc>
          <w:tcPr>
            <w:tcW w:w="3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91"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91"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5648" w:type="dxa"/>
            <w:tcBorders/>
            <w:shd w:fill="auto" w:val="clear"/>
          </w:tcPr>
          <w:p>
            <w:pPr>
              <w:pStyle w:val="TableContents"/>
              <w:spacing w:before="0" w:after="283"/>
              <w:rPr>
                <w:rFonts w:ascii="Times New Roman" w:hAnsi="Times New Roman"/>
                <w:sz w:val="20"/>
              </w:rPr>
            </w:pPr>
            <w:r>
              <w:rPr>
                <w:rFonts w:ascii="Times New Roman" w:hAnsi="Times New Roman"/>
                <w:sz w:val="20"/>
              </w:rPr>
              <w:t>Engineered equipment and parts</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998</w:t>
            </w:r>
          </w:p>
        </w:tc>
        <w:tc>
          <w:tcPr>
            <w:tcW w:w="12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1,296</w:t>
            </w:r>
          </w:p>
        </w:tc>
        <w:tc>
          <w:tcPr>
            <w:tcW w:w="123" w:type="dxa"/>
            <w:tcBorders/>
            <w:shd w:fill="auto" w:val="clear"/>
            <w:vAlign w:val="bottom"/>
          </w:tcPr>
          <w:p>
            <w:pPr>
              <w:pStyle w:val="TableContents"/>
              <w:spacing w:before="0" w:after="283"/>
              <w:rPr/>
            </w:pPr>
            <w:r>
              <w:rPr/>
              <w:t>  </w:t>
            </w:r>
          </w:p>
        </w:tc>
      </w:tr>
      <w:tr>
        <w:trPr/>
        <w:tc>
          <w:tcPr>
            <w:tcW w:w="5648" w:type="dxa"/>
            <w:tcBorders/>
            <w:shd w:fill="CCEEFF" w:val="clear"/>
          </w:tcPr>
          <w:p>
            <w:pPr>
              <w:pStyle w:val="TableContents"/>
              <w:spacing w:before="0" w:after="283"/>
              <w:rPr>
                <w:rFonts w:ascii="Times New Roman" w:hAnsi="Times New Roman"/>
                <w:sz w:val="20"/>
              </w:rPr>
            </w:pPr>
            <w:r>
              <w:rPr>
                <w:rFonts w:ascii="Times New Roman" w:hAnsi="Times New Roman"/>
                <w:sz w:val="20"/>
              </w:rPr>
              <w:t>Contracting / Services</w:t>
            </w:r>
          </w:p>
        </w:tc>
        <w:tc>
          <w:tcPr>
            <w:tcW w:w="3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421</w:t>
            </w:r>
          </w:p>
        </w:tc>
        <w:tc>
          <w:tcPr>
            <w:tcW w:w="12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855</w:t>
            </w:r>
          </w:p>
        </w:tc>
        <w:tc>
          <w:tcPr>
            <w:tcW w:w="123" w:type="dxa"/>
            <w:tcBorders/>
            <w:shd w:fill="CCEEFF" w:val="clear"/>
            <w:vAlign w:val="bottom"/>
          </w:tcPr>
          <w:p>
            <w:pPr>
              <w:pStyle w:val="TableContents"/>
              <w:spacing w:before="0" w:after="283"/>
              <w:rPr/>
            </w:pPr>
            <w:r>
              <w:rPr/>
              <w:t>  </w:t>
            </w:r>
          </w:p>
        </w:tc>
      </w:tr>
      <w:tr>
        <w:trPr/>
        <w:tc>
          <w:tcPr>
            <w:tcW w:w="5648" w:type="dxa"/>
            <w:tcBorders/>
            <w:shd w:fill="auto" w:val="clear"/>
          </w:tcPr>
          <w:p>
            <w:pPr>
              <w:pStyle w:val="TableContents"/>
              <w:spacing w:before="0" w:after="283"/>
              <w:rPr>
                <w:rFonts w:ascii="Times New Roman" w:hAnsi="Times New Roman"/>
                <w:sz w:val="20"/>
              </w:rPr>
            </w:pPr>
            <w:r>
              <w:rPr>
                <w:rFonts w:ascii="Times New Roman" w:hAnsi="Times New Roman"/>
                <w:sz w:val="20"/>
              </w:rPr>
              <w:t>Component Parts</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w:t>
            </w:r>
          </w:p>
        </w:tc>
        <w:tc>
          <w:tcPr>
            <w:tcW w:w="12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91"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260</w:t>
            </w:r>
          </w:p>
        </w:tc>
        <w:tc>
          <w:tcPr>
            <w:tcW w:w="123" w:type="dxa"/>
            <w:tcBorders/>
            <w:shd w:fill="auto" w:val="clear"/>
            <w:vAlign w:val="bottom"/>
          </w:tcPr>
          <w:p>
            <w:pPr>
              <w:pStyle w:val="TableContents"/>
              <w:spacing w:before="0" w:after="283"/>
              <w:rPr/>
            </w:pPr>
            <w:r>
              <w:rPr/>
              <w:t>  </w:t>
            </w:r>
          </w:p>
        </w:tc>
      </w:tr>
      <w:tr>
        <w:trPr/>
        <w:tc>
          <w:tcPr>
            <w:tcW w:w="5648"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and other (g)</w:t>
            </w:r>
          </w:p>
        </w:tc>
        <w:tc>
          <w:tcPr>
            <w:tcW w:w="3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w:t>
            </w:r>
          </w:p>
        </w:tc>
        <w:tc>
          <w:tcPr>
            <w:tcW w:w="120" w:type="dxa"/>
            <w:tcBorders/>
            <w:shd w:fill="CCEEFF" w:val="clear"/>
            <w:vAlign w:val="bottom"/>
          </w:tcPr>
          <w:p>
            <w:pPr>
              <w:pStyle w:val="TableContents"/>
              <w:spacing w:before="0" w:after="283"/>
              <w:rPr/>
            </w:pPr>
            <w:r>
              <w:rPr/>
              <w:t>  </w:t>
            </w:r>
          </w:p>
        </w:tc>
        <w:tc>
          <w:tcPr>
            <w:tcW w:w="31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w:t>
            </w:r>
          </w:p>
        </w:tc>
        <w:tc>
          <w:tcPr>
            <w:tcW w:w="123" w:type="dxa"/>
            <w:tcBorders/>
            <w:shd w:fill="CCEEFF" w:val="clear"/>
            <w:vAlign w:val="bottom"/>
          </w:tcPr>
          <w:p>
            <w:pPr>
              <w:pStyle w:val="TableContents"/>
              <w:spacing w:before="0" w:after="283"/>
              <w:rPr/>
            </w:pPr>
            <w:r>
              <w:rPr/>
              <w:t>  </w:t>
            </w:r>
          </w:p>
        </w:tc>
      </w:tr>
      <w:tr>
        <w:trPr/>
        <w:tc>
          <w:tcPr>
            <w:tcW w:w="5648"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91"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91"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648" w:type="dxa"/>
            <w:tcBorders/>
            <w:shd w:fill="auto" w:val="clear"/>
          </w:tcPr>
          <w:p>
            <w:pPr>
              <w:pStyle w:val="TableContents"/>
              <w:spacing w:before="0" w:after="283"/>
              <w:rPr>
                <w:rFonts w:ascii="Times New Roman" w:hAnsi="Times New Roman"/>
                <w:b/>
                <w:sz w:val="20"/>
              </w:rPr>
            </w:pPr>
            <w:r>
              <w:rPr>
                <w:rFonts w:ascii="Times New Roman" w:hAnsi="Times New Roman"/>
                <w:b/>
                <w:sz w:val="20"/>
              </w:rPr>
              <w:t>Depreciation and amortization</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49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1,758</w:t>
            </w:r>
          </w:p>
        </w:tc>
        <w:tc>
          <w:tcPr>
            <w:tcW w:w="120" w:type="dxa"/>
            <w:tcBorders/>
            <w:shd w:fill="auto" w:val="clear"/>
            <w:vAlign w:val="bottom"/>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491"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2,519</w:t>
            </w:r>
          </w:p>
        </w:tc>
        <w:tc>
          <w:tcPr>
            <w:tcW w:w="123" w:type="dxa"/>
            <w:tcBorders/>
            <w:shd w:fill="auto" w:val="clear"/>
            <w:vAlign w:val="bottom"/>
          </w:tcPr>
          <w:p>
            <w:pPr>
              <w:pStyle w:val="TableContents"/>
              <w:spacing w:before="0" w:after="283"/>
              <w:rPr/>
            </w:pPr>
            <w:r>
              <w:rPr/>
              <w:t>  </w:t>
            </w:r>
          </w:p>
        </w:tc>
      </w:tr>
      <w:tr>
        <w:trPr/>
        <w:tc>
          <w:tcPr>
            <w:tcW w:w="5648" w:type="dxa"/>
            <w:tcBorders/>
            <w:shd w:fill="auto" w:val="clear"/>
            <w:vAlign w:val="bottom"/>
          </w:tcPr>
          <w:p>
            <w:pPr>
              <w:pStyle w:val="TableContents"/>
              <w:spacing w:before="0" w:after="283"/>
              <w:rPr>
                <w:sz w:val="4"/>
                <w:szCs w:val="4"/>
              </w:rPr>
            </w:pPr>
            <w:r>
              <w:rPr>
                <w:sz w:val="4"/>
                <w:szCs w:val="4"/>
              </w:rPr>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91"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91"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(g)</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Corporate and Engineering Group depreciation and amortization. </w:t>
            </w:r>
          </w:p>
        </w:tc>
      </w:tr>
    </w:tbl>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349"/>
        <w:gridCol w:w="376"/>
        <w:gridCol w:w="125"/>
        <w:gridCol w:w="599"/>
        <w:gridCol w:w="125"/>
        <w:gridCol w:w="332"/>
        <w:gridCol w:w="125"/>
        <w:gridCol w:w="599"/>
        <w:gridCol w:w="125"/>
      </w:tblGrid>
      <w:tr>
        <w:trPr/>
        <w:tc>
          <w:tcPr>
            <w:tcW w:w="5349"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3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r>
      <w:tr>
        <w:trPr/>
        <w:tc>
          <w:tcPr>
            <w:tcW w:w="5349" w:type="dxa"/>
            <w:tcBorders/>
            <w:shd w:fill="CCEEFF" w:val="clear"/>
          </w:tcPr>
          <w:p>
            <w:pPr>
              <w:pStyle w:val="TableContents"/>
              <w:spacing w:before="0" w:after="283"/>
              <w:rPr>
                <w:rFonts w:ascii="Times New Roman" w:hAnsi="Times New Roman"/>
                <w:b/>
                <w:sz w:val="20"/>
              </w:rPr>
            </w:pPr>
            <w:r>
              <w:rPr>
                <w:rFonts w:ascii="Times New Roman" w:hAnsi="Times New Roman"/>
                <w:b/>
                <w:sz w:val="20"/>
              </w:rPr>
              <w:t>Identifiable Assets</w:t>
            </w:r>
          </w:p>
        </w:tc>
        <w:tc>
          <w:tcPr>
            <w:tcW w:w="3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3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Engineered equipment and parts</w:t>
            </w:r>
          </w:p>
        </w:tc>
        <w:tc>
          <w:tcPr>
            <w:tcW w:w="3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51,004</w:t>
            </w:r>
          </w:p>
        </w:tc>
        <w:tc>
          <w:tcPr>
            <w:tcW w:w="1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44,393</w:t>
            </w:r>
          </w:p>
        </w:tc>
        <w:tc>
          <w:tcPr>
            <w:tcW w:w="125"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Contracting / Services</w:t>
            </w:r>
          </w:p>
        </w:tc>
        <w:tc>
          <w:tcPr>
            <w:tcW w:w="3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14,009</w:t>
            </w:r>
          </w:p>
        </w:tc>
        <w:tc>
          <w:tcPr>
            <w:tcW w:w="1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22,334</w:t>
            </w:r>
          </w:p>
        </w:tc>
        <w:tc>
          <w:tcPr>
            <w:tcW w:w="125" w:type="dxa"/>
            <w:tcBorders/>
            <w:shd w:fill="CCEEFF" w:val="clear"/>
            <w:vAlign w:val="bottom"/>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Component Parts</w:t>
            </w:r>
          </w:p>
        </w:tc>
        <w:tc>
          <w:tcPr>
            <w:tcW w:w="3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4,613</w:t>
            </w:r>
          </w:p>
        </w:tc>
        <w:tc>
          <w:tcPr>
            <w:tcW w:w="125" w:type="dxa"/>
            <w:tcBorders/>
            <w:shd w:fill="auto" w:val="clear"/>
            <w:vAlign w:val="bottom"/>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3,140</w:t>
            </w:r>
          </w:p>
        </w:tc>
        <w:tc>
          <w:tcPr>
            <w:tcW w:w="125" w:type="dxa"/>
            <w:tcBorders/>
            <w:shd w:fill="auto" w:val="clear"/>
            <w:vAlign w:val="bottom"/>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and other (h)</w:t>
            </w:r>
          </w:p>
        </w:tc>
        <w:tc>
          <w:tcPr>
            <w:tcW w:w="3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7,953</w:t>
            </w:r>
          </w:p>
        </w:tc>
        <w:tc>
          <w:tcPr>
            <w:tcW w:w="1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7,115</w:t>
            </w:r>
          </w:p>
        </w:tc>
        <w:tc>
          <w:tcPr>
            <w:tcW w:w="125" w:type="dxa"/>
            <w:tcBorders/>
            <w:shd w:fill="CCEEFF" w:val="clear"/>
            <w:vAlign w:val="bottom"/>
          </w:tcPr>
          <w:p>
            <w:pPr>
              <w:pStyle w:val="TableContents"/>
              <w:spacing w:before="0" w:after="283"/>
              <w:rPr/>
            </w:pPr>
            <w:r>
              <w:rPr/>
              <w:t>  </w:t>
            </w:r>
          </w:p>
        </w:tc>
      </w:tr>
      <w:tr>
        <w:trPr/>
        <w:tc>
          <w:tcPr>
            <w:tcW w:w="5349" w:type="dxa"/>
            <w:tcBorders/>
            <w:shd w:fill="auto" w:val="clear"/>
          </w:tcPr>
          <w:p>
            <w:pPr>
              <w:pStyle w:val="TableContents"/>
              <w:spacing w:before="0" w:after="283"/>
              <w:rPr>
                <w:rFonts w:ascii="Times New Roman" w:hAnsi="Times New Roman"/>
                <w:sz w:val="20"/>
              </w:rPr>
            </w:pPr>
            <w:r>
              <w:rPr>
                <w:rFonts w:ascii="Times New Roman" w:hAnsi="Times New Roman"/>
                <w:sz w:val="20"/>
              </w:rPr>
              <w:t>Eliminations (i)</w:t>
            </w:r>
          </w:p>
        </w:tc>
        <w:tc>
          <w:tcPr>
            <w:tcW w:w="3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(2,788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3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533</w:t>
            </w:r>
          </w:p>
        </w:tc>
        <w:tc>
          <w:tcPr>
            <w:tcW w:w="125" w:type="dxa"/>
            <w:tcBorders/>
            <w:shd w:fill="auto"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r>
        <w:trPr/>
        <w:tc>
          <w:tcPr>
            <w:tcW w:w="5349" w:type="dxa"/>
            <w:tcBorders/>
            <w:shd w:fill="CCEEFF" w:val="clear"/>
          </w:tcPr>
          <w:p>
            <w:pPr>
              <w:pStyle w:val="TableContents"/>
              <w:spacing w:before="0" w:after="283"/>
              <w:rPr>
                <w:rFonts w:ascii="Times New Roman" w:hAnsi="Times New Roman"/>
                <w:b/>
                <w:sz w:val="20"/>
              </w:rPr>
            </w:pPr>
            <w:r>
              <w:rPr>
                <w:rFonts w:ascii="Times New Roman" w:hAnsi="Times New Roman"/>
                <w:b/>
                <w:sz w:val="20"/>
              </w:rPr>
              <w:t>Identifiable assets</w:t>
            </w:r>
          </w:p>
        </w:tc>
        <w:tc>
          <w:tcPr>
            <w:tcW w:w="376"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599"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74,791</w:t>
            </w:r>
          </w:p>
        </w:tc>
        <w:tc>
          <w:tcPr>
            <w:tcW w:w="125" w:type="dxa"/>
            <w:tcBorders/>
            <w:shd w:fill="CCEEFF" w:val="clear"/>
            <w:vAlign w:val="bottom"/>
          </w:tcPr>
          <w:p>
            <w:pPr>
              <w:pStyle w:val="TableContents"/>
              <w:spacing w:before="0" w:after="283"/>
              <w:rPr/>
            </w:pPr>
            <w:r>
              <w:rPr/>
              <w:t>  </w:t>
            </w:r>
          </w:p>
        </w:tc>
        <w:tc>
          <w:tcPr>
            <w:tcW w:w="33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599"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77,515</w:t>
            </w:r>
          </w:p>
        </w:tc>
        <w:tc>
          <w:tcPr>
            <w:tcW w:w="125" w:type="dxa"/>
            <w:tcBorders/>
            <w:shd w:fill="CCEEFF" w:val="clear"/>
            <w:vAlign w:val="bottom"/>
          </w:tcPr>
          <w:p>
            <w:pPr>
              <w:pStyle w:val="TableContents"/>
              <w:spacing w:before="0" w:after="283"/>
              <w:rPr/>
            </w:pPr>
            <w:r>
              <w:rPr/>
              <w:t>  </w:t>
            </w:r>
          </w:p>
        </w:tc>
      </w:tr>
      <w:tr>
        <w:trPr/>
        <w:tc>
          <w:tcPr>
            <w:tcW w:w="5349" w:type="dxa"/>
            <w:tcBorders/>
            <w:shd w:fill="auto" w:val="clear"/>
            <w:vAlign w:val="bottom"/>
          </w:tcPr>
          <w:p>
            <w:pPr>
              <w:pStyle w:val="TableContents"/>
              <w:spacing w:before="0" w:after="283"/>
              <w:rPr>
                <w:sz w:val="4"/>
                <w:szCs w:val="4"/>
              </w:rPr>
            </w:pPr>
            <w:r>
              <w:rPr>
                <w:sz w:val="4"/>
                <w:szCs w:val="4"/>
              </w:rPr>
            </w:r>
          </w:p>
        </w:tc>
        <w:tc>
          <w:tcPr>
            <w:tcW w:w="376"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33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(h)</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Corporate and Engineering Group identifiable assets. Corporate assets primarily consists of cash, income tax related assets, and intercompany note receivable. </w:t>
            </w:r>
          </w:p>
        </w:tc>
      </w:tr>
    </w:tbl>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(i)</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eliminations for intercompany trade accounts receivable, intercompany job revenue, and intercompany note receivable. Also, includes reclassification of cash overdraft to liability. </w:t>
            </w:r>
          </w:p>
        </w:tc>
      </w:tr>
    </w:tbl>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The Company has revised its business segment reporting primarily to exclude nontrade accounts receivable in order to better reflect the manner in which such assets are reviewed by our chief operating decision maker. </w:t>
      </w:r>
    </w:p>
    <w:p>
      <w:pPr>
        <w:pStyle w:val="TextBody"/>
        <w:spacing w:before="0" w:after="0"/>
        <w:rPr/>
      </w:pPr>
      <w:r>
        <w:rPr/>
        <w:t> </w:t>
      </w:r>
    </w:p>
    <w:tbl>
      <w:tblPr>
        <w:tblW w:w="3800" w:type="pct"/>
        <w:jc w:val="center"/>
        <w:tblInd w:w="0" w:type="dxa"/>
        <w:tblCellMar>
          <w:top w:w="0" w:type="dxa"/>
          <w:left w:w="0" w:type="dxa"/>
          <w:bottom w:w="0" w:type="dxa"/>
          <w:right w:w="0" w:type="dxa"/>
        </w:tblCellMar>
      </w:tblPr>
      <w:tblGrid>
        <w:gridCol w:w="5438"/>
        <w:gridCol w:w="314"/>
        <w:gridCol w:w="125"/>
        <w:gridCol w:w="598"/>
        <w:gridCol w:w="120"/>
        <w:gridCol w:w="314"/>
        <w:gridCol w:w="125"/>
        <w:gridCol w:w="598"/>
        <w:gridCol w:w="123"/>
      </w:tblGrid>
      <w:tr>
        <w:trPr/>
        <w:tc>
          <w:tcPr>
            <w:tcW w:w="5438"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r>
      <w:tr>
        <w:trPr/>
        <w:tc>
          <w:tcPr>
            <w:tcW w:w="5438" w:type="dxa"/>
            <w:tcBorders/>
            <w:shd w:fill="CCEEFF" w:val="clear"/>
          </w:tcPr>
          <w:p>
            <w:pPr>
              <w:pStyle w:val="TableContents"/>
              <w:spacing w:before="0" w:after="283"/>
              <w:rPr>
                <w:rFonts w:ascii="Times New Roman" w:hAnsi="Times New Roman"/>
                <w:b/>
                <w:sz w:val="20"/>
              </w:rPr>
            </w:pPr>
            <w:r>
              <w:rPr>
                <w:rFonts w:ascii="Times New Roman" w:hAnsi="Times New Roman"/>
                <w:b/>
                <w:sz w:val="20"/>
              </w:rPr>
              <w:t>Goodwill</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98" w:type="dxa"/>
            <w:tcBorders/>
            <w:shd w:fill="CCEEFF" w:val="clear"/>
            <w:vAlign w:val="bottom"/>
          </w:tcPr>
          <w:p>
            <w:pPr>
              <w:pStyle w:val="TableContents"/>
              <w:spacing w:before="0" w:after="283"/>
              <w:rPr>
                <w:sz w:val="4"/>
                <w:szCs w:val="4"/>
              </w:rPr>
            </w:pPr>
            <w:r>
              <w:rPr>
                <w:sz w:val="4"/>
                <w:szCs w:val="4"/>
              </w:rPr>
            </w:r>
          </w:p>
        </w:tc>
        <w:tc>
          <w:tcPr>
            <w:tcW w:w="123" w:type="dxa"/>
            <w:tcBorders/>
            <w:shd w:fill="CCEEFF" w:val="clear"/>
            <w:vAlign w:val="bottom"/>
          </w:tcPr>
          <w:p>
            <w:pPr>
              <w:pStyle w:val="TableContents"/>
              <w:spacing w:before="0" w:after="283"/>
              <w:rPr>
                <w:sz w:val="4"/>
                <w:szCs w:val="4"/>
              </w:rPr>
            </w:pPr>
            <w:r>
              <w:rPr>
                <w:sz w:val="4"/>
                <w:szCs w:val="4"/>
              </w:rPr>
            </w:r>
          </w:p>
        </w:tc>
      </w:tr>
      <w:tr>
        <w:trPr/>
        <w:tc>
          <w:tcPr>
            <w:tcW w:w="5438" w:type="dxa"/>
            <w:tcBorders/>
            <w:shd w:fill="auto" w:val="clear"/>
          </w:tcPr>
          <w:p>
            <w:pPr>
              <w:pStyle w:val="TableContents"/>
              <w:spacing w:before="0" w:after="283"/>
              <w:rPr>
                <w:rFonts w:ascii="Times New Roman" w:hAnsi="Times New Roman"/>
                <w:sz w:val="20"/>
              </w:rPr>
            </w:pPr>
            <w:r>
              <w:rPr>
                <w:rFonts w:ascii="Times New Roman" w:hAnsi="Times New Roman"/>
                <w:sz w:val="20"/>
              </w:rPr>
              <w:t>Engineered equipment and parts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14,713</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14,591</w:t>
            </w:r>
          </w:p>
        </w:tc>
        <w:tc>
          <w:tcPr>
            <w:tcW w:w="123" w:type="dxa"/>
            <w:tcBorders/>
            <w:shd w:fill="auto" w:val="clear"/>
            <w:vAlign w:val="bottom"/>
          </w:tcPr>
          <w:p>
            <w:pPr>
              <w:pStyle w:val="TableContents"/>
              <w:spacing w:before="0" w:after="283"/>
              <w:rPr/>
            </w:pPr>
            <w:r>
              <w:rPr/>
              <w:t>  </w:t>
            </w:r>
          </w:p>
        </w:tc>
      </w:tr>
      <w:tr>
        <w:trPr/>
        <w:tc>
          <w:tcPr>
            <w:tcW w:w="5438" w:type="dxa"/>
            <w:tcBorders/>
            <w:shd w:fill="CCEEFF" w:val="clear"/>
          </w:tcPr>
          <w:p>
            <w:pPr>
              <w:pStyle w:val="TableContents"/>
              <w:spacing w:before="0" w:after="283"/>
              <w:rPr>
                <w:rFonts w:ascii="Times New Roman" w:hAnsi="Times New Roman"/>
                <w:sz w:val="20"/>
              </w:rPr>
            </w:pPr>
            <w:r>
              <w:rPr>
                <w:rFonts w:ascii="Times New Roman" w:hAnsi="Times New Roman"/>
                <w:sz w:val="20"/>
              </w:rPr>
              <w:t>Contracting / Services</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9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CCEEFF" w:val="clear"/>
            <w:vAlign w:val="bottom"/>
          </w:tcPr>
          <w:p>
            <w:pPr>
              <w:pStyle w:val="TableContents"/>
              <w:spacing w:before="0" w:after="283"/>
              <w:rPr/>
            </w:pPr>
            <w:r>
              <w:rPr/>
              <w:t>  </w:t>
            </w:r>
          </w:p>
        </w:tc>
      </w:tr>
      <w:tr>
        <w:trPr/>
        <w:tc>
          <w:tcPr>
            <w:tcW w:w="5438" w:type="dxa"/>
            <w:tcBorders/>
            <w:shd w:fill="auto" w:val="clear"/>
          </w:tcPr>
          <w:p>
            <w:pPr>
              <w:pStyle w:val="TableContents"/>
              <w:spacing w:before="0" w:after="283"/>
              <w:rPr>
                <w:rFonts w:ascii="Times New Roman" w:hAnsi="Times New Roman"/>
                <w:sz w:val="20"/>
              </w:rPr>
            </w:pPr>
            <w:r>
              <w:rPr>
                <w:rFonts w:ascii="Times New Roman" w:hAnsi="Times New Roman"/>
                <w:sz w:val="20"/>
              </w:rPr>
              <w:t>Component Parts</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0" w:type="dxa"/>
            <w:tcBorders/>
            <w:shd w:fill="auto" w:val="clear"/>
            <w:vAlign w:val="bottom"/>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9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3" w:type="dxa"/>
            <w:tcBorders/>
            <w:shd w:fill="auto" w:val="clear"/>
            <w:vAlign w:val="bottom"/>
          </w:tcPr>
          <w:p>
            <w:pPr>
              <w:pStyle w:val="TableContents"/>
              <w:spacing w:before="0" w:after="283"/>
              <w:rPr/>
            </w:pPr>
            <w:r>
              <w:rPr/>
              <w:t>  </w:t>
            </w:r>
          </w:p>
        </w:tc>
      </w:tr>
      <w:tr>
        <w:trPr/>
        <w:tc>
          <w:tcPr>
            <w:tcW w:w="5438"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98" w:type="dxa"/>
            <w:tcBorders/>
            <w:shd w:fill="auto" w:val="clear"/>
            <w:vAlign w:val="bottom"/>
          </w:tcPr>
          <w:p>
            <w:pPr>
              <w:pStyle w:val="TableContents"/>
              <w:pBdr>
                <w:top w:val="single" w:sz="2"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r>
        <w:trPr/>
        <w:tc>
          <w:tcPr>
            <w:tcW w:w="5438" w:type="dxa"/>
            <w:tcBorders/>
            <w:shd w:fill="CCEEFF" w:val="clear"/>
          </w:tcPr>
          <w:p>
            <w:pPr>
              <w:pStyle w:val="TableContents"/>
              <w:spacing w:before="0" w:after="283"/>
              <w:rPr>
                <w:rFonts w:ascii="Times New Roman" w:hAnsi="Times New Roman"/>
                <w:b/>
                <w:sz w:val="20"/>
              </w:rPr>
            </w:pPr>
            <w:r>
              <w:rPr>
                <w:rFonts w:ascii="Times New Roman" w:hAnsi="Times New Roman"/>
                <w:b/>
                <w:sz w:val="20"/>
              </w:rPr>
              <w:t>Goodwill</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598"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14,713</w:t>
            </w:r>
          </w:p>
        </w:tc>
        <w:tc>
          <w:tcPr>
            <w:tcW w:w="120" w:type="dxa"/>
            <w:tcBorders/>
            <w:shd w:fill="CCEEFF" w:val="clear"/>
            <w:vAlign w:val="bottom"/>
          </w:tcPr>
          <w:p>
            <w:pPr>
              <w:pStyle w:val="TableContents"/>
              <w:spacing w:before="0" w:after="283"/>
              <w:rPr/>
            </w:pPr>
            <w:r>
              <w:rPr/>
              <w:t>  </w:t>
            </w:r>
          </w:p>
        </w:tc>
        <w:tc>
          <w:tcPr>
            <w:tcW w:w="31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598" w:type="dxa"/>
            <w:tcBorders/>
            <w:shd w:fill="CCEEFF" w:val="clear"/>
            <w:vAlign w:val="bottom"/>
          </w:tcPr>
          <w:p>
            <w:pPr>
              <w:pStyle w:val="TableContents"/>
              <w:spacing w:before="0" w:after="283"/>
              <w:jc w:val="right"/>
              <w:rPr>
                <w:rFonts w:ascii="Times New Roman" w:hAnsi="Times New Roman"/>
                <w:b/>
                <w:sz w:val="20"/>
              </w:rPr>
            </w:pPr>
            <w:r>
              <w:rPr>
                <w:rFonts w:ascii="Times New Roman" w:hAnsi="Times New Roman"/>
                <w:b/>
                <w:sz w:val="20"/>
              </w:rPr>
              <w:t>14,591</w:t>
            </w:r>
          </w:p>
        </w:tc>
        <w:tc>
          <w:tcPr>
            <w:tcW w:w="123" w:type="dxa"/>
            <w:tcBorders/>
            <w:shd w:fill="CCEEFF" w:val="clear"/>
            <w:vAlign w:val="bottom"/>
          </w:tcPr>
          <w:p>
            <w:pPr>
              <w:pStyle w:val="TableContents"/>
              <w:spacing w:before="0" w:after="283"/>
              <w:rPr/>
            </w:pPr>
            <w:r>
              <w:rPr/>
              <w:t>  </w:t>
            </w:r>
          </w:p>
        </w:tc>
      </w:tr>
      <w:tr>
        <w:trPr/>
        <w:tc>
          <w:tcPr>
            <w:tcW w:w="5438" w:type="dxa"/>
            <w:tcBorders/>
            <w:shd w:fill="auto" w:val="clear"/>
            <w:vAlign w:val="bottom"/>
          </w:tcPr>
          <w:p>
            <w:pPr>
              <w:pStyle w:val="TableContents"/>
              <w:spacing w:before="0" w:after="283"/>
              <w:rPr>
                <w:sz w:val="4"/>
                <w:szCs w:val="4"/>
              </w:rPr>
            </w:pPr>
            <w:r>
              <w:rPr>
                <w:sz w:val="4"/>
                <w:szCs w:val="4"/>
              </w:rPr>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8"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314"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98" w:type="dxa"/>
            <w:tcBorders/>
            <w:shd w:fill="auto" w:val="clear"/>
            <w:vAlign w:val="bottom"/>
          </w:tcPr>
          <w:p>
            <w:pPr>
              <w:pStyle w:val="TableContents"/>
              <w:pBdr>
                <w:top w:val="double" w:sz="6" w:space="1" w:color="000000"/>
              </w:pBdr>
              <w:spacing w:before="0" w:after="283"/>
              <w:rPr/>
            </w:pPr>
            <w:r>
              <w:rPr/>
              <w:t> </w:t>
            </w:r>
          </w:p>
        </w:tc>
        <w:tc>
          <w:tcPr>
            <w:tcW w:w="123" w:type="dxa"/>
            <w:tcBorders/>
            <w:shd w:fill="auto" w:val="clear"/>
            <w:vAlign w:val="center"/>
          </w:tcPr>
          <w:p>
            <w:pPr>
              <w:pStyle w:val="TableContents"/>
              <w:spacing w:before="0" w:after="283"/>
              <w:rPr/>
            </w:pPr>
            <w:r>
              <w:rPr/>
              <w:t> </w:t>
            </w:r>
          </w:p>
        </w:tc>
      </w:tr>
    </w:tbl>
    <w:p>
      <w:pPr>
        <w:pStyle w:val="TextBody"/>
        <w:spacing w:before="270" w:after="0"/>
        <w:rPr>
          <w:rFonts w:ascii="Times New Roman" w:hAnsi="Times New Roman"/>
          <w:b/>
          <w:sz w:val="20"/>
        </w:rPr>
      </w:pPr>
      <w:r>
        <w:rPr>
          <w:rFonts w:ascii="Times New Roman" w:hAnsi="Times New Roman"/>
          <w:b/>
          <w:sz w:val="20"/>
        </w:rPr>
        <w:t xml:space="preserve">Intra-segment and Inter-segment Revenues </w:t>
      </w:r>
    </w:p>
    <w:p>
      <w:pPr>
        <w:pStyle w:val="TextBody"/>
        <w:spacing w:before="90" w:after="0"/>
        <w:rPr>
          <w:rFonts w:ascii="Times New Roman" w:hAnsi="Times New Roman"/>
          <w:sz w:val="20"/>
        </w:rPr>
      </w:pPr>
      <w:r>
        <w:rPr>
          <w:rFonts w:ascii="Times New Roman" w:hAnsi="Times New Roman"/>
          <w:sz w:val="20"/>
        </w:rPr>
        <w:t xml:space="preserve">The Company has multiple divisions that sell to each other within segments and between segments as indicated in the following table: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3999"/>
        <w:gridCol w:w="202"/>
        <w:gridCol w:w="125"/>
        <w:gridCol w:w="723"/>
        <w:gridCol w:w="120"/>
        <w:gridCol w:w="202"/>
        <w:gridCol w:w="152"/>
        <w:gridCol w:w="697"/>
        <w:gridCol w:w="125"/>
        <w:gridCol w:w="153"/>
        <w:gridCol w:w="125"/>
        <w:gridCol w:w="549"/>
        <w:gridCol w:w="124"/>
        <w:gridCol w:w="153"/>
        <w:gridCol w:w="125"/>
        <w:gridCol w:w="549"/>
        <w:gridCol w:w="125"/>
        <w:gridCol w:w="153"/>
        <w:gridCol w:w="125"/>
        <w:gridCol w:w="426"/>
        <w:gridCol w:w="125"/>
        <w:gridCol w:w="153"/>
        <w:gridCol w:w="124"/>
        <w:gridCol w:w="723"/>
        <w:gridCol w:w="128"/>
      </w:tblGrid>
      <w:tr>
        <w:trPr/>
        <w:tc>
          <w:tcPr>
            <w:tcW w:w="399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697"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center"/>
          </w:tcPr>
          <w:p>
            <w:pPr>
              <w:pStyle w:val="TableContents"/>
              <w:spacing w:before="0" w:after="283"/>
              <w:rPr>
                <w:sz w:val="4"/>
                <w:szCs w:val="4"/>
              </w:rPr>
            </w:pPr>
            <w:r>
              <w:rPr>
                <w:sz w:val="4"/>
                <w:szCs w:val="4"/>
              </w:rPr>
            </w:r>
          </w:p>
        </w:tc>
        <w:tc>
          <w:tcPr>
            <w:tcW w:w="723"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r>
      <w:tr>
        <w:trPr/>
        <w:tc>
          <w:tcPr>
            <w:tcW w:w="399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876" w:type="dxa"/>
            <w:gridSpan w:val="2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Year Ended December 31, 2010</w:t>
            </w:r>
          </w:p>
        </w:tc>
        <w:tc>
          <w:tcPr>
            <w:tcW w:w="128" w:type="dxa"/>
            <w:tcBorders/>
            <w:shd w:fill="auto" w:val="clear"/>
            <w:vAlign w:val="bottom"/>
          </w:tcPr>
          <w:p>
            <w:pPr>
              <w:pStyle w:val="TableContents"/>
              <w:spacing w:before="0" w:after="283"/>
              <w:rPr/>
            </w:pPr>
            <w:r>
              <w:rPr/>
              <w:t> </w:t>
            </w:r>
          </w:p>
        </w:tc>
      </w:tr>
      <w:tr>
        <w:trPr/>
        <w:tc>
          <w:tcPr>
            <w:tcW w:w="399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48"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49"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less</w:t>
            </w:r>
          </w:p>
        </w:tc>
        <w:tc>
          <w:tcPr>
            <w:tcW w:w="1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454" w:type="dxa"/>
            <w:gridSpan w:val="10"/>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7"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net sales</w:t>
            </w:r>
          </w:p>
        </w:tc>
        <w:tc>
          <w:tcPr>
            <w:tcW w:w="128" w:type="dxa"/>
            <w:tcBorders/>
            <w:shd w:fill="auto" w:val="clear"/>
            <w:vAlign w:val="bottom"/>
          </w:tcPr>
          <w:p>
            <w:pPr>
              <w:pStyle w:val="TableContents"/>
              <w:spacing w:before="0" w:after="283"/>
              <w:rPr/>
            </w:pPr>
            <w:r>
              <w:rPr/>
              <w:t> </w:t>
            </w:r>
          </w:p>
        </w:tc>
      </w:tr>
      <w:tr>
        <w:trPr/>
        <w:tc>
          <w:tcPr>
            <w:tcW w:w="3999"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48"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total</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49"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intra-segment</w:t>
            </w:r>
          </w:p>
        </w:tc>
        <w:tc>
          <w:tcPr>
            <w:tcW w:w="1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2454"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less inter-segment sales</w:t>
            </w:r>
          </w:p>
        </w:tc>
        <w:tc>
          <w:tcPr>
            <w:tcW w:w="1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7"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to outside</w:t>
            </w:r>
          </w:p>
        </w:tc>
        <w:tc>
          <w:tcPr>
            <w:tcW w:w="128" w:type="dxa"/>
            <w:tcBorders/>
            <w:shd w:fill="auto" w:val="clear"/>
            <w:vAlign w:val="bottom"/>
          </w:tcPr>
          <w:p>
            <w:pPr>
              <w:pStyle w:val="TableContents"/>
              <w:spacing w:before="0" w:after="283"/>
              <w:rPr/>
            </w:pPr>
            <w:r>
              <w:rPr/>
              <w:t> </w:t>
            </w:r>
          </w:p>
        </w:tc>
      </w:tr>
      <w:tr>
        <w:trPr/>
        <w:tc>
          <w:tcPr>
            <w:tcW w:w="3999"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in thousands</w:t>
            </w:r>
          </w:p>
        </w:tc>
        <w:tc>
          <w:tcPr>
            <w:tcW w:w="202" w:type="dxa"/>
            <w:tcBorders/>
            <w:shd w:fill="auto" w:val="clear"/>
            <w:vAlign w:val="bottom"/>
          </w:tcPr>
          <w:p>
            <w:pPr>
              <w:pStyle w:val="TableContents"/>
              <w:spacing w:before="0" w:after="283"/>
              <w:rPr/>
            </w:pPr>
            <w:r>
              <w:rPr/>
              <w:t>  </w:t>
            </w:r>
          </w:p>
        </w:tc>
        <w:tc>
          <w:tcPr>
            <w:tcW w:w="848"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sales</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49"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sales</w:t>
            </w:r>
          </w:p>
        </w:tc>
        <w:tc>
          <w:tcPr>
            <w:tcW w:w="1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EE&amp;P</w:t>
            </w:r>
          </w:p>
        </w:tc>
        <w:tc>
          <w:tcPr>
            <w:tcW w:w="12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67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C/S</w:t>
            </w:r>
          </w:p>
        </w:tc>
        <w:tc>
          <w:tcPr>
            <w:tcW w:w="1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551"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Corp. (a)</w:t>
            </w:r>
          </w:p>
        </w:tc>
        <w:tc>
          <w:tcPr>
            <w:tcW w:w="1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847"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customers</w:t>
            </w:r>
          </w:p>
        </w:tc>
        <w:tc>
          <w:tcPr>
            <w:tcW w:w="128" w:type="dxa"/>
            <w:tcBorders/>
            <w:shd w:fill="auto" w:val="clear"/>
            <w:vAlign w:val="bottom"/>
          </w:tcPr>
          <w:p>
            <w:pPr>
              <w:pStyle w:val="TableContents"/>
              <w:spacing w:before="0" w:after="283"/>
              <w:rPr/>
            </w:pPr>
            <w:r>
              <w:rPr/>
              <w:t> </w:t>
            </w:r>
          </w:p>
        </w:tc>
      </w:tr>
      <w:tr>
        <w:trPr>
          <w:trHeight w:val="120" w:hRule="atLeast"/>
        </w:trPr>
        <w:tc>
          <w:tcPr>
            <w:tcW w:w="3999" w:type="dxa"/>
            <w:tcBorders/>
            <w:shd w:fill="auto" w:val="clear"/>
            <w:vAlign w:val="center"/>
          </w:tcPr>
          <w:p>
            <w:pPr>
              <w:pStyle w:val="TableContents"/>
              <w:spacing w:before="0" w:after="283"/>
              <w:rPr>
                <w:sz w:val="4"/>
                <w:szCs w:val="4"/>
              </w:rPr>
            </w:pPr>
            <w:r>
              <w:rPr>
                <w:sz w:val="4"/>
                <w:szCs w:val="4"/>
              </w:rPr>
            </w:r>
          </w:p>
        </w:tc>
        <w:tc>
          <w:tcPr>
            <w:tcW w:w="1170" w:type="dxa"/>
            <w:gridSpan w:val="4"/>
            <w:tcBorders/>
            <w:shd w:fill="auto" w:val="clear"/>
            <w:vAlign w:val="center"/>
          </w:tcPr>
          <w:p>
            <w:pPr>
              <w:pStyle w:val="TableContents"/>
              <w:spacing w:before="0" w:after="283"/>
              <w:rPr>
                <w:sz w:val="4"/>
                <w:szCs w:val="4"/>
              </w:rPr>
            </w:pPr>
            <w:r>
              <w:rPr>
                <w:sz w:val="4"/>
                <w:szCs w:val="4"/>
              </w:rPr>
            </w:r>
          </w:p>
        </w:tc>
        <w:tc>
          <w:tcPr>
            <w:tcW w:w="1176" w:type="dxa"/>
            <w:gridSpan w:val="4"/>
            <w:tcBorders/>
            <w:shd w:fill="auto" w:val="clear"/>
            <w:vAlign w:val="center"/>
          </w:tcPr>
          <w:p>
            <w:pPr>
              <w:pStyle w:val="TableContents"/>
              <w:spacing w:before="0" w:after="283"/>
              <w:rPr>
                <w:sz w:val="4"/>
                <w:szCs w:val="4"/>
              </w:rPr>
            </w:pPr>
            <w:r>
              <w:rPr>
                <w:sz w:val="4"/>
                <w:szCs w:val="4"/>
              </w:rPr>
            </w:r>
          </w:p>
        </w:tc>
        <w:tc>
          <w:tcPr>
            <w:tcW w:w="951" w:type="dxa"/>
            <w:gridSpan w:val="4"/>
            <w:tcBorders/>
            <w:shd w:fill="auto" w:val="clear"/>
            <w:vAlign w:val="center"/>
          </w:tcPr>
          <w:p>
            <w:pPr>
              <w:pStyle w:val="TableContents"/>
              <w:spacing w:before="0" w:after="283"/>
              <w:rPr>
                <w:sz w:val="4"/>
                <w:szCs w:val="4"/>
              </w:rPr>
            </w:pPr>
            <w:r>
              <w:rPr>
                <w:sz w:val="4"/>
                <w:szCs w:val="4"/>
              </w:rPr>
            </w:r>
          </w:p>
        </w:tc>
        <w:tc>
          <w:tcPr>
            <w:tcW w:w="952" w:type="dxa"/>
            <w:gridSpan w:val="4"/>
            <w:tcBorders/>
            <w:shd w:fill="auto" w:val="clear"/>
            <w:vAlign w:val="center"/>
          </w:tcPr>
          <w:p>
            <w:pPr>
              <w:pStyle w:val="TableContents"/>
              <w:spacing w:before="0" w:after="283"/>
              <w:rPr>
                <w:sz w:val="4"/>
                <w:szCs w:val="4"/>
              </w:rPr>
            </w:pPr>
            <w:r>
              <w:rPr>
                <w:sz w:val="4"/>
                <w:szCs w:val="4"/>
              </w:rPr>
            </w:r>
          </w:p>
        </w:tc>
        <w:tc>
          <w:tcPr>
            <w:tcW w:w="829" w:type="dxa"/>
            <w:gridSpan w:val="4"/>
            <w:tcBorders/>
            <w:shd w:fill="auto" w:val="clear"/>
            <w:vAlign w:val="center"/>
          </w:tcPr>
          <w:p>
            <w:pPr>
              <w:pStyle w:val="TableContents"/>
              <w:spacing w:before="0" w:after="283"/>
              <w:rPr>
                <w:sz w:val="4"/>
                <w:szCs w:val="4"/>
              </w:rPr>
            </w:pPr>
            <w:r>
              <w:rPr>
                <w:sz w:val="4"/>
                <w:szCs w:val="4"/>
              </w:rPr>
            </w:r>
          </w:p>
        </w:tc>
        <w:tc>
          <w:tcPr>
            <w:tcW w:w="1128" w:type="dxa"/>
            <w:gridSpan w:val="4"/>
            <w:tcBorders/>
            <w:shd w:fill="auto" w:val="clear"/>
            <w:vAlign w:val="center"/>
          </w:tcPr>
          <w:p>
            <w:pPr>
              <w:pStyle w:val="TableContents"/>
              <w:spacing w:before="0" w:after="283"/>
              <w:rPr>
                <w:sz w:val="4"/>
                <w:szCs w:val="4"/>
              </w:rPr>
            </w:pPr>
            <w:r>
              <w:rPr>
                <w:sz w:val="4"/>
                <w:szCs w:val="4"/>
              </w:rPr>
            </w:r>
          </w:p>
        </w:tc>
      </w:tr>
      <w:tr>
        <w:trPr/>
        <w:tc>
          <w:tcPr>
            <w:tcW w:w="3999"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Sales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23"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697"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9"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9"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426"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sz w:val="4"/>
                <w:szCs w:val="4"/>
              </w:rPr>
            </w:pPr>
            <w:r>
              <w:rPr>
                <w:sz w:val="4"/>
                <w:szCs w:val="4"/>
              </w:rPr>
            </w:r>
          </w:p>
        </w:tc>
        <w:tc>
          <w:tcPr>
            <w:tcW w:w="723" w:type="dxa"/>
            <w:tcBorders/>
            <w:shd w:fill="CCEEFF" w:val="clear"/>
            <w:vAlign w:val="bottom"/>
          </w:tcPr>
          <w:p>
            <w:pPr>
              <w:pStyle w:val="TableContents"/>
              <w:spacing w:before="0" w:after="283"/>
              <w:rPr>
                <w:sz w:val="4"/>
                <w:szCs w:val="4"/>
              </w:rPr>
            </w:pPr>
            <w:r>
              <w:rPr>
                <w:sz w:val="4"/>
                <w:szCs w:val="4"/>
              </w:rPr>
            </w:r>
          </w:p>
        </w:tc>
        <w:tc>
          <w:tcPr>
            <w:tcW w:w="128" w:type="dxa"/>
            <w:tcBorders/>
            <w:shd w:fill="CCEEFF" w:val="clear"/>
            <w:vAlign w:val="bottom"/>
          </w:tcPr>
          <w:p>
            <w:pPr>
              <w:pStyle w:val="TableContents"/>
              <w:spacing w:before="0" w:after="283"/>
              <w:rPr>
                <w:sz w:val="4"/>
                <w:szCs w:val="4"/>
              </w:rPr>
            </w:pPr>
            <w:r>
              <w:rPr>
                <w:sz w:val="4"/>
                <w:szCs w:val="4"/>
              </w:rPr>
            </w:r>
          </w:p>
        </w:tc>
      </w:tr>
      <w:tr>
        <w:trPr/>
        <w:tc>
          <w:tcPr>
            <w:tcW w:w="3999" w:type="dxa"/>
            <w:tcBorders/>
            <w:shd w:fill="auto" w:val="clear"/>
          </w:tcPr>
          <w:p>
            <w:pPr>
              <w:pStyle w:val="TableContents"/>
              <w:spacing w:before="0" w:after="283"/>
              <w:rPr>
                <w:rFonts w:ascii="Times New Roman" w:hAnsi="Times New Roman"/>
                <w:sz w:val="20"/>
              </w:rPr>
            </w:pPr>
            <w:r>
              <w:rPr>
                <w:rFonts w:ascii="Times New Roman" w:hAnsi="Times New Roman"/>
                <w:sz w:val="20"/>
              </w:rPr>
              <w:t>Engineered equipment and parts (EE&amp;P)</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2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697"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49" w:type="dxa"/>
            <w:tcBorders/>
            <w:shd w:fill="auto" w:val="clear"/>
            <w:vAlign w:val="bottom"/>
          </w:tcPr>
          <w:p>
            <w:pPr>
              <w:pStyle w:val="TableContents"/>
              <w:spacing w:before="0" w:after="283"/>
              <w:rPr>
                <w:sz w:val="4"/>
                <w:szCs w:val="4"/>
              </w:rPr>
            </w:pPr>
            <w:r>
              <w:rPr>
                <w:sz w:val="4"/>
                <w:szCs w:val="4"/>
              </w:rPr>
            </w:r>
          </w:p>
        </w:tc>
        <w:tc>
          <w:tcPr>
            <w:tcW w:w="124"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49"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426"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sz w:val="4"/>
                <w:szCs w:val="4"/>
              </w:rPr>
            </w:pPr>
            <w:r>
              <w:rPr>
                <w:sz w:val="4"/>
                <w:szCs w:val="4"/>
              </w:rPr>
            </w:r>
          </w:p>
        </w:tc>
        <w:tc>
          <w:tcPr>
            <w:tcW w:w="723"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r>
      <w:tr>
        <w:trPr/>
        <w:tc>
          <w:tcPr>
            <w:tcW w:w="3999" w:type="dxa"/>
            <w:tcBorders/>
            <w:shd w:fill="CCEEFF" w:val="clear"/>
          </w:tcPr>
          <w:p>
            <w:pPr>
              <w:pStyle w:val="TableContents"/>
              <w:spacing w:before="0" w:after="283"/>
              <w:rPr>
                <w:rFonts w:ascii="Times New Roman" w:hAnsi="Times New Roman"/>
                <w:sz w:val="20"/>
              </w:rPr>
            </w:pPr>
            <w:r>
              <w:rPr>
                <w:rFonts w:ascii="Times New Roman" w:hAnsi="Times New Roman"/>
                <w:sz w:val="20"/>
              </w:rPr>
              <w:t>United States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78,188</w:t>
            </w:r>
          </w:p>
        </w:tc>
        <w:tc>
          <w:tcPr>
            <w:tcW w:w="12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(2,494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9" w:type="dxa"/>
            <w:tcBorders/>
            <w:shd w:fill="CCEEFF" w:val="clear"/>
            <w:vAlign w:val="bottom"/>
          </w:tcPr>
          <w:p>
            <w:pPr>
              <w:pStyle w:val="TableContents"/>
              <w:spacing w:before="0" w:after="283"/>
              <w:rPr>
                <w:sz w:val="4"/>
                <w:szCs w:val="4"/>
              </w:rPr>
            </w:pPr>
            <w:r>
              <w:rPr>
                <w:sz w:val="4"/>
                <w:szCs w:val="4"/>
              </w:rPr>
            </w:r>
          </w:p>
        </w:tc>
        <w:tc>
          <w:tcPr>
            <w:tcW w:w="124" w:type="dxa"/>
            <w:tcBorders/>
            <w:shd w:fill="CCEEFF" w:val="clear"/>
            <w:vAlign w:val="bottom"/>
          </w:tcPr>
          <w:p>
            <w:pPr>
              <w:pStyle w:val="TableContents"/>
              <w:spacing w:before="0" w:after="283"/>
              <w:rPr>
                <w:sz w:val="4"/>
                <w:szCs w:val="4"/>
              </w:rPr>
            </w:pPr>
            <w:r>
              <w:rPr>
                <w:sz w:val="4"/>
                <w:szCs w:val="4"/>
              </w:rPr>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(1,861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4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73,830</w:t>
            </w:r>
          </w:p>
        </w:tc>
        <w:tc>
          <w:tcPr>
            <w:tcW w:w="128" w:type="dxa"/>
            <w:tcBorders/>
            <w:shd w:fill="CCEEFF" w:val="clear"/>
            <w:vAlign w:val="bottom"/>
          </w:tcPr>
          <w:p>
            <w:pPr>
              <w:pStyle w:val="TableContents"/>
              <w:spacing w:before="0" w:after="283"/>
              <w:rPr/>
            </w:pPr>
            <w:r>
              <w:rPr/>
              <w:t>  </w:t>
            </w:r>
          </w:p>
        </w:tc>
      </w:tr>
      <w:tr>
        <w:trPr/>
        <w:tc>
          <w:tcPr>
            <w:tcW w:w="3999" w:type="dxa"/>
            <w:tcBorders/>
            <w:shd w:fill="auto" w:val="clear"/>
          </w:tcPr>
          <w:p>
            <w:pPr>
              <w:pStyle w:val="TableContents"/>
              <w:spacing w:before="0" w:after="283"/>
              <w:rPr>
                <w:rFonts w:ascii="Times New Roman" w:hAnsi="Times New Roman"/>
                <w:sz w:val="20"/>
              </w:rPr>
            </w:pPr>
            <w:r>
              <w:rPr>
                <w:rFonts w:ascii="Times New Roman" w:hAnsi="Times New Roman"/>
                <w:sz w:val="20"/>
              </w:rPr>
              <w:t>Canada</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12,880</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12,880</w:t>
            </w:r>
          </w:p>
        </w:tc>
        <w:tc>
          <w:tcPr>
            <w:tcW w:w="128" w:type="dxa"/>
            <w:tcBorders/>
            <w:shd w:fill="auto" w:val="clear"/>
            <w:vAlign w:val="bottom"/>
          </w:tcPr>
          <w:p>
            <w:pPr>
              <w:pStyle w:val="TableContents"/>
              <w:spacing w:before="0" w:after="283"/>
              <w:rPr/>
            </w:pPr>
            <w:r>
              <w:rPr/>
              <w:t>  </w:t>
            </w:r>
          </w:p>
        </w:tc>
      </w:tr>
      <w:tr>
        <w:trPr/>
        <w:tc>
          <w:tcPr>
            <w:tcW w:w="3999" w:type="dxa"/>
            <w:tcBorders/>
            <w:shd w:fill="CCEEFF" w:val="clear"/>
          </w:tcPr>
          <w:p>
            <w:pPr>
              <w:pStyle w:val="TableContents"/>
              <w:spacing w:before="0" w:after="283"/>
              <w:rPr>
                <w:rFonts w:ascii="Times New Roman" w:hAnsi="Times New Roman"/>
                <w:sz w:val="20"/>
              </w:rPr>
            </w:pPr>
            <w:r>
              <w:rPr>
                <w:rFonts w:ascii="Times New Roman" w:hAnsi="Times New Roman"/>
                <w:sz w:val="20"/>
              </w:rPr>
              <w:t>Brazil</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528</w:t>
            </w:r>
          </w:p>
        </w:tc>
        <w:tc>
          <w:tcPr>
            <w:tcW w:w="12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528</w:t>
            </w:r>
          </w:p>
        </w:tc>
        <w:tc>
          <w:tcPr>
            <w:tcW w:w="128" w:type="dxa"/>
            <w:tcBorders/>
            <w:shd w:fill="CCEEFF" w:val="clear"/>
            <w:vAlign w:val="bottom"/>
          </w:tcPr>
          <w:p>
            <w:pPr>
              <w:pStyle w:val="TableContents"/>
              <w:spacing w:before="0" w:after="283"/>
              <w:rPr/>
            </w:pPr>
            <w:r>
              <w:rPr/>
              <w:t>  </w:t>
            </w:r>
          </w:p>
        </w:tc>
      </w:tr>
      <w:tr>
        <w:trPr/>
        <w:tc>
          <w:tcPr>
            <w:tcW w:w="3999" w:type="dxa"/>
            <w:tcBorders/>
            <w:shd w:fill="auto" w:val="clear"/>
          </w:tcPr>
          <w:p>
            <w:pPr>
              <w:pStyle w:val="TableContents"/>
              <w:spacing w:before="0" w:after="283"/>
              <w:rPr>
                <w:rFonts w:ascii="Times New Roman" w:hAnsi="Times New Roman"/>
                <w:sz w:val="20"/>
              </w:rPr>
            </w:pPr>
            <w:r>
              <w:rPr>
                <w:rFonts w:ascii="Times New Roman" w:hAnsi="Times New Roman"/>
                <w:sz w:val="20"/>
              </w:rPr>
              <w:t>China</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4,900</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4,701</w:t>
            </w:r>
          </w:p>
        </w:tc>
        <w:tc>
          <w:tcPr>
            <w:tcW w:w="128" w:type="dxa"/>
            <w:tcBorders/>
            <w:shd w:fill="auto" w:val="clear"/>
            <w:vAlign w:val="bottom"/>
          </w:tcPr>
          <w:p>
            <w:pPr>
              <w:pStyle w:val="TableContents"/>
              <w:spacing w:before="0" w:after="283"/>
              <w:rPr/>
            </w:pPr>
            <w:r>
              <w:rPr/>
              <w:t>  </w:t>
            </w:r>
          </w:p>
        </w:tc>
      </w:tr>
      <w:tr>
        <w:trPr/>
        <w:tc>
          <w:tcPr>
            <w:tcW w:w="3999" w:type="dxa"/>
            <w:tcBorders/>
            <w:shd w:fill="CCEEFF" w:val="clear"/>
          </w:tcPr>
          <w:p>
            <w:pPr>
              <w:pStyle w:val="TableContents"/>
              <w:spacing w:before="0" w:after="283"/>
              <w:rPr>
                <w:rFonts w:ascii="Times New Roman" w:hAnsi="Times New Roman"/>
                <w:sz w:val="20"/>
              </w:rPr>
            </w:pPr>
            <w:r>
              <w:rPr>
                <w:rFonts w:ascii="Times New Roman" w:hAnsi="Times New Roman"/>
                <w:sz w:val="20"/>
              </w:rPr>
              <w:t>India</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843</w:t>
            </w:r>
          </w:p>
        </w:tc>
        <w:tc>
          <w:tcPr>
            <w:tcW w:w="12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843</w:t>
            </w:r>
          </w:p>
        </w:tc>
        <w:tc>
          <w:tcPr>
            <w:tcW w:w="128" w:type="dxa"/>
            <w:tcBorders/>
            <w:shd w:fill="CCEEFF" w:val="clear"/>
            <w:vAlign w:val="bottom"/>
          </w:tcPr>
          <w:p>
            <w:pPr>
              <w:pStyle w:val="TableContents"/>
              <w:spacing w:before="0" w:after="283"/>
              <w:rPr/>
            </w:pPr>
            <w:r>
              <w:rPr/>
              <w:t>  </w:t>
            </w:r>
          </w:p>
        </w:tc>
      </w:tr>
      <w:tr>
        <w:trPr/>
        <w:tc>
          <w:tcPr>
            <w:tcW w:w="3999"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9"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2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23"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rHeight w:val="120" w:hRule="atLeast"/>
        </w:trPr>
        <w:tc>
          <w:tcPr>
            <w:tcW w:w="3999" w:type="dxa"/>
            <w:tcBorders/>
            <w:shd w:fill="auto" w:val="clear"/>
            <w:vAlign w:val="center"/>
          </w:tcPr>
          <w:p>
            <w:pPr>
              <w:pStyle w:val="TableContents"/>
              <w:spacing w:before="0" w:after="283"/>
              <w:rPr>
                <w:sz w:val="4"/>
                <w:szCs w:val="4"/>
              </w:rPr>
            </w:pPr>
            <w:r>
              <w:rPr>
                <w:sz w:val="4"/>
                <w:szCs w:val="4"/>
              </w:rPr>
            </w:r>
          </w:p>
        </w:tc>
        <w:tc>
          <w:tcPr>
            <w:tcW w:w="1170" w:type="dxa"/>
            <w:gridSpan w:val="4"/>
            <w:tcBorders/>
            <w:shd w:fill="auto" w:val="clear"/>
            <w:vAlign w:val="center"/>
          </w:tcPr>
          <w:p>
            <w:pPr>
              <w:pStyle w:val="TableContents"/>
              <w:spacing w:before="0" w:after="283"/>
              <w:rPr>
                <w:sz w:val="4"/>
                <w:szCs w:val="4"/>
              </w:rPr>
            </w:pPr>
            <w:r>
              <w:rPr>
                <w:sz w:val="4"/>
                <w:szCs w:val="4"/>
              </w:rPr>
            </w:r>
          </w:p>
        </w:tc>
        <w:tc>
          <w:tcPr>
            <w:tcW w:w="1176" w:type="dxa"/>
            <w:gridSpan w:val="4"/>
            <w:tcBorders/>
            <w:shd w:fill="auto" w:val="clear"/>
            <w:vAlign w:val="center"/>
          </w:tcPr>
          <w:p>
            <w:pPr>
              <w:pStyle w:val="TableContents"/>
              <w:spacing w:before="0" w:after="283"/>
              <w:rPr>
                <w:sz w:val="4"/>
                <w:szCs w:val="4"/>
              </w:rPr>
            </w:pPr>
            <w:r>
              <w:rPr>
                <w:sz w:val="4"/>
                <w:szCs w:val="4"/>
              </w:rPr>
            </w:r>
          </w:p>
        </w:tc>
        <w:tc>
          <w:tcPr>
            <w:tcW w:w="951" w:type="dxa"/>
            <w:gridSpan w:val="4"/>
            <w:tcBorders/>
            <w:shd w:fill="auto" w:val="clear"/>
            <w:vAlign w:val="center"/>
          </w:tcPr>
          <w:p>
            <w:pPr>
              <w:pStyle w:val="TableContents"/>
              <w:spacing w:before="0" w:after="283"/>
              <w:rPr>
                <w:sz w:val="4"/>
                <w:szCs w:val="4"/>
              </w:rPr>
            </w:pPr>
            <w:r>
              <w:rPr>
                <w:sz w:val="4"/>
                <w:szCs w:val="4"/>
              </w:rPr>
            </w:r>
          </w:p>
        </w:tc>
        <w:tc>
          <w:tcPr>
            <w:tcW w:w="952" w:type="dxa"/>
            <w:gridSpan w:val="4"/>
            <w:tcBorders/>
            <w:shd w:fill="auto" w:val="clear"/>
            <w:vAlign w:val="center"/>
          </w:tcPr>
          <w:p>
            <w:pPr>
              <w:pStyle w:val="TableContents"/>
              <w:spacing w:before="0" w:after="283"/>
              <w:rPr>
                <w:sz w:val="4"/>
                <w:szCs w:val="4"/>
              </w:rPr>
            </w:pPr>
            <w:r>
              <w:rPr>
                <w:sz w:val="4"/>
                <w:szCs w:val="4"/>
              </w:rPr>
            </w:r>
          </w:p>
        </w:tc>
        <w:tc>
          <w:tcPr>
            <w:tcW w:w="829" w:type="dxa"/>
            <w:gridSpan w:val="4"/>
            <w:tcBorders/>
            <w:shd w:fill="auto" w:val="clear"/>
            <w:vAlign w:val="center"/>
          </w:tcPr>
          <w:p>
            <w:pPr>
              <w:pStyle w:val="TableContents"/>
              <w:spacing w:before="0" w:after="283"/>
              <w:rPr>
                <w:sz w:val="4"/>
                <w:szCs w:val="4"/>
              </w:rPr>
            </w:pPr>
            <w:r>
              <w:rPr>
                <w:sz w:val="4"/>
                <w:szCs w:val="4"/>
              </w:rPr>
            </w:r>
          </w:p>
        </w:tc>
        <w:tc>
          <w:tcPr>
            <w:tcW w:w="1128" w:type="dxa"/>
            <w:gridSpan w:val="4"/>
            <w:tcBorders/>
            <w:shd w:fill="auto" w:val="clear"/>
            <w:vAlign w:val="center"/>
          </w:tcPr>
          <w:p>
            <w:pPr>
              <w:pStyle w:val="TableContents"/>
              <w:spacing w:before="0" w:after="283"/>
              <w:rPr>
                <w:sz w:val="4"/>
                <w:szCs w:val="4"/>
              </w:rPr>
            </w:pPr>
            <w:r>
              <w:rPr>
                <w:sz w:val="4"/>
                <w:szCs w:val="4"/>
              </w:rPr>
            </w:r>
          </w:p>
        </w:tc>
      </w:tr>
      <w:tr>
        <w:trPr/>
        <w:tc>
          <w:tcPr>
            <w:tcW w:w="3999" w:type="dxa"/>
            <w:tcBorders/>
            <w:shd w:fill="auto" w:val="clear"/>
          </w:tcPr>
          <w:p>
            <w:pPr>
              <w:pStyle w:val="TableContents"/>
              <w:spacing w:before="0" w:after="283"/>
              <w:rPr>
                <w:rFonts w:ascii="Times New Roman" w:hAnsi="Times New Roman"/>
                <w:sz w:val="20"/>
              </w:rPr>
            </w:pPr>
            <w:r>
              <w:rPr>
                <w:rFonts w:ascii="Times New Roman" w:hAnsi="Times New Roman"/>
                <w:sz w:val="20"/>
              </w:rPr>
              <w:t>subtotal</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97,339</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(2,693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4"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(1,861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92,782</w:t>
            </w:r>
          </w:p>
        </w:tc>
        <w:tc>
          <w:tcPr>
            <w:tcW w:w="128" w:type="dxa"/>
            <w:tcBorders/>
            <w:shd w:fill="auto" w:val="clear"/>
            <w:vAlign w:val="bottom"/>
          </w:tcPr>
          <w:p>
            <w:pPr>
              <w:pStyle w:val="TableContents"/>
              <w:spacing w:before="0" w:after="283"/>
              <w:rPr/>
            </w:pPr>
            <w:r>
              <w:rPr/>
              <w:t>  </w:t>
            </w:r>
          </w:p>
        </w:tc>
      </w:tr>
      <w:tr>
        <w:trPr/>
        <w:tc>
          <w:tcPr>
            <w:tcW w:w="3999" w:type="dxa"/>
            <w:tcBorders/>
            <w:shd w:fill="CCEEFF" w:val="clear"/>
          </w:tcPr>
          <w:p>
            <w:pPr>
              <w:pStyle w:val="TableContents"/>
              <w:spacing w:before="0" w:after="283"/>
              <w:rPr>
                <w:rFonts w:ascii="Times New Roman" w:hAnsi="Times New Roman"/>
                <w:sz w:val="20"/>
              </w:rPr>
            </w:pPr>
            <w:r>
              <w:rPr>
                <w:rFonts w:ascii="Times New Roman" w:hAnsi="Times New Roman"/>
                <w:sz w:val="20"/>
              </w:rPr>
              <w:t>Contracting / Services (C/S)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37,122</w:t>
            </w:r>
          </w:p>
        </w:tc>
        <w:tc>
          <w:tcPr>
            <w:tcW w:w="12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(5,527</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30,906</w:t>
            </w:r>
          </w:p>
        </w:tc>
        <w:tc>
          <w:tcPr>
            <w:tcW w:w="128" w:type="dxa"/>
            <w:tcBorders/>
            <w:shd w:fill="CCEEFF" w:val="clear"/>
            <w:vAlign w:val="bottom"/>
          </w:tcPr>
          <w:p>
            <w:pPr>
              <w:pStyle w:val="TableContents"/>
              <w:spacing w:before="0" w:after="283"/>
              <w:rPr/>
            </w:pPr>
            <w:r>
              <w:rPr/>
              <w:t>  </w:t>
            </w:r>
          </w:p>
        </w:tc>
      </w:tr>
      <w:tr>
        <w:trPr/>
        <w:tc>
          <w:tcPr>
            <w:tcW w:w="3999" w:type="dxa"/>
            <w:tcBorders/>
            <w:shd w:fill="auto" w:val="clear"/>
          </w:tcPr>
          <w:p>
            <w:pPr>
              <w:pStyle w:val="TableContents"/>
              <w:spacing w:before="0" w:after="283"/>
              <w:rPr>
                <w:rFonts w:ascii="Times New Roman" w:hAnsi="Times New Roman"/>
                <w:sz w:val="20"/>
              </w:rPr>
            </w:pPr>
            <w:r>
              <w:rPr>
                <w:rFonts w:ascii="Times New Roman" w:hAnsi="Times New Roman"/>
                <w:sz w:val="20"/>
              </w:rPr>
              <w:t>Component Parts (CP)</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18,148</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97"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(712</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(99</w:t>
            </w:r>
          </w:p>
        </w:tc>
        <w:tc>
          <w:tcPr>
            <w:tcW w:w="124"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(1,665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426"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pPr>
            <w:r>
              <w:rPr/>
              <w:t> </w:t>
            </w:r>
          </w:p>
        </w:tc>
        <w:tc>
          <w:tcPr>
            <w:tcW w:w="723"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15,672</w:t>
            </w:r>
          </w:p>
        </w:tc>
        <w:tc>
          <w:tcPr>
            <w:tcW w:w="128" w:type="dxa"/>
            <w:tcBorders/>
            <w:shd w:fill="auto" w:val="clear"/>
            <w:vAlign w:val="bottom"/>
          </w:tcPr>
          <w:p>
            <w:pPr>
              <w:pStyle w:val="TableContents"/>
              <w:spacing w:before="0" w:after="283"/>
              <w:rPr/>
            </w:pPr>
            <w:r>
              <w:rPr/>
              <w:t>  </w:t>
            </w:r>
          </w:p>
        </w:tc>
      </w:tr>
      <w:tr>
        <w:trPr/>
        <w:tc>
          <w:tcPr>
            <w:tcW w:w="3999"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and other (a)</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1,548</w:t>
            </w:r>
          </w:p>
        </w:tc>
        <w:tc>
          <w:tcPr>
            <w:tcW w:w="12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9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(82</w:t>
            </w:r>
          </w:p>
        </w:tc>
        <w:tc>
          <w:tcPr>
            <w:tcW w:w="124"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(149</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4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53" w:type="dxa"/>
            <w:tcBorders/>
            <w:shd w:fill="CCEEFF" w:val="clear"/>
            <w:vAlign w:val="bottom"/>
          </w:tcPr>
          <w:p>
            <w:pPr>
              <w:pStyle w:val="TableContents"/>
              <w:spacing w:before="0" w:after="283"/>
              <w:rPr/>
            </w:pPr>
            <w:r>
              <w:rPr/>
              <w:t> </w:t>
            </w:r>
          </w:p>
        </w:tc>
        <w:tc>
          <w:tcPr>
            <w:tcW w:w="124" w:type="dxa"/>
            <w:tcBorders/>
            <w:shd w:fill="CCEEFF" w:val="clear"/>
            <w:vAlign w:val="bottom"/>
          </w:tcPr>
          <w:p>
            <w:pPr>
              <w:pStyle w:val="TableContents"/>
              <w:spacing w:before="0" w:after="283"/>
              <w:rPr/>
            </w:pPr>
            <w:r>
              <w:rPr/>
              <w:t> </w:t>
            </w:r>
          </w:p>
        </w:tc>
        <w:tc>
          <w:tcPr>
            <w:tcW w:w="72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1,242</w:t>
            </w:r>
          </w:p>
        </w:tc>
        <w:tc>
          <w:tcPr>
            <w:tcW w:w="128" w:type="dxa"/>
            <w:tcBorders/>
            <w:shd w:fill="CCEEFF" w:val="clear"/>
            <w:vAlign w:val="bottom"/>
          </w:tcPr>
          <w:p>
            <w:pPr>
              <w:pStyle w:val="TableContents"/>
              <w:spacing w:before="0" w:after="283"/>
              <w:rPr/>
            </w:pPr>
            <w:r>
              <w:rPr/>
              <w:t>  </w:t>
            </w:r>
          </w:p>
        </w:tc>
      </w:tr>
      <w:tr>
        <w:trPr/>
        <w:tc>
          <w:tcPr>
            <w:tcW w:w="3999"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23"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697"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9" w:type="dxa"/>
            <w:tcBorders/>
            <w:shd w:fill="auto" w:val="clear"/>
            <w:vAlign w:val="bottom"/>
          </w:tcPr>
          <w:p>
            <w:pPr>
              <w:pStyle w:val="TableContents"/>
              <w:pBdr>
                <w:top w:val="single" w:sz="2"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9"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426"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single" w:sz="2" w:space="1" w:color="000000"/>
              </w:pBdr>
              <w:spacing w:before="0" w:after="283"/>
              <w:rPr/>
            </w:pPr>
            <w:r>
              <w:rPr/>
              <w:t> </w:t>
            </w:r>
          </w:p>
        </w:tc>
        <w:tc>
          <w:tcPr>
            <w:tcW w:w="723" w:type="dxa"/>
            <w:tcBorders/>
            <w:shd w:fill="auto" w:val="clear"/>
            <w:vAlign w:val="bottom"/>
          </w:tcPr>
          <w:p>
            <w:pPr>
              <w:pStyle w:val="TableContents"/>
              <w:pBdr>
                <w:top w:val="single" w:sz="2"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r>
        <w:trPr/>
        <w:tc>
          <w:tcPr>
            <w:tcW w:w="3999" w:type="dxa"/>
            <w:tcBorders/>
            <w:shd w:fill="auto" w:val="clear"/>
          </w:tcPr>
          <w:p>
            <w:pPr>
              <w:pStyle w:val="TableContents"/>
              <w:spacing w:before="0" w:after="283"/>
              <w:rPr>
                <w:rFonts w:ascii="Times New Roman" w:hAnsi="Times New Roman"/>
                <w:b/>
                <w:sz w:val="20"/>
              </w:rPr>
            </w:pPr>
            <w:r>
              <w:rPr>
                <w:rFonts w:ascii="Times New Roman" w:hAnsi="Times New Roman"/>
                <w:b/>
                <w:sz w:val="20"/>
              </w:rPr>
              <w:t>Net sales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2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154,157</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697"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(3,944</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54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(5,708</w:t>
            </w:r>
          </w:p>
        </w:tc>
        <w:tc>
          <w:tcPr>
            <w:tcW w:w="12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54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(3,675</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426"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(228</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1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23"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140,602</w:t>
            </w:r>
          </w:p>
        </w:tc>
        <w:tc>
          <w:tcPr>
            <w:tcW w:w="128" w:type="dxa"/>
            <w:tcBorders/>
            <w:shd w:fill="auto" w:val="clear"/>
            <w:vAlign w:val="bottom"/>
          </w:tcPr>
          <w:p>
            <w:pPr>
              <w:pStyle w:val="TableContents"/>
              <w:spacing w:before="0" w:after="283"/>
              <w:rPr/>
            </w:pPr>
            <w:r>
              <w:rPr/>
              <w:t>  </w:t>
            </w:r>
          </w:p>
        </w:tc>
      </w:tr>
      <w:tr>
        <w:trPr/>
        <w:tc>
          <w:tcPr>
            <w:tcW w:w="3999"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23"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283"/>
              <w:rPr/>
            </w:pPr>
            <w:r>
              <w:rPr/>
              <w:t> </w:t>
            </w:r>
          </w:p>
        </w:tc>
        <w:tc>
          <w:tcPr>
            <w:tcW w:w="697"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49" w:type="dxa"/>
            <w:tcBorders/>
            <w:shd w:fill="auto" w:val="clear"/>
            <w:vAlign w:val="bottom"/>
          </w:tcPr>
          <w:p>
            <w:pPr>
              <w:pStyle w:val="TableContents"/>
              <w:pBdr>
                <w:top w:val="double" w:sz="6" w:space="1" w:color="000000"/>
              </w:pBdr>
              <w:spacing w:before="0" w:after="283"/>
              <w:rPr/>
            </w:pPr>
            <w:r>
              <w:rPr/>
              <w:t> </w:t>
            </w:r>
          </w:p>
        </w:tc>
        <w:tc>
          <w:tcPr>
            <w:tcW w:w="124" w:type="dxa"/>
            <w:tcBorders/>
            <w:shd w:fill="auto" w:val="clear"/>
            <w:vAlign w:val="center"/>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49"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426"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53" w:type="dxa"/>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pBdr>
                <w:top w:val="double" w:sz="6" w:space="1" w:color="000000"/>
              </w:pBdr>
              <w:spacing w:before="0" w:after="283"/>
              <w:rPr/>
            </w:pPr>
            <w:r>
              <w:rPr/>
              <w:t> </w:t>
            </w:r>
          </w:p>
        </w:tc>
        <w:tc>
          <w:tcPr>
            <w:tcW w:w="723" w:type="dxa"/>
            <w:tcBorders/>
            <w:shd w:fill="auto" w:val="clear"/>
            <w:vAlign w:val="bottom"/>
          </w:tcPr>
          <w:p>
            <w:pPr>
              <w:pStyle w:val="TableContents"/>
              <w:pBdr>
                <w:top w:val="double" w:sz="6" w:space="1" w:color="000000"/>
              </w:pBdr>
              <w:spacing w:before="0" w:after="283"/>
              <w:rPr/>
            </w:pPr>
            <w:r>
              <w:rPr/>
              <w:t> </w:t>
            </w:r>
          </w:p>
        </w:tc>
        <w:tc>
          <w:tcPr>
            <w:tcW w:w="128"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the operations of our Engineering Group, which is not significant to the overall operations of the Company. </w:t>
            </w:r>
          </w:p>
        </w:tc>
      </w:tr>
    </w:tbl>
    <w:p>
      <w:pPr>
        <w:pStyle w:val="TextBody"/>
        <w:spacing w:before="90" w:after="0"/>
        <w:rPr>
          <w:rFonts w:ascii="Times New Roman" w:hAnsi="Times New Roman"/>
          <w:sz w:val="20"/>
        </w:rPr>
      </w:pPr>
      <w:r>
        <w:rPr>
          <w:rFonts w:ascii="Times New Roman" w:hAnsi="Times New Roman"/>
          <w:sz w:val="20"/>
        </w:rPr>
        <w:t xml:space="preserve">Also includes adjustment for revenue on intercompany jobs. </w:t>
      </w:r>
    </w:p>
    <w:p>
      <w:pPr>
        <w:pStyle w:val="TextBody"/>
        <w:spacing w:before="0" w:after="0"/>
        <w:rPr/>
      </w:pPr>
      <w:r>
        <w:rPr/>
        <w:t> </w:t>
      </w:r>
    </w:p>
    <w:tbl>
      <w:tblPr>
        <w:tblW w:w="5000" w:type="pct"/>
        <w:jc w:val="center"/>
        <w:tblInd w:w="0" w:type="dxa"/>
        <w:tblCellMar>
          <w:top w:w="0" w:type="dxa"/>
          <w:left w:w="0" w:type="dxa"/>
          <w:bottom w:w="0" w:type="dxa"/>
          <w:right w:w="0" w:type="dxa"/>
        </w:tblCellMar>
      </w:tblPr>
      <w:tblGrid>
        <w:gridCol w:w="4072"/>
        <w:gridCol w:w="202"/>
        <w:gridCol w:w="125"/>
        <w:gridCol w:w="709"/>
        <w:gridCol w:w="120"/>
        <w:gridCol w:w="202"/>
        <w:gridCol w:w="152"/>
        <w:gridCol w:w="688"/>
        <w:gridCol w:w="125"/>
        <w:gridCol w:w="161"/>
        <w:gridCol w:w="125"/>
        <w:gridCol w:w="548"/>
        <w:gridCol w:w="125"/>
        <w:gridCol w:w="160"/>
        <w:gridCol w:w="125"/>
        <w:gridCol w:w="548"/>
        <w:gridCol w:w="125"/>
        <w:gridCol w:w="161"/>
        <w:gridCol w:w="141"/>
        <w:gridCol w:w="342"/>
        <w:gridCol w:w="125"/>
        <w:gridCol w:w="161"/>
        <w:gridCol w:w="125"/>
        <w:gridCol w:w="709"/>
        <w:gridCol w:w="129"/>
      </w:tblGrid>
      <w:tr>
        <w:trPr/>
        <w:tc>
          <w:tcPr>
            <w:tcW w:w="407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152" w:type="dxa"/>
            <w:tcBorders/>
            <w:shd w:fill="auto" w:val="clear"/>
            <w:vAlign w:val="center"/>
          </w:tcPr>
          <w:p>
            <w:pPr>
              <w:pStyle w:val="TableContents"/>
              <w:spacing w:before="0" w:after="283"/>
              <w:rPr>
                <w:sz w:val="4"/>
                <w:szCs w:val="4"/>
              </w:rPr>
            </w:pPr>
            <w:r>
              <w:rPr>
                <w:sz w:val="4"/>
                <w:szCs w:val="4"/>
              </w:rPr>
            </w:r>
          </w:p>
        </w:tc>
        <w:tc>
          <w:tcPr>
            <w:tcW w:w="68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548"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141"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709"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r>
      <w:tr>
        <w:trPr/>
        <w:tc>
          <w:tcPr>
            <w:tcW w:w="407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5802" w:type="dxa"/>
            <w:gridSpan w:val="2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Year Ended December 31, 2009</w:t>
            </w:r>
          </w:p>
        </w:tc>
        <w:tc>
          <w:tcPr>
            <w:tcW w:w="129" w:type="dxa"/>
            <w:tcBorders/>
            <w:shd w:fill="auto" w:val="clear"/>
            <w:vAlign w:val="bottom"/>
          </w:tcPr>
          <w:p>
            <w:pPr>
              <w:pStyle w:val="TableContents"/>
              <w:spacing w:before="0" w:after="283"/>
              <w:rPr/>
            </w:pPr>
            <w:r>
              <w:rPr/>
              <w:t> </w:t>
            </w:r>
          </w:p>
        </w:tc>
      </w:tr>
      <w:tr>
        <w:trPr/>
        <w:tc>
          <w:tcPr>
            <w:tcW w:w="407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34"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40"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less</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400" w:type="dxa"/>
            <w:gridSpan w:val="10"/>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34"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net sales</w:t>
            </w:r>
          </w:p>
        </w:tc>
        <w:tc>
          <w:tcPr>
            <w:tcW w:w="129" w:type="dxa"/>
            <w:tcBorders/>
            <w:shd w:fill="auto" w:val="clear"/>
            <w:vAlign w:val="bottom"/>
          </w:tcPr>
          <w:p>
            <w:pPr>
              <w:pStyle w:val="TableContents"/>
              <w:spacing w:before="0" w:after="283"/>
              <w:rPr/>
            </w:pPr>
            <w:r>
              <w:rPr/>
              <w:t> </w:t>
            </w:r>
          </w:p>
        </w:tc>
      </w:tr>
      <w:tr>
        <w:trPr/>
        <w:tc>
          <w:tcPr>
            <w:tcW w:w="4072"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34"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total</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40"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intra-segment</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2400" w:type="dxa"/>
            <w:gridSpan w:val="10"/>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less inter-segment sales</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34" w:type="dxa"/>
            <w:gridSpan w:val="2"/>
            <w:tcBorders/>
            <w:shd w:fill="auto" w:val="clear"/>
            <w:vAlign w:val="bottom"/>
          </w:tcPr>
          <w:p>
            <w:pPr>
              <w:pStyle w:val="TableContents"/>
              <w:spacing w:before="0" w:after="283"/>
              <w:jc w:val="center"/>
              <w:rPr>
                <w:rFonts w:ascii="Times New Roman" w:hAnsi="Times New Roman"/>
                <w:sz w:val="14"/>
              </w:rPr>
            </w:pPr>
            <w:r>
              <w:rPr>
                <w:rFonts w:ascii="Times New Roman" w:hAnsi="Times New Roman"/>
                <w:sz w:val="14"/>
              </w:rPr>
              <w:t>to outside</w:t>
            </w:r>
          </w:p>
        </w:tc>
        <w:tc>
          <w:tcPr>
            <w:tcW w:w="129" w:type="dxa"/>
            <w:tcBorders/>
            <w:shd w:fill="auto" w:val="clear"/>
            <w:vAlign w:val="bottom"/>
          </w:tcPr>
          <w:p>
            <w:pPr>
              <w:pStyle w:val="TableContents"/>
              <w:spacing w:before="0" w:after="283"/>
              <w:rPr/>
            </w:pPr>
            <w:r>
              <w:rPr/>
              <w:t> </w:t>
            </w:r>
          </w:p>
        </w:tc>
      </w:tr>
      <w:tr>
        <w:trPr/>
        <w:tc>
          <w:tcPr>
            <w:tcW w:w="4072" w:type="dxa"/>
            <w:tcBorders/>
            <w:shd w:fill="auto" w:val="clear"/>
            <w:vAlign w:val="bottom"/>
          </w:tcPr>
          <w:p>
            <w:pPr>
              <w:pStyle w:val="TableContents"/>
              <w:spacing w:before="0" w:after="283"/>
              <w:rPr>
                <w:rFonts w:ascii="Times New Roman" w:hAnsi="Times New Roman"/>
                <w:sz w:val="14"/>
              </w:rPr>
            </w:pPr>
            <w:r>
              <w:rPr>
                <w:rFonts w:ascii="Times New Roman" w:hAnsi="Times New Roman"/>
                <w:sz w:val="14"/>
              </w:rPr>
              <w:t>$ in thousands</w:t>
            </w:r>
          </w:p>
        </w:tc>
        <w:tc>
          <w:tcPr>
            <w:tcW w:w="202" w:type="dxa"/>
            <w:tcBorders/>
            <w:shd w:fill="auto" w:val="clear"/>
            <w:vAlign w:val="bottom"/>
          </w:tcPr>
          <w:p>
            <w:pPr>
              <w:pStyle w:val="TableContents"/>
              <w:spacing w:before="0" w:after="283"/>
              <w:rPr/>
            </w:pPr>
            <w:r>
              <w:rPr/>
              <w:t>  </w:t>
            </w:r>
          </w:p>
        </w:tc>
        <w:tc>
          <w:tcPr>
            <w:tcW w:w="83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sales</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840"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sales</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67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EE&amp;P</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67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C/S</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483"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Corp. (a)</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834" w:type="dxa"/>
            <w:gridSpan w:val="2"/>
            <w:tcBorders>
              <w:bottom w:val="single" w:sz="2" w:space="0" w:color="000000"/>
            </w:tcBorders>
            <w:shd w:fill="auto" w:val="clear"/>
            <w:tcMar>
              <w:bottom w:w="28" w:type="dxa"/>
            </w:tcMar>
            <w:vAlign w:val="bottom"/>
          </w:tcPr>
          <w:p>
            <w:pPr>
              <w:pStyle w:val="TableContents"/>
              <w:spacing w:before="0" w:after="283"/>
              <w:jc w:val="center"/>
              <w:rPr>
                <w:rFonts w:ascii="Times New Roman" w:hAnsi="Times New Roman"/>
                <w:sz w:val="14"/>
              </w:rPr>
            </w:pPr>
            <w:r>
              <w:rPr>
                <w:rFonts w:ascii="Times New Roman" w:hAnsi="Times New Roman"/>
                <w:sz w:val="14"/>
              </w:rPr>
              <w:t>customers</w:t>
            </w:r>
          </w:p>
        </w:tc>
        <w:tc>
          <w:tcPr>
            <w:tcW w:w="129" w:type="dxa"/>
            <w:tcBorders/>
            <w:shd w:fill="auto" w:val="clear"/>
            <w:vAlign w:val="bottom"/>
          </w:tcPr>
          <w:p>
            <w:pPr>
              <w:pStyle w:val="TableContents"/>
              <w:spacing w:before="0" w:after="283"/>
              <w:rPr/>
            </w:pPr>
            <w:r>
              <w:rPr/>
              <w:t> </w:t>
            </w:r>
          </w:p>
        </w:tc>
      </w:tr>
      <w:tr>
        <w:trPr>
          <w:trHeight w:val="120" w:hRule="atLeast"/>
        </w:trPr>
        <w:tc>
          <w:tcPr>
            <w:tcW w:w="4072" w:type="dxa"/>
            <w:tcBorders/>
            <w:shd w:fill="auto" w:val="clear"/>
            <w:vAlign w:val="center"/>
          </w:tcPr>
          <w:p>
            <w:pPr>
              <w:pStyle w:val="TableContents"/>
              <w:spacing w:before="0" w:after="283"/>
              <w:rPr>
                <w:sz w:val="4"/>
                <w:szCs w:val="4"/>
              </w:rPr>
            </w:pPr>
            <w:r>
              <w:rPr>
                <w:sz w:val="4"/>
                <w:szCs w:val="4"/>
              </w:rPr>
            </w:r>
          </w:p>
        </w:tc>
        <w:tc>
          <w:tcPr>
            <w:tcW w:w="1156" w:type="dxa"/>
            <w:gridSpan w:val="4"/>
            <w:tcBorders/>
            <w:shd w:fill="auto" w:val="clear"/>
            <w:vAlign w:val="center"/>
          </w:tcPr>
          <w:p>
            <w:pPr>
              <w:pStyle w:val="TableContents"/>
              <w:spacing w:before="0" w:after="283"/>
              <w:rPr>
                <w:sz w:val="4"/>
                <w:szCs w:val="4"/>
              </w:rPr>
            </w:pPr>
            <w:r>
              <w:rPr>
                <w:sz w:val="4"/>
                <w:szCs w:val="4"/>
              </w:rPr>
            </w:r>
          </w:p>
        </w:tc>
        <w:tc>
          <w:tcPr>
            <w:tcW w:w="1167" w:type="dxa"/>
            <w:gridSpan w:val="4"/>
            <w:tcBorders/>
            <w:shd w:fill="auto" w:val="clear"/>
            <w:vAlign w:val="center"/>
          </w:tcPr>
          <w:p>
            <w:pPr>
              <w:pStyle w:val="TableContents"/>
              <w:spacing w:before="0" w:after="283"/>
              <w:rPr>
                <w:sz w:val="4"/>
                <w:szCs w:val="4"/>
              </w:rPr>
            </w:pPr>
            <w:r>
              <w:rPr>
                <w:sz w:val="4"/>
                <w:szCs w:val="4"/>
              </w:rPr>
            </w:r>
          </w:p>
        </w:tc>
        <w:tc>
          <w:tcPr>
            <w:tcW w:w="959" w:type="dxa"/>
            <w:gridSpan w:val="4"/>
            <w:tcBorders/>
            <w:shd w:fill="auto" w:val="clear"/>
            <w:vAlign w:val="center"/>
          </w:tcPr>
          <w:p>
            <w:pPr>
              <w:pStyle w:val="TableContents"/>
              <w:spacing w:before="0" w:after="283"/>
              <w:rPr>
                <w:sz w:val="4"/>
                <w:szCs w:val="4"/>
              </w:rPr>
            </w:pPr>
            <w:r>
              <w:rPr>
                <w:sz w:val="4"/>
                <w:szCs w:val="4"/>
              </w:rPr>
            </w:r>
          </w:p>
        </w:tc>
        <w:tc>
          <w:tcPr>
            <w:tcW w:w="958" w:type="dxa"/>
            <w:gridSpan w:val="4"/>
            <w:tcBorders/>
            <w:shd w:fill="auto" w:val="clear"/>
            <w:vAlign w:val="center"/>
          </w:tcPr>
          <w:p>
            <w:pPr>
              <w:pStyle w:val="TableContents"/>
              <w:spacing w:before="0" w:after="283"/>
              <w:rPr>
                <w:sz w:val="4"/>
                <w:szCs w:val="4"/>
              </w:rPr>
            </w:pPr>
            <w:r>
              <w:rPr>
                <w:sz w:val="4"/>
                <w:szCs w:val="4"/>
              </w:rPr>
            </w:r>
          </w:p>
        </w:tc>
        <w:tc>
          <w:tcPr>
            <w:tcW w:w="769" w:type="dxa"/>
            <w:gridSpan w:val="4"/>
            <w:tcBorders/>
            <w:shd w:fill="auto" w:val="clear"/>
            <w:vAlign w:val="center"/>
          </w:tcPr>
          <w:p>
            <w:pPr>
              <w:pStyle w:val="TableContents"/>
              <w:spacing w:before="0" w:after="283"/>
              <w:rPr>
                <w:sz w:val="4"/>
                <w:szCs w:val="4"/>
              </w:rPr>
            </w:pPr>
            <w:r>
              <w:rPr>
                <w:sz w:val="4"/>
                <w:szCs w:val="4"/>
              </w:rPr>
            </w:r>
          </w:p>
        </w:tc>
        <w:tc>
          <w:tcPr>
            <w:tcW w:w="1124" w:type="dxa"/>
            <w:gridSpan w:val="4"/>
            <w:tcBorders/>
            <w:shd w:fill="auto" w:val="clear"/>
            <w:vAlign w:val="center"/>
          </w:tcPr>
          <w:p>
            <w:pPr>
              <w:pStyle w:val="TableContents"/>
              <w:spacing w:before="0" w:after="283"/>
              <w:rPr>
                <w:sz w:val="4"/>
                <w:szCs w:val="4"/>
              </w:rPr>
            </w:pPr>
            <w:r>
              <w:rPr>
                <w:sz w:val="4"/>
                <w:szCs w:val="4"/>
              </w:rPr>
            </w:r>
          </w:p>
        </w:tc>
      </w:tr>
      <w:tr>
        <w:trPr/>
        <w:tc>
          <w:tcPr>
            <w:tcW w:w="4072" w:type="dxa"/>
            <w:tcBorders/>
            <w:shd w:fill="CCEEFF" w:val="clear"/>
          </w:tcPr>
          <w:p>
            <w:pPr>
              <w:pStyle w:val="TableContents"/>
              <w:spacing w:before="0" w:after="283"/>
              <w:rPr>
                <w:rFonts w:ascii="Times New Roman" w:hAnsi="Times New Roman"/>
                <w:b/>
                <w:sz w:val="20"/>
              </w:rPr>
            </w:pPr>
            <w:r>
              <w:rPr>
                <w:rFonts w:ascii="Times New Roman" w:hAnsi="Times New Roman"/>
                <w:b/>
                <w:sz w:val="20"/>
              </w:rPr>
              <w:t>Net Sales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0" w:type="dxa"/>
            <w:tcBorders/>
            <w:shd w:fill="CCEEFF" w:val="clear"/>
            <w:vAlign w:val="bottom"/>
          </w:tcPr>
          <w:p>
            <w:pPr>
              <w:pStyle w:val="TableContents"/>
              <w:spacing w:before="0" w:after="283"/>
              <w:rPr>
                <w:sz w:val="4"/>
                <w:szCs w:val="4"/>
              </w:rPr>
            </w:pPr>
            <w:r>
              <w:rPr>
                <w:sz w:val="4"/>
                <w:szCs w:val="4"/>
              </w:rPr>
            </w:r>
          </w:p>
        </w:tc>
        <w:tc>
          <w:tcPr>
            <w:tcW w:w="20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sz w:val="4"/>
                <w:szCs w:val="4"/>
              </w:rPr>
            </w:pPr>
            <w:r>
              <w:rPr>
                <w:sz w:val="4"/>
                <w:szCs w:val="4"/>
              </w:rPr>
            </w:r>
          </w:p>
        </w:tc>
        <w:tc>
          <w:tcPr>
            <w:tcW w:w="68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548"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sz w:val="4"/>
                <w:szCs w:val="4"/>
              </w:rPr>
            </w:pPr>
            <w:r>
              <w:rPr>
                <w:sz w:val="4"/>
                <w:szCs w:val="4"/>
              </w:rPr>
            </w:r>
          </w:p>
        </w:tc>
        <w:tc>
          <w:tcPr>
            <w:tcW w:w="342" w:type="dxa"/>
            <w:tcBorders/>
            <w:shd w:fill="CCEEFF" w:val="clear"/>
            <w:vAlign w:val="bottom"/>
          </w:tcPr>
          <w:p>
            <w:pPr>
              <w:pStyle w:val="TableContents"/>
              <w:spacing w:before="0" w:after="283"/>
              <w:rPr>
                <w:sz w:val="4"/>
                <w:szCs w:val="4"/>
              </w:rPr>
            </w:pPr>
            <w:r>
              <w:rPr>
                <w:sz w:val="4"/>
                <w:szCs w:val="4"/>
              </w:rPr>
            </w:r>
          </w:p>
        </w:tc>
        <w:tc>
          <w:tcPr>
            <w:tcW w:w="125" w:type="dxa"/>
            <w:tcBorders/>
            <w:shd w:fill="CCEEFF" w:val="clear"/>
            <w:vAlign w:val="bottom"/>
          </w:tcPr>
          <w:p>
            <w:pPr>
              <w:pStyle w:val="TableContents"/>
              <w:spacing w:before="0" w:after="283"/>
              <w:rPr>
                <w:sz w:val="4"/>
                <w:szCs w:val="4"/>
              </w:rPr>
            </w:pPr>
            <w:r>
              <w:rPr>
                <w:sz w:val="4"/>
                <w:szCs w:val="4"/>
              </w:rPr>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sz w:val="4"/>
                <w:szCs w:val="4"/>
              </w:rPr>
            </w:pPr>
            <w:r>
              <w:rPr>
                <w:sz w:val="4"/>
                <w:szCs w:val="4"/>
              </w:rPr>
            </w:r>
          </w:p>
        </w:tc>
        <w:tc>
          <w:tcPr>
            <w:tcW w:w="709" w:type="dxa"/>
            <w:tcBorders/>
            <w:shd w:fill="CCEEFF" w:val="clear"/>
            <w:vAlign w:val="bottom"/>
          </w:tcPr>
          <w:p>
            <w:pPr>
              <w:pStyle w:val="TableContents"/>
              <w:spacing w:before="0" w:after="283"/>
              <w:rPr>
                <w:sz w:val="4"/>
                <w:szCs w:val="4"/>
              </w:rPr>
            </w:pPr>
            <w:r>
              <w:rPr>
                <w:sz w:val="4"/>
                <w:szCs w:val="4"/>
              </w:rPr>
            </w:r>
          </w:p>
        </w:tc>
        <w:tc>
          <w:tcPr>
            <w:tcW w:w="129" w:type="dxa"/>
            <w:tcBorders/>
            <w:shd w:fill="CCEEFF" w:val="clear"/>
            <w:vAlign w:val="bottom"/>
          </w:tcPr>
          <w:p>
            <w:pPr>
              <w:pStyle w:val="TableContents"/>
              <w:spacing w:before="0" w:after="283"/>
              <w:rPr>
                <w:sz w:val="4"/>
                <w:szCs w:val="4"/>
              </w:rPr>
            </w:pPr>
            <w:r>
              <w:rPr>
                <w:sz w:val="4"/>
                <w:szCs w:val="4"/>
              </w:rPr>
            </w:r>
          </w:p>
        </w:tc>
      </w:tr>
      <w:tr>
        <w:trPr/>
        <w:tc>
          <w:tcPr>
            <w:tcW w:w="4072" w:type="dxa"/>
            <w:tcBorders/>
            <w:shd w:fill="auto" w:val="clear"/>
          </w:tcPr>
          <w:p>
            <w:pPr>
              <w:pStyle w:val="TableContents"/>
              <w:spacing w:before="0" w:after="283"/>
              <w:rPr>
                <w:rFonts w:ascii="Times New Roman" w:hAnsi="Times New Roman"/>
                <w:sz w:val="20"/>
              </w:rPr>
            </w:pPr>
            <w:r>
              <w:rPr>
                <w:rFonts w:ascii="Times New Roman" w:hAnsi="Times New Roman"/>
                <w:sz w:val="20"/>
              </w:rPr>
              <w:t>Engineered equipment and parts (EE&amp;P)</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sz w:val="4"/>
                <w:szCs w:val="4"/>
              </w:rPr>
            </w:pPr>
            <w:r>
              <w:rPr>
                <w:sz w:val="4"/>
                <w:szCs w:val="4"/>
              </w:rPr>
            </w:r>
          </w:p>
        </w:tc>
        <w:tc>
          <w:tcPr>
            <w:tcW w:w="68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548"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bottom"/>
          </w:tcPr>
          <w:p>
            <w:pPr>
              <w:pStyle w:val="TableContents"/>
              <w:spacing w:before="0" w:after="283"/>
              <w:rPr>
                <w:sz w:val="4"/>
                <w:szCs w:val="4"/>
              </w:rPr>
            </w:pPr>
            <w:r>
              <w:rPr>
                <w:sz w:val="4"/>
                <w:szCs w:val="4"/>
              </w:rPr>
            </w:r>
          </w:p>
        </w:tc>
        <w:tc>
          <w:tcPr>
            <w:tcW w:w="125" w:type="dxa"/>
            <w:tcBorders/>
            <w:shd w:fill="auto" w:val="clear"/>
            <w:vAlign w:val="bottom"/>
          </w:tcPr>
          <w:p>
            <w:pPr>
              <w:pStyle w:val="TableContents"/>
              <w:spacing w:before="0" w:after="283"/>
              <w:rPr>
                <w:sz w:val="4"/>
                <w:szCs w:val="4"/>
              </w:rPr>
            </w:pPr>
            <w:r>
              <w:rPr>
                <w:sz w:val="4"/>
                <w:szCs w:val="4"/>
              </w:rPr>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sz w:val="4"/>
                <w:szCs w:val="4"/>
              </w:rPr>
            </w:pPr>
            <w:r>
              <w:rPr>
                <w:sz w:val="4"/>
                <w:szCs w:val="4"/>
              </w:rPr>
            </w:r>
          </w:p>
        </w:tc>
        <w:tc>
          <w:tcPr>
            <w:tcW w:w="709" w:type="dxa"/>
            <w:tcBorders/>
            <w:shd w:fill="auto" w:val="clear"/>
            <w:vAlign w:val="bottom"/>
          </w:tcPr>
          <w:p>
            <w:pPr>
              <w:pStyle w:val="TableContents"/>
              <w:spacing w:before="0" w:after="283"/>
              <w:rPr>
                <w:sz w:val="4"/>
                <w:szCs w:val="4"/>
              </w:rPr>
            </w:pPr>
            <w:r>
              <w:rPr>
                <w:sz w:val="4"/>
                <w:szCs w:val="4"/>
              </w:rPr>
            </w:r>
          </w:p>
        </w:tc>
        <w:tc>
          <w:tcPr>
            <w:tcW w:w="129" w:type="dxa"/>
            <w:tcBorders/>
            <w:shd w:fill="auto" w:val="clear"/>
            <w:vAlign w:val="bottom"/>
          </w:tcPr>
          <w:p>
            <w:pPr>
              <w:pStyle w:val="TableContents"/>
              <w:spacing w:before="0" w:after="283"/>
              <w:rPr>
                <w:sz w:val="4"/>
                <w:szCs w:val="4"/>
              </w:rPr>
            </w:pPr>
            <w:r>
              <w:rPr>
                <w:sz w:val="4"/>
                <w:szCs w:val="4"/>
              </w:rPr>
            </w:r>
          </w:p>
        </w:tc>
      </w:tr>
      <w:tr>
        <w:trPr/>
        <w:tc>
          <w:tcPr>
            <w:tcW w:w="4072" w:type="dxa"/>
            <w:tcBorders/>
            <w:shd w:fill="CCEEFF" w:val="clear"/>
          </w:tcPr>
          <w:p>
            <w:pPr>
              <w:pStyle w:val="TableContents"/>
              <w:spacing w:before="0" w:after="283"/>
              <w:rPr>
                <w:rFonts w:ascii="Times New Roman" w:hAnsi="Times New Roman"/>
                <w:sz w:val="20"/>
              </w:rPr>
            </w:pPr>
            <w:r>
              <w:rPr>
                <w:rFonts w:ascii="Times New Roman" w:hAnsi="Times New Roman"/>
                <w:sz w:val="20"/>
              </w:rPr>
              <w:t>United States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81,825</w:t>
            </w:r>
          </w:p>
        </w:tc>
        <w:tc>
          <w:tcPr>
            <w:tcW w:w="12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(958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(1,088</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79,774</w:t>
            </w:r>
          </w:p>
        </w:tc>
        <w:tc>
          <w:tcPr>
            <w:tcW w:w="129" w:type="dxa"/>
            <w:tcBorders/>
            <w:shd w:fill="CCEEFF" w:val="clear"/>
            <w:vAlign w:val="bottom"/>
          </w:tcPr>
          <w:p>
            <w:pPr>
              <w:pStyle w:val="TableContents"/>
              <w:spacing w:before="0" w:after="283"/>
              <w:rPr/>
            </w:pPr>
            <w:r>
              <w:rPr/>
              <w:t>  </w:t>
            </w:r>
          </w:p>
        </w:tc>
      </w:tr>
      <w:tr>
        <w:trPr/>
        <w:tc>
          <w:tcPr>
            <w:tcW w:w="4072" w:type="dxa"/>
            <w:tcBorders/>
            <w:shd w:fill="auto" w:val="clear"/>
          </w:tcPr>
          <w:p>
            <w:pPr>
              <w:pStyle w:val="TableContents"/>
              <w:spacing w:before="0" w:after="283"/>
              <w:rPr>
                <w:rFonts w:ascii="Times New Roman" w:hAnsi="Times New Roman"/>
                <w:sz w:val="20"/>
              </w:rPr>
            </w:pPr>
            <w:r>
              <w:rPr>
                <w:rFonts w:ascii="Times New Roman" w:hAnsi="Times New Roman"/>
                <w:sz w:val="20"/>
              </w:rPr>
              <w:t>Canada</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6,894</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6,894</w:t>
            </w:r>
          </w:p>
        </w:tc>
        <w:tc>
          <w:tcPr>
            <w:tcW w:w="129" w:type="dxa"/>
            <w:tcBorders/>
            <w:shd w:fill="auto" w:val="clear"/>
            <w:vAlign w:val="bottom"/>
          </w:tcPr>
          <w:p>
            <w:pPr>
              <w:pStyle w:val="TableContents"/>
              <w:spacing w:before="0" w:after="283"/>
              <w:rPr/>
            </w:pPr>
            <w:r>
              <w:rPr/>
              <w:t>  </w:t>
            </w:r>
          </w:p>
        </w:tc>
      </w:tr>
      <w:tr>
        <w:trPr/>
        <w:tc>
          <w:tcPr>
            <w:tcW w:w="4072" w:type="dxa"/>
            <w:tcBorders/>
            <w:shd w:fill="CCEEFF" w:val="clear"/>
          </w:tcPr>
          <w:p>
            <w:pPr>
              <w:pStyle w:val="TableContents"/>
              <w:spacing w:before="0" w:after="283"/>
              <w:rPr>
                <w:rFonts w:ascii="Times New Roman" w:hAnsi="Times New Roman"/>
                <w:sz w:val="20"/>
              </w:rPr>
            </w:pPr>
            <w:r>
              <w:rPr>
                <w:rFonts w:ascii="Times New Roman" w:hAnsi="Times New Roman"/>
                <w:sz w:val="20"/>
              </w:rPr>
              <w:t>Brazil</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12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682</w:t>
            </w:r>
          </w:p>
        </w:tc>
        <w:tc>
          <w:tcPr>
            <w:tcW w:w="129" w:type="dxa"/>
            <w:tcBorders/>
            <w:shd w:fill="CCEEFF" w:val="clear"/>
            <w:vAlign w:val="bottom"/>
          </w:tcPr>
          <w:p>
            <w:pPr>
              <w:pStyle w:val="TableContents"/>
              <w:spacing w:before="0" w:after="283"/>
              <w:rPr/>
            </w:pPr>
            <w:r>
              <w:rPr/>
              <w:t>  </w:t>
            </w:r>
          </w:p>
        </w:tc>
      </w:tr>
      <w:tr>
        <w:trPr/>
        <w:tc>
          <w:tcPr>
            <w:tcW w:w="4072" w:type="dxa"/>
            <w:tcBorders/>
            <w:shd w:fill="auto" w:val="clear"/>
          </w:tcPr>
          <w:p>
            <w:pPr>
              <w:pStyle w:val="TableContents"/>
              <w:spacing w:before="0" w:after="283"/>
              <w:rPr>
                <w:rFonts w:ascii="Times New Roman" w:hAnsi="Times New Roman"/>
                <w:sz w:val="20"/>
              </w:rPr>
            </w:pPr>
            <w:r>
              <w:rPr>
                <w:rFonts w:ascii="Times New Roman" w:hAnsi="Times New Roman"/>
                <w:sz w:val="20"/>
              </w:rPr>
              <w:t>China</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1,031</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1,031</w:t>
            </w:r>
          </w:p>
        </w:tc>
        <w:tc>
          <w:tcPr>
            <w:tcW w:w="129" w:type="dxa"/>
            <w:tcBorders/>
            <w:shd w:fill="auto" w:val="clear"/>
            <w:vAlign w:val="bottom"/>
          </w:tcPr>
          <w:p>
            <w:pPr>
              <w:pStyle w:val="TableContents"/>
              <w:spacing w:before="0" w:after="283"/>
              <w:rPr/>
            </w:pPr>
            <w:r>
              <w:rPr/>
              <w:t>  </w:t>
            </w:r>
          </w:p>
        </w:tc>
      </w:tr>
      <w:tr>
        <w:trPr/>
        <w:tc>
          <w:tcPr>
            <w:tcW w:w="4072" w:type="dxa"/>
            <w:tcBorders/>
            <w:shd w:fill="CCEEFF" w:val="clear"/>
          </w:tcPr>
          <w:p>
            <w:pPr>
              <w:pStyle w:val="TableContents"/>
              <w:spacing w:before="0" w:after="283"/>
              <w:rPr>
                <w:rFonts w:ascii="Times New Roman" w:hAnsi="Times New Roman"/>
                <w:sz w:val="20"/>
              </w:rPr>
            </w:pPr>
            <w:r>
              <w:rPr>
                <w:rFonts w:ascii="Times New Roman" w:hAnsi="Times New Roman"/>
                <w:sz w:val="20"/>
              </w:rPr>
              <w:t>India</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w:t>
            </w:r>
          </w:p>
        </w:tc>
        <w:tc>
          <w:tcPr>
            <w:tcW w:w="12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409</w:t>
            </w:r>
          </w:p>
        </w:tc>
        <w:tc>
          <w:tcPr>
            <w:tcW w:w="129" w:type="dxa"/>
            <w:tcBorders/>
            <w:shd w:fill="CCEEFF" w:val="clear"/>
            <w:vAlign w:val="bottom"/>
          </w:tcPr>
          <w:p>
            <w:pPr>
              <w:pStyle w:val="TableContents"/>
              <w:spacing w:before="0" w:after="283"/>
              <w:rPr/>
            </w:pPr>
            <w:r>
              <w:rPr/>
              <w:t>  </w:t>
            </w:r>
          </w:p>
        </w:tc>
      </w:tr>
      <w:tr>
        <w:trPr/>
        <w:tc>
          <w:tcPr>
            <w:tcW w:w="4072"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68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34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rHeight w:val="120" w:hRule="atLeast"/>
        </w:trPr>
        <w:tc>
          <w:tcPr>
            <w:tcW w:w="4072" w:type="dxa"/>
            <w:tcBorders/>
            <w:shd w:fill="auto" w:val="clear"/>
            <w:vAlign w:val="center"/>
          </w:tcPr>
          <w:p>
            <w:pPr>
              <w:pStyle w:val="TableContents"/>
              <w:spacing w:before="0" w:after="283"/>
              <w:rPr>
                <w:sz w:val="4"/>
                <w:szCs w:val="4"/>
              </w:rPr>
            </w:pPr>
            <w:r>
              <w:rPr>
                <w:sz w:val="4"/>
                <w:szCs w:val="4"/>
              </w:rPr>
            </w:r>
          </w:p>
        </w:tc>
        <w:tc>
          <w:tcPr>
            <w:tcW w:w="1156" w:type="dxa"/>
            <w:gridSpan w:val="4"/>
            <w:tcBorders/>
            <w:shd w:fill="auto" w:val="clear"/>
            <w:vAlign w:val="center"/>
          </w:tcPr>
          <w:p>
            <w:pPr>
              <w:pStyle w:val="TableContents"/>
              <w:spacing w:before="0" w:after="283"/>
              <w:rPr>
                <w:sz w:val="4"/>
                <w:szCs w:val="4"/>
              </w:rPr>
            </w:pPr>
            <w:r>
              <w:rPr>
                <w:sz w:val="4"/>
                <w:szCs w:val="4"/>
              </w:rPr>
            </w:r>
          </w:p>
        </w:tc>
        <w:tc>
          <w:tcPr>
            <w:tcW w:w="1167" w:type="dxa"/>
            <w:gridSpan w:val="4"/>
            <w:tcBorders/>
            <w:shd w:fill="auto" w:val="clear"/>
            <w:vAlign w:val="center"/>
          </w:tcPr>
          <w:p>
            <w:pPr>
              <w:pStyle w:val="TableContents"/>
              <w:spacing w:before="0" w:after="283"/>
              <w:rPr>
                <w:sz w:val="4"/>
                <w:szCs w:val="4"/>
              </w:rPr>
            </w:pPr>
            <w:r>
              <w:rPr>
                <w:sz w:val="4"/>
                <w:szCs w:val="4"/>
              </w:rPr>
            </w:r>
          </w:p>
        </w:tc>
        <w:tc>
          <w:tcPr>
            <w:tcW w:w="959" w:type="dxa"/>
            <w:gridSpan w:val="4"/>
            <w:tcBorders/>
            <w:shd w:fill="auto" w:val="clear"/>
            <w:vAlign w:val="center"/>
          </w:tcPr>
          <w:p>
            <w:pPr>
              <w:pStyle w:val="TableContents"/>
              <w:spacing w:before="0" w:after="283"/>
              <w:rPr>
                <w:sz w:val="4"/>
                <w:szCs w:val="4"/>
              </w:rPr>
            </w:pPr>
            <w:r>
              <w:rPr>
                <w:sz w:val="4"/>
                <w:szCs w:val="4"/>
              </w:rPr>
            </w:r>
          </w:p>
        </w:tc>
        <w:tc>
          <w:tcPr>
            <w:tcW w:w="958" w:type="dxa"/>
            <w:gridSpan w:val="4"/>
            <w:tcBorders/>
            <w:shd w:fill="auto" w:val="clear"/>
            <w:vAlign w:val="center"/>
          </w:tcPr>
          <w:p>
            <w:pPr>
              <w:pStyle w:val="TableContents"/>
              <w:spacing w:before="0" w:after="283"/>
              <w:rPr>
                <w:sz w:val="4"/>
                <w:szCs w:val="4"/>
              </w:rPr>
            </w:pPr>
            <w:r>
              <w:rPr>
                <w:sz w:val="4"/>
                <w:szCs w:val="4"/>
              </w:rPr>
            </w:r>
          </w:p>
        </w:tc>
        <w:tc>
          <w:tcPr>
            <w:tcW w:w="769" w:type="dxa"/>
            <w:gridSpan w:val="4"/>
            <w:tcBorders/>
            <w:shd w:fill="auto" w:val="clear"/>
            <w:vAlign w:val="center"/>
          </w:tcPr>
          <w:p>
            <w:pPr>
              <w:pStyle w:val="TableContents"/>
              <w:spacing w:before="0" w:after="283"/>
              <w:rPr>
                <w:sz w:val="4"/>
                <w:szCs w:val="4"/>
              </w:rPr>
            </w:pPr>
            <w:r>
              <w:rPr>
                <w:sz w:val="4"/>
                <w:szCs w:val="4"/>
              </w:rPr>
            </w:r>
          </w:p>
        </w:tc>
        <w:tc>
          <w:tcPr>
            <w:tcW w:w="1124" w:type="dxa"/>
            <w:gridSpan w:val="4"/>
            <w:tcBorders/>
            <w:shd w:fill="auto" w:val="clear"/>
            <w:vAlign w:val="center"/>
          </w:tcPr>
          <w:p>
            <w:pPr>
              <w:pStyle w:val="TableContents"/>
              <w:spacing w:before="0" w:after="283"/>
              <w:rPr>
                <w:sz w:val="4"/>
                <w:szCs w:val="4"/>
              </w:rPr>
            </w:pPr>
            <w:r>
              <w:rPr>
                <w:sz w:val="4"/>
                <w:szCs w:val="4"/>
              </w:rPr>
            </w:r>
          </w:p>
        </w:tc>
      </w:tr>
      <w:tr>
        <w:trPr/>
        <w:tc>
          <w:tcPr>
            <w:tcW w:w="4072" w:type="dxa"/>
            <w:tcBorders/>
            <w:shd w:fill="auto" w:val="clear"/>
          </w:tcPr>
          <w:p>
            <w:pPr>
              <w:pStyle w:val="TableContents"/>
              <w:spacing w:before="0" w:after="283"/>
              <w:rPr>
                <w:rFonts w:ascii="Times New Roman" w:hAnsi="Times New Roman"/>
                <w:sz w:val="20"/>
              </w:rPr>
            </w:pPr>
            <w:r>
              <w:rPr>
                <w:rFonts w:ascii="Times New Roman" w:hAnsi="Times New Roman"/>
                <w:sz w:val="20"/>
              </w:rPr>
              <w:t>subtotal</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90,841</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(958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(1,088</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(5</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88,790</w:t>
            </w:r>
          </w:p>
        </w:tc>
        <w:tc>
          <w:tcPr>
            <w:tcW w:w="129" w:type="dxa"/>
            <w:tcBorders/>
            <w:shd w:fill="auto" w:val="clear"/>
            <w:vAlign w:val="bottom"/>
          </w:tcPr>
          <w:p>
            <w:pPr>
              <w:pStyle w:val="TableContents"/>
              <w:spacing w:before="0" w:after="283"/>
              <w:rPr/>
            </w:pPr>
            <w:r>
              <w:rPr/>
              <w:t>  </w:t>
            </w:r>
          </w:p>
        </w:tc>
      </w:tr>
      <w:tr>
        <w:trPr/>
        <w:tc>
          <w:tcPr>
            <w:tcW w:w="4072" w:type="dxa"/>
            <w:tcBorders/>
            <w:shd w:fill="CCEEFF" w:val="clear"/>
          </w:tcPr>
          <w:p>
            <w:pPr>
              <w:pStyle w:val="TableContents"/>
              <w:spacing w:before="0" w:after="283"/>
              <w:rPr>
                <w:rFonts w:ascii="Times New Roman" w:hAnsi="Times New Roman"/>
                <w:sz w:val="20"/>
              </w:rPr>
            </w:pPr>
            <w:r>
              <w:rPr>
                <w:rFonts w:ascii="Times New Roman" w:hAnsi="Times New Roman"/>
                <w:sz w:val="20"/>
              </w:rPr>
              <w:t>Contracting / Services (C/S)</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41,451</w:t>
            </w:r>
          </w:p>
        </w:tc>
        <w:tc>
          <w:tcPr>
            <w:tcW w:w="12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(1,244</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(4,263</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35,857</w:t>
            </w:r>
          </w:p>
        </w:tc>
        <w:tc>
          <w:tcPr>
            <w:tcW w:w="129" w:type="dxa"/>
            <w:tcBorders/>
            <w:shd w:fill="CCEEFF" w:val="clear"/>
            <w:vAlign w:val="bottom"/>
          </w:tcPr>
          <w:p>
            <w:pPr>
              <w:pStyle w:val="TableContents"/>
              <w:spacing w:before="0" w:after="283"/>
              <w:rPr/>
            </w:pPr>
            <w:r>
              <w:rPr/>
              <w:t>  </w:t>
            </w:r>
          </w:p>
        </w:tc>
      </w:tr>
      <w:tr>
        <w:trPr/>
        <w:tc>
          <w:tcPr>
            <w:tcW w:w="4072" w:type="dxa"/>
            <w:tcBorders/>
            <w:shd w:fill="auto" w:val="clear"/>
          </w:tcPr>
          <w:p>
            <w:pPr>
              <w:pStyle w:val="TableContents"/>
              <w:spacing w:before="0" w:after="283"/>
              <w:rPr>
                <w:rFonts w:ascii="Times New Roman" w:hAnsi="Times New Roman"/>
                <w:sz w:val="20"/>
              </w:rPr>
            </w:pPr>
            <w:r>
              <w:rPr>
                <w:rFonts w:ascii="Times New Roman" w:hAnsi="Times New Roman"/>
                <w:sz w:val="20"/>
              </w:rPr>
              <w:t>Component Parts (CP)</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14,067</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pPr>
            <w:r>
              <w:rPr/>
              <w:t> </w:t>
            </w:r>
          </w:p>
        </w:tc>
        <w:tc>
          <w:tcPr>
            <w:tcW w:w="68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(31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548"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(921</w:t>
            </w:r>
          </w:p>
        </w:tc>
        <w:tc>
          <w:tcPr>
            <w:tcW w:w="125"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auto" w:val="clear"/>
            <w:vAlign w:val="bottom"/>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pPr>
            <w:r>
              <w:rPr/>
              <w:t> </w:t>
            </w:r>
          </w:p>
        </w:tc>
        <w:tc>
          <w:tcPr>
            <w:tcW w:w="709" w:type="dxa"/>
            <w:tcBorders/>
            <w:shd w:fill="auto" w:val="clear"/>
            <w:vAlign w:val="bottom"/>
          </w:tcPr>
          <w:p>
            <w:pPr>
              <w:pStyle w:val="TableContents"/>
              <w:spacing w:before="0" w:after="283"/>
              <w:jc w:val="right"/>
              <w:rPr>
                <w:rFonts w:ascii="Times New Roman" w:hAnsi="Times New Roman"/>
                <w:sz w:val="20"/>
              </w:rPr>
            </w:pPr>
            <w:r>
              <w:rPr>
                <w:rFonts w:ascii="Times New Roman" w:hAnsi="Times New Roman"/>
                <w:sz w:val="20"/>
              </w:rPr>
              <w:t>12,994</w:t>
            </w:r>
          </w:p>
        </w:tc>
        <w:tc>
          <w:tcPr>
            <w:tcW w:w="129" w:type="dxa"/>
            <w:tcBorders/>
            <w:shd w:fill="auto" w:val="clear"/>
            <w:vAlign w:val="bottom"/>
          </w:tcPr>
          <w:p>
            <w:pPr>
              <w:pStyle w:val="TableContents"/>
              <w:spacing w:before="0" w:after="283"/>
              <w:rPr/>
            </w:pPr>
            <w:r>
              <w:rPr/>
              <w:t>  </w:t>
            </w:r>
          </w:p>
        </w:tc>
      </w:tr>
      <w:tr>
        <w:trPr/>
        <w:tc>
          <w:tcPr>
            <w:tcW w:w="4072" w:type="dxa"/>
            <w:tcBorders/>
            <w:shd w:fill="CCEEFF" w:val="clear"/>
          </w:tcPr>
          <w:p>
            <w:pPr>
              <w:pStyle w:val="TableContents"/>
              <w:spacing w:before="0" w:after="283"/>
              <w:rPr>
                <w:rFonts w:ascii="Times New Roman" w:hAnsi="Times New Roman"/>
                <w:sz w:val="20"/>
              </w:rPr>
            </w:pPr>
            <w:r>
              <w:rPr>
                <w:rFonts w:ascii="Times New Roman" w:hAnsi="Times New Roman"/>
                <w:sz w:val="20"/>
              </w:rPr>
              <w:t>Corporate and other (a)</w:t>
            </w:r>
          </w:p>
        </w:tc>
        <w:tc>
          <w:tcPr>
            <w:tcW w:w="202"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1,462</w:t>
            </w:r>
          </w:p>
        </w:tc>
        <w:tc>
          <w:tcPr>
            <w:tcW w:w="120" w:type="dxa"/>
            <w:tcBorders/>
            <w:shd w:fill="CCEEFF" w:val="clear"/>
            <w:vAlign w:val="bottom"/>
          </w:tcPr>
          <w:p>
            <w:pPr>
              <w:pStyle w:val="TableContents"/>
              <w:spacing w:before="0" w:after="283"/>
              <w:rPr/>
            </w:pPr>
            <w:r>
              <w:rPr/>
              <w:t>  </w:t>
            </w:r>
          </w:p>
        </w:tc>
        <w:tc>
          <w:tcPr>
            <w:tcW w:w="202" w:type="dxa"/>
            <w:tcBorders/>
            <w:shd w:fill="CCEEFF" w:val="clear"/>
            <w:vAlign w:val="bottom"/>
          </w:tcPr>
          <w:p>
            <w:pPr>
              <w:pStyle w:val="TableContents"/>
              <w:spacing w:before="0" w:after="283"/>
              <w:rPr/>
            </w:pPr>
            <w:r>
              <w:rPr/>
              <w:t>  </w:t>
            </w:r>
          </w:p>
        </w:tc>
        <w:tc>
          <w:tcPr>
            <w:tcW w:w="152" w:type="dxa"/>
            <w:tcBorders/>
            <w:shd w:fill="CCEEFF" w:val="clear"/>
            <w:vAlign w:val="bottom"/>
          </w:tcPr>
          <w:p>
            <w:pPr>
              <w:pStyle w:val="TableContents"/>
              <w:spacing w:before="0" w:after="283"/>
              <w:rPr/>
            </w:pPr>
            <w:r>
              <w:rPr/>
              <w:t> </w:t>
            </w:r>
          </w:p>
        </w:tc>
        <w:tc>
          <w:tcPr>
            <w:tcW w:w="6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  </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0"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54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(191</w:t>
            </w:r>
          </w:p>
        </w:tc>
        <w:tc>
          <w:tcPr>
            <w:tcW w:w="125"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 </w:t>
            </w:r>
          </w:p>
        </w:tc>
        <w:tc>
          <w:tcPr>
            <w:tcW w:w="161" w:type="dxa"/>
            <w:tcBorders/>
            <w:shd w:fill="CCEEFF" w:val="clear"/>
            <w:vAlign w:val="bottom"/>
          </w:tcPr>
          <w:p>
            <w:pPr>
              <w:pStyle w:val="TableContents"/>
              <w:spacing w:before="0" w:after="283"/>
              <w:rPr/>
            </w:pPr>
            <w:r>
              <w:rPr/>
              <w:t> </w:t>
            </w:r>
          </w:p>
        </w:tc>
        <w:tc>
          <w:tcPr>
            <w:tcW w:w="141" w:type="dxa"/>
            <w:tcBorders/>
            <w:shd w:fill="CCEEFF" w:val="clear"/>
            <w:vAlign w:val="bottom"/>
          </w:tcPr>
          <w:p>
            <w:pPr>
              <w:pStyle w:val="TableContents"/>
              <w:spacing w:before="0" w:after="283"/>
              <w:rPr/>
            </w:pPr>
            <w:r>
              <w:rPr/>
              <w:t> </w:t>
            </w:r>
          </w:p>
        </w:tc>
        <w:tc>
          <w:tcPr>
            <w:tcW w:w="3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w:t>
            </w:r>
          </w:p>
        </w:tc>
        <w:tc>
          <w:tcPr>
            <w:tcW w:w="125" w:type="dxa"/>
            <w:tcBorders/>
            <w:shd w:fill="CCEEFF" w:val="clear"/>
            <w:vAlign w:val="bottom"/>
          </w:tcPr>
          <w:p>
            <w:pPr>
              <w:pStyle w:val="TableContents"/>
              <w:spacing w:before="0" w:after="283"/>
              <w:rPr/>
            </w:pPr>
            <w:r>
              <w:rPr/>
              <w:t>  </w:t>
            </w:r>
          </w:p>
        </w:tc>
        <w:tc>
          <w:tcPr>
            <w:tcW w:w="161"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rPr/>
            </w:pPr>
            <w:r>
              <w:rPr/>
              <w:t> </w:t>
            </w:r>
          </w:p>
        </w:tc>
        <w:tc>
          <w:tcPr>
            <w:tcW w:w="70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1,344</w:t>
            </w:r>
          </w:p>
        </w:tc>
        <w:tc>
          <w:tcPr>
            <w:tcW w:w="129" w:type="dxa"/>
            <w:tcBorders/>
            <w:shd w:fill="CCEEFF" w:val="clear"/>
            <w:vAlign w:val="bottom"/>
          </w:tcPr>
          <w:p>
            <w:pPr>
              <w:pStyle w:val="TableContents"/>
              <w:spacing w:before="0" w:after="283"/>
              <w:rPr/>
            </w:pPr>
            <w:r>
              <w:rPr/>
              <w:t>  </w:t>
            </w:r>
          </w:p>
        </w:tc>
      </w:tr>
      <w:tr>
        <w:trPr/>
        <w:tc>
          <w:tcPr>
            <w:tcW w:w="4072"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single" w:sz="2" w:space="1" w:color="000000"/>
              </w:pBdr>
              <w:spacing w:before="0" w:after="283"/>
              <w:rPr/>
            </w:pPr>
            <w:r>
              <w:rPr/>
              <w:t> </w:t>
            </w:r>
          </w:p>
        </w:tc>
        <w:tc>
          <w:tcPr>
            <w:tcW w:w="68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548"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single" w:sz="2" w:space="1" w:color="000000"/>
              </w:pBdr>
              <w:spacing w:before="0" w:after="283"/>
              <w:rPr/>
            </w:pPr>
            <w:r>
              <w:rPr/>
              <w:t> </w:t>
            </w:r>
          </w:p>
        </w:tc>
        <w:tc>
          <w:tcPr>
            <w:tcW w:w="342" w:type="dxa"/>
            <w:tcBorders/>
            <w:shd w:fill="auto" w:val="clear"/>
            <w:vAlign w:val="bottom"/>
          </w:tcPr>
          <w:p>
            <w:pPr>
              <w:pStyle w:val="TableContents"/>
              <w:pBdr>
                <w:top w:val="single" w:sz="2"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single" w:sz="2" w:space="1" w:color="000000"/>
              </w:pBdr>
              <w:spacing w:before="0" w:after="283"/>
              <w:rPr/>
            </w:pPr>
            <w:r>
              <w:rPr/>
              <w:t> </w:t>
            </w:r>
          </w:p>
        </w:tc>
        <w:tc>
          <w:tcPr>
            <w:tcW w:w="709" w:type="dxa"/>
            <w:tcBorders/>
            <w:shd w:fill="auto" w:val="clear"/>
            <w:vAlign w:val="bottom"/>
          </w:tcPr>
          <w:p>
            <w:pPr>
              <w:pStyle w:val="TableContents"/>
              <w:pBdr>
                <w:top w:val="single" w:sz="2"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r>
        <w:trPr/>
        <w:tc>
          <w:tcPr>
            <w:tcW w:w="4072" w:type="dxa"/>
            <w:tcBorders/>
            <w:shd w:fill="auto" w:val="clear"/>
          </w:tcPr>
          <w:p>
            <w:pPr>
              <w:pStyle w:val="TableContents"/>
              <w:spacing w:before="0" w:after="283"/>
              <w:rPr>
                <w:rFonts w:ascii="Times New Roman" w:hAnsi="Times New Roman"/>
                <w:b/>
                <w:sz w:val="20"/>
              </w:rPr>
            </w:pPr>
            <w:r>
              <w:rPr>
                <w:rFonts w:ascii="Times New Roman" w:hAnsi="Times New Roman"/>
                <w:b/>
                <w:sz w:val="20"/>
              </w:rPr>
              <w:t>Net sales</w:t>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0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147,821</w:t>
            </w:r>
          </w:p>
        </w:tc>
        <w:tc>
          <w:tcPr>
            <w:tcW w:w="120" w:type="dxa"/>
            <w:tcBorders/>
            <w:shd w:fill="auto" w:val="clear"/>
            <w:vAlign w:val="bottom"/>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68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(2,233</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54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(4,401</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548"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(2,200</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1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342"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(2</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spacing w:before="0" w:after="283"/>
              <w:rPr>
                <w:rFonts w:ascii="Times New Roman" w:hAnsi="Times New Roman"/>
                <w:b/>
                <w:sz w:val="20"/>
              </w:rPr>
            </w:pPr>
            <w:r>
              <w:rPr>
                <w:rFonts w:ascii="Times New Roman" w:hAnsi="Times New Roman"/>
                <w:b/>
                <w:sz w:val="20"/>
              </w:rPr>
              <w:t>$</w:t>
            </w:r>
          </w:p>
        </w:tc>
        <w:tc>
          <w:tcPr>
            <w:tcW w:w="709" w:type="dxa"/>
            <w:tcBorders/>
            <w:shd w:fill="auto" w:val="clear"/>
            <w:vAlign w:val="bottom"/>
          </w:tcPr>
          <w:p>
            <w:pPr>
              <w:pStyle w:val="TableContents"/>
              <w:spacing w:before="0" w:after="283"/>
              <w:jc w:val="right"/>
              <w:rPr>
                <w:rFonts w:ascii="Times New Roman" w:hAnsi="Times New Roman"/>
                <w:b/>
                <w:sz w:val="20"/>
              </w:rPr>
            </w:pPr>
            <w:r>
              <w:rPr>
                <w:rFonts w:ascii="Times New Roman" w:hAnsi="Times New Roman"/>
                <w:b/>
                <w:sz w:val="20"/>
              </w:rPr>
              <w:t>138,985</w:t>
            </w:r>
          </w:p>
        </w:tc>
        <w:tc>
          <w:tcPr>
            <w:tcW w:w="129" w:type="dxa"/>
            <w:tcBorders/>
            <w:shd w:fill="auto" w:val="clear"/>
            <w:vAlign w:val="bottom"/>
          </w:tcPr>
          <w:p>
            <w:pPr>
              <w:pStyle w:val="TableContents"/>
              <w:spacing w:before="0" w:after="283"/>
              <w:rPr/>
            </w:pPr>
            <w:r>
              <w:rPr/>
              <w:t>  </w:t>
            </w:r>
          </w:p>
        </w:tc>
      </w:tr>
      <w:tr>
        <w:trPr/>
        <w:tc>
          <w:tcPr>
            <w:tcW w:w="4072" w:type="dxa"/>
            <w:tcBorders/>
            <w:shd w:fill="auto" w:val="clear"/>
            <w:vAlign w:val="bottom"/>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9" w:type="dxa"/>
            <w:tcBorders/>
            <w:shd w:fill="auto" w:val="clear"/>
            <w:vAlign w:val="bottom"/>
          </w:tcPr>
          <w:p>
            <w:pPr>
              <w:pStyle w:val="TableContents"/>
              <w:pBdr>
                <w:top w:val="double" w:sz="6" w:space="1" w:color="000000"/>
              </w:pBdr>
              <w:spacing w:before="0" w:after="283"/>
              <w:rPr/>
            </w:pPr>
            <w:r>
              <w:rPr/>
              <w:t> </w:t>
            </w:r>
          </w:p>
        </w:tc>
        <w:tc>
          <w:tcPr>
            <w:tcW w:w="120" w:type="dxa"/>
            <w:tcBorders/>
            <w:shd w:fill="auto" w:val="clear"/>
            <w:vAlign w:val="center"/>
          </w:tcPr>
          <w:p>
            <w:pPr>
              <w:pStyle w:val="TableContents"/>
              <w:spacing w:before="0" w:after="283"/>
              <w:rPr/>
            </w:pPr>
            <w:r>
              <w:rPr/>
              <w:t> </w:t>
            </w:r>
          </w:p>
        </w:tc>
        <w:tc>
          <w:tcPr>
            <w:tcW w:w="202" w:type="dxa"/>
            <w:tcBorders/>
            <w:shd w:fill="auto" w:val="clear"/>
            <w:vAlign w:val="bottom"/>
          </w:tcPr>
          <w:p>
            <w:pPr>
              <w:pStyle w:val="TableContents"/>
              <w:spacing w:before="0" w:after="283"/>
              <w:rPr/>
            </w:pPr>
            <w:r>
              <w:rPr/>
              <w:t>  </w:t>
            </w:r>
          </w:p>
        </w:tc>
        <w:tc>
          <w:tcPr>
            <w:tcW w:w="152" w:type="dxa"/>
            <w:tcBorders/>
            <w:shd w:fill="auto" w:val="clear"/>
            <w:vAlign w:val="bottom"/>
          </w:tcPr>
          <w:p>
            <w:pPr>
              <w:pStyle w:val="TableContents"/>
              <w:pBdr>
                <w:top w:val="double" w:sz="6" w:space="1" w:color="000000"/>
              </w:pBdr>
              <w:spacing w:before="0" w:after="283"/>
              <w:rPr/>
            </w:pPr>
            <w:r>
              <w:rPr/>
              <w:t> </w:t>
            </w:r>
          </w:p>
        </w:tc>
        <w:tc>
          <w:tcPr>
            <w:tcW w:w="68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4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0"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548"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41" w:type="dxa"/>
            <w:tcBorders/>
            <w:shd w:fill="auto" w:val="clear"/>
            <w:vAlign w:val="bottom"/>
          </w:tcPr>
          <w:p>
            <w:pPr>
              <w:pStyle w:val="TableContents"/>
              <w:pBdr>
                <w:top w:val="double" w:sz="6" w:space="1" w:color="000000"/>
              </w:pBdr>
              <w:spacing w:before="0" w:after="283"/>
              <w:rPr/>
            </w:pPr>
            <w:r>
              <w:rPr/>
              <w:t> </w:t>
            </w:r>
          </w:p>
        </w:tc>
        <w:tc>
          <w:tcPr>
            <w:tcW w:w="342" w:type="dxa"/>
            <w:tcBorders/>
            <w:shd w:fill="auto" w:val="clear"/>
            <w:vAlign w:val="bottom"/>
          </w:tcPr>
          <w:p>
            <w:pPr>
              <w:pStyle w:val="TableContents"/>
              <w:pBdr>
                <w:top w:val="double" w:sz="6" w:space="1" w:color="000000"/>
              </w:pBdr>
              <w:spacing w:before="0" w:after="283"/>
              <w:rPr/>
            </w:pPr>
            <w:r>
              <w:rPr/>
              <w:t> </w:t>
            </w:r>
          </w:p>
        </w:tc>
        <w:tc>
          <w:tcPr>
            <w:tcW w:w="125" w:type="dxa"/>
            <w:tcBorders/>
            <w:shd w:fill="auto" w:val="clear"/>
            <w:vAlign w:val="center"/>
          </w:tcPr>
          <w:p>
            <w:pPr>
              <w:pStyle w:val="TableContents"/>
              <w:spacing w:before="0" w:after="283"/>
              <w:rPr/>
            </w:pPr>
            <w:r>
              <w:rPr/>
              <w:t> </w:t>
            </w:r>
          </w:p>
        </w:tc>
        <w:tc>
          <w:tcPr>
            <w:tcW w:w="161" w:type="dxa"/>
            <w:tcBorders/>
            <w:shd w:fill="auto" w:val="clear"/>
            <w:vAlign w:val="bottom"/>
          </w:tcPr>
          <w:p>
            <w:pPr>
              <w:pStyle w:val="TableContents"/>
              <w:spacing w:before="0" w:after="283"/>
              <w:rPr/>
            </w:pPr>
            <w:r>
              <w:rPr/>
              <w:t> </w:t>
            </w:r>
          </w:p>
        </w:tc>
        <w:tc>
          <w:tcPr>
            <w:tcW w:w="125" w:type="dxa"/>
            <w:tcBorders/>
            <w:shd w:fill="auto" w:val="clear"/>
            <w:vAlign w:val="bottom"/>
          </w:tcPr>
          <w:p>
            <w:pPr>
              <w:pStyle w:val="TableContents"/>
              <w:pBdr>
                <w:top w:val="double" w:sz="6" w:space="1" w:color="000000"/>
              </w:pBdr>
              <w:spacing w:before="0" w:after="283"/>
              <w:rPr/>
            </w:pPr>
            <w:r>
              <w:rPr/>
              <w:t> </w:t>
            </w:r>
          </w:p>
        </w:tc>
        <w:tc>
          <w:tcPr>
            <w:tcW w:w="709" w:type="dxa"/>
            <w:tcBorders/>
            <w:shd w:fill="auto" w:val="clear"/>
            <w:vAlign w:val="bottom"/>
          </w:tcPr>
          <w:p>
            <w:pPr>
              <w:pStyle w:val="TableContents"/>
              <w:pBdr>
                <w:top w:val="double" w:sz="6" w:space="1" w:color="000000"/>
              </w:pBdr>
              <w:spacing w:before="0" w:after="283"/>
              <w:rPr/>
            </w:pPr>
            <w:r>
              <w:rPr/>
              <w:t> </w:t>
            </w:r>
          </w:p>
        </w:tc>
        <w:tc>
          <w:tcPr>
            <w:tcW w:w="129" w:type="dxa"/>
            <w:tcBorders/>
            <w:shd w:fill="auto" w:val="clear"/>
            <w:vAlign w:val="center"/>
          </w:tcPr>
          <w:p>
            <w:pPr>
              <w:pStyle w:val="TableContents"/>
              <w:spacing w:before="0" w:after="283"/>
              <w:rPr/>
            </w:pPr>
            <w:r>
              <w:rPr/>
              <w: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(a)</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Includes the operations of our Engineering Group, which is not significant to the overall operations of the Company. </w:t>
            </w:r>
          </w:p>
        </w:tc>
      </w:tr>
    </w:tbl>
    <w:p>
      <w:pPr>
        <w:pStyle w:val="TextBody"/>
        <w:spacing w:before="90" w:after="0"/>
        <w:rPr>
          <w:rFonts w:ascii="Times New Roman" w:hAnsi="Times New Roman"/>
          <w:sz w:val="20"/>
        </w:rPr>
      </w:pPr>
      <w:r>
        <w:rPr>
          <w:rFonts w:ascii="Times New Roman" w:hAnsi="Times New Roman"/>
          <w:sz w:val="20"/>
        </w:rPr>
        <w:t xml:space="preserve">Also includes adjustment for revenue on intercompany jobs.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rPr/>
      </w:pPr>
      <w:r>
        <w:rPr/>
      </w:r>
    </w:p>
    <w:p>
      <w:pPr>
        <w:pStyle w:val="TextBody"/>
        <w:spacing w:before="0" w:after="0"/>
        <w:rPr>
          <w:rFonts w:ascii="Times New Roman" w:hAnsi="Times New Roman"/>
          <w:sz w:val="20"/>
          <w:u w:val="single"/>
        </w:rPr>
      </w:pPr>
      <w:r>
        <w:rPr>
          <w:rFonts w:ascii="Times New Roman" w:hAnsi="Times New Roman"/>
          <w:sz w:val="20"/>
          <w:u w:val="single"/>
        </w:rPr>
        <w:t xml:space="preserve">Form 10-Q for the Fiscal Quarter ended March 31, 2011 </w:t>
      </w:r>
    </w:p>
    <w:p>
      <w:pPr>
        <w:pStyle w:val="TextBody"/>
        <w:spacing w:before="90" w:after="0"/>
        <w:rPr>
          <w:rFonts w:ascii="Times New Roman" w:hAnsi="Times New Roman"/>
          <w:sz w:val="20"/>
          <w:u w:val="single"/>
        </w:rPr>
      </w:pPr>
      <w:r>
        <w:rPr>
          <w:rFonts w:ascii="Times New Roman" w:hAnsi="Times New Roman"/>
          <w:sz w:val="20"/>
          <w:u w:val="single"/>
        </w:rPr>
        <w:t xml:space="preserve">General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6.</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Comment:</w:t>
            </w:r>
            <w:r>
              <w:rPr>
                <w:rFonts w:ascii="Times New Roman" w:hAnsi="Times New Roman"/>
                <w:sz w:val="20"/>
              </w:rPr>
              <w:t xml:space="preserve"> </w:t>
            </w:r>
            <w:r>
              <w:rPr>
                <w:rFonts w:ascii="Times New Roman" w:hAnsi="Times New Roman"/>
                <w:i/>
                <w:sz w:val="20"/>
              </w:rPr>
              <w:t>Please address the above comments in your interim filings as well, as applicable.</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b/>
          <w:sz w:val="20"/>
        </w:rPr>
        <w:t xml:space="preserve">Response: </w:t>
      </w:r>
      <w:r>
        <w:rPr>
          <w:rFonts w:ascii="Times New Roman" w:hAnsi="Times New Roman"/>
          <w:sz w:val="20"/>
        </w:rPr>
        <w:t xml:space="preserve">We confirm that we will address such comments in our interim filings. </w:t>
      </w:r>
    </w:p>
    <w:p>
      <w:pPr>
        <w:pStyle w:val="TextBody"/>
        <w:spacing w:before="270" w:after="0"/>
        <w:rPr>
          <w:rFonts w:ascii="Times New Roman" w:hAnsi="Times New Roman"/>
          <w:sz w:val="20"/>
          <w:u w:val="single"/>
        </w:rPr>
      </w:pPr>
      <w:r>
        <w:rPr>
          <w:rFonts w:ascii="Times New Roman" w:hAnsi="Times New Roman"/>
          <w:sz w:val="20"/>
          <w:u w:val="single"/>
        </w:rPr>
        <w:t xml:space="preserve">Condensed Consolidated Balance Sheets, page 2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7.</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Comment:</w:t>
            </w:r>
            <w:r>
              <w:rPr>
                <w:rFonts w:ascii="Times New Roman" w:hAnsi="Times New Roman"/>
                <w:sz w:val="20"/>
              </w:rPr>
              <w:t xml:space="preserve"> </w:t>
            </w:r>
            <w:r>
              <w:rPr>
                <w:rFonts w:ascii="Times New Roman" w:hAnsi="Times New Roman"/>
                <w:i/>
                <w:sz w:val="20"/>
              </w:rPr>
              <w:t>The column heading of your March 31, 2011 balance sheet indicates that these amounts are unaudited, which implies that your December 31, 2010 balance sheet includes amounts that are audited. Since none of the amounts are covered by an audit report when they are presented in your interim financial statements for the period ended March 31, 2011, you should not imply that the December 31, 2010 balance sheet amounts are audited. Please revise in future filings to refer to both the December 31, 2010 and March 31, 2011 balance sheets as being unaudited.</w:t>
            </w:r>
            <w:r>
              <w:rPr>
                <w:rFonts w:ascii="Times New Roman" w:hAnsi="Times New Roman"/>
                <w:sz w:val="20"/>
              </w:rPr>
              <w:t xml:space="preserve"> </w:t>
            </w:r>
          </w:p>
        </w:tc>
      </w:tr>
    </w:tbl>
    <w:p>
      <w:pPr>
        <w:pStyle w:val="TextBody"/>
        <w:spacing w:before="90" w:after="0"/>
        <w:rPr>
          <w:rFonts w:ascii="Times New Roman" w:hAnsi="Times New Roman"/>
          <w:sz w:val="20"/>
        </w:rPr>
      </w:pPr>
      <w:r>
        <w:rPr>
          <w:rFonts w:ascii="Times New Roman" w:hAnsi="Times New Roman"/>
          <w:b/>
          <w:sz w:val="20"/>
        </w:rPr>
        <w:t xml:space="preserve">Response: </w:t>
      </w:r>
      <w:r>
        <w:rPr>
          <w:rFonts w:ascii="Times New Roman" w:hAnsi="Times New Roman"/>
          <w:sz w:val="20"/>
        </w:rPr>
        <w:t xml:space="preserve">We will revise future filings to refer to both the December 31, 2010 and March 31, 2011 (and such other quarter-end dates in our future Quarterly Reports on Form 10-Q) balance sheets, as being unaudited. Please see page 2 of the Second Quarter Form 10-Q. </w:t>
      </w:r>
    </w:p>
    <w:p>
      <w:pPr>
        <w:pStyle w:val="TextBody"/>
        <w:spacing w:before="90" w:after="0"/>
        <w:rPr>
          <w:rFonts w:ascii="Times New Roman" w:hAnsi="Times New Roman"/>
          <w:sz w:val="20"/>
        </w:rPr>
      </w:pPr>
      <w:r>
        <w:rPr>
          <w:rFonts w:ascii="Times New Roman" w:hAnsi="Times New Roman"/>
          <w:sz w:val="20"/>
        </w:rPr>
        <w:t xml:space="preserve">We acknowledge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2"/>
        <w:gridCol w:w="9798"/>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is responsible for the adequacy and accuracy of the disclosure in the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Staff comments or changes to disclosure in response to Staff comments do not foreclose the Commission from taking any action with respect to the filing; and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305"/>
        <w:gridCol w:w="101"/>
        <w:gridCol w:w="9799"/>
      </w:tblGrid>
      <w:tr>
        <w:trPr/>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1" w:type="dxa"/>
            <w:tcBorders/>
            <w:shd w:fill="auto" w:val="clear"/>
          </w:tcPr>
          <w:p>
            <w:pPr>
              <w:pStyle w:val="TableContents"/>
              <w:spacing w:before="0" w:after="283"/>
              <w:rPr/>
            </w:pPr>
            <w:r>
              <w:rPr/>
              <w:t> </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may not assert Staff comments as a defense in any proceeding initiated by the Commission or any person under the federal securities laws of the United States. </w:t>
            </w:r>
          </w:p>
        </w:tc>
      </w:tr>
    </w:tbl>
    <w:p>
      <w:pPr>
        <w:pStyle w:val="TextBody"/>
        <w:spacing w:before="180" w:after="0"/>
        <w:rPr>
          <w:rFonts w:ascii="Times New Roman" w:hAnsi="Times New Roman"/>
          <w:sz w:val="20"/>
        </w:rPr>
      </w:pPr>
      <w:r>
        <w:rPr>
          <w:rFonts w:ascii="Times New Roman" w:hAnsi="Times New Roman"/>
          <w:sz w:val="20"/>
        </w:rPr>
        <w:t xml:space="preserve">If you have any questions or comments concerning the matters discussed above, please call me at (513) 458-2600. </w:t>
      </w:r>
    </w:p>
    <w:p>
      <w:pPr>
        <w:pStyle w:val="TextBody"/>
        <w:spacing w:before="0" w:after="0"/>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Very truly yours,</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CECO Environmental Corp.</w:t>
            </w:r>
          </w:p>
        </w:tc>
      </w:tr>
      <w:tr>
        <w:trPr>
          <w:trHeight w:val="240" w:hRule="atLeast"/>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/s/ 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Chief Financial Officer and</w:t>
            </w:r>
          </w:p>
        </w:tc>
      </w:tr>
      <w:tr>
        <w:trPr/>
        <w:tc>
          <w:tcPr>
            <w:tcW w:w="4082" w:type="dxa"/>
            <w:tcBorders/>
            <w:shd w:fill="auto" w:val="clear"/>
          </w:tcPr>
          <w:p>
            <w:pPr>
              <w:pStyle w:val="TableContents"/>
              <w:spacing w:before="0" w:after="283"/>
              <w:rPr>
                <w:rFonts w:ascii="Times New Roman" w:hAnsi="Times New Roman"/>
                <w:sz w:val="20"/>
              </w:rPr>
            </w:pPr>
            <w:r>
              <w:rPr>
                <w:rFonts w:ascii="Times New Roman" w:hAnsi="Times New Roman"/>
                <w:sz w:val="20"/>
              </w:rPr>
              <w:t>Vice President  Finance and Administration</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cc:</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Jay Ingram, Legal Branch Chief </w:t>
            </w:r>
          </w:p>
        </w:tc>
      </w:tr>
    </w:tbl>
    <w:p>
      <w:pPr>
        <w:pStyle w:val="TextBody"/>
        <w:spacing w:before="0" w:after="0"/>
        <w:rPr>
          <w:rFonts w:ascii="Times New Roman" w:hAnsi="Times New Roman"/>
          <w:sz w:val="20"/>
        </w:rPr>
      </w:pPr>
      <w:r>
        <w:rPr>
          <w:rFonts w:ascii="Times New Roman" w:hAnsi="Times New Roman"/>
          <w:sz w:val="20"/>
        </w:rPr>
        <w:t xml:space="preserve">Jessica Dickerson, Staff Attorney </w:t>
      </w:r>
    </w:p>
    <w:p>
      <w:pPr>
        <w:pStyle w:val="TextBody"/>
        <w:spacing w:before="0" w:after="0"/>
        <w:rPr>
          <w:rFonts w:ascii="Times New Roman" w:hAnsi="Times New Roman"/>
          <w:sz w:val="20"/>
        </w:rPr>
      </w:pPr>
      <w:r>
        <w:rPr>
          <w:rFonts w:ascii="Times New Roman" w:hAnsi="Times New Roman"/>
          <w:sz w:val="20"/>
        </w:rPr>
        <w:t xml:space="preserve">Jeffrey Gordon, Staff Accountant </w:t>
      </w:r>
    </w:p>
    <w:p>
      <w:pPr>
        <w:pStyle w:val="TextBody"/>
        <w:spacing w:before="0" w:after="0"/>
        <w:rPr/>
      </w:pPr>
      <w:r>
        <w:rPr/>
        <w:t> </w:t>
      </w:r>
    </w:p>
    <w:p>
      <w:pPr>
        <w:pStyle w:val="TextBody"/>
        <w:spacing w:before="0" w:after="0"/>
        <w:jc w:val="center"/>
        <w:rPr>
          <w:rFonts w:ascii="Times New Roman" w:hAnsi="Times New Roman"/>
          <w:sz w:val="20"/>
        </w:rPr>
      </w:pPr>
      <w:r>
        <w:rPr>
          <w:rFonts w:ascii="Times New Roman" w:hAnsi="Times New Roman"/>
          <w:sz w:val="20"/>
        </w:rPr>
        <w:t xml:space="preserve">9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9</Pages>
  <Words>3263</Words>
  <CharactersWithSpaces>21624</CharactersWithSpaces>
  <Paragraphs>1638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Correspondence</dc:title>
</cp:coreProperties>
</file>