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q.htm"/>
        <w:bookmarkStart w:id="1" w:name="ksd10q"/>
        <w:bookmarkEnd w:id="0"/>
        <w:bookmarkEnd w:id="1"/>
        <w:r>
          <w:rPr>
            <w:rStyle w:val="InternetLink"/>
          </w:rPr>
          <w:t>Table of Contents</w:t>
        </w:r>
      </w:hyperlink>
    </w:p>
    <w:p>
      <w:pPr>
        <w:pStyle w:val="HorizontalLine"/>
        <w:pBdr>
          <w:bottom w:val="single" w:sz="18" w:space="0" w:color="000000"/>
        </w:pBdr>
        <w:rPr/>
      </w:pPr>
      <w:r>
        <w:rPr/>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FORM 10-Q </w:t>
      </w:r>
    </w:p>
    <w:p>
      <w:pPr>
        <w:pStyle w:val="TextBody"/>
        <w:spacing w:before="0" w:after="0"/>
        <w:rPr/>
      </w:pPr>
      <w:r>
        <w:rPr/>
        <w:t> </w:t>
      </w:r>
    </w:p>
    <w:p>
      <w:pPr>
        <w:pStyle w:val="TextBody"/>
        <w:spacing w:before="0" w:after="0"/>
        <w:rPr>
          <w:rFonts w:ascii="Times New Roman" w:hAnsi="Times New Roman"/>
          <w:sz w:val="24"/>
        </w:rPr>
      </w:pPr>
      <w:r>
        <w:rPr>
          <w:rFonts w:ascii="Times New Roman" w:hAnsi="Times New Roman"/>
          <w:sz w:val="24"/>
        </w:rPr>
        <w:t xml:space="preserve">QUARTERLY REPORT UNDER SECTION 13 OR 15(d) OF THE SECURITIES EXCHANGE ACT OF 1934 FOR THE QUARTERLY PERIOD ENDED JUNE 30, 2003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Commission File No. 0-7099 </w:t>
      </w:r>
    </w:p>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CECO ENVIRONMENTAL CORP. </w:t>
      </w:r>
    </w:p>
    <w:p>
      <w:pPr>
        <w:pStyle w:val="TextBody"/>
        <w:spacing w:before="0" w:after="0"/>
        <w:jc w:val="center"/>
        <w:rPr>
          <w:rFonts w:ascii="Times New Roman" w:hAnsi="Times New Roman"/>
          <w:sz w:val="14"/>
        </w:rPr>
      </w:pPr>
      <w:r>
        <w:rPr>
          <w:rFonts w:ascii="Times New Roman" w:hAnsi="Times New Roman"/>
          <w:sz w:val="14"/>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Delaware</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13-2566064</w:t>
            </w:r>
          </w:p>
        </w:tc>
      </w:tr>
      <w:tr>
        <w:trPr/>
        <w:tc>
          <w:tcPr>
            <w:tcW w:w="4948"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(State or other jurisdiction of</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(I.R.S. Employer</w:t>
            </w:r>
          </w:p>
        </w:tc>
      </w:tr>
      <w:tr>
        <w:trPr/>
        <w:tc>
          <w:tcPr>
            <w:tcW w:w="4948"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incorporation or organization)</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Identification No.)</w:t>
            </w:r>
          </w:p>
        </w:tc>
      </w:tr>
    </w:tbl>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3120 Forrer Street, Cincinnati, Ohio 45209 </w:t>
      </w:r>
    </w:p>
    <w:p>
      <w:pPr>
        <w:pStyle w:val="TextBody"/>
        <w:spacing w:before="0" w:after="0"/>
        <w:jc w:val="center"/>
        <w:rPr>
          <w:rFonts w:ascii="Times New Roman" w:hAnsi="Times New Roman"/>
          <w:sz w:val="14"/>
        </w:rPr>
      </w:pPr>
      <w:r>
        <w:rPr>
          <w:rFonts w:ascii="Times New Roman" w:hAnsi="Times New Roman"/>
          <w:sz w:val="14"/>
        </w:rPr>
        <w:t xml:space="preserve">(Address of principal executive offices) (Zip Code) </w:t>
      </w:r>
    </w:p>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513-458-2600 </w:t>
      </w:r>
    </w:p>
    <w:p>
      <w:pPr>
        <w:pStyle w:val="TextBody"/>
        <w:spacing w:before="0" w:after="0"/>
        <w:jc w:val="center"/>
        <w:rPr>
          <w:rFonts w:ascii="Times New Roman" w:hAnsi="Times New Roman"/>
          <w:sz w:val="14"/>
        </w:rPr>
      </w:pPr>
      <w:r>
        <w:rPr>
          <w:rFonts w:ascii="Times New Roman" w:hAnsi="Times New Roman"/>
          <w:sz w:val="14"/>
        </w:rPr>
        <w:t xml:space="preserve">(Registrants telephone number, including area code)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p>
    <w:p>
      <w:pPr>
        <w:pStyle w:val="TextBody"/>
        <w:spacing w:before="0" w:after="0"/>
        <w:rPr/>
      </w:pPr>
      <w:r>
        <w:rPr/>
        <w:t> </w:t>
      </w:r>
    </w:p>
    <w:p>
      <w:pPr>
        <w:pStyle w:val="TextBody"/>
        <w:spacing w:before="0" w:after="0"/>
        <w:rPr/>
      </w:pPr>
      <w:r>
        <w:rPr/>
        <w:t>☒  </w:t>
      </w:r>
      <w:r>
        <w:rPr>
          <w:rFonts w:ascii="Times New Roman" w:hAnsi="Times New Roman"/>
          <w:sz w:val="20"/>
        </w:rPr>
        <w:t>Yes    </w:t>
      </w:r>
      <w:r>
        <w:rPr>
          <w:color w:val="000000"/>
        </w:rPr>
        <w:t>☐</w:t>
      </w:r>
      <w:r>
        <w:rPr/>
        <w:t>  </w:t>
      </w:r>
      <w:r>
        <w:rPr>
          <w:rFonts w:ascii="Times New Roman" w:hAnsi="Times New Roman"/>
          <w:sz w:val="20"/>
        </w:rPr>
        <w:t xml:space="preserve">No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Indicate the number of shares outstanding of each of the issuers classes of common stock as of latest practical date.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Class: Common, par value $.01 per share outstanding at August 6, 20039,978,835 </w:t>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QUARTERLY REPORT UNDER SECTION 13 OR 15(d) </w:t>
      </w:r>
    </w:p>
    <w:p>
      <w:pPr>
        <w:pStyle w:val="TextBody"/>
        <w:spacing w:before="0" w:after="0"/>
        <w:jc w:val="center"/>
        <w:rPr>
          <w:rFonts w:ascii="Times New Roman" w:hAnsi="Times New Roman"/>
          <w:sz w:val="20"/>
        </w:rPr>
      </w:pPr>
      <w:r>
        <w:rPr>
          <w:rFonts w:ascii="Times New Roman" w:hAnsi="Times New Roman"/>
          <w:sz w:val="20"/>
        </w:rPr>
        <w:t xml:space="preserve">OF THE SECURITIES EXCHANGE ACT OF 1934 </w:t>
      </w:r>
    </w:p>
    <w:p>
      <w:pPr>
        <w:pStyle w:val="TextBody"/>
        <w:spacing w:before="0" w:after="0"/>
        <w:jc w:val="center"/>
        <w:rPr>
          <w:rFonts w:ascii="Times New Roman" w:hAnsi="Times New Roman"/>
          <w:sz w:val="20"/>
        </w:rPr>
      </w:pPr>
      <w:r>
        <w:rPr>
          <w:rFonts w:ascii="Times New Roman" w:hAnsi="Times New Roman"/>
          <w:sz w:val="20"/>
        </w:rPr>
        <w:t xml:space="preserve">JUNE 30, 2003 </w:t>
      </w:r>
    </w:p>
    <w:p>
      <w:pPr>
        <w:pStyle w:val="HorizontalLine"/>
        <w:pBdr>
          <w:bottom w:val="single" w:sz="6" w:space="0" w:color="000000"/>
        </w:pBdr>
        <w:rPr/>
      </w:pPr>
      <w:r>
        <w:rPr/>
      </w:r>
    </w:p>
    <w:p>
      <w:pPr>
        <w:pStyle w:val="TextBody"/>
        <w:spacing w:before="0" w:after="0"/>
        <w:rPr/>
      </w:pPr>
      <w:r>
        <w:rPr/>
        <w:t> </w:t>
      </w:r>
    </w:p>
    <w:p>
      <w:pPr>
        <w:pStyle w:val="TextBody"/>
        <w:spacing w:before="0" w:after="0"/>
        <w:jc w:val="center"/>
        <w:rPr>
          <w:rFonts w:ascii="Times New Roman" w:hAnsi="Times New Roman"/>
          <w:sz w:val="20"/>
        </w:rPr>
      </w:pPr>
      <w:bookmarkStart w:id="2" w:name="toc"/>
      <w:bookmarkEnd w:id="2"/>
      <w:r>
        <w:rPr>
          <w:rFonts w:ascii="Times New Roman" w:hAnsi="Times New Roman"/>
          <w:sz w:val="20"/>
          <w:u w:val="single"/>
        </w:rPr>
        <w:t>INDEX</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42"/>
        <w:gridCol w:w="340"/>
        <w:gridCol w:w="8244"/>
        <w:gridCol w:w="340"/>
        <w:gridCol w:w="239"/>
      </w:tblGrid>
      <w:tr>
        <w:trPr/>
        <w:tc>
          <w:tcPr>
            <w:tcW w:w="962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Part IFinancial Information:</w:t>
            </w:r>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1042"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340" w:type="dxa"/>
            <w:tcBorders/>
            <w:shd w:fill="auto" w:val="clear"/>
            <w:vAlign w:val="bottom"/>
          </w:tcPr>
          <w:p>
            <w:pPr>
              <w:pStyle w:val="TableContents"/>
              <w:spacing w:before="0" w:after="283"/>
              <w:rPr/>
            </w:pPr>
            <w:r>
              <w:rPr/>
              <w:t>  </w:t>
            </w:r>
          </w:p>
        </w:tc>
        <w:tc>
          <w:tcPr>
            <w:tcW w:w="8244" w:type="dxa"/>
            <w:tcBorders/>
            <w:shd w:fill="auto" w:val="clear"/>
            <w:vAlign w:val="bottom"/>
          </w:tcPr>
          <w:p>
            <w:pPr>
              <w:pStyle w:val="TableContents"/>
              <w:spacing w:before="0" w:after="283"/>
              <w:rPr/>
            </w:pPr>
            <w:hyperlink w:anchor="tx26457_1">
              <w:r>
                <w:rPr>
                  <w:rStyle w:val="InternetLink"/>
                  <w:rFonts w:ascii="Times New Roman" w:hAnsi="Times New Roman"/>
                  <w:sz w:val="20"/>
                </w:rPr>
                <w:t>Condensed consolidated balance sheets as of June 30, 2003 and December 31, 2002</w:t>
              </w:r>
            </w:hyperlink>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1042" w:type="dxa"/>
            <w:tcBorders/>
            <w:shd w:fill="auto" w:val="clea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244" w:type="dxa"/>
            <w:tcBorders/>
            <w:shd w:fill="auto" w:val="clear"/>
            <w:vAlign w:val="bottom"/>
          </w:tcPr>
          <w:p>
            <w:pPr>
              <w:pStyle w:val="TableContents"/>
              <w:spacing w:before="0" w:after="283"/>
              <w:rPr/>
            </w:pPr>
            <w:hyperlink w:anchor="tx26457_2">
              <w:r>
                <w:rPr>
                  <w:rStyle w:val="InternetLink"/>
                  <w:rFonts w:ascii="Times New Roman" w:hAnsi="Times New Roman"/>
                  <w:sz w:val="20"/>
                </w:rPr>
                <w:t>Condensed consolidated statements of operations for the three-month and six-month periods ended June 30, 2003 and 2002</w:t>
              </w:r>
            </w:hyperlink>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c>
          <w:tcPr>
            <w:tcW w:w="1042" w:type="dxa"/>
            <w:tcBorders/>
            <w:shd w:fill="auto" w:val="clea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244" w:type="dxa"/>
            <w:tcBorders/>
            <w:shd w:fill="auto" w:val="clear"/>
            <w:vAlign w:val="bottom"/>
          </w:tcPr>
          <w:p>
            <w:pPr>
              <w:pStyle w:val="TableContents"/>
              <w:spacing w:before="0" w:after="283"/>
              <w:rPr/>
            </w:pPr>
            <w:hyperlink w:anchor="tx26457_3">
              <w:r>
                <w:rPr>
                  <w:rStyle w:val="InternetLink"/>
                  <w:rFonts w:ascii="Times New Roman" w:hAnsi="Times New Roman"/>
                  <w:sz w:val="20"/>
                </w:rPr>
                <w:t>Condensed consolidated statements of cash flows for the six-month periods ended June 30, 2003 and 2002</w:t>
              </w:r>
            </w:hyperlink>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c>
          <w:tcPr>
            <w:tcW w:w="1042" w:type="dxa"/>
            <w:tcBorders/>
            <w:shd w:fill="auto" w:val="clea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244" w:type="dxa"/>
            <w:tcBorders/>
            <w:shd w:fill="auto" w:val="clear"/>
            <w:vAlign w:val="bottom"/>
          </w:tcPr>
          <w:p>
            <w:pPr>
              <w:pStyle w:val="TableContents"/>
              <w:spacing w:before="0" w:after="283"/>
              <w:rPr/>
            </w:pPr>
            <w:hyperlink w:anchor="tx26457_4">
              <w:r>
                <w:rPr>
                  <w:rStyle w:val="InternetLink"/>
                  <w:rFonts w:ascii="Times New Roman" w:hAnsi="Times New Roman"/>
                  <w:sz w:val="20"/>
                </w:rPr>
                <w:t>Notes to condensed consolidated financial statements</w:t>
              </w:r>
            </w:hyperlink>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c>
          <w:tcPr>
            <w:tcW w:w="1042"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340" w:type="dxa"/>
            <w:tcBorders/>
            <w:shd w:fill="auto" w:val="clear"/>
            <w:vAlign w:val="bottom"/>
          </w:tcPr>
          <w:p>
            <w:pPr>
              <w:pStyle w:val="TableContents"/>
              <w:spacing w:before="0" w:after="283"/>
              <w:rPr/>
            </w:pPr>
            <w:r>
              <w:rPr/>
              <w:t>  </w:t>
            </w:r>
          </w:p>
        </w:tc>
        <w:tc>
          <w:tcPr>
            <w:tcW w:w="8244" w:type="dxa"/>
            <w:tcBorders/>
            <w:shd w:fill="auto" w:val="clear"/>
            <w:vAlign w:val="bottom"/>
          </w:tcPr>
          <w:p>
            <w:pPr>
              <w:pStyle w:val="TableContents"/>
              <w:spacing w:before="0" w:after="283"/>
              <w:rPr/>
            </w:pPr>
            <w:hyperlink w:anchor="tx26457_5">
              <w:r>
                <w:rPr>
                  <w:rStyle w:val="InternetLink"/>
                  <w:rFonts w:ascii="Times New Roman" w:hAnsi="Times New Roman"/>
                  <w:sz w:val="20"/>
                </w:rPr>
                <w:t>Managements discussion and analysis of financial condition and results of operations</w:t>
              </w:r>
            </w:hyperlink>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1042"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340" w:type="dxa"/>
            <w:tcBorders/>
            <w:shd w:fill="auto" w:val="clear"/>
            <w:vAlign w:val="bottom"/>
          </w:tcPr>
          <w:p>
            <w:pPr>
              <w:pStyle w:val="TableContents"/>
              <w:spacing w:before="0" w:after="283"/>
              <w:rPr/>
            </w:pPr>
            <w:r>
              <w:rPr/>
              <w:t>  </w:t>
            </w:r>
          </w:p>
        </w:tc>
        <w:tc>
          <w:tcPr>
            <w:tcW w:w="8244" w:type="dxa"/>
            <w:tcBorders/>
            <w:shd w:fill="auto" w:val="clear"/>
            <w:vAlign w:val="bottom"/>
          </w:tcPr>
          <w:p>
            <w:pPr>
              <w:pStyle w:val="TableContents"/>
              <w:spacing w:before="0" w:after="283"/>
              <w:rPr/>
            </w:pPr>
            <w:hyperlink w:anchor="tx26457_6">
              <w:r>
                <w:rPr>
                  <w:rStyle w:val="InternetLink"/>
                  <w:rFonts w:ascii="Times New Roman" w:hAnsi="Times New Roman"/>
                  <w:sz w:val="20"/>
                </w:rPr>
                <w:t>Quantitative and Qualitative Disclosure about Market Risk</w:t>
              </w:r>
            </w:hyperlink>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1042"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340" w:type="dxa"/>
            <w:tcBorders/>
            <w:shd w:fill="auto" w:val="clear"/>
            <w:vAlign w:val="bottom"/>
          </w:tcPr>
          <w:p>
            <w:pPr>
              <w:pStyle w:val="TableContents"/>
              <w:spacing w:before="0" w:after="283"/>
              <w:rPr/>
            </w:pPr>
            <w:r>
              <w:rPr/>
              <w:t>  </w:t>
            </w:r>
          </w:p>
        </w:tc>
        <w:tc>
          <w:tcPr>
            <w:tcW w:w="8244" w:type="dxa"/>
            <w:tcBorders/>
            <w:shd w:fill="auto" w:val="clear"/>
            <w:vAlign w:val="bottom"/>
          </w:tcPr>
          <w:p>
            <w:pPr>
              <w:pStyle w:val="TableContents"/>
              <w:spacing w:before="0" w:after="283"/>
              <w:rPr/>
            </w:pPr>
            <w:hyperlink w:anchor="tx26457_7">
              <w:r>
                <w:rPr>
                  <w:rStyle w:val="InternetLink"/>
                  <w:rFonts w:ascii="Times New Roman" w:hAnsi="Times New Roman"/>
                  <w:sz w:val="20"/>
                </w:rPr>
                <w:t>Controls and Procedures</w:t>
              </w:r>
            </w:hyperlink>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c>
          <w:tcPr>
            <w:tcW w:w="962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Part IIOther Information</w:t>
            </w:r>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1042"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340" w:type="dxa"/>
            <w:tcBorders/>
            <w:shd w:fill="auto" w:val="clear"/>
            <w:vAlign w:val="bottom"/>
          </w:tcPr>
          <w:p>
            <w:pPr>
              <w:pStyle w:val="TableContents"/>
              <w:spacing w:before="0" w:after="283"/>
              <w:rPr/>
            </w:pPr>
            <w:r>
              <w:rPr/>
              <w:t>  </w:t>
            </w:r>
          </w:p>
        </w:tc>
        <w:tc>
          <w:tcPr>
            <w:tcW w:w="8244" w:type="dxa"/>
            <w:tcBorders/>
            <w:shd w:fill="auto" w:val="clear"/>
            <w:vAlign w:val="bottom"/>
          </w:tcPr>
          <w:p>
            <w:pPr>
              <w:pStyle w:val="TableContents"/>
              <w:spacing w:before="0" w:after="283"/>
              <w:rPr/>
            </w:pPr>
            <w:hyperlink w:anchor="tx26457_8">
              <w:r>
                <w:rPr>
                  <w:rStyle w:val="InternetLink"/>
                  <w:rFonts w:ascii="Times New Roman" w:hAnsi="Times New Roman"/>
                  <w:sz w:val="20"/>
                </w:rPr>
                <w:t>Submission of Matters to a Vote of Security Holders</w:t>
              </w:r>
            </w:hyperlink>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1042"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340" w:type="dxa"/>
            <w:tcBorders/>
            <w:shd w:fill="auto" w:val="clear"/>
            <w:vAlign w:val="bottom"/>
          </w:tcPr>
          <w:p>
            <w:pPr>
              <w:pStyle w:val="TableContents"/>
              <w:spacing w:before="0" w:after="283"/>
              <w:rPr/>
            </w:pPr>
            <w:r>
              <w:rPr/>
              <w:t>  </w:t>
            </w:r>
          </w:p>
        </w:tc>
        <w:tc>
          <w:tcPr>
            <w:tcW w:w="8244" w:type="dxa"/>
            <w:tcBorders/>
            <w:shd w:fill="auto" w:val="clear"/>
            <w:vAlign w:val="bottom"/>
          </w:tcPr>
          <w:p>
            <w:pPr>
              <w:pStyle w:val="TableContents"/>
              <w:spacing w:before="0" w:after="283"/>
              <w:rPr/>
            </w:pPr>
            <w:hyperlink w:anchor="tx26457_9">
              <w:r>
                <w:rPr>
                  <w:rStyle w:val="InternetLink"/>
                  <w:rFonts w:ascii="Times New Roman" w:hAnsi="Times New Roman"/>
                  <w:sz w:val="20"/>
                </w:rPr>
                <w:t>Exhibits and reports on Form 8-K</w:t>
              </w:r>
            </w:hyperlink>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9626" w:type="dxa"/>
            <w:gridSpan w:val="3"/>
            <w:tcBorders/>
            <w:shd w:fill="auto" w:val="clear"/>
          </w:tcPr>
          <w:p>
            <w:pPr>
              <w:pStyle w:val="TableContents"/>
              <w:spacing w:before="0" w:after="283"/>
              <w:rPr/>
            </w:pPr>
            <w:hyperlink w:anchor="tx26457_10">
              <w:r>
                <w:rPr>
                  <w:rStyle w:val="InternetLink"/>
                  <w:rFonts w:ascii="Times New Roman" w:hAnsi="Times New Roman"/>
                  <w:sz w:val="20"/>
                </w:rPr>
                <w:t xml:space="preserve">Signature </w:t>
              </w:r>
            </w:hyperlink>
          </w:p>
        </w:tc>
        <w:tc>
          <w:tcPr>
            <w:tcW w:w="3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bookmarkStart w:id="3" w:name="tx26457_1"/>
      <w:bookmarkEnd w:id="3"/>
      <w:r>
        <w:rPr>
          <w:rFonts w:ascii="Times New Roman" w:hAnsi="Times New Roman"/>
          <w:sz w:val="20"/>
        </w:rPr>
        <w:t xml:space="preserve">CONDENSED CONSOLIDATED BALANCE SHEETS </w:t>
      </w:r>
    </w:p>
    <w:p>
      <w:pPr>
        <w:pStyle w:val="HorizontalLine"/>
        <w:pBdr>
          <w:bottom w:val="single" w:sz="6" w:space="0" w:color="00000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72"/>
        <w:gridCol w:w="464"/>
        <w:gridCol w:w="164"/>
        <w:gridCol w:w="646"/>
        <w:gridCol w:w="132"/>
        <w:gridCol w:w="422"/>
        <w:gridCol w:w="191"/>
        <w:gridCol w:w="776"/>
        <w:gridCol w:w="138"/>
      </w:tblGrid>
      <w:tr>
        <w:trPr/>
        <w:tc>
          <w:tcPr>
            <w:tcW w:w="727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Dollars in thousands, except share data</w:t>
            </w:r>
          </w:p>
        </w:tc>
        <w:tc>
          <w:tcPr>
            <w:tcW w:w="464" w:type="dxa"/>
            <w:tcBorders/>
            <w:shd w:fill="auto" w:val="clear"/>
            <w:vAlign w:val="bottom"/>
          </w:tcPr>
          <w:p>
            <w:pPr>
              <w:pStyle w:val="TableContents"/>
              <w:spacing w:before="0" w:after="283"/>
              <w:rPr/>
            </w:pPr>
            <w:r>
              <w:rPr/>
              <w:t>  </w:t>
            </w:r>
          </w:p>
        </w:tc>
        <w:tc>
          <w:tcPr>
            <w:tcW w:w="810" w:type="dxa"/>
            <w:gridSpan w:val="2"/>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967" w:type="dxa"/>
            <w:gridSpan w:val="2"/>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810"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JUNE 30,</w:t>
              <w:br/>
              <w:t>2003</w:t>
            </w:r>
          </w:p>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967"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DECEMBER 31,</w:t>
              <w:br/>
              <w:t>2002</w:t>
            </w:r>
          </w:p>
          <w:p>
            <w:pPr>
              <w:pStyle w:val="HorizontalLine"/>
              <w:pBdr>
                <w:bottom w:val="single" w:sz="6" w:space="0" w:color="000000"/>
              </w:pBdr>
              <w:spacing w:before="0" w:after="283"/>
              <w:rPr/>
            </w:pPr>
            <w:r>
              <w:rPr/>
            </w:r>
          </w:p>
        </w:tc>
        <w:tc>
          <w:tcPr>
            <w:tcW w:w="138" w:type="dxa"/>
            <w:tcBorders/>
            <w:shd w:fill="auto" w:val="clear"/>
            <w:vAlign w:val="bottom"/>
          </w:tcPr>
          <w:p>
            <w:pPr>
              <w:pStyle w:val="TableContents"/>
              <w:spacing w:before="0" w:after="283"/>
              <w:rPr/>
            </w:pPr>
            <w:r>
              <w:rPr/>
              <w:t> </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810"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(unaudited)</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967" w:type="dxa"/>
            <w:gridSpan w:val="2"/>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ASSETS</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10,678</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12,037</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6,079</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5,287</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1,893</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2,055</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2,326</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2,151</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6" w:space="0" w:color="000000"/>
              </w:pBdr>
              <w:spacing w:before="0" w:after="283"/>
              <w:rPr/>
            </w:pPr>
            <w:r>
              <w:rPr/>
            </w:r>
          </w:p>
        </w:tc>
        <w:tc>
          <w:tcPr>
            <w:tcW w:w="776"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21,108</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21,724</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10,479</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12,122</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net</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Intangiblesfinite life, net</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855</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Intangiblesindefinite life</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1,069</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1,015</w:t>
            </w:r>
          </w:p>
        </w:tc>
        <w:tc>
          <w:tcPr>
            <w:tcW w:w="138" w:type="dxa"/>
            <w:tcBorders/>
            <w:shd w:fill="auto" w:val="clear"/>
            <w:vAlign w:val="bottom"/>
          </w:tcPr>
          <w:p>
            <w:pPr>
              <w:pStyle w:val="TableContents"/>
              <w:spacing w:before="0" w:after="283"/>
              <w:rPr/>
            </w:pPr>
            <w:r>
              <w:rPr/>
              <w:t> </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6" w:space="0" w:color="000000"/>
              </w:pBdr>
              <w:spacing w:before="0" w:after="283"/>
              <w:rPr/>
            </w:pPr>
            <w:r>
              <w:rPr/>
            </w:r>
          </w:p>
        </w:tc>
        <w:tc>
          <w:tcPr>
            <w:tcW w:w="776"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7272" w:type="dxa"/>
            <w:tcBorders/>
            <w:shd w:fill="CCEEFF" w:val="clear"/>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44,433</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46,677</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18" w:space="0" w:color="000000"/>
              </w:pBdr>
              <w:spacing w:before="0" w:after="283"/>
              <w:rPr/>
            </w:pPr>
            <w:r>
              <w:rPr/>
            </w:r>
          </w:p>
        </w:tc>
        <w:tc>
          <w:tcPr>
            <w:tcW w:w="646"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18" w:space="0" w:color="000000"/>
              </w:pBdr>
              <w:spacing w:before="0" w:after="283"/>
              <w:rPr/>
            </w:pPr>
            <w:r>
              <w:rPr/>
            </w:r>
          </w:p>
        </w:tc>
        <w:tc>
          <w:tcPr>
            <w:tcW w:w="776"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r>
      <w:tr>
        <w:trPr/>
        <w:tc>
          <w:tcPr>
            <w:tcW w:w="7272"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LIABILITIES AND SHAREHOLDERS EQUITY</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8,694</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2,120</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9,887</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11,675</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1,652</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6" w:space="0" w:color="000000"/>
              </w:pBdr>
              <w:spacing w:before="0" w:after="283"/>
              <w:rPr/>
            </w:pPr>
            <w:r>
              <w:rPr/>
            </w:r>
          </w:p>
        </w:tc>
        <w:tc>
          <w:tcPr>
            <w:tcW w:w="776"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20,034</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15,447</w:t>
            </w:r>
          </w:p>
        </w:tc>
        <w:tc>
          <w:tcPr>
            <w:tcW w:w="138" w:type="dxa"/>
            <w:tcBorders/>
            <w:shd w:fill="CCEEFF" w:val="clear"/>
            <w:vAlign w:val="bottom"/>
          </w:tcPr>
          <w:p>
            <w:pPr>
              <w:pStyle w:val="TableContents"/>
              <w:spacing w:before="0" w:after="283"/>
              <w:rPr/>
            </w:pPr>
            <w:r>
              <w:rPr/>
              <w:t> </w:t>
            </w:r>
          </w:p>
        </w:tc>
      </w:tr>
      <w:tr>
        <w:trPr>
          <w:trHeight w:val="120" w:hRule="atLeast"/>
        </w:trPr>
        <w:tc>
          <w:tcPr>
            <w:tcW w:w="7272" w:type="dxa"/>
            <w:tcBorders/>
            <w:shd w:fill="auto" w:val="clear"/>
            <w:vAlign w:val="center"/>
          </w:tcPr>
          <w:p>
            <w:pPr>
              <w:pStyle w:val="TableContents"/>
              <w:spacing w:before="0" w:after="283"/>
              <w:rPr>
                <w:sz w:val="4"/>
                <w:szCs w:val="4"/>
              </w:rPr>
            </w:pPr>
            <w:r>
              <w:rPr>
                <w:sz w:val="4"/>
                <w:szCs w:val="4"/>
              </w:rPr>
            </w:r>
          </w:p>
        </w:tc>
        <w:tc>
          <w:tcPr>
            <w:tcW w:w="1406" w:type="dxa"/>
            <w:gridSpan w:val="4"/>
            <w:tcBorders/>
            <w:shd w:fill="auto" w:val="clear"/>
            <w:vAlign w:val="center"/>
          </w:tcPr>
          <w:p>
            <w:pPr>
              <w:pStyle w:val="TableContents"/>
              <w:spacing w:before="0" w:after="283"/>
              <w:rPr>
                <w:sz w:val="4"/>
                <w:szCs w:val="4"/>
              </w:rPr>
            </w:pPr>
            <w:r>
              <w:rPr>
                <w:sz w:val="4"/>
                <w:szCs w:val="4"/>
              </w:rPr>
            </w:r>
          </w:p>
        </w:tc>
        <w:tc>
          <w:tcPr>
            <w:tcW w:w="1527" w:type="dxa"/>
            <w:gridSpan w:val="4"/>
            <w:tcBorders/>
            <w:shd w:fill="auto" w:val="clear"/>
            <w:vAlign w:val="center"/>
          </w:tcPr>
          <w:p>
            <w:pPr>
              <w:pStyle w:val="TableContents"/>
              <w:spacing w:before="0" w:after="283"/>
              <w:rPr>
                <w:sz w:val="4"/>
                <w:szCs w:val="4"/>
              </w:rPr>
            </w:pPr>
            <w:r>
              <w:rPr>
                <w:sz w:val="4"/>
                <w:szCs w:val="4"/>
              </w:rPr>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2,424</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2,137</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5,235</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12,164</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3,480</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3,480</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(related party$3,762 and $3,634, respectively)</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4,180</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4,038</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6" w:space="0" w:color="000000"/>
              </w:pBdr>
              <w:spacing w:before="0" w:after="283"/>
              <w:rPr/>
            </w:pPr>
            <w:r>
              <w:rPr/>
            </w:r>
          </w:p>
        </w:tc>
        <w:tc>
          <w:tcPr>
            <w:tcW w:w="776"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35,353</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37,266</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18" w:space="0" w:color="000000"/>
              </w:pBdr>
              <w:spacing w:before="0" w:after="283"/>
              <w:rPr/>
            </w:pPr>
            <w:r>
              <w:rPr/>
            </w:r>
          </w:p>
        </w:tc>
        <w:tc>
          <w:tcPr>
            <w:tcW w:w="646"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18" w:space="0" w:color="000000"/>
              </w:pBdr>
              <w:spacing w:before="0" w:after="283"/>
              <w:rPr/>
            </w:pPr>
            <w:r>
              <w:rPr/>
            </w:r>
          </w:p>
        </w:tc>
        <w:tc>
          <w:tcPr>
            <w:tcW w:w="776"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r>
      <w:tr>
        <w:trPr>
          <w:trHeight w:val="120" w:hRule="atLeast"/>
        </w:trPr>
        <w:tc>
          <w:tcPr>
            <w:tcW w:w="7272" w:type="dxa"/>
            <w:tcBorders/>
            <w:shd w:fill="auto" w:val="clear"/>
            <w:vAlign w:val="center"/>
          </w:tcPr>
          <w:p>
            <w:pPr>
              <w:pStyle w:val="TableContents"/>
              <w:spacing w:before="0" w:after="283"/>
              <w:rPr>
                <w:sz w:val="4"/>
                <w:szCs w:val="4"/>
              </w:rPr>
            </w:pPr>
            <w:r>
              <w:rPr>
                <w:sz w:val="4"/>
                <w:szCs w:val="4"/>
              </w:rPr>
            </w:r>
          </w:p>
        </w:tc>
        <w:tc>
          <w:tcPr>
            <w:tcW w:w="1406" w:type="dxa"/>
            <w:gridSpan w:val="4"/>
            <w:tcBorders/>
            <w:shd w:fill="auto" w:val="clear"/>
            <w:vAlign w:val="center"/>
          </w:tcPr>
          <w:p>
            <w:pPr>
              <w:pStyle w:val="TableContents"/>
              <w:spacing w:before="0" w:after="283"/>
              <w:rPr>
                <w:sz w:val="4"/>
                <w:szCs w:val="4"/>
              </w:rPr>
            </w:pPr>
            <w:r>
              <w:rPr>
                <w:sz w:val="4"/>
                <w:szCs w:val="4"/>
              </w:rPr>
            </w:r>
          </w:p>
        </w:tc>
        <w:tc>
          <w:tcPr>
            <w:tcW w:w="1527" w:type="dxa"/>
            <w:gridSpan w:val="4"/>
            <w:tcBorders/>
            <w:shd w:fill="auto" w:val="clear"/>
            <w:vAlign w:val="center"/>
          </w:tcPr>
          <w:p>
            <w:pPr>
              <w:pStyle w:val="TableContents"/>
              <w:spacing w:before="0" w:after="283"/>
              <w:rPr>
                <w:sz w:val="4"/>
                <w:szCs w:val="4"/>
              </w:rPr>
            </w:pPr>
            <w:r>
              <w:rPr>
                <w:sz w:val="4"/>
                <w:szCs w:val="4"/>
              </w:rPr>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$0.01 par value; 100,000,000 shares authorized, 10,780,055 shares issued at June 30, 2003 and 10,390,956 shares issued at December 31, 2002</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32"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38" w:type="dxa"/>
            <w:tcBorders/>
            <w:shd w:fill="auto" w:val="clear"/>
            <w:vAlign w:val="bottom"/>
          </w:tcPr>
          <w:p>
            <w:pPr>
              <w:pStyle w:val="TableContents"/>
              <w:spacing w:before="0" w:after="283"/>
              <w:rPr/>
            </w:pPr>
            <w:r>
              <w:rPr/>
              <w:t> </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16,313</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16,313</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(4,668</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(4,337</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6" w:space="0" w:color="000000"/>
              </w:pBdr>
              <w:spacing w:before="0" w:after="283"/>
              <w:rPr/>
            </w:pPr>
            <w:r>
              <w:rPr/>
            </w:r>
          </w:p>
        </w:tc>
        <w:tc>
          <w:tcPr>
            <w:tcW w:w="776"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7272" w:type="dxa"/>
            <w:tcBorders/>
            <w:shd w:fill="CCEEFF" w:val="clear"/>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10,884</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11,215</w:t>
            </w:r>
          </w:p>
        </w:tc>
        <w:tc>
          <w:tcPr>
            <w:tcW w:w="138" w:type="dxa"/>
            <w:tcBorders/>
            <w:shd w:fill="CCEEFF" w:val="clear"/>
            <w:vAlign w:val="bottom"/>
          </w:tcPr>
          <w:p>
            <w:pPr>
              <w:pStyle w:val="TableContents"/>
              <w:spacing w:before="0" w:after="283"/>
              <w:rPr/>
            </w:pPr>
            <w:r>
              <w:rPr/>
              <w:t> </w:t>
            </w:r>
          </w:p>
        </w:tc>
      </w:tr>
      <w:tr>
        <w:trPr>
          <w:trHeight w:val="120" w:hRule="atLeast"/>
        </w:trPr>
        <w:tc>
          <w:tcPr>
            <w:tcW w:w="7272" w:type="dxa"/>
            <w:tcBorders/>
            <w:shd w:fill="auto" w:val="clear"/>
            <w:vAlign w:val="center"/>
          </w:tcPr>
          <w:p>
            <w:pPr>
              <w:pStyle w:val="TableContents"/>
              <w:spacing w:before="0" w:after="283"/>
              <w:rPr>
                <w:sz w:val="4"/>
                <w:szCs w:val="4"/>
              </w:rPr>
            </w:pPr>
            <w:r>
              <w:rPr>
                <w:sz w:val="4"/>
                <w:szCs w:val="4"/>
              </w:rPr>
            </w:r>
          </w:p>
        </w:tc>
        <w:tc>
          <w:tcPr>
            <w:tcW w:w="1406" w:type="dxa"/>
            <w:gridSpan w:val="4"/>
            <w:tcBorders/>
            <w:shd w:fill="auto" w:val="clear"/>
            <w:vAlign w:val="center"/>
          </w:tcPr>
          <w:p>
            <w:pPr>
              <w:pStyle w:val="TableContents"/>
              <w:spacing w:before="0" w:after="283"/>
              <w:rPr>
                <w:sz w:val="4"/>
                <w:szCs w:val="4"/>
              </w:rPr>
            </w:pPr>
            <w:r>
              <w:rPr>
                <w:sz w:val="4"/>
                <w:szCs w:val="4"/>
              </w:rPr>
            </w:r>
          </w:p>
        </w:tc>
        <w:tc>
          <w:tcPr>
            <w:tcW w:w="1527" w:type="dxa"/>
            <w:gridSpan w:val="4"/>
            <w:tcBorders/>
            <w:shd w:fill="auto" w:val="clear"/>
            <w:vAlign w:val="center"/>
          </w:tcPr>
          <w:p>
            <w:pPr>
              <w:pStyle w:val="TableContents"/>
              <w:spacing w:before="0" w:after="283"/>
              <w:rPr>
                <w:sz w:val="4"/>
                <w:szCs w:val="4"/>
              </w:rPr>
            </w:pPr>
            <w:r>
              <w:rPr>
                <w:sz w:val="4"/>
                <w:szCs w:val="4"/>
              </w:rPr>
            </w:r>
          </w:p>
        </w:tc>
      </w:tr>
      <w:tr>
        <w:trPr/>
        <w:tc>
          <w:tcPr>
            <w:tcW w:w="7272"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 801,220 shares in 2003 and 2002</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6" w:space="0" w:color="000000"/>
              </w:pBdr>
              <w:spacing w:before="0" w:after="283"/>
              <w:rPr/>
            </w:pPr>
            <w:r>
              <w:rPr/>
            </w:r>
          </w:p>
        </w:tc>
        <w:tc>
          <w:tcPr>
            <w:tcW w:w="776"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7272"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9,080</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9,411</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6" w:space="0" w:color="000000"/>
              </w:pBdr>
              <w:spacing w:before="0" w:after="283"/>
              <w:rPr/>
            </w:pPr>
            <w:r>
              <w:rPr/>
            </w:r>
          </w:p>
        </w:tc>
        <w:tc>
          <w:tcPr>
            <w:tcW w:w="776"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7272" w:type="dxa"/>
            <w:tcBorders/>
            <w:shd w:fill="CCEEFF" w:val="clear"/>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44,433</w:t>
            </w:r>
          </w:p>
        </w:tc>
        <w:tc>
          <w:tcPr>
            <w:tcW w:w="132"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46,677</w:t>
            </w:r>
          </w:p>
        </w:tc>
        <w:tc>
          <w:tcPr>
            <w:tcW w:w="138" w:type="dxa"/>
            <w:tcBorders/>
            <w:shd w:fill="CCEEFF" w:val="clear"/>
            <w:vAlign w:val="bottom"/>
          </w:tcPr>
          <w:p>
            <w:pPr>
              <w:pStyle w:val="TableContents"/>
              <w:spacing w:before="0" w:after="283"/>
              <w:rPr/>
            </w:pPr>
            <w:r>
              <w:rPr/>
              <w:t> </w:t>
            </w:r>
          </w:p>
        </w:tc>
      </w:tr>
      <w:tr>
        <w:trPr/>
        <w:tc>
          <w:tcPr>
            <w:tcW w:w="727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18" w:space="0" w:color="000000"/>
              </w:pBdr>
              <w:spacing w:before="0" w:after="283"/>
              <w:rPr/>
            </w:pPr>
            <w:r>
              <w:rPr/>
            </w:r>
          </w:p>
        </w:tc>
        <w:tc>
          <w:tcPr>
            <w:tcW w:w="646"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18" w:space="0" w:color="000000"/>
              </w:pBdr>
              <w:spacing w:before="0" w:after="283"/>
              <w:rPr/>
            </w:pPr>
            <w:r>
              <w:rPr/>
            </w:r>
          </w:p>
        </w:tc>
        <w:tc>
          <w:tcPr>
            <w:tcW w:w="776"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sz w:val="4"/>
                <w:szCs w:val="4"/>
              </w:rPr>
            </w:pPr>
            <w:r>
              <w:rPr>
                <w:sz w:val="4"/>
                <w:szCs w:val="4"/>
              </w:rPr>
            </w:r>
          </w:p>
        </w:tc>
      </w:tr>
    </w:tbl>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w:t>
      </w:r>
    </w:p>
    <w:p>
      <w:pPr>
        <w:pStyle w:val="TextBody"/>
        <w:spacing w:before="0" w:after="0"/>
        <w:jc w:val="center"/>
        <w:rPr>
          <w:rFonts w:ascii="Times New Roman" w:hAnsi="Times New Roman"/>
          <w:sz w:val="20"/>
        </w:rPr>
      </w:pPr>
      <w:r>
        <w:rPr>
          <w:rFonts w:ascii="Times New Roman" w:hAnsi="Times New Roman"/>
          <w:sz w:val="20"/>
        </w:rPr>
        <w:t xml:space="preserve">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bookmarkStart w:id="4" w:name="tx26457_2"/>
      <w:bookmarkEnd w:id="4"/>
      <w:r>
        <w:rPr>
          <w:rFonts w:ascii="Times New Roman" w:hAnsi="Times New Roman"/>
          <w:sz w:val="20"/>
        </w:rPr>
        <w:t xml:space="preserve">CONDENSED 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40"/>
        <w:gridCol w:w="378"/>
        <w:gridCol w:w="156"/>
        <w:gridCol w:w="846"/>
        <w:gridCol w:w="120"/>
        <w:gridCol w:w="330"/>
        <w:gridCol w:w="156"/>
        <w:gridCol w:w="846"/>
        <w:gridCol w:w="120"/>
        <w:gridCol w:w="330"/>
        <w:gridCol w:w="155"/>
        <w:gridCol w:w="846"/>
        <w:gridCol w:w="120"/>
        <w:gridCol w:w="330"/>
        <w:gridCol w:w="156"/>
        <w:gridCol w:w="846"/>
        <w:gridCol w:w="130"/>
      </w:tblGrid>
      <w:tr>
        <w:trPr/>
        <w:tc>
          <w:tcPr>
            <w:tcW w:w="434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Dollars in thousands, except per share data</w:t>
            </w:r>
          </w:p>
        </w:tc>
        <w:tc>
          <w:tcPr>
            <w:tcW w:w="378"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001"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434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454"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br/>
              <w:t>JUNE 30,</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453" w:type="dxa"/>
            <w:gridSpan w:val="6"/>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SIX MONTHS ENDED</w:t>
            </w:r>
          </w:p>
          <w:p>
            <w:pPr>
              <w:pStyle w:val="TableContents"/>
              <w:spacing w:before="0" w:after="0"/>
              <w:jc w:val="center"/>
              <w:rPr>
                <w:rFonts w:ascii="Times New Roman" w:hAnsi="Times New Roman"/>
                <w:sz w:val="14"/>
              </w:rPr>
            </w:pPr>
            <w:r>
              <w:rPr>
                <w:rFonts w:ascii="Times New Roman" w:hAnsi="Times New Roman"/>
                <w:sz w:val="14"/>
              </w:rPr>
              <w:t>JUNE 30,</w:t>
            </w:r>
          </w:p>
        </w:tc>
        <w:tc>
          <w:tcPr>
            <w:tcW w:w="130" w:type="dxa"/>
            <w:tcBorders/>
            <w:shd w:fill="auto" w:val="clear"/>
            <w:vAlign w:val="bottom"/>
          </w:tcPr>
          <w:p>
            <w:pPr>
              <w:pStyle w:val="TableContents"/>
              <w:spacing w:before="0" w:after="283"/>
              <w:rPr/>
            </w:pPr>
            <w:r>
              <w:rPr/>
              <w:t> </w:t>
            </w:r>
          </w:p>
        </w:tc>
      </w:tr>
      <w:tr>
        <w:trPr/>
        <w:tc>
          <w:tcPr>
            <w:tcW w:w="434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2003</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2002</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001"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2003</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2002</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4340"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3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17,754</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18,586</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32,955</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37,465</w:t>
            </w:r>
          </w:p>
        </w:tc>
        <w:tc>
          <w:tcPr>
            <w:tcW w:w="130" w:type="dxa"/>
            <w:tcBorders/>
            <w:shd w:fill="CCEEFF" w:val="clear"/>
            <w:vAlign w:val="bottom"/>
          </w:tcPr>
          <w:p>
            <w:pPr>
              <w:pStyle w:val="TableContents"/>
              <w:spacing w:before="0" w:after="283"/>
              <w:rPr/>
            </w:pPr>
            <w:r>
              <w:rPr/>
              <w:t> </w:t>
            </w:r>
          </w:p>
        </w:tc>
      </w:tr>
      <w:tr>
        <w:trPr/>
        <w:tc>
          <w:tcPr>
            <w:tcW w:w="434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rHeight w:val="120" w:hRule="atLeast"/>
        </w:trPr>
        <w:tc>
          <w:tcPr>
            <w:tcW w:w="4340" w:type="dxa"/>
            <w:tcBorders/>
            <w:shd w:fill="auto" w:val="clear"/>
            <w:vAlign w:val="center"/>
          </w:tcPr>
          <w:p>
            <w:pPr>
              <w:pStyle w:val="TableContents"/>
              <w:spacing w:before="0" w:after="283"/>
              <w:rPr>
                <w:sz w:val="4"/>
                <w:szCs w:val="4"/>
              </w:rPr>
            </w:pPr>
            <w:r>
              <w:rPr>
                <w:sz w:val="4"/>
                <w:szCs w:val="4"/>
              </w:rPr>
            </w:r>
          </w:p>
        </w:tc>
        <w:tc>
          <w:tcPr>
            <w:tcW w:w="1500" w:type="dxa"/>
            <w:gridSpan w:val="4"/>
            <w:tcBorders/>
            <w:shd w:fill="auto" w:val="clear"/>
            <w:vAlign w:val="center"/>
          </w:tcPr>
          <w:p>
            <w:pPr>
              <w:pStyle w:val="TableContents"/>
              <w:spacing w:before="0" w:after="283"/>
              <w:rPr>
                <w:sz w:val="4"/>
                <w:szCs w:val="4"/>
              </w:rPr>
            </w:pPr>
            <w:r>
              <w:rPr>
                <w:sz w:val="4"/>
                <w:szCs w:val="4"/>
              </w:rPr>
            </w:r>
          </w:p>
        </w:tc>
        <w:tc>
          <w:tcPr>
            <w:tcW w:w="1452" w:type="dxa"/>
            <w:gridSpan w:val="4"/>
            <w:tcBorders/>
            <w:shd w:fill="auto" w:val="clear"/>
            <w:vAlign w:val="center"/>
          </w:tcPr>
          <w:p>
            <w:pPr>
              <w:pStyle w:val="TableContents"/>
              <w:spacing w:before="0" w:after="283"/>
              <w:rPr>
                <w:sz w:val="4"/>
                <w:szCs w:val="4"/>
              </w:rPr>
            </w:pPr>
            <w:r>
              <w:rPr>
                <w:sz w:val="4"/>
                <w:szCs w:val="4"/>
              </w:rPr>
            </w:r>
          </w:p>
        </w:tc>
        <w:tc>
          <w:tcPr>
            <w:tcW w:w="1451" w:type="dxa"/>
            <w:gridSpan w:val="4"/>
            <w:tcBorders/>
            <w:shd w:fill="auto" w:val="clear"/>
            <w:vAlign w:val="center"/>
          </w:tcPr>
          <w:p>
            <w:pPr>
              <w:pStyle w:val="TableContents"/>
              <w:spacing w:before="0" w:after="283"/>
              <w:rPr>
                <w:sz w:val="4"/>
                <w:szCs w:val="4"/>
              </w:rPr>
            </w:pPr>
            <w:r>
              <w:rPr>
                <w:sz w:val="4"/>
                <w:szCs w:val="4"/>
              </w:rPr>
            </w:r>
          </w:p>
        </w:tc>
        <w:tc>
          <w:tcPr>
            <w:tcW w:w="1462" w:type="dxa"/>
            <w:gridSpan w:val="4"/>
            <w:tcBorders/>
            <w:shd w:fill="auto" w:val="clear"/>
            <w:vAlign w:val="center"/>
          </w:tcPr>
          <w:p>
            <w:pPr>
              <w:pStyle w:val="TableContents"/>
              <w:spacing w:before="0" w:after="283"/>
              <w:rPr>
                <w:sz w:val="4"/>
                <w:szCs w:val="4"/>
              </w:rPr>
            </w:pPr>
            <w:r>
              <w:rPr>
                <w:sz w:val="4"/>
                <w:szCs w:val="4"/>
              </w:rPr>
            </w:r>
          </w:p>
        </w:tc>
      </w:tr>
      <w:tr>
        <w:trPr/>
        <w:tc>
          <w:tcPr>
            <w:tcW w:w="4340"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3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434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14,592</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14,949</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26,724</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29,990</w:t>
            </w:r>
          </w:p>
        </w:tc>
        <w:tc>
          <w:tcPr>
            <w:tcW w:w="130" w:type="dxa"/>
            <w:tcBorders/>
            <w:shd w:fill="auto" w:val="clear"/>
            <w:vAlign w:val="bottom"/>
          </w:tcPr>
          <w:p>
            <w:pPr>
              <w:pStyle w:val="TableContents"/>
              <w:spacing w:before="0" w:after="283"/>
              <w:rPr/>
            </w:pPr>
            <w:r>
              <w:rPr/>
              <w:t> </w:t>
            </w:r>
          </w:p>
        </w:tc>
      </w:tr>
      <w:tr>
        <w:trPr/>
        <w:tc>
          <w:tcPr>
            <w:tcW w:w="4340"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3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2,546</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3,053</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5,088</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6,135</w:t>
            </w:r>
          </w:p>
        </w:tc>
        <w:tc>
          <w:tcPr>
            <w:tcW w:w="130" w:type="dxa"/>
            <w:tcBorders/>
            <w:shd w:fill="CCEEFF" w:val="clear"/>
            <w:vAlign w:val="bottom"/>
          </w:tcPr>
          <w:p>
            <w:pPr>
              <w:pStyle w:val="TableContents"/>
              <w:spacing w:before="0" w:after="283"/>
              <w:rPr/>
            </w:pPr>
            <w:r>
              <w:rPr/>
              <w:t> </w:t>
            </w:r>
          </w:p>
        </w:tc>
      </w:tr>
      <w:tr>
        <w:trPr/>
        <w:tc>
          <w:tcPr>
            <w:tcW w:w="4340"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453</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910</w:t>
            </w:r>
          </w:p>
        </w:tc>
        <w:tc>
          <w:tcPr>
            <w:tcW w:w="130" w:type="dxa"/>
            <w:tcBorders/>
            <w:shd w:fill="auto" w:val="clear"/>
            <w:vAlign w:val="bottom"/>
          </w:tcPr>
          <w:p>
            <w:pPr>
              <w:pStyle w:val="TableContents"/>
              <w:spacing w:before="0" w:after="283"/>
              <w:rPr/>
            </w:pPr>
            <w:r>
              <w:rPr/>
              <w:t> </w:t>
            </w:r>
          </w:p>
        </w:tc>
      </w:tr>
      <w:tr>
        <w:trPr/>
        <w:tc>
          <w:tcPr>
            <w:tcW w:w="434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4340" w:type="dxa"/>
            <w:tcBorders/>
            <w:shd w:fill="CCEEFF" w:val="clear"/>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17,534</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18,455</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32,611</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37,035</w:t>
            </w:r>
          </w:p>
        </w:tc>
        <w:tc>
          <w:tcPr>
            <w:tcW w:w="130" w:type="dxa"/>
            <w:tcBorders/>
            <w:shd w:fill="CCEEFF" w:val="clear"/>
            <w:vAlign w:val="bottom"/>
          </w:tcPr>
          <w:p>
            <w:pPr>
              <w:pStyle w:val="TableContents"/>
              <w:spacing w:before="0" w:after="283"/>
              <w:rPr/>
            </w:pPr>
            <w:r>
              <w:rPr/>
              <w:t> </w:t>
            </w:r>
          </w:p>
        </w:tc>
      </w:tr>
      <w:tr>
        <w:trPr/>
        <w:tc>
          <w:tcPr>
            <w:tcW w:w="434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rHeight w:val="120" w:hRule="atLeast"/>
        </w:trPr>
        <w:tc>
          <w:tcPr>
            <w:tcW w:w="4340" w:type="dxa"/>
            <w:tcBorders/>
            <w:shd w:fill="auto" w:val="clear"/>
            <w:vAlign w:val="center"/>
          </w:tcPr>
          <w:p>
            <w:pPr>
              <w:pStyle w:val="TableContents"/>
              <w:spacing w:before="0" w:after="283"/>
              <w:rPr>
                <w:sz w:val="4"/>
                <w:szCs w:val="4"/>
              </w:rPr>
            </w:pPr>
            <w:r>
              <w:rPr>
                <w:sz w:val="4"/>
                <w:szCs w:val="4"/>
              </w:rPr>
            </w:r>
          </w:p>
        </w:tc>
        <w:tc>
          <w:tcPr>
            <w:tcW w:w="1500" w:type="dxa"/>
            <w:gridSpan w:val="4"/>
            <w:tcBorders/>
            <w:shd w:fill="auto" w:val="clear"/>
            <w:vAlign w:val="center"/>
          </w:tcPr>
          <w:p>
            <w:pPr>
              <w:pStyle w:val="TableContents"/>
              <w:spacing w:before="0" w:after="283"/>
              <w:rPr>
                <w:sz w:val="4"/>
                <w:szCs w:val="4"/>
              </w:rPr>
            </w:pPr>
            <w:r>
              <w:rPr>
                <w:sz w:val="4"/>
                <w:szCs w:val="4"/>
              </w:rPr>
            </w:r>
          </w:p>
        </w:tc>
        <w:tc>
          <w:tcPr>
            <w:tcW w:w="1452" w:type="dxa"/>
            <w:gridSpan w:val="4"/>
            <w:tcBorders/>
            <w:shd w:fill="auto" w:val="clear"/>
            <w:vAlign w:val="center"/>
          </w:tcPr>
          <w:p>
            <w:pPr>
              <w:pStyle w:val="TableContents"/>
              <w:spacing w:before="0" w:after="283"/>
              <w:rPr>
                <w:sz w:val="4"/>
                <w:szCs w:val="4"/>
              </w:rPr>
            </w:pPr>
            <w:r>
              <w:rPr>
                <w:sz w:val="4"/>
                <w:szCs w:val="4"/>
              </w:rPr>
            </w:r>
          </w:p>
        </w:tc>
        <w:tc>
          <w:tcPr>
            <w:tcW w:w="1451" w:type="dxa"/>
            <w:gridSpan w:val="4"/>
            <w:tcBorders/>
            <w:shd w:fill="auto" w:val="clear"/>
            <w:vAlign w:val="center"/>
          </w:tcPr>
          <w:p>
            <w:pPr>
              <w:pStyle w:val="TableContents"/>
              <w:spacing w:before="0" w:after="283"/>
              <w:rPr>
                <w:sz w:val="4"/>
                <w:szCs w:val="4"/>
              </w:rPr>
            </w:pPr>
            <w:r>
              <w:rPr>
                <w:sz w:val="4"/>
                <w:szCs w:val="4"/>
              </w:rPr>
            </w:r>
          </w:p>
        </w:tc>
        <w:tc>
          <w:tcPr>
            <w:tcW w:w="1462" w:type="dxa"/>
            <w:gridSpan w:val="4"/>
            <w:tcBorders/>
            <w:shd w:fill="auto" w:val="clear"/>
            <w:vAlign w:val="center"/>
          </w:tcPr>
          <w:p>
            <w:pPr>
              <w:pStyle w:val="TableContents"/>
              <w:spacing w:before="0" w:after="283"/>
              <w:rPr>
                <w:sz w:val="4"/>
                <w:szCs w:val="4"/>
              </w:rPr>
            </w:pPr>
            <w:r>
              <w:rPr>
                <w:sz w:val="4"/>
                <w:szCs w:val="4"/>
              </w:rPr>
            </w:r>
          </w:p>
        </w:tc>
      </w:tr>
      <w:tr>
        <w:trPr/>
        <w:tc>
          <w:tcPr>
            <w:tcW w:w="434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 before other income and interest expense</w:t>
            </w:r>
          </w:p>
        </w:tc>
        <w:tc>
          <w:tcPr>
            <w:tcW w:w="3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w:t>
            </w:r>
          </w:p>
        </w:tc>
        <w:tc>
          <w:tcPr>
            <w:tcW w:w="130" w:type="dxa"/>
            <w:tcBorders/>
            <w:shd w:fill="CCEEFF" w:val="clear"/>
            <w:vAlign w:val="bottom"/>
          </w:tcPr>
          <w:p>
            <w:pPr>
              <w:pStyle w:val="TableContents"/>
              <w:spacing w:before="0" w:after="283"/>
              <w:rPr/>
            </w:pPr>
            <w:r>
              <w:rPr/>
              <w:t> </w:t>
            </w:r>
          </w:p>
        </w:tc>
      </w:tr>
      <w:tr>
        <w:trPr>
          <w:trHeight w:val="120" w:hRule="atLeast"/>
        </w:trPr>
        <w:tc>
          <w:tcPr>
            <w:tcW w:w="4340" w:type="dxa"/>
            <w:tcBorders/>
            <w:shd w:fill="auto" w:val="clear"/>
            <w:vAlign w:val="center"/>
          </w:tcPr>
          <w:p>
            <w:pPr>
              <w:pStyle w:val="TableContents"/>
              <w:spacing w:before="0" w:after="283"/>
              <w:rPr>
                <w:sz w:val="4"/>
                <w:szCs w:val="4"/>
              </w:rPr>
            </w:pPr>
            <w:r>
              <w:rPr>
                <w:sz w:val="4"/>
                <w:szCs w:val="4"/>
              </w:rPr>
            </w:r>
          </w:p>
        </w:tc>
        <w:tc>
          <w:tcPr>
            <w:tcW w:w="1500" w:type="dxa"/>
            <w:gridSpan w:val="4"/>
            <w:tcBorders/>
            <w:shd w:fill="auto" w:val="clear"/>
            <w:vAlign w:val="center"/>
          </w:tcPr>
          <w:p>
            <w:pPr>
              <w:pStyle w:val="TableContents"/>
              <w:spacing w:before="0" w:after="283"/>
              <w:rPr>
                <w:sz w:val="4"/>
                <w:szCs w:val="4"/>
              </w:rPr>
            </w:pPr>
            <w:r>
              <w:rPr>
                <w:sz w:val="4"/>
                <w:szCs w:val="4"/>
              </w:rPr>
            </w:r>
          </w:p>
        </w:tc>
        <w:tc>
          <w:tcPr>
            <w:tcW w:w="1452" w:type="dxa"/>
            <w:gridSpan w:val="4"/>
            <w:tcBorders/>
            <w:shd w:fill="auto" w:val="clear"/>
            <w:vAlign w:val="center"/>
          </w:tcPr>
          <w:p>
            <w:pPr>
              <w:pStyle w:val="TableContents"/>
              <w:spacing w:before="0" w:after="283"/>
              <w:rPr>
                <w:sz w:val="4"/>
                <w:szCs w:val="4"/>
              </w:rPr>
            </w:pPr>
            <w:r>
              <w:rPr>
                <w:sz w:val="4"/>
                <w:szCs w:val="4"/>
              </w:rPr>
            </w:r>
          </w:p>
        </w:tc>
        <w:tc>
          <w:tcPr>
            <w:tcW w:w="1451" w:type="dxa"/>
            <w:gridSpan w:val="4"/>
            <w:tcBorders/>
            <w:shd w:fill="auto" w:val="clear"/>
            <w:vAlign w:val="center"/>
          </w:tcPr>
          <w:p>
            <w:pPr>
              <w:pStyle w:val="TableContents"/>
              <w:spacing w:before="0" w:after="283"/>
              <w:rPr>
                <w:sz w:val="4"/>
                <w:szCs w:val="4"/>
              </w:rPr>
            </w:pPr>
            <w:r>
              <w:rPr>
                <w:sz w:val="4"/>
                <w:szCs w:val="4"/>
              </w:rPr>
            </w:r>
          </w:p>
        </w:tc>
        <w:tc>
          <w:tcPr>
            <w:tcW w:w="1462" w:type="dxa"/>
            <w:gridSpan w:val="4"/>
            <w:tcBorders/>
            <w:shd w:fill="auto" w:val="clear"/>
            <w:vAlign w:val="center"/>
          </w:tcPr>
          <w:p>
            <w:pPr>
              <w:pStyle w:val="TableContents"/>
              <w:spacing w:before="0" w:after="283"/>
              <w:rPr>
                <w:sz w:val="4"/>
                <w:szCs w:val="4"/>
              </w:rPr>
            </w:pPr>
            <w:r>
              <w:rPr>
                <w:sz w:val="4"/>
                <w:szCs w:val="4"/>
              </w:rPr>
            </w:r>
          </w:p>
        </w:tc>
      </w:tr>
      <w:tr>
        <w:trPr/>
        <w:tc>
          <w:tcPr>
            <w:tcW w:w="4340"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30" w:type="dxa"/>
            <w:tcBorders/>
            <w:shd w:fill="auto" w:val="clear"/>
            <w:vAlign w:val="bottom"/>
          </w:tcPr>
          <w:p>
            <w:pPr>
              <w:pStyle w:val="TableContents"/>
              <w:spacing w:before="0" w:after="283"/>
              <w:rPr/>
            </w:pPr>
            <w:r>
              <w:rPr/>
              <w:t> </w:t>
            </w:r>
          </w:p>
        </w:tc>
      </w:tr>
      <w:tr>
        <w:trPr/>
        <w:tc>
          <w:tcPr>
            <w:tcW w:w="4340"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$199 for each three-month and $396 for each six-month period, respectively)</w:t>
            </w:r>
          </w:p>
        </w:tc>
        <w:tc>
          <w:tcPr>
            <w:tcW w:w="3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(595</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(670</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(1,188</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(1,353</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434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 before income taxes</w:t>
            </w:r>
          </w:p>
        </w:tc>
        <w:tc>
          <w:tcPr>
            <w:tcW w:w="3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(719</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434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3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HorizontalLine"/>
              <w:pBdr>
                <w:bottom w:val="single" w:sz="18" w:space="0" w:color="FFFFFF"/>
              </w:pBdr>
              <w:spacing w:before="0" w:after="283"/>
              <w:rPr/>
            </w:pPr>
            <w:r>
              <w:rPr/>
            </w:r>
          </w:p>
        </w:tc>
      </w:tr>
      <w:tr>
        <w:trPr>
          <w:trHeight w:val="120" w:hRule="atLeast"/>
        </w:trPr>
        <w:tc>
          <w:tcPr>
            <w:tcW w:w="4340" w:type="dxa"/>
            <w:tcBorders/>
            <w:shd w:fill="auto" w:val="clear"/>
            <w:vAlign w:val="center"/>
          </w:tcPr>
          <w:p>
            <w:pPr>
              <w:pStyle w:val="TableContents"/>
              <w:spacing w:before="0" w:after="283"/>
              <w:rPr>
                <w:sz w:val="4"/>
                <w:szCs w:val="4"/>
              </w:rPr>
            </w:pPr>
            <w:r>
              <w:rPr>
                <w:sz w:val="4"/>
                <w:szCs w:val="4"/>
              </w:rPr>
            </w:r>
          </w:p>
        </w:tc>
        <w:tc>
          <w:tcPr>
            <w:tcW w:w="1500" w:type="dxa"/>
            <w:gridSpan w:val="4"/>
            <w:tcBorders/>
            <w:shd w:fill="auto" w:val="clear"/>
            <w:vAlign w:val="center"/>
          </w:tcPr>
          <w:p>
            <w:pPr>
              <w:pStyle w:val="TableContents"/>
              <w:spacing w:before="0" w:after="283"/>
              <w:rPr>
                <w:sz w:val="4"/>
                <w:szCs w:val="4"/>
              </w:rPr>
            </w:pPr>
            <w:r>
              <w:rPr>
                <w:sz w:val="4"/>
                <w:szCs w:val="4"/>
              </w:rPr>
            </w:r>
          </w:p>
        </w:tc>
        <w:tc>
          <w:tcPr>
            <w:tcW w:w="1452" w:type="dxa"/>
            <w:gridSpan w:val="4"/>
            <w:tcBorders/>
            <w:shd w:fill="auto" w:val="clear"/>
            <w:vAlign w:val="center"/>
          </w:tcPr>
          <w:p>
            <w:pPr>
              <w:pStyle w:val="TableContents"/>
              <w:spacing w:before="0" w:after="283"/>
              <w:rPr>
                <w:sz w:val="4"/>
                <w:szCs w:val="4"/>
              </w:rPr>
            </w:pPr>
            <w:r>
              <w:rPr>
                <w:sz w:val="4"/>
                <w:szCs w:val="4"/>
              </w:rPr>
            </w:r>
          </w:p>
        </w:tc>
        <w:tc>
          <w:tcPr>
            <w:tcW w:w="1451" w:type="dxa"/>
            <w:gridSpan w:val="4"/>
            <w:tcBorders/>
            <w:shd w:fill="auto" w:val="clear"/>
            <w:vAlign w:val="center"/>
          </w:tcPr>
          <w:p>
            <w:pPr>
              <w:pStyle w:val="TableContents"/>
              <w:spacing w:before="0" w:after="283"/>
              <w:rPr>
                <w:sz w:val="4"/>
                <w:szCs w:val="4"/>
              </w:rPr>
            </w:pPr>
            <w:r>
              <w:rPr>
                <w:sz w:val="4"/>
                <w:szCs w:val="4"/>
              </w:rPr>
            </w:r>
          </w:p>
        </w:tc>
        <w:tc>
          <w:tcPr>
            <w:tcW w:w="1462" w:type="dxa"/>
            <w:gridSpan w:val="4"/>
            <w:tcBorders/>
            <w:shd w:fill="auto" w:val="clear"/>
            <w:vAlign w:val="center"/>
          </w:tcPr>
          <w:p>
            <w:pPr>
              <w:pStyle w:val="TableContents"/>
              <w:spacing w:before="0" w:after="283"/>
              <w:rPr>
                <w:sz w:val="4"/>
                <w:szCs w:val="4"/>
              </w:rPr>
            </w:pPr>
            <w:r>
              <w:rPr>
                <w:sz w:val="4"/>
                <w:szCs w:val="4"/>
              </w:rPr>
            </w:r>
          </w:p>
        </w:tc>
      </w:tr>
      <w:tr>
        <w:trPr/>
        <w:tc>
          <w:tcPr>
            <w:tcW w:w="4340"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3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4340"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 net income (loss)</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HorizontalLine"/>
              <w:pBdr>
                <w:bottom w:val="single" w:sz="18" w:space="0" w:color="FFFFFF"/>
              </w:pBdr>
              <w:spacing w:before="0" w:after="283"/>
              <w:rPr/>
            </w:pPr>
            <w:r>
              <w:rPr/>
            </w:r>
          </w:p>
        </w:tc>
      </w:tr>
      <w:tr>
        <w:trPr/>
        <w:tc>
          <w:tcPr>
            <w:tcW w:w="4340"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37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4340"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9,852,876</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9,578,959</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9,722,033</w:t>
            </w:r>
          </w:p>
        </w:tc>
        <w:tc>
          <w:tcPr>
            <w:tcW w:w="12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9,580,026</w:t>
            </w:r>
          </w:p>
        </w:tc>
        <w:tc>
          <w:tcPr>
            <w:tcW w:w="130" w:type="dxa"/>
            <w:tcBorders/>
            <w:shd w:fill="auto" w:val="clear"/>
            <w:vAlign w:val="bottom"/>
          </w:tcPr>
          <w:p>
            <w:pPr>
              <w:pStyle w:val="TableContents"/>
              <w:spacing w:before="0" w:after="283"/>
              <w:rPr/>
            </w:pPr>
            <w:r>
              <w:rPr/>
              <w:t> </w:t>
            </w:r>
          </w:p>
        </w:tc>
      </w:tr>
      <w:tr>
        <w:trPr/>
        <w:tc>
          <w:tcPr>
            <w:tcW w:w="434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30"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w:t>
      </w:r>
    </w:p>
    <w:p>
      <w:pPr>
        <w:pStyle w:val="TextBody"/>
        <w:spacing w:before="0" w:after="0"/>
        <w:jc w:val="center"/>
        <w:rPr>
          <w:rFonts w:ascii="Times New Roman" w:hAnsi="Times New Roman"/>
          <w:sz w:val="20"/>
        </w:rPr>
      </w:pPr>
      <w:r>
        <w:rPr>
          <w:rFonts w:ascii="Times New Roman" w:hAnsi="Times New Roman"/>
          <w:sz w:val="20"/>
        </w:rPr>
        <w:t xml:space="preserve">an integral part of the above statements.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bookmarkStart w:id="5" w:name="tx26457_3"/>
      <w:bookmarkEnd w:id="5"/>
      <w:r>
        <w:rPr>
          <w:rFonts w:ascii="Times New Roman" w:hAnsi="Times New Roman"/>
          <w:sz w:val="20"/>
        </w:rPr>
        <w:t xml:space="preserve">CONDENSED CONSOLIDATED STATEMENTS OF CASH FLOWS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508"/>
        <w:gridCol w:w="494"/>
        <w:gridCol w:w="185"/>
        <w:gridCol w:w="546"/>
        <w:gridCol w:w="146"/>
        <w:gridCol w:w="443"/>
        <w:gridCol w:w="185"/>
        <w:gridCol w:w="546"/>
        <w:gridCol w:w="152"/>
      </w:tblGrid>
      <w:tr>
        <w:trPr/>
        <w:tc>
          <w:tcPr>
            <w:tcW w:w="750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Dollars in thousands</w:t>
            </w:r>
          </w:p>
        </w:tc>
        <w:tc>
          <w:tcPr>
            <w:tcW w:w="494" w:type="dxa"/>
            <w:tcBorders/>
            <w:shd w:fill="auto" w:val="clear"/>
            <w:vAlign w:val="bottom"/>
          </w:tcPr>
          <w:p>
            <w:pPr>
              <w:pStyle w:val="TableContents"/>
              <w:spacing w:before="0" w:after="283"/>
              <w:rPr/>
            </w:pPr>
            <w:r>
              <w:rPr/>
              <w:t>  </w:t>
            </w:r>
          </w:p>
        </w:tc>
        <w:tc>
          <w:tcPr>
            <w:tcW w:w="2051"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SIX MONTHS</w:t>
              <w:br/>
              <w:t>ENDED</w:t>
              <w:br/>
              <w:t>JUNE 30,</w:t>
            </w:r>
          </w:p>
        </w:tc>
        <w:tc>
          <w:tcPr>
            <w:tcW w:w="152" w:type="dxa"/>
            <w:tcBorders/>
            <w:shd w:fill="auto" w:val="clear"/>
            <w:vAlign w:val="bottom"/>
          </w:tcPr>
          <w:p>
            <w:pPr>
              <w:pStyle w:val="TableContents"/>
              <w:spacing w:before="0" w:after="283"/>
              <w:rPr/>
            </w:pPr>
            <w:r>
              <w:rPr/>
              <w:t> </w:t>
            </w:r>
          </w:p>
        </w:tc>
      </w:tr>
      <w:tr>
        <w:trPr/>
        <w:tc>
          <w:tcPr>
            <w:tcW w:w="750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731"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2003</w:t>
            </w:r>
          </w:p>
          <w:p>
            <w:pPr>
              <w:pStyle w:val="HorizontalLine"/>
              <w:pBdr>
                <w:bottom w:val="single" w:sz="6" w:space="0" w:color="000000"/>
              </w:pBdr>
              <w:spacing w:before="0" w:after="283"/>
              <w:rPr/>
            </w:pPr>
            <w:r>
              <w:rPr/>
            </w:r>
          </w:p>
        </w:tc>
        <w:tc>
          <w:tcPr>
            <w:tcW w:w="14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731"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2002</w:t>
            </w:r>
          </w:p>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(331</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loss to net cash provided by (used in) operating activities:</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14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910</w:t>
            </w:r>
          </w:p>
        </w:tc>
        <w:tc>
          <w:tcPr>
            <w:tcW w:w="152" w:type="dxa"/>
            <w:tcBorders/>
            <w:shd w:fill="auto" w:val="clear"/>
            <w:vAlign w:val="bottom"/>
          </w:tcPr>
          <w:p>
            <w:pPr>
              <w:pStyle w:val="TableContents"/>
              <w:spacing w:before="0" w:after="283"/>
              <w:rPr/>
            </w:pPr>
            <w:r>
              <w:rPr/>
              <w:t> </w:t>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 cash gains included in net loss</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1,359</w:t>
            </w:r>
          </w:p>
        </w:tc>
        <w:tc>
          <w:tcPr>
            <w:tcW w:w="146"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4,954</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14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(964</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(1,788</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(3,289</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152" w:type="dxa"/>
            <w:tcBorders/>
            <w:shd w:fill="auto" w:val="clear"/>
            <w:vAlign w:val="bottom"/>
          </w:tcPr>
          <w:p>
            <w:pPr>
              <w:pStyle w:val="TableContents"/>
              <w:spacing w:before="0" w:after="283"/>
              <w:rPr/>
            </w:pPr>
            <w:r>
              <w:rPr/>
              <w:t> </w:t>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46"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HorizontalLine"/>
              <w:pBdr>
                <w:bottom w:val="single" w:sz="6" w:space="0" w:color="FFFFFF"/>
              </w:pBdr>
              <w:spacing w:before="0" w:after="283"/>
              <w:rPr/>
            </w:pPr>
            <w:r>
              <w:rPr/>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operating activities</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(1,218</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1,024</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46"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HorizontalLine"/>
              <w:pBdr>
                <w:bottom w:val="single" w:sz="6" w:space="0" w:color="FFFFFF"/>
              </w:pBdr>
              <w:spacing w:before="0" w:after="283"/>
              <w:rPr/>
            </w:pPr>
            <w:r>
              <w:rPr/>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of equipment</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sale of property</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1,568</w:t>
            </w:r>
          </w:p>
        </w:tc>
        <w:tc>
          <w:tcPr>
            <w:tcW w:w="146"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46"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HorizontalLine"/>
              <w:pBdr>
                <w:bottom w:val="single" w:sz="6" w:space="0" w:color="FFFFFF"/>
              </w:pBdr>
              <w:spacing w:before="0" w:after="283"/>
              <w:rPr/>
            </w:pPr>
            <w:r>
              <w:rPr/>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investing activities</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1,511</w:t>
            </w:r>
          </w:p>
        </w:tc>
        <w:tc>
          <w:tcPr>
            <w:tcW w:w="146"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46"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HorizontalLine"/>
              <w:pBdr>
                <w:bottom w:val="single" w:sz="6" w:space="0" w:color="FFFFFF"/>
              </w:pBdr>
              <w:spacing w:before="0" w:after="283"/>
              <w:rPr/>
            </w:pPr>
            <w:r>
              <w:rPr/>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tcPr>
          <w:p>
            <w:pPr>
              <w:pStyle w:val="TableContents"/>
              <w:spacing w:before="0" w:after="283"/>
              <w:rPr>
                <w:rFonts w:ascii="Times New Roman" w:hAnsi="Times New Roman"/>
                <w:sz w:val="20"/>
              </w:rPr>
            </w:pPr>
            <w:r>
              <w:rPr>
                <w:rFonts w:ascii="Times New Roman" w:hAnsi="Times New Roman"/>
                <w:sz w:val="20"/>
              </w:rPr>
              <w:t>Stock repurchases</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employee stock purchase plan</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6"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tcPr>
          <w:p>
            <w:pPr>
              <w:pStyle w:val="TableContents"/>
              <w:spacing w:before="0" w:after="283"/>
              <w:rPr>
                <w:rFonts w:ascii="Times New Roman" w:hAnsi="Times New Roman"/>
                <w:sz w:val="20"/>
              </w:rPr>
            </w:pPr>
            <w:r>
              <w:rPr>
                <w:rFonts w:ascii="Times New Roman" w:hAnsi="Times New Roman"/>
                <w:sz w:val="20"/>
              </w:rPr>
              <w:t>Stock issuance expenses</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Net borrowings on revolving credit line and (repayments) of debt</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(591</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46"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HorizontalLine"/>
              <w:pBdr>
                <w:bottom w:val="single" w:sz="6" w:space="0" w:color="FFFFFF"/>
              </w:pBdr>
              <w:spacing w:before="0" w:after="283"/>
              <w:rPr/>
            </w:pPr>
            <w:r>
              <w:rPr/>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financing activities</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(825</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0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46"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HorizontalLine"/>
              <w:pBdr>
                <w:bottom w:val="single" w:sz="6" w:space="0" w:color="FFFFFF"/>
              </w:pBdr>
              <w:spacing w:before="0" w:after="283"/>
              <w:rPr/>
            </w:pPr>
            <w:r>
              <w:rPr/>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Net (decrease) increase in cash</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the period</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4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52" w:type="dxa"/>
            <w:tcBorders/>
            <w:shd w:fill="auto" w:val="clear"/>
            <w:vAlign w:val="bottom"/>
          </w:tcPr>
          <w:p>
            <w:pPr>
              <w:pStyle w:val="TableContents"/>
              <w:spacing w:before="0" w:after="283"/>
              <w:rPr/>
            </w:pPr>
            <w:r>
              <w:rPr/>
              <w:t> </w:t>
            </w:r>
          </w:p>
        </w:tc>
      </w:tr>
      <w:tr>
        <w:trPr/>
        <w:tc>
          <w:tcPr>
            <w:tcW w:w="750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46"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HorizontalLine"/>
              <w:pBdr>
                <w:bottom w:val="single" w:sz="6" w:space="0" w:color="FFFFFF"/>
              </w:pBdr>
              <w:spacing w:before="0" w:after="283"/>
              <w:rPr/>
            </w:pPr>
            <w:r>
              <w:rPr/>
            </w:r>
          </w:p>
        </w:tc>
      </w:tr>
      <w:tr>
        <w:trPr/>
        <w:tc>
          <w:tcPr>
            <w:tcW w:w="7508"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the period</w:t>
            </w:r>
          </w:p>
        </w:tc>
        <w:tc>
          <w:tcPr>
            <w:tcW w:w="4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46"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52" w:type="dxa"/>
            <w:tcBorders/>
            <w:shd w:fill="CCEEFF" w:val="clear"/>
            <w:vAlign w:val="bottom"/>
          </w:tcPr>
          <w:p>
            <w:pPr>
              <w:pStyle w:val="TableContents"/>
              <w:spacing w:before="0" w:after="283"/>
              <w:rPr/>
            </w:pPr>
            <w:r>
              <w:rPr/>
              <w:t> </w:t>
            </w:r>
          </w:p>
        </w:tc>
      </w:tr>
      <w:tr>
        <w:trPr/>
        <w:tc>
          <w:tcPr>
            <w:tcW w:w="750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18" w:space="0" w:color="000000"/>
              </w:pBdr>
              <w:spacing w:before="0" w:after="283"/>
              <w:rPr/>
            </w:pPr>
            <w:r>
              <w:rPr/>
            </w:r>
          </w:p>
        </w:tc>
        <w:tc>
          <w:tcPr>
            <w:tcW w:w="546" w:type="dxa"/>
            <w:tcBorders/>
            <w:shd w:fill="auto" w:val="clear"/>
            <w:vAlign w:val="bottom"/>
          </w:tcPr>
          <w:p>
            <w:pPr>
              <w:pStyle w:val="HorizontalLine"/>
              <w:pBdr>
                <w:bottom w:val="single" w:sz="18" w:space="0" w:color="000000"/>
              </w:pBdr>
              <w:spacing w:before="0" w:after="283"/>
              <w:rPr/>
            </w:pPr>
            <w:r>
              <w:rPr/>
            </w:r>
          </w:p>
        </w:tc>
        <w:tc>
          <w:tcPr>
            <w:tcW w:w="146" w:type="dxa"/>
            <w:tcBorders/>
            <w:shd w:fill="auto" w:val="clear"/>
            <w:vAlign w:val="bottom"/>
          </w:tcPr>
          <w:p>
            <w:pPr>
              <w:pStyle w:val="HorizontalLine"/>
              <w:pBdr>
                <w:bottom w:val="single" w:sz="18"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HorizontalLine"/>
              <w:pBdr>
                <w:bottom w:val="single" w:sz="18" w:space="0" w:color="000000"/>
              </w:pBdr>
              <w:spacing w:before="0" w:after="283"/>
              <w:rPr/>
            </w:pPr>
            <w:r>
              <w:rPr/>
            </w:r>
          </w:p>
        </w:tc>
        <w:tc>
          <w:tcPr>
            <w:tcW w:w="546"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SUPPLEMENTAL DISCLOSURES OF CASH FLOW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44"/>
        <w:gridCol w:w="354"/>
        <w:gridCol w:w="183"/>
        <w:gridCol w:w="346"/>
        <w:gridCol w:w="354"/>
        <w:gridCol w:w="183"/>
        <w:gridCol w:w="641"/>
      </w:tblGrid>
      <w:tr>
        <w:trPr/>
        <w:tc>
          <w:tcPr>
            <w:tcW w:w="8144"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during the period for:</w:t>
            </w:r>
          </w:p>
        </w:tc>
        <w:tc>
          <w:tcPr>
            <w:tcW w:w="3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rPr/>
            </w:pPr>
            <w:r>
              <w:rPr/>
              <w:t> </w:t>
            </w:r>
          </w:p>
        </w:tc>
      </w:tr>
      <w:tr>
        <w:trPr/>
        <w:tc>
          <w:tcPr>
            <w:tcW w:w="8144" w:type="dxa"/>
            <w:tcBorders/>
            <w:shd w:fill="auto" w:val="clear"/>
          </w:tcPr>
          <w:p>
            <w:pPr>
              <w:pStyle w:val="TableContents"/>
              <w:spacing w:before="0" w:after="283"/>
              <w:rPr>
                <w:rFonts w:ascii="Times New Roman" w:hAnsi="Times New Roman"/>
                <w:sz w:val="20"/>
              </w:rPr>
            </w:pPr>
            <w:r>
              <w:rPr>
                <w:rFonts w:ascii="Times New Roman" w:hAnsi="Times New Roman"/>
                <w:sz w:val="20"/>
              </w:rPr>
              <w:t>Interest</w:t>
            </w:r>
          </w:p>
        </w:tc>
        <w:tc>
          <w:tcPr>
            <w:tcW w:w="3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3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1,761</w:t>
            </w:r>
          </w:p>
        </w:tc>
      </w:tr>
      <w:tr>
        <w:trPr/>
        <w:tc>
          <w:tcPr>
            <w:tcW w:w="814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HorizontalLine"/>
              <w:pBdr>
                <w:bottom w:val="single" w:sz="18" w:space="0" w:color="000000"/>
              </w:pBdr>
              <w:spacing w:before="0" w:after="283"/>
              <w:rPr/>
            </w:pPr>
            <w:r>
              <w:rPr/>
            </w:r>
          </w:p>
        </w:tc>
        <w:tc>
          <w:tcPr>
            <w:tcW w:w="346" w:type="dxa"/>
            <w:tcBorders/>
            <w:shd w:fill="auto" w:val="clear"/>
            <w:vAlign w:val="bottom"/>
          </w:tcPr>
          <w:p>
            <w:pPr>
              <w:pStyle w:val="HorizontalLine"/>
              <w:pBdr>
                <w:bottom w:val="single" w:sz="18" w:space="0" w:color="000000"/>
              </w:pBdr>
              <w:spacing w:before="0" w:after="283"/>
              <w:rPr/>
            </w:pPr>
            <w:r>
              <w:rPr/>
            </w:r>
          </w:p>
        </w:tc>
        <w:tc>
          <w:tcPr>
            <w:tcW w:w="3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HorizontalLine"/>
              <w:pBdr>
                <w:bottom w:val="single" w:sz="18" w:space="0" w:color="000000"/>
              </w:pBdr>
              <w:spacing w:before="0" w:after="283"/>
              <w:rPr/>
            </w:pPr>
            <w:r>
              <w:rPr/>
            </w:r>
          </w:p>
        </w:tc>
        <w:tc>
          <w:tcPr>
            <w:tcW w:w="641" w:type="dxa"/>
            <w:tcBorders/>
            <w:shd w:fill="auto" w:val="clear"/>
            <w:vAlign w:val="bottom"/>
          </w:tcPr>
          <w:p>
            <w:pPr>
              <w:pStyle w:val="HorizontalLine"/>
              <w:pBdr>
                <w:bottom w:val="single" w:sz="18" w:space="0" w:color="000000"/>
              </w:pBdr>
              <w:spacing w:before="0" w:after="283"/>
              <w:rPr/>
            </w:pPr>
            <w:r>
              <w:rPr/>
            </w:r>
          </w:p>
        </w:tc>
      </w:tr>
      <w:tr>
        <w:trPr/>
        <w:tc>
          <w:tcPr>
            <w:tcW w:w="814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w:t>
            </w:r>
          </w:p>
        </w:tc>
        <w:tc>
          <w:tcPr>
            <w:tcW w:w="3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3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r>
      <w:tr>
        <w:trPr/>
        <w:tc>
          <w:tcPr>
            <w:tcW w:w="814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HorizontalLine"/>
              <w:pBdr>
                <w:bottom w:val="single" w:sz="18" w:space="0" w:color="000000"/>
              </w:pBdr>
              <w:spacing w:before="0" w:after="283"/>
              <w:rPr/>
            </w:pPr>
            <w:r>
              <w:rPr/>
            </w:r>
          </w:p>
        </w:tc>
        <w:tc>
          <w:tcPr>
            <w:tcW w:w="346" w:type="dxa"/>
            <w:tcBorders/>
            <w:shd w:fill="auto" w:val="clear"/>
            <w:vAlign w:val="bottom"/>
          </w:tcPr>
          <w:p>
            <w:pPr>
              <w:pStyle w:val="HorizontalLine"/>
              <w:pBdr>
                <w:bottom w:val="single" w:sz="18" w:space="0" w:color="000000"/>
              </w:pBdr>
              <w:spacing w:before="0" w:after="283"/>
              <w:rPr/>
            </w:pPr>
            <w:r>
              <w:rPr/>
            </w:r>
          </w:p>
        </w:tc>
        <w:tc>
          <w:tcPr>
            <w:tcW w:w="3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HorizontalLine"/>
              <w:pBdr>
                <w:bottom w:val="single" w:sz="18" w:space="0" w:color="000000"/>
              </w:pBdr>
              <w:spacing w:before="0" w:after="283"/>
              <w:rPr/>
            </w:pPr>
            <w:r>
              <w:rPr/>
            </w:r>
          </w:p>
        </w:tc>
        <w:tc>
          <w:tcPr>
            <w:tcW w:w="641"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w:t>
      </w:r>
    </w:p>
    <w:p>
      <w:pPr>
        <w:pStyle w:val="TextBody"/>
        <w:spacing w:before="0" w:after="0"/>
        <w:jc w:val="center"/>
        <w:rPr>
          <w:rFonts w:ascii="Times New Roman" w:hAnsi="Times New Roman"/>
          <w:sz w:val="20"/>
        </w:rPr>
      </w:pPr>
      <w:r>
        <w:rPr>
          <w:rFonts w:ascii="Times New Roman" w:hAnsi="Times New Roman"/>
          <w:sz w:val="20"/>
        </w:rPr>
        <w:t xml:space="preserve">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bookmarkStart w:id="6" w:name="tx26457_4"/>
      <w:bookmarkEnd w:id="6"/>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Basis of reporting for condensed consolidated financial statements.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June 30, 2003 and December 31, 2002 and the results of operations for the three-month and six-month periods ended June 30, 2003 and 2002 and of cash flows for the six-month periods ended June 30, 2003 and 2002. The results of operations for the three-month period and six-month period ended June 30, 2003 are not necessarily indicative of the results to be expected for the full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These financial statements should be read in conjunction with the audited financial statements and notes thereto in the Companys Annual Report on Form 10-K filed with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recognize any compensation expense in 2003 or 2002 related to our stock option plans. We adopted the disclosure-only provisions of SFAS No. 123, Accounting for Stock-Based Compensation and related pronouncements.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compares 2003 and 2002 as reported to the pro forma results, considering both options and warrants discussed in Note 11 in our 2002 Annual Report filed on Form 10-K, had we adopted the expense recognition provision of SFAS No. 123: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4369"/>
        <w:gridCol w:w="194"/>
        <w:gridCol w:w="155"/>
        <w:gridCol w:w="396"/>
        <w:gridCol w:w="114"/>
        <w:gridCol w:w="140"/>
        <w:gridCol w:w="155"/>
        <w:gridCol w:w="396"/>
        <w:gridCol w:w="114"/>
        <w:gridCol w:w="140"/>
        <w:gridCol w:w="155"/>
        <w:gridCol w:w="396"/>
        <w:gridCol w:w="114"/>
        <w:gridCol w:w="140"/>
        <w:gridCol w:w="155"/>
        <w:gridCol w:w="396"/>
        <w:gridCol w:w="124"/>
      </w:tblGrid>
      <w:tr>
        <w:trPr/>
        <w:tc>
          <w:tcPr>
            <w:tcW w:w="436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356" w:type="dxa"/>
            <w:gridSpan w:val="6"/>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Three Months</w:t>
              <w:br/>
              <w:t>Ended June 30,</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56" w:type="dxa"/>
            <w:gridSpan w:val="6"/>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Six Months</w:t>
              <w:br/>
              <w:t>Ended June 30,</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r>
      <w:tr>
        <w:trPr/>
        <w:tc>
          <w:tcPr>
            <w:tcW w:w="436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551"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2003</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51"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2002</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51"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2003</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51"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2002</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as reported</w:t>
            </w:r>
          </w:p>
        </w:tc>
        <w:tc>
          <w:tcPr>
            <w:tcW w:w="19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Deduct: compensation cost based on fair value recognition, net of tax</w:t>
            </w:r>
          </w:p>
        </w:tc>
        <w:tc>
          <w:tcPr>
            <w:tcW w:w="19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6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396"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396"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396"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396"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net loss under SFAS No. 123</w:t>
            </w:r>
          </w:p>
        </w:tc>
        <w:tc>
          <w:tcPr>
            <w:tcW w:w="19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(614</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6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396"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396"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396"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396"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r>
      <w:tr>
        <w:trPr>
          <w:trHeight w:val="120" w:hRule="atLeast"/>
        </w:trPr>
        <w:tc>
          <w:tcPr>
            <w:tcW w:w="4369" w:type="dxa"/>
            <w:tcBorders/>
            <w:shd w:fill="auto" w:val="clear"/>
            <w:vAlign w:val="center"/>
          </w:tcPr>
          <w:p>
            <w:pPr>
              <w:pStyle w:val="TableContents"/>
              <w:spacing w:before="0" w:after="283"/>
              <w:rPr>
                <w:sz w:val="4"/>
                <w:szCs w:val="4"/>
              </w:rPr>
            </w:pPr>
            <w:r>
              <w:rPr>
                <w:sz w:val="4"/>
                <w:szCs w:val="4"/>
              </w:rPr>
            </w:r>
          </w:p>
        </w:tc>
        <w:tc>
          <w:tcPr>
            <w:tcW w:w="859" w:type="dxa"/>
            <w:gridSpan w:val="4"/>
            <w:tcBorders/>
            <w:shd w:fill="auto" w:val="clear"/>
            <w:vAlign w:val="center"/>
          </w:tcPr>
          <w:p>
            <w:pPr>
              <w:pStyle w:val="TableContents"/>
              <w:spacing w:before="0" w:after="283"/>
              <w:rPr>
                <w:sz w:val="4"/>
                <w:szCs w:val="4"/>
              </w:rPr>
            </w:pPr>
            <w:r>
              <w:rPr>
                <w:sz w:val="4"/>
                <w:szCs w:val="4"/>
              </w:rPr>
            </w:r>
          </w:p>
        </w:tc>
        <w:tc>
          <w:tcPr>
            <w:tcW w:w="805" w:type="dxa"/>
            <w:gridSpan w:val="4"/>
            <w:tcBorders/>
            <w:shd w:fill="auto" w:val="clear"/>
            <w:vAlign w:val="center"/>
          </w:tcPr>
          <w:p>
            <w:pPr>
              <w:pStyle w:val="TableContents"/>
              <w:spacing w:before="0" w:after="283"/>
              <w:rPr>
                <w:sz w:val="4"/>
                <w:szCs w:val="4"/>
              </w:rPr>
            </w:pPr>
            <w:r>
              <w:rPr>
                <w:sz w:val="4"/>
                <w:szCs w:val="4"/>
              </w:rPr>
            </w:r>
          </w:p>
        </w:tc>
        <w:tc>
          <w:tcPr>
            <w:tcW w:w="805" w:type="dxa"/>
            <w:gridSpan w:val="4"/>
            <w:tcBorders/>
            <w:shd w:fill="auto" w:val="clear"/>
            <w:vAlign w:val="center"/>
          </w:tcPr>
          <w:p>
            <w:pPr>
              <w:pStyle w:val="TableContents"/>
              <w:spacing w:before="0" w:after="283"/>
              <w:rPr>
                <w:sz w:val="4"/>
                <w:szCs w:val="4"/>
              </w:rPr>
            </w:pPr>
            <w:r>
              <w:rPr>
                <w:sz w:val="4"/>
                <w:szCs w:val="4"/>
              </w:rPr>
            </w:r>
          </w:p>
        </w:tc>
        <w:tc>
          <w:tcPr>
            <w:tcW w:w="815" w:type="dxa"/>
            <w:gridSpan w:val="4"/>
            <w:tcBorders/>
            <w:shd w:fill="auto" w:val="clear"/>
            <w:vAlign w:val="center"/>
          </w:tcPr>
          <w:p>
            <w:pPr>
              <w:pStyle w:val="TableContents"/>
              <w:spacing w:before="0" w:after="283"/>
              <w:rPr>
                <w:sz w:val="4"/>
                <w:szCs w:val="4"/>
              </w:rPr>
            </w:pPr>
            <w:r>
              <w:rPr>
                <w:sz w:val="4"/>
                <w:szCs w:val="4"/>
              </w:rPr>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Basic and diluted loss per share:</w:t>
            </w:r>
          </w:p>
        </w:tc>
        <w:tc>
          <w:tcPr>
            <w:tcW w:w="19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As reported</w:t>
            </w:r>
          </w:p>
        </w:tc>
        <w:tc>
          <w:tcPr>
            <w:tcW w:w="19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under SFAS No. 123</w:t>
            </w:r>
          </w:p>
        </w:tc>
        <w:tc>
          <w:tcPr>
            <w:tcW w:w="19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Certain amounts in the June 30, 2002 financial statements have been reclassified to conform to the June 30, 2003 presentation.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New Accounting Standards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June 2001, the Financial Accounting Standards Board (FASB) issued Statement of Financial Accounting Standards (SFAS) No. 143, Accounting for Asset Retirement Obligations, requiring that the fair value of a liability for an asset retirement obligation be recognized in the period in which it is incurred if a reasonable estimate of fair value can be made. The associated asset retirement costs are capitalized as part of the carrying amount of the long-lived asset. The adoption of this statement on January 1, 2003 did not have an effect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April 2002, the FASB issued Statement No. 145, Rescission of FASB Statements No. 4, 44 and 64, Amendment of FASB Statement No. 13, and Technical Corrections. Among other amendments to previous pronouncements, which have already taken effect, a provision in the Statement requires certain gains and losses from extinguishment of debt to be reclassified from extraordinary items. The adoption of this statement on January 1, 2003 did not have an effect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June 2002, the FASB issued SFAS No. 146, Accounting for Costs Associated with Exit or disposal Activities, which is effective for exit or disposal activities initiated after December 31, 2002. SFAS No. 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2002, the FASB issued Statement No. 148, Accounting for Stock-Based CompensationTransaction and Disclosure which we adopted January 1, 2003. The Statement provides alternative methods of transition for a voluntary change in the fair value method. We do not anticipate making a voluntary change, however we adopted the disclosure requirements effective December 31,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April 30, 2003, the FASB issued SFAS No. 149, Amendment of Statement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for hedging relationships designated after June 30, 2003, and to certain preexisting contracts. We adopted SFAS No. 149 on a prospective basis at its effective date on July 1, 2003.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is effective for financial instruments entered into or modified after May 21,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We do not expect the adoption of this statement will have a material impact on our financial condition or results of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 issued Interpretation No. 45 (FIN 45) Guarantors Accounting and Disclosure requirements for Guarantees, Including Indirect Guarantees of Indebtedness of Others. FIN 45 elaborates on the existing disclosure requirements for most guarantees, including loan guarantees. It also clarifies that at the time a company issues a guarantee, the company must recognize an initial liability for the fair value, or market value, of the obligations, it assumes under that guarantee. However, the provisions do not apply to product warranties or to guarantees accounted for as derivatives. The initial recognition and initial measurement provisions, which apply on a prospective basis beginning January 1, 2003, had no effect on our financial statements in the second quarter of 2003 because there were no guarantees issued or modified during this period. The disclosure requirements of FIN 45 were adopted December 31, 2002 and had no effect on our financial statement disclosures for the second quarter of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2003, the FASB issued Interpretation No. 46 (FIN 46) Consolidation of Variable Interest Entities. FIN 46 requires a variable interest entity to be consolidated by a company if that company is subject to a majority of the risk of loss from the variable interest entitys activities or entitled to receive a majority of the entitys residual returns. FIN 46 applies to variable interest entities created after January 31, 2003, and to variable interest entities in which an enterprise obtains an interest in after that date. The adoption of this interpretation currently has no effect on our financial condition or results of operations, as we do not have any variable interest entities.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FASBs Emerging Issues Task Force (EITF) reached a consensus on EITF Issue No. 00-21, Revenue Arrangements with Multiple Deliverables. EITF No. 00-21 provided guidance for revenue arrangements that involve the delivery or performance of multiple products or services where performance may occur at different points or over different periods of time. EITF No. 00-21 is effective for revenue arrangements entered into in fiscal periods beginning after June 15, 2003 (i.e., the Companys fiscal 2004). The Company has not yet completed its assessment of the anticipated adoption, if any, of EITF Issue No. 00-21.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Inventories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Inventories consist of the following: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5777"/>
        <w:gridCol w:w="194"/>
        <w:gridCol w:w="139"/>
        <w:gridCol w:w="547"/>
        <w:gridCol w:w="194"/>
        <w:gridCol w:w="161"/>
        <w:gridCol w:w="641"/>
      </w:tblGrid>
      <w:tr>
        <w:trPr/>
        <w:tc>
          <w:tcPr>
            <w:tcW w:w="577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86"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June 30,</w:t>
              <w:br/>
              <w:t>2003</w:t>
            </w:r>
          </w:p>
          <w:p>
            <w:pPr>
              <w:pStyle w:val="HorizontalLine"/>
              <w:pBdr>
                <w:bottom w:val="single" w:sz="6" w:space="0" w:color="000000"/>
              </w:pBdr>
              <w:spacing w:before="0" w:after="283"/>
              <w:rPr/>
            </w:pPr>
            <w:r>
              <w:rPr/>
            </w:r>
          </w:p>
        </w:tc>
        <w:tc>
          <w:tcPr>
            <w:tcW w:w="194" w:type="dxa"/>
            <w:tcBorders/>
            <w:shd w:fill="auto" w:val="clear"/>
            <w:vAlign w:val="bottom"/>
          </w:tcPr>
          <w:p>
            <w:pPr>
              <w:pStyle w:val="TableContents"/>
              <w:spacing w:before="0" w:after="283"/>
              <w:rPr/>
            </w:pPr>
            <w:r>
              <w:rPr/>
              <w:t>  </w:t>
            </w:r>
          </w:p>
        </w:tc>
        <w:tc>
          <w:tcPr>
            <w:tcW w:w="802"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December 31,</w:t>
              <w:br/>
              <w:t>2002</w:t>
            </w:r>
          </w:p>
          <w:p>
            <w:pPr>
              <w:pStyle w:val="HorizontalLine"/>
              <w:pBdr>
                <w:bottom w:val="single" w:sz="6" w:space="0" w:color="000000"/>
              </w:pBdr>
              <w:spacing w:before="0" w:after="283"/>
              <w:rPr/>
            </w:pPr>
            <w:r>
              <w:rPr/>
            </w:r>
          </w:p>
        </w:tc>
      </w:tr>
      <w:tr>
        <w:trPr/>
        <w:tc>
          <w:tcPr>
            <w:tcW w:w="5777"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 and subassemblies</w:t>
            </w:r>
          </w:p>
        </w:tc>
        <w:tc>
          <w:tcPr>
            <w:tcW w:w="1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1,051</w:t>
            </w:r>
          </w:p>
        </w:tc>
        <w:tc>
          <w:tcPr>
            <w:tcW w:w="19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1,202</w:t>
            </w:r>
          </w:p>
        </w:tc>
      </w:tr>
      <w:tr>
        <w:trPr/>
        <w:tc>
          <w:tcPr>
            <w:tcW w:w="5777"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1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w:t>
            </w:r>
          </w:p>
        </w:tc>
        <w:tc>
          <w:tcPr>
            <w:tcW w:w="19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r>
      <w:tr>
        <w:trPr/>
        <w:tc>
          <w:tcPr>
            <w:tcW w:w="5777"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1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9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w:t>
            </w:r>
          </w:p>
        </w:tc>
      </w:tr>
      <w:tr>
        <w:trPr/>
        <w:tc>
          <w:tcPr>
            <w:tcW w:w="577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47" w:type="dxa"/>
            <w:tcBorders/>
            <w:shd w:fill="auto" w:val="clear"/>
            <w:vAlign w:val="bottom"/>
          </w:tcPr>
          <w:p>
            <w:pPr>
              <w:pStyle w:val="HorizontalLine"/>
              <w:pBdr>
                <w:bottom w:val="single" w:sz="6" w:space="0" w:color="000000"/>
              </w:pBdr>
              <w:spacing w:before="0" w:after="283"/>
              <w:rPr/>
            </w:pPr>
            <w:r>
              <w:rPr/>
            </w:r>
          </w:p>
        </w:tc>
        <w:tc>
          <w:tcPr>
            <w:tcW w:w="194"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641" w:type="dxa"/>
            <w:tcBorders/>
            <w:shd w:fill="auto" w:val="clear"/>
            <w:vAlign w:val="bottom"/>
          </w:tcPr>
          <w:p>
            <w:pPr>
              <w:pStyle w:val="HorizontalLine"/>
              <w:pBdr>
                <w:bottom w:val="single" w:sz="6" w:space="0" w:color="000000"/>
              </w:pBdr>
              <w:spacing w:before="0" w:after="283"/>
              <w:rPr/>
            </w:pPr>
            <w:r>
              <w:rPr/>
            </w:r>
          </w:p>
        </w:tc>
      </w:tr>
      <w:tr>
        <w:trPr/>
        <w:tc>
          <w:tcPr>
            <w:tcW w:w="5777" w:type="dxa"/>
            <w:tcBorders/>
            <w:shd w:fill="CCEEFF" w:val="clear"/>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1,893</w:t>
            </w:r>
          </w:p>
        </w:tc>
        <w:tc>
          <w:tcPr>
            <w:tcW w:w="19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2,055</w:t>
            </w:r>
          </w:p>
        </w:tc>
      </w:tr>
      <w:tr>
        <w:trPr/>
        <w:tc>
          <w:tcPr>
            <w:tcW w:w="577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547" w:type="dxa"/>
            <w:tcBorders/>
            <w:shd w:fill="auto" w:val="clear"/>
            <w:vAlign w:val="bottom"/>
          </w:tcPr>
          <w:p>
            <w:pPr>
              <w:pStyle w:val="HorizontalLine"/>
              <w:pBdr>
                <w:bottom w:val="single" w:sz="18" w:space="0" w:color="000000"/>
              </w:pBdr>
              <w:spacing w:before="0" w:after="283"/>
              <w:rPr/>
            </w:pPr>
            <w:r>
              <w:rPr/>
            </w:r>
          </w:p>
        </w:tc>
        <w:tc>
          <w:tcPr>
            <w:tcW w:w="194"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641"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Business Segment Information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Earnings Per Share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the three months ended June 30, 2003 and 2002, both basic weighted average common shares outstanding and diluted average common shares outstanding were 9,852,876 and 9,578,959, respectively. For the six months ended June 30, 2003 and 2002, both basic weighted average common shares outstanding and diluted average common shares outstanding were 9,722,033 and 9,580,026, respectively. We consider outstanding options and warrants in computing diluted net loss per share only when they are dilutive. Options and warrants to purchase 3,451,000 shares for the three months and six months ended June 30, 2003 and 2002, respectively, were not included in the computation of diluted earnings per share due to their having an anti-dilutive effect. There were no adjustments to net loss for the basic or diluted earnings per share computations.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Comprehensive Loss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currently records as other comprehensive loss the changes in the additional minimum pension liability, and the change in fair value of the interest rate swap that matured in November 2002. A reconciliation of net loss to total comprehensive loss is as follows: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4492"/>
        <w:gridCol w:w="191"/>
        <w:gridCol w:w="154"/>
        <w:gridCol w:w="290"/>
        <w:gridCol w:w="113"/>
        <w:gridCol w:w="137"/>
        <w:gridCol w:w="154"/>
        <w:gridCol w:w="398"/>
        <w:gridCol w:w="113"/>
        <w:gridCol w:w="136"/>
        <w:gridCol w:w="154"/>
        <w:gridCol w:w="398"/>
        <w:gridCol w:w="113"/>
        <w:gridCol w:w="137"/>
        <w:gridCol w:w="154"/>
        <w:gridCol w:w="398"/>
        <w:gridCol w:w="121"/>
      </w:tblGrid>
      <w:tr>
        <w:trPr/>
        <w:tc>
          <w:tcPr>
            <w:tcW w:w="449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46" w:type="dxa"/>
            <w:gridSpan w:val="6"/>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Three Months</w:t>
            </w:r>
          </w:p>
          <w:p>
            <w:pPr>
              <w:pStyle w:val="TableContents"/>
              <w:spacing w:before="0" w:after="0"/>
              <w:jc w:val="center"/>
              <w:rPr>
                <w:rFonts w:ascii="Times New Roman" w:hAnsi="Times New Roman"/>
                <w:sz w:val="14"/>
              </w:rPr>
            </w:pPr>
            <w:r>
              <w:rPr>
                <w:rFonts w:ascii="Times New Roman" w:hAnsi="Times New Roman"/>
                <w:sz w:val="14"/>
              </w:rPr>
              <w:t>Ended</w:t>
            </w:r>
          </w:p>
          <w:p>
            <w:pPr>
              <w:pStyle w:val="TableContents"/>
              <w:spacing w:before="0" w:after="0"/>
              <w:jc w:val="center"/>
              <w:rPr>
                <w:rFonts w:ascii="Times New Roman" w:hAnsi="Times New Roman"/>
                <w:sz w:val="14"/>
              </w:rPr>
            </w:pPr>
            <w:r>
              <w:rPr>
                <w:rFonts w:ascii="Times New Roman" w:hAnsi="Times New Roman"/>
                <w:sz w:val="14"/>
              </w:rPr>
              <w:t>June 30,</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354" w:type="dxa"/>
            <w:gridSpan w:val="6"/>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Six Months</w:t>
              <w:br/>
              <w:t>Ended June 30,</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449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444"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2003</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552"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2002</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52"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2003</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552" w:type="dxa"/>
            <w:gridSpan w:val="2"/>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2002</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4492"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w:t>
            </w:r>
          </w:p>
        </w:tc>
        <w:tc>
          <w:tcPr>
            <w:tcW w:w="19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1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1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w:t>
            </w:r>
          </w:p>
        </w:tc>
        <w:tc>
          <w:tcPr>
            <w:tcW w:w="11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492"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fair value of swap, net of tax</w:t>
            </w:r>
          </w:p>
        </w:tc>
        <w:tc>
          <w:tcPr>
            <w:tcW w:w="1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1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1" w:type="dxa"/>
            <w:tcBorders/>
            <w:shd w:fill="auto" w:val="clear"/>
            <w:vAlign w:val="bottom"/>
          </w:tcPr>
          <w:p>
            <w:pPr>
              <w:pStyle w:val="TableContents"/>
              <w:spacing w:before="0" w:after="283"/>
              <w:rPr/>
            </w:pPr>
            <w:r>
              <w:rPr/>
              <w:t> </w:t>
            </w:r>
          </w:p>
        </w:tc>
      </w:tr>
      <w:tr>
        <w:trPr/>
        <w:tc>
          <w:tcPr>
            <w:tcW w:w="449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290"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136"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4492"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comprehensive loss</w:t>
            </w:r>
          </w:p>
        </w:tc>
        <w:tc>
          <w:tcPr>
            <w:tcW w:w="19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1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w:t>
            </w:r>
          </w:p>
        </w:tc>
        <w:tc>
          <w:tcPr>
            <w:tcW w:w="11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w:t>
            </w:r>
          </w:p>
        </w:tc>
        <w:tc>
          <w:tcPr>
            <w:tcW w:w="11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49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290"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136"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Debt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2002, our long-term debt, which was classified as Debt less current portion, was $12,164. This was comprised of a revolving line of credit of $4,873 (which matures in January 2004), bank term loans of $7,183 (net of current portion of $2,094) and an other term loan of $108 (net of current portion of $26). At June 30, 2003, long-term debt classified as Debt less current portion was $5,235 consisting solely of a bank term loan (net of current portion of $2,094). Current portion of debt includes $6,600 of our $8,000 revolving line of credit that matures in January 2004 as well as term debt of $2,094 which is due over the next twelve months. We intend to refinance the bank credit facility in the second half of 2003 under a multi-year agreement. Market conditions, Company performance and collateral will become major factors in our refinancing efforts. On May 7, 2003, we received approximately $1,600 in cash proceeds from the sale and leaseback of our Conshohocken, Pennsylvania property. A $222 gain was recognized during the second quarter of 2003 from the sale of the Conshohocken property as well as a $218 deferred gain, which will be recognized over the ensuing three-year leaseback period. Approximately, $700 was used to reduce the revolving line of credit and the balance was used to reduce term debt. Also, in February 2003, we accepted an offer to sell our property in Cincinnati, Ohio where the buyer has the option to cancel the agreement through September 30, 2003. If we consummate the sale of our Cincinnati, Ohio property, the net proceeds from the sale will significantly affect the amount of the credit facility required as well as the amount of other financing obtained, if any, in connection with the replacement facilities. Ultimately, we believe that we will be able to obtain a suitable refinancing at acceptable rates and terms with collateral and covenants customary in the industry.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bookmarkStart w:id="7" w:name="tx26457_5"/>
      <w:bookmarkEnd w:id="7"/>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Critical Accounting Policies are discussed in Item 7. Managements Discussion and Analysis of Financial Condition and Results of Operations to our Annual Report on Form 10-K for the year ended December 31, 2002.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Companys condensed consolidated statements of operations for the three-month and six-month period ended June 30, 2003 and June 30, 2002 reflect the operations of the Company consolidated with the operations of its subsidiaries.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Consolidated net sales for the second quarter were $17,754,000, a decrease of $832,000 compared to the same quarter in 2002. Consolidated net sales for the first six months of 2003 were $32,955,000, a decrease of $4,510,000 compared to the same period in 2002. The driving factors for this decline were: a) several large projects included in our December 31, 2001 backlog that were completed in 2002 (including work performed for ethanol processing facilities and a specialty textile manufacturer) and b) the continuing weakness in the United States economy.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Orders booked were $16,955,000 during the second quarter of 2003 and $31,305,000 for the first six months of 2003, as compared to $18,100,000 during the second quarter of 2002 and $37,600,000 in the first half of 2002. The decline in bookings was due to the weakness in the economy coupled with several large orders booked in the first quarter of 2002 that were not replaced with comparably sized orders in 2003 (including orders booked for a rockwool insulation manufacturing plant and for a large testing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Second quarter 2003 gross profit was $3,162,000. This compares to gross profit of $3,637,000 during the same period in 2002. Gross profit as a percentage of revenues for the three-month period ended June 30, 2003 was 17.8% compared with 19.6% for the comparable period in 2002. Gross profit was $6,231,000 for the first six months of 2003, a decrease of $1,244,000 compared to the same period in 2002. Gross profit as a percentage of revenues for the first six months of 2003 was 18.9% compared with 20.0% for the comparable period in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Selling and administrative expenses decreased by $507,000 or 16.6% to $2,546,000 during the second quarter of 2003 from $3,053,000 in the same period of 2002. Selling and administrative expenses decreased by $1,047,000 or 17.1% to $5,088,000 during the first six months of 2003 from $6,135,000 in the same period of 2002. In light of the lower revenue in 2002 and weakness in the economy, we implemented cost reduction initiatives in May 2002, September 2002 and May 2003, which are expected to generate an annualized operating cost savings of approximately $2,800,000. These cost savings as well as our cost containment efforts were the principal reasons for the decrease in selling and administrative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and amortization decreased by $57,000 to $396,000 during the second quarter of 2003 from $453,000 in the same period of 2002. Depreciation and amortization decreased by $111,000 to $799,000 in the first six months of 2003 from $910,000 in the same period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income for the three-month and six-month periods ended June 30, 2003 was $222,000 compared with income of $204,000 in the comparable periods in 2002. The other income during the second quarter of 2003 is the result of the gain recognized from the sale and leaseback of our Conshohocken, Pennsylvania property. A deferred gain of $218,000 will be recognized over the ensuing three-year leaseback period. The other income during the second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quarter of 2002 is the result of a fair market value adjustment to a liability recorded in connection with detachable stock warrants to purchase 353,334 shares of common stock at an initial exercise price of $3.60 per share. These warrants were issued along with the Companys stock issuance of 706,668 shares of common stock on December 31, 2001 to a group of private investors. This liability is accounted for at fair market value and adjustments in future quarters could result in an increase to the liability and a corresponding charge to income.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expense decreased by $75,000 to $595,000 from $670,000 during the second quarter of 2003. Interest expense decreased by $165,000 to $1,188,000 from $1,353,000. The decrease was due to lower debt outstanding during the quarter that was partially offset by higher interest rates.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Federal and state income tax benefit was $71,000 during the second quarter of 2003 compared with a tax benefit of $130,000 for the same period in 2002. Federal and state income tax benefit was $291,000 for the first six months of 2003, a decrease of $26,000 from the comparable period in 2002. The federal and state income tax benefit in the second quarter and first six months of 2003 was 47%, which reflects the estimated effective tax rate for 2003. Our statutory income tax rate is affected by certain permanent differences including non-deductible interest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loss for the quarter ended June 30, 2003 was ($82,000) compared with a net loss of ($205,000) for the same period in 2002. Net loss for the six months ended June 30, 2003 was ($331,000) compared with a net loss of ($402,000) for the same period in 2002.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Backlog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consists of orders we have received for products and services we expect to ship and deliver within the next 12 months. Our backlog, as of June 30, 2003 was $13,200,000 compared to $14,600,000 as of December 31, 2002. There can be no assurances that backlog will be replicated or increased or translated into higher revenues in the future. The success of our business depends on a multitude of factors that are out of our control. Our operating results can be affected by the introduction of new products, new manufacturing technologies, rapid change of the demand for its products, decrease in average selling prices over the life of the product as competition increases and our dependence to some degree on efforts of intermediaries to sell a portion of our product.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Financial Condition, Liquidity and Capital Resources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June 30, 2003 and December 31, 2002, cash and cash equivalents totaled $132,000 and $194,000,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Cash used in operating activities for the six-month period ended June 30, 2003 was ($1,218,000) compared to cash provided by operating activities of $1,024,000 for the comparable period in 2002. This fluctuation results primarily from the reduction in accounts receivable, which generated cash flows of $1,359,000 during the six-months ended June 30, 2003 compared to $4,954,000 during the same period in 2002. This was partially offset by a reduction in cash used for prepaid expenses and other current assets and accounts payable and accrued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bank and related debt as of June 30, 2003 was $13,929,000 as compared to $14,284,000 at December 31, 2002, a decrease of $355,000, due to net payments under the bank credit facilities.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Unused credit availability under our revolving line of credit at June 30, 2003 was $1,400,000. The bank credit facility was amended in March 2002 and November 2002 by reducing the minimum coverage requirements under several financial covenants through December 31, 2003, raising interest rates by 3%, reducing scheduled principal payments in 2002 through 2004 and changing the maturity of the revolving line of credit to January 2004 from April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2002, our long-term debt, which was classified as Debt less current portion, was $12,164,000. This was comprised of a revolving line of credit of $4,873,000 (which matures in January 2004), bank term loans of $7,183,000 (net of current portion of $2,094,000) and an other term loan of $108,000 (net of current portion of $26,000). At June 30, 2003, long-term debt classified as Debt less current portion was $5,235,000 consisting solely of a bank term loan (net of current portion of $2,094,000). Current portion of debt includes $6,600,000 of our $8,000,000 revolving line of credit that matures in January 2004 as well as term debt of $2,094,000 which is due over the next twelve months. We intend to refinance the bank credit facility in the second half of 2003 under a multi-year agreement. Market conditions, Company performance and collateral will become major factors in our refinancing efforts. However, on May 7, 2003, we received approximately $1,600,000 in cash proceeds from the sale and leaseback of our Conshohocken, Pennsylvania property. Approximately, $700,000 was used to reduce the revolving line of credit and the balance was used to reduce term debt. Also, in February 2003, we accepted an offer to sell our property in Cincinnati, Ohio where the buyer has the option to cancel the agreement through September 30, 2003. If we consummate the sale of our Cincinnati, Ohio property, the net proceeds from the sale will significantly affect the amount of the credit facility required as well as the amount of other financing obtained, if any, in connection with the replacement facilities. Ultimately, we believe that we will be able to obtain a suitable refinancing at acceptable rates and terms with collateral and covenants customary in the industry.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cash used in investing activities related to the acquisition of capital expenditures for property and equipment was $57,000 for the first six months of 2003 compared with $170,000 for the same period in 2002. We are managing our capital expenditure spending in light of the current level of sales. Capital expenditures for property and equipment are anticipated to be in the range of $200,000 to $400,000 for 2003 and will be funded by cash from operations and/or line of credit borrowing. In addition as discussed above, we received cash proceeds of approximately $1,600,000 from the sale of our Conshohocken property. Additional capital expenditures related to the acquisition of replacement facilities may be incurred pending the successful completion of the sale of our property in Cincinnati, Ohio.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Financing activities used cash of $355,000 during the first six months of 2003 compared with cash used of $825,000 during the same period of 2002. Current year financing activities included net payments under the bank credit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fourth quarter of 2001, we received gross proceeds of $2,120,000 and issued 706,668 shares of common stock to a group of accredited investors. Under the subscription agreement, we were required to issue shares of our common stock based on an earnings formula (as set forth in the subscription agreement) computed from fiscal year 2002 results. As a result, we issued approximately 382,000 shares of common stock to these investors during April 2003.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Forward-Looking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desire to take advantage of the safe harbor provisions of the Private Securities Litigation Reform Act of 1995 and are making this cautionary statement in connection with such safe harbor legislation. This Form 10-Q, the Annual Report to Shareholders, Form 10-K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 are forward-looking statements, and are based on managements current expectations of our near-term results, based on current information available pertaining to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 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ITEM 3. </w:t>
      </w:r>
      <w:bookmarkStart w:id="8" w:name="tx26457_6"/>
      <w:bookmarkEnd w:id="8"/>
      <w:r>
        <w:rPr>
          <w:rFonts w:ascii="Times New Roman" w:hAnsi="Times New Roman"/>
          <w:sz w:val="20"/>
        </w:rPr>
        <w:t xml:space="preserve">QUANTITATIVE AND QUALITATIVE DISCLOSURE ABOUT MARKET RISK </w:t>
      </w:r>
    </w:p>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Risk Management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exposed to market risk including changes in interest and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Rate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may use interest rate swap contracts or other interest rate derivatives to adjust the proportion of our total debt that is subject to variable interest rates. Our interest rate swap contract matured in 2002 and was not renewed. Under the swap, we agreed to pay an amount equal to a specified fixed-rate of interest for a certain notional amount and received in return an amount equal to a variable-rate. This interest rate swap contract was designated as a cash flow hedge against changes in the amount of future cash flow associated with our interest payments on variable-rate debt. When outstanding, interest rate swap contracts are reflected at fair value in our balance sheets. This swap effectively changed the interest rate exposure of $9.8 million of our floating rate debt to a weighted fixed rate of 6.96% plus the applicable spread during the period in which the interest rate swap was outstanding.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Credit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part of our ongoing control procedures, we monitor concentrations of credit risk associated with financial institutions with which it conducts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ITEM 4. </w:t>
      </w:r>
      <w:bookmarkStart w:id="9" w:name="tx26457_7"/>
      <w:bookmarkEnd w:id="9"/>
      <w:r>
        <w:rPr>
          <w:rFonts w:ascii="Times New Roman" w:hAnsi="Times New Roman"/>
          <w:sz w:val="20"/>
        </w:rPr>
        <w:t xml:space="preserve">CONTROLS AND PROCEDURES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Within ninety days prior to the filing of this Report, the Companys Chief Executive Officer and Chief Financial Officer evaluated the effectiveness of the design and operation of the Companys disclosure controls and procedures, which are designed to ensure that the Company records, processes, summarizes and reports in a timely and effective manner the information required to be disclosed in the reports filed with or submitted to the Securities and Exchange Commission. Based upon this evaluation, they concluded that, as of the date of the evaluation, the Companys disclosure controls are effective. Since the date of this evaluation, there have been no significant changes in the Companys internal controls or in other factors that could significantly affect those controls.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PART II -OTHER INFORMATION </w:t>
      </w:r>
    </w:p>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102"/>
        <w:gridCol w:w="9186"/>
      </w:tblGrid>
      <w:tr>
        <w:trPr/>
        <w:tc>
          <w:tcPr>
            <w:tcW w:w="91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ITEM 4.</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jc w:val="left"/>
              <w:rPr>
                <w:rFonts w:ascii="Times New Roman" w:hAnsi="Times New Roman"/>
                <w:sz w:val="20"/>
              </w:rPr>
            </w:pPr>
            <w:bookmarkStart w:id="10" w:name="tx26457_8"/>
            <w:bookmarkEnd w:id="10"/>
            <w:r>
              <w:rPr>
                <w:rFonts w:ascii="Times New Roman" w:hAnsi="Times New Roman"/>
                <w:sz w:val="20"/>
              </w:rPr>
              <w:t xml:space="preserve">SUBMISSION OF MATTERS TO A VOTE OF SECURITY HOLDERS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its Annual Meeting on June 11, 2003, the shareholders of CECO Environmental Corp. took the following actions: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408"/>
        <w:gridCol w:w="100"/>
        <w:gridCol w:w="8677"/>
      </w:tblGrid>
      <w:tr>
        <w:trPr/>
        <w:tc>
          <w:tcPr>
            <w:tcW w:w="1020"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0"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Elected the following six directors for terms to expire at the 2004 Annual Meeting of Shareholders, with votes as indicated opposite each directors name: </w:t>
            </w:r>
          </w:p>
        </w:tc>
      </w:tr>
    </w:tbl>
    <w:p>
      <w:pPr>
        <w:pStyle w:val="TextBody"/>
        <w:spacing w:before="0" w:after="0"/>
        <w:rPr/>
      </w:pPr>
      <w:r>
        <w:rPr/>
        <w:t> </w:t>
      </w:r>
    </w:p>
    <w:tbl>
      <w:tblPr>
        <w:tblW w:w="2500" w:type="pct"/>
        <w:jc w:val="center"/>
        <w:tblInd w:w="0" w:type="dxa"/>
        <w:tblCellMar>
          <w:top w:w="0" w:type="dxa"/>
          <w:left w:w="0" w:type="dxa"/>
          <w:bottom w:w="0" w:type="dxa"/>
          <w:right w:w="0" w:type="dxa"/>
        </w:tblCellMar>
      </w:tblPr>
      <w:tblGrid>
        <w:gridCol w:w="3292"/>
        <w:gridCol w:w="120"/>
        <w:gridCol w:w="847"/>
        <w:gridCol w:w="120"/>
        <w:gridCol w:w="723"/>
      </w:tblGrid>
      <w:tr>
        <w:trPr/>
        <w:tc>
          <w:tcPr>
            <w:tcW w:w="329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690" w:type="dxa"/>
            <w:gridSpan w:val="3"/>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Number of Shares</w:t>
            </w:r>
          </w:p>
          <w:p>
            <w:pPr>
              <w:pStyle w:val="HorizontalLine"/>
              <w:pBdr>
                <w:bottom w:val="single" w:sz="6" w:space="0" w:color="000000"/>
              </w:pBdr>
              <w:spacing w:before="0" w:after="283"/>
              <w:rPr/>
            </w:pPr>
            <w:r>
              <w:rPr/>
            </w:r>
          </w:p>
        </w:tc>
      </w:tr>
      <w:tr>
        <w:trPr/>
        <w:tc>
          <w:tcPr>
            <w:tcW w:w="3292" w:type="dxa"/>
            <w:tcBorders/>
            <w:shd w:fill="auto" w:val="clear"/>
            <w:vAlign w:val="bottom"/>
          </w:tcPr>
          <w:p>
            <w:pPr>
              <w:pStyle w:val="TableContents"/>
              <w:spacing w:before="0" w:after="0"/>
              <w:rPr>
                <w:rFonts w:ascii="Times New Roman" w:hAnsi="Times New Roman"/>
                <w:sz w:val="14"/>
              </w:rPr>
            </w:pPr>
            <w:r>
              <w:rPr>
                <w:rFonts w:ascii="Times New Roman" w:hAnsi="Times New Roman"/>
                <w:sz w:val="14"/>
              </w:rPr>
              <w:t>Director</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For</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Against</w:t>
            </w:r>
          </w:p>
          <w:p>
            <w:pPr>
              <w:pStyle w:val="HorizontalLine"/>
              <w:pBdr>
                <w:bottom w:val="single" w:sz="6" w:space="0" w:color="000000"/>
              </w:pBdr>
              <w:spacing w:before="0" w:after="283"/>
              <w:rPr/>
            </w:pPr>
            <w:r>
              <w:rPr/>
            </w:r>
          </w:p>
        </w:tc>
      </w:tr>
      <w:tr>
        <w:trPr/>
        <w:tc>
          <w:tcPr>
            <w:tcW w:w="3292" w:type="dxa"/>
            <w:tcBorders/>
            <w:shd w:fill="CCEEFF" w:val="clear"/>
          </w:tcPr>
          <w:p>
            <w:pPr>
              <w:pStyle w:val="TableContents"/>
              <w:spacing w:before="0" w:after="283"/>
              <w:rPr>
                <w:rFonts w:ascii="Times New Roman" w:hAnsi="Times New Roman"/>
                <w:sz w:val="20"/>
              </w:rPr>
            </w:pPr>
            <w:r>
              <w:rPr>
                <w:rFonts w:ascii="Times New Roman" w:hAnsi="Times New Roman"/>
                <w:sz w:val="20"/>
              </w:rPr>
              <w:t>Richard J. Blum</w:t>
            </w:r>
          </w:p>
        </w:tc>
        <w:tc>
          <w:tcPr>
            <w:tcW w:w="120"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6,760,447</w:t>
            </w:r>
          </w:p>
        </w:tc>
        <w:tc>
          <w:tcPr>
            <w:tcW w:w="120"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54,242</w:t>
            </w:r>
          </w:p>
        </w:tc>
      </w:tr>
      <w:tr>
        <w:trPr/>
        <w:tc>
          <w:tcPr>
            <w:tcW w:w="329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120"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6,760,447</w:t>
            </w:r>
          </w:p>
        </w:tc>
        <w:tc>
          <w:tcPr>
            <w:tcW w:w="120"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54,242</w:t>
            </w:r>
          </w:p>
        </w:tc>
      </w:tr>
      <w:tr>
        <w:trPr/>
        <w:tc>
          <w:tcPr>
            <w:tcW w:w="3292" w:type="dxa"/>
            <w:tcBorders/>
            <w:shd w:fill="CCEEFF" w:val="clear"/>
          </w:tcPr>
          <w:p>
            <w:pPr>
              <w:pStyle w:val="TableContents"/>
              <w:spacing w:before="0" w:after="283"/>
              <w:rPr>
                <w:rFonts w:ascii="Times New Roman" w:hAnsi="Times New Roman"/>
                <w:sz w:val="20"/>
              </w:rPr>
            </w:pPr>
            <w:r>
              <w:rPr>
                <w:rFonts w:ascii="Times New Roman" w:hAnsi="Times New Roman"/>
                <w:sz w:val="20"/>
              </w:rPr>
              <w:t>Jason Louis DeZwirek</w:t>
            </w:r>
          </w:p>
        </w:tc>
        <w:tc>
          <w:tcPr>
            <w:tcW w:w="120"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6,370,463</w:t>
            </w:r>
          </w:p>
        </w:tc>
        <w:tc>
          <w:tcPr>
            <w:tcW w:w="120"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444,226</w:t>
            </w:r>
          </w:p>
        </w:tc>
      </w:tr>
      <w:tr>
        <w:trPr/>
        <w:tc>
          <w:tcPr>
            <w:tcW w:w="3292" w:type="dxa"/>
            <w:tcBorders/>
            <w:shd w:fill="auto" w:val="clear"/>
          </w:tcPr>
          <w:p>
            <w:pPr>
              <w:pStyle w:val="TableContents"/>
              <w:spacing w:before="0" w:after="283"/>
              <w:rPr>
                <w:rFonts w:ascii="Times New Roman" w:hAnsi="Times New Roman"/>
                <w:sz w:val="20"/>
              </w:rPr>
            </w:pPr>
            <w:r>
              <w:rPr>
                <w:rFonts w:ascii="Times New Roman" w:hAnsi="Times New Roman"/>
                <w:sz w:val="20"/>
              </w:rPr>
              <w:t>Josephine Grivas</w:t>
            </w:r>
          </w:p>
        </w:tc>
        <w:tc>
          <w:tcPr>
            <w:tcW w:w="120"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6,370,463</w:t>
            </w:r>
          </w:p>
        </w:tc>
        <w:tc>
          <w:tcPr>
            <w:tcW w:w="120"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444,226</w:t>
            </w:r>
          </w:p>
        </w:tc>
      </w:tr>
      <w:tr>
        <w:trPr/>
        <w:tc>
          <w:tcPr>
            <w:tcW w:w="3292" w:type="dxa"/>
            <w:tcBorders/>
            <w:shd w:fill="CCEEFF" w:val="clear"/>
          </w:tcPr>
          <w:p>
            <w:pPr>
              <w:pStyle w:val="TableContents"/>
              <w:spacing w:before="0" w:after="283"/>
              <w:rPr>
                <w:rFonts w:ascii="Times New Roman" w:hAnsi="Times New Roman"/>
                <w:sz w:val="20"/>
              </w:rPr>
            </w:pPr>
            <w:r>
              <w:rPr>
                <w:rFonts w:ascii="Times New Roman" w:hAnsi="Times New Roman"/>
                <w:sz w:val="20"/>
              </w:rPr>
              <w:t>Melvin F. Lazar</w:t>
            </w:r>
          </w:p>
        </w:tc>
        <w:tc>
          <w:tcPr>
            <w:tcW w:w="120"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6,760,447</w:t>
            </w:r>
          </w:p>
        </w:tc>
        <w:tc>
          <w:tcPr>
            <w:tcW w:w="120"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54,242</w:t>
            </w:r>
          </w:p>
        </w:tc>
      </w:tr>
      <w:tr>
        <w:trPr/>
        <w:tc>
          <w:tcPr>
            <w:tcW w:w="3292" w:type="dxa"/>
            <w:tcBorders/>
            <w:shd w:fill="auto" w:val="clear"/>
          </w:tcPr>
          <w:p>
            <w:pPr>
              <w:pStyle w:val="TableContents"/>
              <w:spacing w:before="0" w:after="283"/>
              <w:rPr>
                <w:rFonts w:ascii="Times New Roman" w:hAnsi="Times New Roman"/>
                <w:sz w:val="20"/>
              </w:rPr>
            </w:pPr>
            <w:r>
              <w:rPr>
                <w:rFonts w:ascii="Times New Roman" w:hAnsi="Times New Roman"/>
                <w:sz w:val="20"/>
              </w:rPr>
              <w:t>Donald A. Wright</w:t>
            </w:r>
          </w:p>
        </w:tc>
        <w:tc>
          <w:tcPr>
            <w:tcW w:w="120"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6,760,447</w:t>
            </w:r>
          </w:p>
        </w:tc>
        <w:tc>
          <w:tcPr>
            <w:tcW w:w="120"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54,242</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407"/>
        <w:gridCol w:w="102"/>
        <w:gridCol w:w="8676"/>
      </w:tblGrid>
      <w:tr>
        <w:trPr/>
        <w:tc>
          <w:tcPr>
            <w:tcW w:w="1020"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2" w:type="dxa"/>
            <w:tcBorders/>
            <w:shd w:fill="auto" w:val="clear"/>
          </w:tcPr>
          <w:p>
            <w:pPr>
              <w:pStyle w:val="TableContents"/>
              <w:spacing w:before="0" w:after="283"/>
              <w:rPr/>
            </w:pPr>
            <w:r>
              <w:rPr/>
              <w:t> </w:t>
            </w:r>
          </w:p>
        </w:tc>
        <w:tc>
          <w:tcPr>
            <w:tcW w:w="86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Shareholders ratified the appointment of Deloitte &amp; Touche LLP as the Companys independent auditors for the fiscal year ending December 31, 2003 was follows: </w:t>
            </w:r>
          </w:p>
        </w:tc>
      </w:tr>
    </w:tbl>
    <w:p>
      <w:pPr>
        <w:pStyle w:val="TextBody"/>
        <w:spacing w:before="0" w:after="0"/>
        <w:rPr/>
      </w:pPr>
      <w:r>
        <w:rPr/>
        <w:t> </w:t>
      </w:r>
    </w:p>
    <w:tbl>
      <w:tblPr>
        <w:tblW w:w="2500" w:type="pct"/>
        <w:jc w:val="center"/>
        <w:tblInd w:w="0" w:type="dxa"/>
        <w:tblCellMar>
          <w:top w:w="0" w:type="dxa"/>
          <w:left w:w="0" w:type="dxa"/>
          <w:bottom w:w="0" w:type="dxa"/>
          <w:right w:w="0" w:type="dxa"/>
        </w:tblCellMar>
      </w:tblPr>
      <w:tblGrid>
        <w:gridCol w:w="4112"/>
        <w:gridCol w:w="122"/>
        <w:gridCol w:w="868"/>
      </w:tblGrid>
      <w:tr>
        <w:trPr/>
        <w:tc>
          <w:tcPr>
            <w:tcW w:w="4112" w:type="dxa"/>
            <w:tcBorders/>
            <w:shd w:fill="CCEEFF" w:val="clear"/>
          </w:tcPr>
          <w:p>
            <w:pPr>
              <w:pStyle w:val="TableContents"/>
              <w:spacing w:before="0" w:after="283"/>
              <w:rPr>
                <w:rFonts w:ascii="Times New Roman" w:hAnsi="Times New Roman"/>
                <w:sz w:val="20"/>
              </w:rPr>
            </w:pPr>
            <w:r>
              <w:rPr>
                <w:rFonts w:ascii="Times New Roman" w:hAnsi="Times New Roman"/>
                <w:sz w:val="20"/>
              </w:rPr>
              <w:t>Votes For:</w:t>
            </w:r>
          </w:p>
        </w:tc>
        <w:tc>
          <w:tcPr>
            <w:tcW w:w="12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6,790,873</w:t>
            </w:r>
          </w:p>
        </w:tc>
      </w:tr>
      <w:tr>
        <w:trPr/>
        <w:tc>
          <w:tcPr>
            <w:tcW w:w="4112" w:type="dxa"/>
            <w:tcBorders/>
            <w:shd w:fill="auto" w:val="clear"/>
          </w:tcPr>
          <w:p>
            <w:pPr>
              <w:pStyle w:val="TableContents"/>
              <w:spacing w:before="0" w:after="283"/>
              <w:rPr>
                <w:rFonts w:ascii="Times New Roman" w:hAnsi="Times New Roman"/>
                <w:sz w:val="20"/>
              </w:rPr>
            </w:pPr>
            <w:r>
              <w:rPr>
                <w:rFonts w:ascii="Times New Roman" w:hAnsi="Times New Roman"/>
                <w:sz w:val="20"/>
              </w:rPr>
              <w:t>Votes Against:</w:t>
            </w:r>
          </w:p>
        </w:tc>
        <w:tc>
          <w:tcPr>
            <w:tcW w:w="122"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13,640</w:t>
            </w:r>
          </w:p>
        </w:tc>
      </w:tr>
      <w:tr>
        <w:trPr/>
        <w:tc>
          <w:tcPr>
            <w:tcW w:w="4112" w:type="dxa"/>
            <w:tcBorders/>
            <w:shd w:fill="CCEEFF" w:val="clear"/>
          </w:tcPr>
          <w:p>
            <w:pPr>
              <w:pStyle w:val="TableContents"/>
              <w:spacing w:before="0" w:after="283"/>
              <w:rPr>
                <w:rFonts w:ascii="Times New Roman" w:hAnsi="Times New Roman"/>
                <w:sz w:val="20"/>
              </w:rPr>
            </w:pPr>
            <w:r>
              <w:rPr>
                <w:rFonts w:ascii="Times New Roman" w:hAnsi="Times New Roman"/>
                <w:sz w:val="20"/>
              </w:rPr>
              <w:t>Votes Abstained:</w:t>
            </w:r>
          </w:p>
        </w:tc>
        <w:tc>
          <w:tcPr>
            <w:tcW w:w="12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10,176</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101"/>
        <w:gridCol w:w="9187"/>
      </w:tblGrid>
      <w:tr>
        <w:trPr/>
        <w:tc>
          <w:tcPr>
            <w:tcW w:w="91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ITEM 6.</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jc w:val="left"/>
              <w:rPr>
                <w:rFonts w:ascii="Times New Roman" w:hAnsi="Times New Roman"/>
                <w:sz w:val="20"/>
              </w:rPr>
            </w:pPr>
            <w:bookmarkStart w:id="11" w:name="tx26457_9"/>
            <w:bookmarkEnd w:id="11"/>
            <w:r>
              <w:rPr>
                <w:rFonts w:ascii="Times New Roman" w:hAnsi="Times New Roman"/>
                <w:sz w:val="20"/>
              </w:rPr>
              <w:t xml:space="preserve">EXHIBITS AND REPORTS ON FORM 8-K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101"/>
        <w:gridCol w:w="9186"/>
      </w:tblGrid>
      <w:tr>
        <w:trPr/>
        <w:tc>
          <w:tcPr>
            <w:tcW w:w="918"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 31.1 Rule 13a-14a/15d-14(a) Certification of Chief Executive Officer (Section 302 of the Sarbanes-Oxley Act of 2002)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31.2 Rule 13a-14a/15d-14(a) Certification of Chief Financial Officer (Section 302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32.1 Certification Pursuant to 18 U.S.C. Section 1350, as Adopted Pursuant to 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32.2 Certification Pursuant to 18 U.S.C. Section 1350, as Adopted Pursuant to Section 906 of the Sarbanes-Oxley Act of 2002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12"/>
        <w:gridCol w:w="306"/>
        <w:gridCol w:w="101"/>
        <w:gridCol w:w="9186"/>
      </w:tblGrid>
      <w:tr>
        <w:trPr/>
        <w:tc>
          <w:tcPr>
            <w:tcW w:w="612"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Reports on Form 8-K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did not file any Form 8-K during the second quarter of 2003.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bookmarkStart w:id="12" w:name="tx26457_10"/>
      <w:bookmarkEnd w:id="12"/>
      <w:r>
        <w:rPr>
          <w:rFonts w:ascii="Times New Roman" w:hAnsi="Times New Roman"/>
          <w:sz w:val="20"/>
        </w:rPr>
        <w:t xml:space="preserve">SIGNATURE </w:t>
      </w:r>
    </w:p>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48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         </w:t>
            </w:r>
          </w:p>
          <w:p>
            <w:pPr>
              <w:pStyle w:val="HorizontalLine"/>
              <w:pBdr>
                <w:bottom w:val="single" w:sz="6" w:space="0" w:color="000000"/>
              </w:pBdr>
              <w:spacing w:before="0" w:after="283"/>
              <w:rPr/>
            </w:pPr>
            <w:r>
              <w:rPr/>
            </w:r>
          </w:p>
        </w:tc>
      </w:tr>
      <w:tr>
        <w:trPr/>
        <w:tc>
          <w:tcPr>
            <w:tcW w:w="40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Marshall J. Morris</w:t>
            </w:r>
          </w:p>
          <w:p>
            <w:pPr>
              <w:pStyle w:val="TableContents"/>
              <w:spacing w:before="0" w:after="0"/>
              <w:rPr>
                <w:rFonts w:ascii="Times New Roman" w:hAnsi="Times New Roman"/>
                <w:sz w:val="20"/>
              </w:rPr>
            </w:pPr>
            <w:r>
              <w:rPr>
                <w:rFonts w:ascii="Times New Roman" w:hAnsi="Times New Roman"/>
                <w:sz w:val="20"/>
              </w:rPr>
              <w:t>V.P.Finance and Administration</w:t>
            </w:r>
          </w:p>
          <w:p>
            <w:pPr>
              <w:pStyle w:val="TableContents"/>
              <w:spacing w:before="0" w:after="0"/>
              <w:rPr>
                <w:rFonts w:ascii="Times New Roman" w:hAnsi="Times New Roman"/>
                <w:sz w:val="20"/>
              </w:rPr>
            </w:pPr>
            <w:r>
              <w:rPr>
                <w:rFonts w:ascii="Times New Roman" w:hAnsi="Times New Roman"/>
                <w:sz w:val="20"/>
              </w:rPr>
              <w:t>and Chief Financial Officer</w:t>
            </w:r>
          </w:p>
        </w:tc>
      </w:tr>
    </w:tbl>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 August 13, 2003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TextBody"/>
        <w:spacing w:before="0" w:after="0"/>
        <w:jc w:val="right"/>
        <w:rPr>
          <w:rFonts w:ascii="Times New Roman" w:hAnsi="Times New Roman"/>
          <w:sz w:val="20"/>
        </w:rPr>
      </w:pPr>
      <w:bookmarkStart w:id="13" w:name="dex311.htm"/>
      <w:bookmarkStart w:id="14" w:name="ksdex311"/>
      <w:bookmarkEnd w:id="13"/>
      <w:bookmarkEnd w:id="14"/>
      <w:r>
        <w:rPr>
          <w:rFonts w:ascii="Times New Roman" w:hAnsi="Times New Roman"/>
          <w:sz w:val="20"/>
        </w:rPr>
        <w:t xml:space="preserve">Exhibit 31.1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Phillip DeZwirek, certify that: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I have reviewed this quarterly report on Form 10-Q of 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The Companys other certifying officer and I are responsible for establishing and maintaining disclosure controls and procedures (as defined in Exchange Act Rules 13a-15(e) and 15d-15(e)) for the Company and we have: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Disclosed in this report any changes in our internal control over financial reporting that occurred during our most recent fiscal quarter that has materially affected, or is reasonably likely to materially affect, our internal control over financial reporting;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The Companys other certifying officer and I have disclosed, based on our most recent evaluation of internal control over financial reporting, to our auditors and the audit committee of our board of directors (or persons performing the equivalent function):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our ability to record, process, summarize and report financial information;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our internal control over financial reporting.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/s/Phillip DeZwirek </w:t>
      </w:r>
    </w:p>
    <w:p>
      <w:pPr>
        <w:pStyle w:val="TextBody"/>
        <w:spacing w:before="0" w:after="0"/>
        <w:rPr>
          <w:rFonts w:ascii="Times New Roman" w:hAnsi="Times New Roman"/>
          <w:sz w:val="20"/>
        </w:rPr>
      </w:pPr>
      <w:r>
        <w:rPr>
          <w:rFonts w:ascii="Times New Roman" w:hAnsi="Times New Roman"/>
          <w:sz w:val="20"/>
        </w:rPr>
        <w:t xml:space="preserve">Phillip DeZwirek </w:t>
      </w:r>
    </w:p>
    <w:p>
      <w:pPr>
        <w:pStyle w:val="TextBody"/>
        <w:spacing w:before="0" w:after="0"/>
        <w:rPr>
          <w:rFonts w:ascii="Times New Roman" w:hAnsi="Times New Roman"/>
          <w:sz w:val="20"/>
        </w:rPr>
      </w:pPr>
      <w:r>
        <w:rPr>
          <w:rFonts w:ascii="Times New Roman" w:hAnsi="Times New Roman"/>
          <w:sz w:val="20"/>
        </w:rPr>
        <w:t xml:space="preserve">Chairman of the Board and </w:t>
      </w:r>
    </w:p>
    <w:p>
      <w:pPr>
        <w:pStyle w:val="TextBody"/>
        <w:spacing w:before="0" w:after="0"/>
        <w:rPr>
          <w:rFonts w:ascii="Times New Roman" w:hAnsi="Times New Roman"/>
          <w:sz w:val="20"/>
        </w:rPr>
      </w:pPr>
      <w:r>
        <w:rPr>
          <w:rFonts w:ascii="Times New Roman" w:hAnsi="Times New Roman"/>
          <w:sz w:val="20"/>
        </w:rPr>
        <w:t xml:space="preserve">Chief Executive Officer </w:t>
      </w:r>
    </w:p>
    <w:p>
      <w:pPr>
        <w:pStyle w:val="TextBody"/>
        <w:spacing w:before="0" w:after="0"/>
        <w:rPr>
          <w:rFonts w:ascii="Times New Roman" w:hAnsi="Times New Roman"/>
          <w:sz w:val="20"/>
        </w:rPr>
      </w:pPr>
      <w:r>
        <w:rPr>
          <w:rFonts w:ascii="Times New Roman" w:hAnsi="Times New Roman"/>
          <w:sz w:val="20"/>
        </w:rPr>
        <w:t xml:space="preserve">August 13, 2003 </w:t>
      </w:r>
      <w:r>
        <w:br w:type="page"/>
      </w:r>
    </w:p>
    <w:p>
      <w:pPr>
        <w:pStyle w:val="TextBody"/>
        <w:spacing w:before="0" w:after="0"/>
        <w:jc w:val="right"/>
        <w:rPr>
          <w:rFonts w:ascii="Times New Roman" w:hAnsi="Times New Roman"/>
          <w:sz w:val="20"/>
        </w:rPr>
      </w:pPr>
      <w:bookmarkStart w:id="15" w:name="dex312.htm"/>
      <w:bookmarkStart w:id="16" w:name="ksdex312"/>
      <w:bookmarkEnd w:id="15"/>
      <w:bookmarkEnd w:id="16"/>
      <w:r>
        <w:rPr>
          <w:rFonts w:ascii="Times New Roman" w:hAnsi="Times New Roman"/>
          <w:sz w:val="20"/>
        </w:rPr>
        <w:t xml:space="preserve">Exhibit 31.2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Marshall J. Morris, certify that: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I have reviewed this quarterly report on Form 10-Q of 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The Companys other certifying officer and I are responsible for establishing and maintaining disclosure controls and procedures (as defined in Exchange Act Rules 13a-15(e) and 15d-15(e)) for the Company and we have: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Disclosed in this report any changes in our internal control over financial reporting that occurred during our most recent fiscal quarter that has materially affected, or is reasonably likely to materially affect, our internal control over financial reporting;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The Companys other certifying officer and I have disclosed, based on our most recent evaluation of internal control over financial reporting, to our auditors and the audit committee of our board of directors (or persons performing the equivalent function):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our ability to record, process, summarize and report financial information;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our internal control over financial reporting.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    Marshall J. Morris </w:t>
      </w:r>
    </w:p>
    <w:p>
      <w:pPr>
        <w:pStyle w:val="TextBody"/>
        <w:spacing w:before="0" w:after="0"/>
        <w:rPr>
          <w:rFonts w:ascii="Times New Roman" w:hAnsi="Times New Roman"/>
          <w:sz w:val="20"/>
        </w:rPr>
      </w:pPr>
      <w:r>
        <w:rPr>
          <w:rFonts w:ascii="Times New Roman" w:hAnsi="Times New Roman"/>
          <w:sz w:val="20"/>
        </w:rPr>
        <w:t xml:space="preserve">Marshall J. Morris </w:t>
      </w:r>
    </w:p>
    <w:p>
      <w:pPr>
        <w:pStyle w:val="TextBody"/>
        <w:spacing w:before="0" w:after="0"/>
        <w:rPr>
          <w:rFonts w:ascii="Times New Roman" w:hAnsi="Times New Roman"/>
          <w:sz w:val="20"/>
        </w:rPr>
      </w:pPr>
      <w:r>
        <w:rPr>
          <w:rFonts w:ascii="Times New Roman" w:hAnsi="Times New Roman"/>
          <w:sz w:val="20"/>
        </w:rPr>
        <w:t xml:space="preserve">V.P.  Finance and Administration and </w:t>
      </w:r>
    </w:p>
    <w:p>
      <w:pPr>
        <w:pStyle w:val="TextBody"/>
        <w:spacing w:before="0" w:after="0"/>
        <w:rPr>
          <w:rFonts w:ascii="Times New Roman" w:hAnsi="Times New Roman"/>
          <w:sz w:val="20"/>
        </w:rPr>
      </w:pPr>
      <w:r>
        <w:rPr>
          <w:rFonts w:ascii="Times New Roman" w:hAnsi="Times New Roman"/>
          <w:sz w:val="20"/>
        </w:rPr>
        <w:t xml:space="preserve">Chief Financial Officer </w:t>
      </w:r>
    </w:p>
    <w:p>
      <w:pPr>
        <w:pStyle w:val="TextBody"/>
        <w:spacing w:before="0" w:after="0"/>
        <w:rPr>
          <w:rFonts w:ascii="Times New Roman" w:hAnsi="Times New Roman"/>
          <w:sz w:val="20"/>
        </w:rPr>
      </w:pPr>
      <w:r>
        <w:rPr>
          <w:rFonts w:ascii="Times New Roman" w:hAnsi="Times New Roman"/>
          <w:sz w:val="20"/>
        </w:rPr>
        <w:t xml:space="preserve">August 13, 2003 </w:t>
      </w:r>
    </w:p>
    <w:p>
      <w:pPr>
        <w:pStyle w:val="TextBody"/>
        <w:spacing w:before="0" w:after="0"/>
        <w:rPr/>
      </w:pPr>
      <w:r>
        <w:rPr/>
        <w:t> </w:t>
      </w:r>
      <w:r>
        <w:br w:type="page"/>
      </w:r>
    </w:p>
    <w:p>
      <w:pPr>
        <w:pStyle w:val="TextBody"/>
        <w:spacing w:before="0" w:after="0"/>
        <w:jc w:val="right"/>
        <w:rPr>
          <w:rFonts w:ascii="Times New Roman" w:hAnsi="Times New Roman"/>
          <w:sz w:val="20"/>
        </w:rPr>
      </w:pPr>
      <w:bookmarkStart w:id="17" w:name="dex321.htm"/>
      <w:bookmarkStart w:id="18" w:name="ksdex321"/>
      <w:bookmarkEnd w:id="17"/>
      <w:bookmarkEnd w:id="18"/>
      <w:r>
        <w:rPr>
          <w:rFonts w:ascii="Times New Roman" w:hAnsi="Times New Roman"/>
          <w:sz w:val="20"/>
        </w:rPr>
        <w:t xml:space="preserve">Exhibit 32.1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June 30, 2003 as filed with the Securities and Exchange Commission on the date hereof (the Report), I, Phillip DeZwirek, Chairman of the Board and Chief Executive Officer of the Company, certify, pursuant to 18 U.S.C. § 1350, as adopted pursuant to § 906 of the Sarbanes-Oxley Act of 2002, that: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    Phillip DeZwirek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Phillip DeZwirek </w:t>
      </w:r>
    </w:p>
    <w:p>
      <w:pPr>
        <w:pStyle w:val="TextBody"/>
        <w:spacing w:before="0" w:after="0"/>
        <w:rPr>
          <w:rFonts w:ascii="Times New Roman" w:hAnsi="Times New Roman"/>
          <w:sz w:val="20"/>
        </w:rPr>
      </w:pPr>
      <w:r>
        <w:rPr>
          <w:rFonts w:ascii="Times New Roman" w:hAnsi="Times New Roman"/>
          <w:sz w:val="20"/>
        </w:rPr>
        <w:t xml:space="preserve">Chairman of the Board and </w:t>
      </w:r>
    </w:p>
    <w:p>
      <w:pPr>
        <w:pStyle w:val="TextBody"/>
        <w:spacing w:before="0" w:after="0"/>
        <w:rPr>
          <w:rFonts w:ascii="Times New Roman" w:hAnsi="Times New Roman"/>
          <w:sz w:val="20"/>
        </w:rPr>
      </w:pPr>
      <w:r>
        <w:rPr>
          <w:rFonts w:ascii="Times New Roman" w:hAnsi="Times New Roman"/>
          <w:sz w:val="20"/>
        </w:rPr>
        <w:t xml:space="preserve">Chief Executive Officer </w:t>
      </w:r>
    </w:p>
    <w:p>
      <w:pPr>
        <w:pStyle w:val="TextBody"/>
        <w:spacing w:before="0" w:after="0"/>
        <w:rPr>
          <w:rFonts w:ascii="Times New Roman" w:hAnsi="Times New Roman"/>
          <w:sz w:val="20"/>
        </w:rPr>
      </w:pPr>
      <w:r>
        <w:rPr>
          <w:rFonts w:ascii="Times New Roman" w:hAnsi="Times New Roman"/>
          <w:sz w:val="20"/>
        </w:rPr>
        <w:t xml:space="preserve">August 13,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r>
        <w:br w:type="page"/>
      </w:r>
    </w:p>
    <w:p>
      <w:pPr>
        <w:pStyle w:val="TextBody"/>
        <w:spacing w:before="0" w:after="0"/>
        <w:jc w:val="right"/>
        <w:rPr>
          <w:rFonts w:ascii="Times New Roman" w:hAnsi="Times New Roman"/>
          <w:sz w:val="20"/>
        </w:rPr>
      </w:pPr>
      <w:bookmarkStart w:id="19" w:name="dex322.htm"/>
      <w:bookmarkStart w:id="20" w:name="ksdex322"/>
      <w:bookmarkEnd w:id="19"/>
      <w:bookmarkEnd w:id="20"/>
      <w:r>
        <w:rPr>
          <w:rFonts w:ascii="Times New Roman" w:hAnsi="Times New Roman"/>
          <w:sz w:val="20"/>
        </w:rPr>
        <w:t xml:space="preserve">Exhibit 32.2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June 30, 2003 as filed with the Securities and Exchange Commission on the date hereof (the Report), I, Marshall J. Morris, V.P.Finance and Administration and Chief Financial Officer of the Company, certify, pursuant to 18 U.S.C. § 1350, as adopted pursuant to § 906 of the Sarbanes-Oxley Act of 2002, that: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    Marshall J. Morris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Marshall J. Morris </w:t>
      </w:r>
    </w:p>
    <w:p>
      <w:pPr>
        <w:pStyle w:val="TextBody"/>
        <w:spacing w:before="0" w:after="0"/>
        <w:rPr>
          <w:rFonts w:ascii="Times New Roman" w:hAnsi="Times New Roman"/>
          <w:sz w:val="20"/>
        </w:rPr>
      </w:pPr>
      <w:r>
        <w:rPr>
          <w:rFonts w:ascii="Times New Roman" w:hAnsi="Times New Roman"/>
          <w:sz w:val="20"/>
        </w:rPr>
        <w:t xml:space="preserve">V.P.Finance and Administration and Chief Financial Officer </w:t>
      </w:r>
    </w:p>
    <w:p>
      <w:pPr>
        <w:pStyle w:val="TextBody"/>
        <w:spacing w:before="0" w:after="0"/>
        <w:rPr>
          <w:rFonts w:ascii="Times New Roman" w:hAnsi="Times New Roman"/>
          <w:sz w:val="20"/>
        </w:rPr>
      </w:pPr>
      <w:r>
        <w:rPr>
          <w:rFonts w:ascii="Times New Roman" w:hAnsi="Times New Roman"/>
          <w:sz w:val="20"/>
        </w:rPr>
        <w:t xml:space="preserve">August 13,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7474</Words>
  <CharactersWithSpaces>47113</CharactersWithSpaces>
  <Paragraphs>1839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CERTIFICATION OF CHIEF FINANCIAL OFFICER</dc:title>
</cp:coreProperties>
</file>