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0q.htm"/>
        <w:bookmarkStart w:id="1" w:name="ksd10q"/>
        <w:bookmarkEnd w:id="0"/>
        <w:bookmarkEnd w:id="1"/>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QUARTERLY REPORT UNDER SECTION 13 OR 15(d) OF THE SECURITIES EXCHANGE ACT OF 1934 </w:t>
            </w:r>
          </w:p>
        </w:tc>
      </w:tr>
    </w:tbl>
    <w:p>
      <w:pPr>
        <w:pStyle w:val="TextBody"/>
        <w:spacing w:before="180" w:after="0"/>
        <w:jc w:val="center"/>
        <w:rPr>
          <w:rFonts w:ascii="Times New Roman" w:hAnsi="Times New Roman"/>
          <w:b/>
          <w:sz w:val="20"/>
        </w:rPr>
      </w:pPr>
      <w:r>
        <w:rPr>
          <w:rFonts w:ascii="Times New Roman" w:hAnsi="Times New Roman"/>
          <w:b/>
          <w:sz w:val="20"/>
        </w:rPr>
        <w:t xml:space="preserve">For the quarterly period ended March 31, 2010 </w:t>
      </w:r>
    </w:p>
    <w:p>
      <w:pPr>
        <w:pStyle w:val="TextBody"/>
        <w:spacing w:before="180" w:after="0"/>
        <w:jc w:val="center"/>
        <w:rPr>
          <w:rFonts w:ascii="Times New Roman" w:hAnsi="Times New Roman"/>
          <w:b/>
          <w:sz w:val="20"/>
        </w:rPr>
      </w:pPr>
      <w:r>
        <w:rPr>
          <w:rFonts w:ascii="Times New Roman" w:hAnsi="Times New Roman"/>
          <w:b/>
          <w:sz w:val="20"/>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180" w:after="0"/>
        <w:jc w:val="center"/>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Commission File No. 000-07099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Cincinnati, Ohio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513-458-2600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and (2) has been subject to such filing requirements for the past 90 days.    ☒   Yes    ☐  No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 405 of this chapter) during the preceding 12 months (or for such shorter period that the registrant was required to submit and post such files).    ☐  Yes    ☐  No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(as defined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500"/>
        <w:gridCol w:w="109"/>
        <w:gridCol w:w="4020"/>
        <w:gridCol w:w="152"/>
        <w:gridCol w:w="3080"/>
        <w:gridCol w:w="109"/>
        <w:gridCol w:w="235"/>
      </w:tblGrid>
      <w:tr>
        <w:trPr/>
        <w:tc>
          <w:tcPr>
            <w:tcW w:w="2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0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25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Large Accelerated Filer</w:t>
            </w:r>
          </w:p>
        </w:tc>
        <w:tc>
          <w:tcPr>
            <w:tcW w:w="109" w:type="dxa"/>
            <w:tcBorders/>
            <w:shd w:fill="auto" w:val="clear"/>
            <w:vAlign w:val="bottom"/>
          </w:tcPr>
          <w:p>
            <w:pPr>
              <w:pStyle w:val="TableContents"/>
              <w:spacing w:before="0" w:after="283"/>
              <w:rPr/>
            </w:pPr>
            <w:r>
              <w:rPr/>
              <w:t> </w:t>
            </w:r>
          </w:p>
        </w:tc>
        <w:tc>
          <w:tcPr>
            <w:tcW w:w="4020" w:type="dxa"/>
            <w:tcBorders/>
            <w:shd w:fill="auto" w:val="clear"/>
            <w:vAlign w:val="bottom"/>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30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w:t>
            </w:r>
          </w:p>
        </w:tc>
        <w:tc>
          <w:tcPr>
            <w:tcW w:w="10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r>
        <w:trPr>
          <w:trHeight w:val="120" w:hRule="atLeast"/>
        </w:trPr>
        <w:tc>
          <w:tcPr>
            <w:tcW w:w="2500" w:type="dxa"/>
            <w:tcBorders/>
            <w:shd w:fill="auto" w:val="clear"/>
            <w:vAlign w:val="center"/>
          </w:tcPr>
          <w:p>
            <w:pPr>
              <w:pStyle w:val="TableContents"/>
              <w:spacing w:before="0" w:after="283"/>
              <w:rPr>
                <w:sz w:val="4"/>
                <w:szCs w:val="4"/>
              </w:rPr>
            </w:pPr>
            <w:r>
              <w:rPr>
                <w:sz w:val="4"/>
                <w:szCs w:val="4"/>
              </w:rPr>
            </w:r>
          </w:p>
        </w:tc>
        <w:tc>
          <w:tcPr>
            <w:tcW w:w="4129" w:type="dxa"/>
            <w:gridSpan w:val="2"/>
            <w:tcBorders/>
            <w:shd w:fill="auto" w:val="clear"/>
            <w:vAlign w:val="center"/>
          </w:tcPr>
          <w:p>
            <w:pPr>
              <w:pStyle w:val="TableContents"/>
              <w:spacing w:before="0" w:after="283"/>
              <w:rPr>
                <w:sz w:val="4"/>
                <w:szCs w:val="4"/>
              </w:rPr>
            </w:pPr>
            <w:r>
              <w:rPr>
                <w:sz w:val="4"/>
                <w:szCs w:val="4"/>
              </w:rPr>
            </w:r>
          </w:p>
        </w:tc>
        <w:tc>
          <w:tcPr>
            <w:tcW w:w="3232" w:type="dxa"/>
            <w:gridSpan w:val="2"/>
            <w:tcBorders/>
            <w:shd w:fill="auto" w:val="clear"/>
            <w:vAlign w:val="center"/>
          </w:tcPr>
          <w:p>
            <w:pPr>
              <w:pStyle w:val="TableContents"/>
              <w:spacing w:before="0" w:after="283"/>
              <w:rPr>
                <w:sz w:val="4"/>
                <w:szCs w:val="4"/>
              </w:rPr>
            </w:pPr>
            <w:r>
              <w:rPr>
                <w:sz w:val="4"/>
                <w:szCs w:val="4"/>
              </w:rPr>
            </w:r>
          </w:p>
        </w:tc>
        <w:tc>
          <w:tcPr>
            <w:tcW w:w="344" w:type="dxa"/>
            <w:gridSpan w:val="2"/>
            <w:tcBorders/>
            <w:shd w:fill="auto" w:val="clear"/>
            <w:vAlign w:val="center"/>
          </w:tcPr>
          <w:p>
            <w:pPr>
              <w:pStyle w:val="TableContents"/>
              <w:spacing w:before="0" w:after="283"/>
              <w:rPr>
                <w:sz w:val="4"/>
                <w:szCs w:val="4"/>
              </w:rPr>
            </w:pPr>
            <w:r>
              <w:rPr>
                <w:sz w:val="4"/>
                <w:szCs w:val="4"/>
              </w:rPr>
            </w:r>
          </w:p>
        </w:tc>
      </w:tr>
      <w:tr>
        <w:trPr/>
        <w:tc>
          <w:tcPr>
            <w:tcW w:w="25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w:t>
            </w:r>
          </w:p>
        </w:tc>
        <w:tc>
          <w:tcPr>
            <w:tcW w:w="109" w:type="dxa"/>
            <w:tcBorders/>
            <w:shd w:fill="auto" w:val="clear"/>
            <w:vAlign w:val="bottom"/>
          </w:tcPr>
          <w:p>
            <w:pPr>
              <w:pStyle w:val="TableContents"/>
              <w:spacing w:before="0" w:after="283"/>
              <w:rPr/>
            </w:pPr>
            <w:r>
              <w:rPr/>
              <w:t> </w:t>
            </w:r>
          </w:p>
        </w:tc>
        <w:tc>
          <w:tcPr>
            <w:tcW w:w="4020" w:type="dxa"/>
            <w:tcBorders/>
            <w:shd w:fill="auto" w:val="clear"/>
            <w:vAlign w:val="bottom"/>
          </w:tcPr>
          <w:p>
            <w:pPr>
              <w:pStyle w:val="TableContents"/>
              <w:spacing w:before="0" w:after="283"/>
              <w:rPr/>
            </w:pPr>
            <w:r>
              <w:rPr/>
              <w:t>☐</w:t>
            </w:r>
          </w:p>
        </w:tc>
        <w:tc>
          <w:tcPr>
            <w:tcW w:w="152" w:type="dxa"/>
            <w:tcBorders/>
            <w:shd w:fill="auto" w:val="clear"/>
            <w:vAlign w:val="bottom"/>
          </w:tcPr>
          <w:p>
            <w:pPr>
              <w:pStyle w:val="TableContents"/>
              <w:spacing w:before="0" w:after="283"/>
              <w:rPr/>
            </w:pPr>
            <w:r>
              <w:rPr/>
              <w:t>  </w:t>
            </w:r>
          </w:p>
        </w:tc>
        <w:tc>
          <w:tcPr>
            <w:tcW w:w="30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109"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bl>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  Yes    ☒  No </w:t>
      </w:r>
    </w:p>
    <w:p>
      <w:pPr>
        <w:pStyle w:val="TextBody"/>
        <w:spacing w:before="180" w:after="0"/>
        <w:rPr>
          <w:rFonts w:ascii="Times New Roman" w:hAnsi="Times New Roman"/>
          <w:sz w:val="20"/>
        </w:rPr>
      </w:pPr>
      <w:r>
        <w:rPr>
          <w:rFonts w:ascii="Times New Roman" w:hAnsi="Times New Roman"/>
          <w:sz w:val="20"/>
        </w:rPr>
        <w:t xml:space="preserve">Indicate the number of shares outstanding of each of the issuers classes of common stock as of latest practical date. </w:t>
      </w:r>
    </w:p>
    <w:p>
      <w:pPr>
        <w:pStyle w:val="TextBody"/>
        <w:spacing w:before="180" w:after="0"/>
        <w:rPr>
          <w:rFonts w:ascii="Times New Roman" w:hAnsi="Times New Roman"/>
          <w:sz w:val="20"/>
        </w:rPr>
      </w:pPr>
      <w:r>
        <w:rPr>
          <w:rFonts w:ascii="Times New Roman" w:hAnsi="Times New Roman"/>
          <w:sz w:val="20"/>
        </w:rPr>
        <w:t xml:space="preserve">Class: Common, par value $.01 per share outstanding at May 3, 2010  14,302,047 </w:t>
      </w:r>
    </w:p>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QUARTERLY REPORT UNDER SECTION 13 OR 15(d) </w:t>
      </w:r>
    </w:p>
    <w:p>
      <w:pPr>
        <w:pStyle w:val="TextBody"/>
        <w:spacing w:before="0" w:after="0"/>
        <w:jc w:val="center"/>
        <w:rPr>
          <w:rFonts w:ascii="Times New Roman" w:hAnsi="Times New Roman"/>
          <w:sz w:val="20"/>
        </w:rPr>
      </w:pPr>
      <w:r>
        <w:rPr>
          <w:rFonts w:ascii="Times New Roman" w:hAnsi="Times New Roman"/>
          <w:sz w:val="20"/>
        </w:rPr>
        <w:t xml:space="preserve">OF THE SECURITIES EXCHANGE ACT OF 1934 </w:t>
      </w:r>
    </w:p>
    <w:p>
      <w:pPr>
        <w:pStyle w:val="TextBody"/>
        <w:spacing w:before="0" w:after="0"/>
        <w:rPr/>
      </w:pPr>
      <w:r>
        <w:rPr/>
        <w:t> </w:t>
      </w:r>
    </w:p>
    <w:p>
      <w:pPr>
        <w:pStyle w:val="TextBody"/>
        <w:pBdr>
          <w:bottom w:val="single" w:sz="8" w:space="1" w:color="000000"/>
        </w:pBdr>
        <w:spacing w:lineRule="atLeast" w:line="141" w:before="0" w:after="30"/>
        <w:rPr/>
      </w:pPr>
      <w:r>
        <w:rPr/>
        <w:t> </w:t>
      </w:r>
    </w:p>
    <w:p>
      <w:pPr>
        <w:pStyle w:val="TextBody"/>
        <w:spacing w:before="0" w:after="0"/>
        <w:jc w:val="center"/>
        <w:rPr>
          <w:rFonts w:ascii="Times New Roman" w:hAnsi="Times New Roman"/>
          <w:sz w:val="20"/>
        </w:rPr>
      </w:pPr>
      <w:r>
        <w:rPr>
          <w:rFonts w:ascii="Times New Roman" w:hAnsi="Times New Roman"/>
          <w:sz w:val="20"/>
        </w:rPr>
        <w:t xml:space="preserve">MARCH 31, 2010 </w:t>
      </w:r>
    </w:p>
    <w:p>
      <w:pPr>
        <w:pStyle w:val="TextBody"/>
        <w:spacing w:before="180" w:after="0"/>
        <w:jc w:val="center"/>
        <w:rPr>
          <w:rFonts w:ascii="Times New Roman" w:hAnsi="Times New Roman"/>
          <w:sz w:val="20"/>
          <w:u w:val="single"/>
        </w:rPr>
      </w:pPr>
      <w:bookmarkStart w:id="2" w:name="toc"/>
      <w:bookmarkEnd w:id="2"/>
      <w:r>
        <w:rPr>
          <w:rFonts w:ascii="Times New Roman" w:hAnsi="Times New Roman"/>
          <w:sz w:val="20"/>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2"/>
        <w:gridCol w:w="124"/>
        <w:gridCol w:w="965"/>
        <w:gridCol w:w="124"/>
        <w:gridCol w:w="8317"/>
        <w:gridCol w:w="163"/>
        <w:gridCol w:w="240"/>
      </w:tblGrid>
      <w:tr>
        <w:trPr/>
        <w:tc>
          <w:tcPr>
            <w:tcW w:w="27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831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9802" w:type="dxa"/>
            <w:gridSpan w:val="5"/>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980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Part I - Financial Information:</w:t>
            </w:r>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272"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8441" w:type="dxa"/>
            <w:gridSpan w:val="2"/>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965"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124" w:type="dxa"/>
            <w:tcBorders/>
            <w:shd w:fill="auto" w:val="clear"/>
            <w:vAlign w:val="bottom"/>
          </w:tcPr>
          <w:p>
            <w:pPr>
              <w:pStyle w:val="TableContents"/>
              <w:spacing w:before="0" w:after="283"/>
              <w:rPr/>
            </w:pPr>
            <w:r>
              <w:rPr/>
              <w:t> </w:t>
            </w:r>
          </w:p>
        </w:tc>
        <w:tc>
          <w:tcPr>
            <w:tcW w:w="8317" w:type="dxa"/>
            <w:tcBorders/>
            <w:shd w:fill="auto" w:val="clear"/>
            <w:vAlign w:val="bottom"/>
          </w:tcPr>
          <w:p>
            <w:pPr>
              <w:pStyle w:val="TableContents"/>
              <w:spacing w:before="0" w:after="283"/>
              <w:rPr/>
            </w:pPr>
            <w:hyperlink w:anchor="tx70520_1">
              <w:r>
                <w:rPr>
                  <w:rStyle w:val="InternetLink"/>
                  <w:rFonts w:ascii="Times New Roman" w:hAnsi="Times New Roman"/>
                  <w:sz w:val="20"/>
                </w:rPr>
                <w:t>Consolidated balance sheets as of March 31, 2010 and December 31, 2009</w:t>
              </w:r>
            </w:hyperlink>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rHeight w:val="120" w:hRule="atLeast"/>
        </w:trPr>
        <w:tc>
          <w:tcPr>
            <w:tcW w:w="272"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8441" w:type="dxa"/>
            <w:gridSpan w:val="2"/>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965"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8317" w:type="dxa"/>
            <w:tcBorders/>
            <w:shd w:fill="auto" w:val="clear"/>
            <w:vAlign w:val="bottom"/>
          </w:tcPr>
          <w:p>
            <w:pPr>
              <w:pStyle w:val="TableContents"/>
              <w:spacing w:before="0" w:after="283"/>
              <w:rPr/>
            </w:pPr>
            <w:hyperlink w:anchor="tx70520_2">
              <w:r>
                <w:rPr>
                  <w:rStyle w:val="InternetLink"/>
                  <w:rFonts w:ascii="Times New Roman" w:hAnsi="Times New Roman"/>
                  <w:sz w:val="20"/>
                </w:rPr>
                <w:t>Consolidated statements of operations for the three-month periods ended March 31, 2010 and 2009</w:t>
              </w:r>
            </w:hyperlink>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rHeight w:val="120" w:hRule="atLeast"/>
        </w:trPr>
        <w:tc>
          <w:tcPr>
            <w:tcW w:w="272"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8441" w:type="dxa"/>
            <w:gridSpan w:val="2"/>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965"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8317" w:type="dxa"/>
            <w:tcBorders/>
            <w:shd w:fill="auto" w:val="clear"/>
            <w:vAlign w:val="bottom"/>
          </w:tcPr>
          <w:p>
            <w:pPr>
              <w:pStyle w:val="TableContents"/>
              <w:spacing w:before="0" w:after="283"/>
              <w:rPr/>
            </w:pPr>
            <w:hyperlink w:anchor="tx70520_3">
              <w:r>
                <w:rPr>
                  <w:rStyle w:val="InternetLink"/>
                  <w:rFonts w:ascii="Times New Roman" w:hAnsi="Times New Roman"/>
                  <w:sz w:val="20"/>
                </w:rPr>
                <w:t>Consolidated statements of cash flows for the three-month periods ended March 31, 2010 and 2009</w:t>
              </w:r>
            </w:hyperlink>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rHeight w:val="120" w:hRule="atLeast"/>
        </w:trPr>
        <w:tc>
          <w:tcPr>
            <w:tcW w:w="272"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8441" w:type="dxa"/>
            <w:gridSpan w:val="2"/>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965"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8317" w:type="dxa"/>
            <w:tcBorders/>
            <w:shd w:fill="auto" w:val="clear"/>
            <w:vAlign w:val="bottom"/>
          </w:tcPr>
          <w:p>
            <w:pPr>
              <w:pStyle w:val="TableContents"/>
              <w:spacing w:before="0" w:after="283"/>
              <w:rPr/>
            </w:pPr>
            <w:hyperlink w:anchor="tx70520_4">
              <w:r>
                <w:rPr>
                  <w:rStyle w:val="InternetLink"/>
                  <w:rFonts w:ascii="Times New Roman" w:hAnsi="Times New Roman"/>
                  <w:sz w:val="20"/>
                </w:rPr>
                <w:t>Notes to consolidated financial statements</w:t>
              </w:r>
            </w:hyperlink>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rHeight w:val="120" w:hRule="atLeast"/>
        </w:trPr>
        <w:tc>
          <w:tcPr>
            <w:tcW w:w="272"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8441" w:type="dxa"/>
            <w:gridSpan w:val="2"/>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965"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124" w:type="dxa"/>
            <w:tcBorders/>
            <w:shd w:fill="auto" w:val="clear"/>
            <w:vAlign w:val="bottom"/>
          </w:tcPr>
          <w:p>
            <w:pPr>
              <w:pStyle w:val="TableContents"/>
              <w:spacing w:before="0" w:after="283"/>
              <w:rPr/>
            </w:pPr>
            <w:r>
              <w:rPr/>
              <w:t> </w:t>
            </w:r>
          </w:p>
        </w:tc>
        <w:tc>
          <w:tcPr>
            <w:tcW w:w="8317" w:type="dxa"/>
            <w:tcBorders/>
            <w:shd w:fill="auto" w:val="clear"/>
            <w:vAlign w:val="bottom"/>
          </w:tcPr>
          <w:p>
            <w:pPr>
              <w:pStyle w:val="TableContents"/>
              <w:spacing w:before="0" w:after="283"/>
              <w:rPr/>
            </w:pPr>
            <w:hyperlink w:anchor="tx70520_5">
              <w:r>
                <w:rPr>
                  <w:rStyle w:val="InternetLink"/>
                  <w:rFonts w:ascii="Times New Roman" w:hAnsi="Times New Roman"/>
                  <w:sz w:val="20"/>
                </w:rPr>
                <w:t>Managements discussion and analysis of financial condition and results of operations</w:t>
              </w:r>
            </w:hyperlink>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rHeight w:val="120" w:hRule="atLeast"/>
        </w:trPr>
        <w:tc>
          <w:tcPr>
            <w:tcW w:w="272"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8441" w:type="dxa"/>
            <w:gridSpan w:val="2"/>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965" w:type="dxa"/>
            <w:tcBorders/>
            <w:shd w:fill="auto" w:val="clear"/>
          </w:tcPr>
          <w:p>
            <w:pPr>
              <w:pStyle w:val="TableContents"/>
              <w:spacing w:before="0" w:after="283"/>
              <w:rPr>
                <w:rFonts w:ascii="Times New Roman" w:hAnsi="Times New Roman"/>
                <w:sz w:val="20"/>
              </w:rPr>
            </w:pPr>
            <w:r>
              <w:rPr>
                <w:rFonts w:ascii="Times New Roman" w:hAnsi="Times New Roman"/>
                <w:sz w:val="20"/>
              </w:rPr>
              <w:t>Item 4T.</w:t>
            </w:r>
          </w:p>
        </w:tc>
        <w:tc>
          <w:tcPr>
            <w:tcW w:w="124" w:type="dxa"/>
            <w:tcBorders/>
            <w:shd w:fill="auto" w:val="clear"/>
            <w:vAlign w:val="bottom"/>
          </w:tcPr>
          <w:p>
            <w:pPr>
              <w:pStyle w:val="TableContents"/>
              <w:spacing w:before="0" w:after="283"/>
              <w:rPr/>
            </w:pPr>
            <w:r>
              <w:rPr/>
              <w:t> </w:t>
            </w:r>
          </w:p>
        </w:tc>
        <w:tc>
          <w:tcPr>
            <w:tcW w:w="8317" w:type="dxa"/>
            <w:tcBorders/>
            <w:shd w:fill="auto" w:val="clear"/>
            <w:vAlign w:val="bottom"/>
          </w:tcPr>
          <w:p>
            <w:pPr>
              <w:pStyle w:val="TableContents"/>
              <w:spacing w:before="0" w:after="283"/>
              <w:rPr/>
            </w:pPr>
            <w:hyperlink w:anchor="tx70520_6">
              <w:r>
                <w:rPr>
                  <w:rStyle w:val="InternetLink"/>
                  <w:rFonts w:ascii="Times New Roman" w:hAnsi="Times New Roman"/>
                  <w:sz w:val="20"/>
                </w:rPr>
                <w:t>Controls and Procedures</w:t>
              </w:r>
            </w:hyperlink>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rHeight w:val="120" w:hRule="atLeast"/>
        </w:trPr>
        <w:tc>
          <w:tcPr>
            <w:tcW w:w="9802" w:type="dxa"/>
            <w:gridSpan w:val="5"/>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980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Part II - Other Information</w:t>
            </w:r>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272"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auto" w:val="clear"/>
            <w:vAlign w:val="center"/>
          </w:tcPr>
          <w:p>
            <w:pPr>
              <w:pStyle w:val="TableContents"/>
              <w:spacing w:before="0" w:after="283"/>
              <w:rPr>
                <w:sz w:val="4"/>
                <w:szCs w:val="4"/>
              </w:rPr>
            </w:pPr>
            <w:r>
              <w:rPr>
                <w:sz w:val="4"/>
                <w:szCs w:val="4"/>
              </w:rPr>
            </w:r>
          </w:p>
        </w:tc>
        <w:tc>
          <w:tcPr>
            <w:tcW w:w="8441" w:type="dxa"/>
            <w:gridSpan w:val="2"/>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272"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965"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124" w:type="dxa"/>
            <w:tcBorders/>
            <w:shd w:fill="auto" w:val="clear"/>
            <w:vAlign w:val="bottom"/>
          </w:tcPr>
          <w:p>
            <w:pPr>
              <w:pStyle w:val="TableContents"/>
              <w:spacing w:before="0" w:after="283"/>
              <w:rPr/>
            </w:pPr>
            <w:r>
              <w:rPr/>
              <w:t> </w:t>
            </w:r>
          </w:p>
        </w:tc>
        <w:tc>
          <w:tcPr>
            <w:tcW w:w="8317" w:type="dxa"/>
            <w:tcBorders/>
            <w:shd w:fill="auto" w:val="clear"/>
            <w:vAlign w:val="bottom"/>
          </w:tcPr>
          <w:p>
            <w:pPr>
              <w:pStyle w:val="TableContents"/>
              <w:spacing w:before="0" w:after="283"/>
              <w:rPr/>
            </w:pPr>
            <w:hyperlink w:anchor="tx70520_7">
              <w:r>
                <w:rPr>
                  <w:rStyle w:val="InternetLink"/>
                  <w:rFonts w:ascii="Times New Roman" w:hAnsi="Times New Roman"/>
                  <w:sz w:val="20"/>
                </w:rPr>
                <w:t>Exhibits</w:t>
              </w:r>
            </w:hyperlink>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r>
      <w:tr>
        <w:trPr>
          <w:trHeight w:val="120" w:hRule="atLeast"/>
        </w:trPr>
        <w:tc>
          <w:tcPr>
            <w:tcW w:w="9802" w:type="dxa"/>
            <w:gridSpan w:val="5"/>
            <w:tcBorders/>
            <w:shd w:fill="auto" w:val="clear"/>
            <w:vAlign w:val="center"/>
          </w:tcPr>
          <w:p>
            <w:pPr>
              <w:pStyle w:val="TableContents"/>
              <w:spacing w:before="0" w:after="283"/>
              <w:rPr>
                <w:sz w:val="4"/>
                <w:szCs w:val="4"/>
              </w:rPr>
            </w:pPr>
            <w:r>
              <w:rPr>
                <w:sz w:val="4"/>
                <w:szCs w:val="4"/>
              </w:rPr>
            </w:r>
          </w:p>
        </w:tc>
        <w:tc>
          <w:tcPr>
            <w:tcW w:w="403" w:type="dxa"/>
            <w:gridSpan w:val="2"/>
            <w:tcBorders/>
            <w:shd w:fill="auto" w:val="clear"/>
            <w:vAlign w:val="center"/>
          </w:tcPr>
          <w:p>
            <w:pPr>
              <w:pStyle w:val="TableContents"/>
              <w:spacing w:before="0" w:after="283"/>
              <w:rPr>
                <w:sz w:val="4"/>
                <w:szCs w:val="4"/>
              </w:rPr>
            </w:pPr>
            <w:r>
              <w:rPr>
                <w:sz w:val="4"/>
                <w:szCs w:val="4"/>
              </w:rPr>
            </w:r>
          </w:p>
        </w:tc>
      </w:tr>
      <w:tr>
        <w:trPr/>
        <w:tc>
          <w:tcPr>
            <w:tcW w:w="9802" w:type="dxa"/>
            <w:gridSpan w:val="5"/>
            <w:tcBorders/>
            <w:shd w:fill="auto" w:val="clear"/>
          </w:tcPr>
          <w:p>
            <w:pPr>
              <w:pStyle w:val="TableContents"/>
              <w:spacing w:before="0" w:after="283"/>
              <w:rPr/>
            </w:pPr>
            <w:hyperlink w:anchor="tx70520_8">
              <w:r>
                <w:rPr>
                  <w:rStyle w:val="InternetLink"/>
                  <w:rFonts w:ascii="Times New Roman" w:hAnsi="Times New Roman"/>
                  <w:sz w:val="20"/>
                </w:rPr>
                <w:t>Signature</w:t>
              </w:r>
            </w:hyperlink>
          </w:p>
        </w:tc>
        <w:tc>
          <w:tcPr>
            <w:tcW w:w="163"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PART I. FINANCIAL INFORMATION </w:t>
      </w:r>
    </w:p>
    <w:p>
      <w:pPr>
        <w:pStyle w:val="TextBody"/>
        <w:spacing w:before="180" w:after="0"/>
        <w:rPr>
          <w:rFonts w:ascii="Times New Roman" w:hAnsi="Times New Roman"/>
          <w:sz w:val="20"/>
        </w:rPr>
      </w:pPr>
      <w:r>
        <w:rPr>
          <w:rFonts w:ascii="Times New Roman" w:hAnsi="Times New Roman"/>
          <w:sz w:val="20"/>
        </w:rPr>
        <w:t xml:space="preserve">ITEM 1. Financial Statements </w:t>
      </w:r>
    </w:p>
    <w:p>
      <w:pPr>
        <w:pStyle w:val="TextBody"/>
        <w:spacing w:before="180" w:after="0"/>
        <w:jc w:val="center"/>
        <w:rPr>
          <w:rFonts w:ascii="Times New Roman" w:hAnsi="Times New Roman"/>
          <w:sz w:val="20"/>
        </w:rPr>
      </w:pPr>
      <w:bookmarkStart w:id="3" w:name="tx70520_1"/>
      <w:bookmarkEnd w:id="3"/>
      <w:r>
        <w:rPr>
          <w:rFonts w:ascii="Times New Roman" w:hAnsi="Times New Roman"/>
          <w:sz w:val="20"/>
        </w:rPr>
        <w:t xml:space="preserve">CONDENSED CONSOLIDATED BALANCE SHEETS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18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24"/>
        <w:gridCol w:w="467"/>
        <w:gridCol w:w="126"/>
        <w:gridCol w:w="612"/>
        <w:gridCol w:w="125"/>
        <w:gridCol w:w="429"/>
        <w:gridCol w:w="171"/>
        <w:gridCol w:w="823"/>
        <w:gridCol w:w="128"/>
      </w:tblGrid>
      <w:tr>
        <w:trPr/>
        <w:tc>
          <w:tcPr>
            <w:tcW w:w="732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324"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MARCH 31,</w:t>
              <w:br/>
              <w:t>2010</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99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2009</w:t>
            </w:r>
          </w:p>
        </w:tc>
        <w:tc>
          <w:tcPr>
            <w:tcW w:w="128" w:type="dxa"/>
            <w:tcBorders/>
            <w:shd w:fill="auto" w:val="clear"/>
            <w:vAlign w:val="bottom"/>
          </w:tcPr>
          <w:p>
            <w:pPr>
              <w:pStyle w:val="TableContents"/>
              <w:spacing w:before="0" w:after="283"/>
              <w:rPr/>
            </w:pPr>
            <w:r>
              <w:rPr/>
              <w:t> </w:t>
            </w:r>
          </w:p>
        </w:tc>
      </w:tr>
      <w:tr>
        <w:trPr/>
        <w:tc>
          <w:tcPr>
            <w:tcW w:w="7324"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73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(unaudited)</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ASSETS</w:t>
            </w:r>
          </w:p>
        </w:tc>
        <w:tc>
          <w:tcPr>
            <w:tcW w:w="467" w:type="dxa"/>
            <w:tcBorders/>
            <w:shd w:fill="CCEEFF" w:val="clear"/>
            <w:vAlign w:val="bottom"/>
          </w:tcPr>
          <w:p>
            <w:pPr>
              <w:pStyle w:val="TableContents"/>
              <w:spacing w:before="0" w:after="283"/>
              <w:rPr/>
            </w:pPr>
            <w:r>
              <w:rPr/>
              <w:t>  </w:t>
            </w:r>
          </w:p>
        </w:tc>
        <w:tc>
          <w:tcPr>
            <w:tcW w:w="126" w:type="dxa"/>
            <w:tcBorders/>
            <w:shd w:fill="CCEEFF" w:val="clear"/>
          </w:tcPr>
          <w:p>
            <w:pPr>
              <w:pStyle w:val="TableContents"/>
              <w:spacing w:before="0" w:after="283"/>
              <w:rPr>
                <w:sz w:val="4"/>
                <w:szCs w:val="4"/>
              </w:rPr>
            </w:pPr>
            <w:r>
              <w:rPr>
                <w:sz w:val="4"/>
                <w:szCs w:val="4"/>
              </w:rPr>
            </w:r>
          </w:p>
        </w:tc>
        <w:tc>
          <w:tcPr>
            <w:tcW w:w="612"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429" w:type="dxa"/>
            <w:tcBorders/>
            <w:shd w:fill="CCEEFF" w:val="clear"/>
            <w:vAlign w:val="bottom"/>
          </w:tcPr>
          <w:p>
            <w:pPr>
              <w:pStyle w:val="TableContents"/>
              <w:spacing w:before="0" w:after="283"/>
              <w:rPr/>
            </w:pPr>
            <w:r>
              <w:rPr/>
              <w:t> </w:t>
            </w:r>
          </w:p>
        </w:tc>
        <w:tc>
          <w:tcPr>
            <w:tcW w:w="171" w:type="dxa"/>
            <w:tcBorders/>
            <w:shd w:fill="CCEEFF" w:val="clear"/>
          </w:tcPr>
          <w:p>
            <w:pPr>
              <w:pStyle w:val="TableContents"/>
              <w:spacing w:before="0" w:after="283"/>
              <w:rPr>
                <w:sz w:val="4"/>
                <w:szCs w:val="4"/>
              </w:rPr>
            </w:pPr>
            <w:r>
              <w:rPr>
                <w:sz w:val="4"/>
                <w:szCs w:val="4"/>
              </w:rPr>
            </w:r>
          </w:p>
        </w:tc>
        <w:tc>
          <w:tcPr>
            <w:tcW w:w="823" w:type="dxa"/>
            <w:tcBorders/>
            <w:shd w:fill="CCEEFF" w:val="clear"/>
          </w:tcPr>
          <w:p>
            <w:pPr>
              <w:pStyle w:val="TableContents"/>
              <w:spacing w:before="0" w:after="283"/>
              <w:rPr>
                <w:sz w:val="4"/>
                <w:szCs w:val="4"/>
              </w:rPr>
            </w:pPr>
            <w:r>
              <w:rPr>
                <w:sz w:val="4"/>
                <w:szCs w:val="4"/>
              </w:rPr>
            </w:r>
          </w:p>
        </w:tc>
        <w:tc>
          <w:tcPr>
            <w:tcW w:w="128" w:type="dxa"/>
            <w:tcBorders/>
            <w:shd w:fill="CCEEFF" w:val="clear"/>
          </w:tcPr>
          <w:p>
            <w:pPr>
              <w:pStyle w:val="TableContents"/>
              <w:spacing w:before="0" w:after="283"/>
              <w:rPr>
                <w:sz w:val="4"/>
                <w:szCs w:val="4"/>
              </w:rPr>
            </w:pPr>
            <w:r>
              <w:rPr>
                <w:sz w:val="4"/>
                <w:szCs w:val="4"/>
              </w:rPr>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6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sz w:val="4"/>
                <w:szCs w:val="4"/>
              </w:rPr>
            </w:pPr>
            <w:r>
              <w:rPr>
                <w:sz w:val="4"/>
                <w:szCs w:val="4"/>
              </w:rPr>
            </w:r>
          </w:p>
        </w:tc>
        <w:tc>
          <w:tcPr>
            <w:tcW w:w="82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1,393</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22,768</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23,751</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10,174</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10,681</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 net</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5,109</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4,877</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2,553</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2,969</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 of discontinued operations</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924</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1,877</w:t>
            </w:r>
          </w:p>
        </w:tc>
        <w:tc>
          <w:tcPr>
            <w:tcW w:w="128" w:type="dxa"/>
            <w:tcBorders/>
            <w:shd w:fill="auto" w:val="clear"/>
            <w:vAlign w:val="bottom"/>
          </w:tcPr>
          <w:p>
            <w:pPr>
              <w:pStyle w:val="TableContents"/>
              <w:spacing w:before="0" w:after="283"/>
              <w:rPr/>
            </w:pPr>
            <w:r>
              <w:rPr/>
              <w:t>  </w:t>
            </w:r>
          </w:p>
        </w:tc>
      </w:tr>
      <w:tr>
        <w:trPr/>
        <w:tc>
          <w:tcPr>
            <w:tcW w:w="732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23"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42,389</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45,548</w:t>
            </w:r>
          </w:p>
        </w:tc>
        <w:tc>
          <w:tcPr>
            <w:tcW w:w="128" w:type="dxa"/>
            <w:tcBorders/>
            <w:shd w:fill="CCEEFF" w:val="clear"/>
            <w:vAlign w:val="bottom"/>
          </w:tcPr>
          <w:p>
            <w:pPr>
              <w:pStyle w:val="TableContents"/>
              <w:spacing w:before="0" w:after="283"/>
              <w:rPr/>
            </w:pPr>
            <w:r>
              <w:rPr/>
              <w:t>  </w:t>
            </w:r>
          </w:p>
        </w:tc>
      </w:tr>
      <w:tr>
        <w:trPr>
          <w:trHeight w:val="120" w:hRule="atLeast"/>
        </w:trPr>
        <w:tc>
          <w:tcPr>
            <w:tcW w:w="7324" w:type="dxa"/>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c>
          <w:tcPr>
            <w:tcW w:w="1551" w:type="dxa"/>
            <w:gridSpan w:val="4"/>
            <w:tcBorders/>
            <w:shd w:fill="auto" w:val="clear"/>
            <w:vAlign w:val="center"/>
          </w:tcPr>
          <w:p>
            <w:pPr>
              <w:pStyle w:val="TableContents"/>
              <w:spacing w:before="0" w:after="283"/>
              <w:rPr>
                <w:sz w:val="4"/>
                <w:szCs w:val="4"/>
              </w:rPr>
            </w:pPr>
            <w:r>
              <w:rPr>
                <w:sz w:val="4"/>
                <w:szCs w:val="4"/>
              </w:rPr>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11,515</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11,362</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net</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14,667</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14,591</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Intangibles  finite life, net</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1,344</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1,470</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Intangibles  indefinite life</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3,218</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3,209</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asset, net</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348</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930</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Non-current assets of discontinued operations</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8" w:type="dxa"/>
            <w:tcBorders/>
            <w:shd w:fill="auto" w:val="clear"/>
            <w:vAlign w:val="bottom"/>
          </w:tcPr>
          <w:p>
            <w:pPr>
              <w:pStyle w:val="TableContents"/>
              <w:spacing w:before="0" w:after="283"/>
              <w:rPr/>
            </w:pPr>
            <w:r>
              <w:rPr/>
              <w:t>  </w:t>
            </w:r>
          </w:p>
        </w:tc>
      </w:tr>
      <w:tr>
        <w:trPr/>
        <w:tc>
          <w:tcPr>
            <w:tcW w:w="732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23"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24" w:type="dxa"/>
            <w:tcBorders/>
            <w:shd w:fill="CCEEFF" w:val="clear"/>
          </w:tcPr>
          <w:p>
            <w:pPr>
              <w:pStyle w:val="TableContents"/>
              <w:spacing w:before="0" w:after="283"/>
              <w:rPr>
                <w:sz w:val="4"/>
                <w:szCs w:val="4"/>
              </w:rPr>
            </w:pPr>
            <w:r>
              <w:rPr>
                <w:sz w:val="4"/>
                <w:szCs w:val="4"/>
              </w:rPr>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74,388</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77,515</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top w:val="double" w:sz="6" w:space="0" w:color="000000"/>
            </w:tcBorders>
            <w:shd w:fill="auto" w:val="clear"/>
            <w:tcMar>
              <w:top w:w="28" w:type="dxa"/>
            </w:tcMar>
            <w:vAlign w:val="bottom"/>
          </w:tcPr>
          <w:p>
            <w:pPr>
              <w:pStyle w:val="TableContents"/>
              <w:spacing w:before="0" w:after="283"/>
              <w:rPr/>
            </w:pPr>
            <w:r>
              <w:rPr/>
              <w:t> </w:t>
            </w:r>
          </w:p>
        </w:tc>
        <w:tc>
          <w:tcPr>
            <w:tcW w:w="61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top w:val="double" w:sz="6" w:space="0" w:color="000000"/>
            </w:tcBorders>
            <w:shd w:fill="auto" w:val="clear"/>
            <w:tcMar>
              <w:top w:w="28" w:type="dxa"/>
            </w:tcMar>
            <w:vAlign w:val="bottom"/>
          </w:tcPr>
          <w:p>
            <w:pPr>
              <w:pStyle w:val="TableContents"/>
              <w:spacing w:before="0" w:after="283"/>
              <w:rPr/>
            </w:pPr>
            <w:r>
              <w:rPr/>
              <w:t> </w:t>
            </w:r>
          </w:p>
        </w:tc>
        <w:tc>
          <w:tcPr>
            <w:tcW w:w="823"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rHeight w:val="120" w:hRule="atLeast"/>
        </w:trPr>
        <w:tc>
          <w:tcPr>
            <w:tcW w:w="7324" w:type="dxa"/>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c>
          <w:tcPr>
            <w:tcW w:w="1551" w:type="dxa"/>
            <w:gridSpan w:val="4"/>
            <w:tcBorders/>
            <w:shd w:fill="auto" w:val="clear"/>
            <w:vAlign w:val="center"/>
          </w:tcPr>
          <w:p>
            <w:pPr>
              <w:pStyle w:val="TableContents"/>
              <w:spacing w:before="0" w:after="283"/>
              <w:rPr>
                <w:sz w:val="4"/>
                <w:szCs w:val="4"/>
              </w:rPr>
            </w:pPr>
            <w:r>
              <w:rPr>
                <w:sz w:val="4"/>
                <w:szCs w:val="4"/>
              </w:rPr>
            </w:r>
          </w:p>
        </w:tc>
      </w:tr>
      <w:tr>
        <w:trPr/>
        <w:tc>
          <w:tcPr>
            <w:tcW w:w="732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LIABILITIES AND SHAREHOLDERS EQUITY</w:t>
            </w:r>
          </w:p>
        </w:tc>
        <w:tc>
          <w:tcPr>
            <w:tcW w:w="467" w:type="dxa"/>
            <w:tcBorders/>
            <w:shd w:fill="auto" w:val="clear"/>
            <w:vAlign w:val="bottom"/>
          </w:tcPr>
          <w:p>
            <w:pPr>
              <w:pStyle w:val="TableContents"/>
              <w:spacing w:before="0" w:after="283"/>
              <w:rPr/>
            </w:pPr>
            <w:r>
              <w:rPr/>
              <w:t>  </w:t>
            </w:r>
          </w:p>
        </w:tc>
        <w:tc>
          <w:tcPr>
            <w:tcW w:w="126" w:type="dxa"/>
            <w:tcBorders/>
            <w:shd w:fill="auto" w:val="clear"/>
          </w:tcPr>
          <w:p>
            <w:pPr>
              <w:pStyle w:val="TableContents"/>
              <w:spacing w:before="0" w:after="283"/>
              <w:rPr>
                <w:sz w:val="4"/>
                <w:szCs w:val="4"/>
              </w:rPr>
            </w:pPr>
            <w:r>
              <w:rPr>
                <w:sz w:val="4"/>
                <w:szCs w:val="4"/>
              </w:rPr>
            </w:r>
          </w:p>
        </w:tc>
        <w:tc>
          <w:tcPr>
            <w:tcW w:w="612"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429" w:type="dxa"/>
            <w:tcBorders/>
            <w:shd w:fill="auto" w:val="clear"/>
            <w:vAlign w:val="bottom"/>
          </w:tcPr>
          <w:p>
            <w:pPr>
              <w:pStyle w:val="TableContents"/>
              <w:spacing w:before="0" w:after="283"/>
              <w:rPr/>
            </w:pPr>
            <w:r>
              <w:rPr/>
              <w:t> </w:t>
            </w:r>
          </w:p>
        </w:tc>
        <w:tc>
          <w:tcPr>
            <w:tcW w:w="171" w:type="dxa"/>
            <w:tcBorders/>
            <w:shd w:fill="auto" w:val="clear"/>
          </w:tcPr>
          <w:p>
            <w:pPr>
              <w:pStyle w:val="TableContents"/>
              <w:spacing w:before="0" w:after="283"/>
              <w:rPr>
                <w:sz w:val="4"/>
                <w:szCs w:val="4"/>
              </w:rPr>
            </w:pPr>
            <w:r>
              <w:rPr>
                <w:sz w:val="4"/>
                <w:szCs w:val="4"/>
              </w:rPr>
            </w:r>
          </w:p>
        </w:tc>
        <w:tc>
          <w:tcPr>
            <w:tcW w:w="823" w:type="dxa"/>
            <w:tcBorders/>
            <w:shd w:fill="auto" w:val="clear"/>
          </w:tcPr>
          <w:p>
            <w:pPr>
              <w:pStyle w:val="TableContents"/>
              <w:spacing w:before="0" w:after="283"/>
              <w:rPr>
                <w:sz w:val="4"/>
                <w:szCs w:val="4"/>
              </w:rPr>
            </w:pPr>
            <w:r>
              <w:rPr>
                <w:sz w:val="4"/>
                <w:szCs w:val="4"/>
              </w:rPr>
            </w:r>
          </w:p>
        </w:tc>
        <w:tc>
          <w:tcPr>
            <w:tcW w:w="128" w:type="dxa"/>
            <w:tcBorders/>
            <w:shd w:fill="auto" w:val="clear"/>
          </w:tcPr>
          <w:p>
            <w:pPr>
              <w:pStyle w:val="TableContents"/>
              <w:spacing w:before="0" w:after="283"/>
              <w:rPr>
                <w:sz w:val="4"/>
                <w:szCs w:val="4"/>
              </w:rPr>
            </w:pPr>
            <w:r>
              <w:rPr>
                <w:sz w:val="4"/>
                <w:szCs w:val="4"/>
              </w:rPr>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1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sz w:val="4"/>
                <w:szCs w:val="4"/>
              </w:rPr>
            </w:pPr>
            <w:r>
              <w:rPr>
                <w:sz w:val="4"/>
                <w:szCs w:val="4"/>
              </w:rPr>
            </w:r>
          </w:p>
        </w:tc>
        <w:tc>
          <w:tcPr>
            <w:tcW w:w="82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833</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16,283</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18,622</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7,645</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10,373</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 of discontinued operations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23"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25,144</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30,479</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2,667</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2,605</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3,589</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1,871</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Convertible subordinated notes (including related parties notes of $3,800)</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10,800</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10,800</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23"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42,200</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45,755</w:t>
            </w:r>
          </w:p>
        </w:tc>
        <w:tc>
          <w:tcPr>
            <w:tcW w:w="128" w:type="dxa"/>
            <w:tcBorders/>
            <w:shd w:fill="auto" w:val="clear"/>
            <w:vAlign w:val="bottom"/>
          </w:tcPr>
          <w:p>
            <w:pPr>
              <w:pStyle w:val="TableContents"/>
              <w:spacing w:before="0" w:after="283"/>
              <w:rPr/>
            </w:pPr>
            <w:r>
              <w:rPr/>
              <w:t>  </w:t>
            </w:r>
          </w:p>
        </w:tc>
      </w:tr>
      <w:tr>
        <w:trPr>
          <w:trHeight w:val="120" w:hRule="atLeast"/>
        </w:trPr>
        <w:tc>
          <w:tcPr>
            <w:tcW w:w="7324" w:type="dxa"/>
            <w:tcBorders/>
            <w:shd w:fill="auto" w:val="clear"/>
            <w:vAlign w:val="center"/>
          </w:tcPr>
          <w:p>
            <w:pPr>
              <w:pStyle w:val="TableContents"/>
              <w:spacing w:before="0" w:after="283"/>
              <w:rPr>
                <w:sz w:val="4"/>
                <w:szCs w:val="4"/>
              </w:rPr>
            </w:pPr>
            <w:r>
              <w:rPr>
                <w:sz w:val="4"/>
                <w:szCs w:val="4"/>
              </w:rPr>
            </w:r>
          </w:p>
        </w:tc>
        <w:tc>
          <w:tcPr>
            <w:tcW w:w="1330" w:type="dxa"/>
            <w:gridSpan w:val="4"/>
            <w:tcBorders/>
            <w:shd w:fill="auto" w:val="clear"/>
            <w:vAlign w:val="center"/>
          </w:tcPr>
          <w:p>
            <w:pPr>
              <w:pStyle w:val="TableContents"/>
              <w:spacing w:before="0" w:after="283"/>
              <w:rPr>
                <w:sz w:val="4"/>
                <w:szCs w:val="4"/>
              </w:rPr>
            </w:pPr>
            <w:r>
              <w:rPr>
                <w:sz w:val="4"/>
                <w:szCs w:val="4"/>
              </w:rPr>
            </w:r>
          </w:p>
        </w:tc>
        <w:tc>
          <w:tcPr>
            <w:tcW w:w="1551" w:type="dxa"/>
            <w:gridSpan w:val="4"/>
            <w:tcBorders/>
            <w:shd w:fill="auto" w:val="clear"/>
            <w:vAlign w:val="center"/>
          </w:tcPr>
          <w:p>
            <w:pPr>
              <w:pStyle w:val="TableContents"/>
              <w:spacing w:before="0" w:after="283"/>
              <w:rPr>
                <w:sz w:val="4"/>
                <w:szCs w:val="4"/>
              </w:rPr>
            </w:pPr>
            <w:r>
              <w:rPr>
                <w:sz w:val="4"/>
                <w:szCs w:val="4"/>
              </w:rPr>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61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sz w:val="4"/>
                <w:szCs w:val="4"/>
              </w:rPr>
            </w:pPr>
            <w:r>
              <w:rPr>
                <w:sz w:val="4"/>
                <w:szCs w:val="4"/>
              </w:rPr>
            </w:r>
          </w:p>
        </w:tc>
        <w:tc>
          <w:tcPr>
            <w:tcW w:w="82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$0.01 par value; 100,000,000 shares authorized, 14,437,967 and 14,427,251 shares issued in 2010 and 2009, respectively</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42,565</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42,341</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(8,251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(8,348</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(2,021</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2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23"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24" w:type="dxa"/>
            <w:tcBorders/>
            <w:shd w:fill="auto" w:val="clea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32,544</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32,116</w:t>
            </w:r>
          </w:p>
        </w:tc>
        <w:tc>
          <w:tcPr>
            <w:tcW w:w="128" w:type="dxa"/>
            <w:tcBorders/>
            <w:shd w:fill="auto" w:val="clear"/>
            <w:vAlign w:val="bottom"/>
          </w:tcPr>
          <w:p>
            <w:pPr>
              <w:pStyle w:val="TableContents"/>
              <w:spacing w:before="0" w:after="283"/>
              <w:rPr/>
            </w:pPr>
            <w:r>
              <w:rPr/>
              <w:t>  </w:t>
            </w:r>
          </w:p>
        </w:tc>
      </w:tr>
      <w:tr>
        <w:trPr/>
        <w:tc>
          <w:tcPr>
            <w:tcW w:w="7324" w:type="dxa"/>
            <w:tcBorders/>
            <w:shd w:fill="CCEEFF" w:val="clear"/>
          </w:tcPr>
          <w:p>
            <w:pPr>
              <w:pStyle w:val="TableContents"/>
              <w:spacing w:before="0" w:after="283"/>
              <w:rPr>
                <w:rFonts w:ascii="Times New Roman" w:hAnsi="Times New Roman"/>
                <w:sz w:val="20"/>
              </w:rPr>
            </w:pPr>
            <w:r>
              <w:rPr>
                <w:rFonts w:ascii="Times New Roman" w:hAnsi="Times New Roman"/>
                <w:sz w:val="20"/>
              </w:rPr>
              <w:t>Less treasury stock, at cost 137,920 shares in 2010 and 2009</w:t>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2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23"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24" w:type="dxa"/>
            <w:tcBorders/>
            <w:shd w:fill="auto"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46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32,188</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31,760</w:t>
            </w:r>
          </w:p>
        </w:tc>
        <w:tc>
          <w:tcPr>
            <w:tcW w:w="128" w:type="dxa"/>
            <w:tcBorders/>
            <w:shd w:fill="auto" w:val="clear"/>
            <w:vAlign w:val="bottom"/>
          </w:tcPr>
          <w:p>
            <w:pPr>
              <w:pStyle w:val="TableContents"/>
              <w:spacing w:before="0" w:after="283"/>
              <w:rPr/>
            </w:pPr>
            <w:r>
              <w:rPr/>
              <w:t>  </w:t>
            </w:r>
          </w:p>
        </w:tc>
      </w:tr>
      <w:tr>
        <w:trPr/>
        <w:tc>
          <w:tcPr>
            <w:tcW w:w="732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top w:val="single" w:sz="2" w:space="0" w:color="000000"/>
            </w:tcBorders>
            <w:shd w:fill="auto" w:val="clear"/>
            <w:tcMar>
              <w:top w:w="28" w:type="dxa"/>
            </w:tcMar>
            <w:vAlign w:val="bottom"/>
          </w:tcPr>
          <w:p>
            <w:pPr>
              <w:pStyle w:val="TableContents"/>
              <w:spacing w:before="0" w:after="283"/>
              <w:rPr/>
            </w:pPr>
            <w:r>
              <w:rPr/>
              <w:t> </w:t>
            </w:r>
          </w:p>
        </w:tc>
        <w:tc>
          <w:tcPr>
            <w:tcW w:w="612"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top w:val="single" w:sz="2" w:space="0" w:color="000000"/>
            </w:tcBorders>
            <w:shd w:fill="auto" w:val="clear"/>
            <w:tcMar>
              <w:top w:w="28" w:type="dxa"/>
            </w:tcMar>
            <w:vAlign w:val="bottom"/>
          </w:tcPr>
          <w:p>
            <w:pPr>
              <w:pStyle w:val="TableContents"/>
              <w:spacing w:before="0" w:after="283"/>
              <w:rPr/>
            </w:pPr>
            <w:r>
              <w:rPr/>
              <w:t> </w:t>
            </w:r>
          </w:p>
        </w:tc>
        <w:tc>
          <w:tcPr>
            <w:tcW w:w="823"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24" w:type="dxa"/>
            <w:tcBorders/>
            <w:shd w:fill="CCEEFF" w:val="clear"/>
          </w:tcPr>
          <w:p>
            <w:pPr>
              <w:pStyle w:val="TableContents"/>
              <w:spacing w:before="0" w:after="283"/>
              <w:rPr>
                <w:sz w:val="4"/>
                <w:szCs w:val="4"/>
              </w:rPr>
            </w:pPr>
            <w:r>
              <w:rPr>
                <w:sz w:val="4"/>
                <w:szCs w:val="4"/>
              </w:rPr>
            </w:r>
          </w:p>
        </w:tc>
        <w:tc>
          <w:tcPr>
            <w:tcW w:w="467"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74,388</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77,515</w:t>
            </w:r>
          </w:p>
        </w:tc>
        <w:tc>
          <w:tcPr>
            <w:tcW w:w="128" w:type="dxa"/>
            <w:tcBorders/>
            <w:shd w:fill="CCEEFF" w:val="clear"/>
            <w:vAlign w:val="bottom"/>
          </w:tcPr>
          <w:p>
            <w:pPr>
              <w:pStyle w:val="TableContents"/>
              <w:spacing w:before="0" w:after="283"/>
              <w:rPr/>
            </w:pPr>
            <w:r>
              <w:rPr/>
              <w:t>  </w:t>
            </w:r>
          </w:p>
        </w:tc>
      </w:tr>
      <w:tr>
        <w:trPr/>
        <w:tc>
          <w:tcPr>
            <w:tcW w:w="7324"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126" w:type="dxa"/>
            <w:tcBorders>
              <w:top w:val="double" w:sz="6" w:space="0" w:color="000000"/>
            </w:tcBorders>
            <w:shd w:fill="auto" w:val="clear"/>
            <w:tcMar>
              <w:top w:w="28" w:type="dxa"/>
            </w:tcMar>
            <w:vAlign w:val="bottom"/>
          </w:tcPr>
          <w:p>
            <w:pPr>
              <w:pStyle w:val="TableContents"/>
              <w:spacing w:before="0" w:after="283"/>
              <w:rPr/>
            </w:pPr>
            <w:r>
              <w:rPr/>
              <w:t> </w:t>
            </w:r>
          </w:p>
        </w:tc>
        <w:tc>
          <w:tcPr>
            <w:tcW w:w="612"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71" w:type="dxa"/>
            <w:tcBorders>
              <w:top w:val="double" w:sz="6" w:space="0" w:color="000000"/>
            </w:tcBorders>
            <w:shd w:fill="auto" w:val="clear"/>
            <w:tcMar>
              <w:top w:w="28" w:type="dxa"/>
            </w:tcMar>
            <w:vAlign w:val="bottom"/>
          </w:tcPr>
          <w:p>
            <w:pPr>
              <w:pStyle w:val="TableContents"/>
              <w:spacing w:before="0" w:after="283"/>
              <w:rPr/>
            </w:pPr>
            <w:r>
              <w:rPr/>
              <w:t> </w:t>
            </w:r>
          </w:p>
        </w:tc>
        <w:tc>
          <w:tcPr>
            <w:tcW w:w="823"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the condensed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4" w:name="tx70520_2"/>
      <w:bookmarkEnd w:id="4"/>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CONDENSED 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885"/>
        <w:gridCol w:w="465"/>
        <w:gridCol w:w="125"/>
        <w:gridCol w:w="966"/>
        <w:gridCol w:w="125"/>
        <w:gridCol w:w="418"/>
        <w:gridCol w:w="125"/>
        <w:gridCol w:w="966"/>
        <w:gridCol w:w="130"/>
      </w:tblGrid>
      <w:tr>
        <w:trPr/>
        <w:tc>
          <w:tcPr>
            <w:tcW w:w="688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6885"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272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MARCH 31,</w:t>
            </w:r>
          </w:p>
        </w:tc>
        <w:tc>
          <w:tcPr>
            <w:tcW w:w="130" w:type="dxa"/>
            <w:tcBorders/>
            <w:shd w:fill="auto" w:val="clear"/>
            <w:vAlign w:val="bottom"/>
          </w:tcPr>
          <w:p>
            <w:pPr>
              <w:pStyle w:val="TableContents"/>
              <w:spacing w:before="0" w:after="283"/>
              <w:rPr/>
            </w:pPr>
            <w:r>
              <w:rPr/>
              <w:t> </w:t>
            </w:r>
          </w:p>
        </w:tc>
      </w:tr>
      <w:tr>
        <w:trPr/>
        <w:tc>
          <w:tcPr>
            <w:tcW w:w="6885"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0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0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30" w:type="dxa"/>
            <w:tcBorders/>
            <w:shd w:fill="auto" w:val="clear"/>
            <w:vAlign w:val="bottom"/>
          </w:tcPr>
          <w:p>
            <w:pPr>
              <w:pStyle w:val="TableContents"/>
              <w:spacing w:before="0" w:after="283"/>
              <w:rPr/>
            </w:pPr>
            <w:r>
              <w:rPr/>
              <w:t> </w:t>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35,021</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38,056</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27,004</w:t>
            </w:r>
          </w:p>
        </w:tc>
        <w:tc>
          <w:tcPr>
            <w:tcW w:w="125"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29,380</w:t>
            </w:r>
          </w:p>
        </w:tc>
        <w:tc>
          <w:tcPr>
            <w:tcW w:w="130" w:type="dxa"/>
            <w:tcBorders/>
            <w:shd w:fill="auto" w:val="clear"/>
            <w:vAlign w:val="bottom"/>
          </w:tcPr>
          <w:p>
            <w:pPr>
              <w:pStyle w:val="TableContents"/>
              <w:spacing w:before="0" w:after="283"/>
              <w:rPr/>
            </w:pPr>
            <w:r>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8,017</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8,676</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7,234</w:t>
            </w:r>
          </w:p>
        </w:tc>
        <w:tc>
          <w:tcPr>
            <w:tcW w:w="125"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7,187</w:t>
            </w:r>
          </w:p>
        </w:tc>
        <w:tc>
          <w:tcPr>
            <w:tcW w:w="130" w:type="dxa"/>
            <w:tcBorders/>
            <w:shd w:fill="auto" w:val="clear"/>
            <w:vAlign w:val="bottom"/>
          </w:tcPr>
          <w:p>
            <w:pPr>
              <w:pStyle w:val="TableContents"/>
              <w:spacing w:before="0" w:after="283"/>
              <w:rPr/>
            </w:pPr>
            <w:r>
              <w:rPr/>
              <w:t>  </w:t>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w:t>
            </w:r>
          </w:p>
        </w:tc>
        <w:tc>
          <w:tcPr>
            <w:tcW w:w="125"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1,176</w:t>
            </w:r>
          </w:p>
        </w:tc>
        <w:tc>
          <w:tcPr>
            <w:tcW w:w="130" w:type="dxa"/>
            <w:tcBorders/>
            <w:shd w:fill="auto" w:val="clear"/>
            <w:vAlign w:val="bottom"/>
          </w:tcPr>
          <w:p>
            <w:pPr>
              <w:pStyle w:val="TableContents"/>
              <w:spacing w:before="0" w:after="283"/>
              <w:rPr/>
            </w:pPr>
            <w:r>
              <w:rPr/>
              <w:t>  </w:t>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Other (loss) income, net</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$56 and $109, respectively)</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rHeight w:val="120" w:hRule="atLeast"/>
        </w:trPr>
        <w:tc>
          <w:tcPr>
            <w:tcW w:w="6885" w:type="dxa"/>
            <w:tcBorders/>
            <w:shd w:fill="auto" w:val="clear"/>
            <w:vAlign w:val="center"/>
          </w:tcPr>
          <w:p>
            <w:pPr>
              <w:pStyle w:val="TableContents"/>
              <w:spacing w:before="0" w:after="283"/>
              <w:rPr>
                <w:sz w:val="4"/>
                <w:szCs w:val="4"/>
              </w:rPr>
            </w:pPr>
            <w:r>
              <w:rPr>
                <w:sz w:val="4"/>
                <w:szCs w:val="4"/>
              </w:rPr>
            </w:r>
          </w:p>
        </w:tc>
        <w:tc>
          <w:tcPr>
            <w:tcW w:w="1681" w:type="dxa"/>
            <w:gridSpan w:val="4"/>
            <w:tcBorders/>
            <w:shd w:fill="auto" w:val="clear"/>
            <w:vAlign w:val="center"/>
          </w:tcPr>
          <w:p>
            <w:pPr>
              <w:pStyle w:val="TableContents"/>
              <w:spacing w:before="0" w:after="283"/>
              <w:rPr>
                <w:sz w:val="4"/>
                <w:szCs w:val="4"/>
              </w:rPr>
            </w:pPr>
            <w:r>
              <w:rPr>
                <w:sz w:val="4"/>
                <w:szCs w:val="4"/>
              </w:rPr>
            </w:r>
          </w:p>
        </w:tc>
        <w:tc>
          <w:tcPr>
            <w:tcW w:w="1639" w:type="dxa"/>
            <w:gridSpan w:val="4"/>
            <w:tcBorders/>
            <w:shd w:fill="auto" w:val="clear"/>
            <w:vAlign w:val="center"/>
          </w:tcPr>
          <w:p>
            <w:pPr>
              <w:pStyle w:val="TableContents"/>
              <w:spacing w:before="0" w:after="283"/>
              <w:rPr>
                <w:sz w:val="4"/>
                <w:szCs w:val="4"/>
              </w:rPr>
            </w:pPr>
            <w:r>
              <w:rPr>
                <w:sz w:val="4"/>
                <w:szCs w:val="4"/>
              </w:rPr>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continuing operations before income taxes</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25"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30" w:type="dxa"/>
            <w:tcBorders/>
            <w:shd w:fill="auto" w:val="clear"/>
            <w:vAlign w:val="bottom"/>
          </w:tcPr>
          <w:p>
            <w:pPr>
              <w:pStyle w:val="TableContents"/>
              <w:spacing w:before="0" w:after="283"/>
              <w:rPr/>
            </w:pPr>
            <w:r>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from continuing operations</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587</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Net loss from discontinued operations (see Note 15), net of tax</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rHeight w:val="120" w:hRule="atLeast"/>
        </w:trPr>
        <w:tc>
          <w:tcPr>
            <w:tcW w:w="6885" w:type="dxa"/>
            <w:tcBorders/>
            <w:shd w:fill="auto" w:val="clear"/>
            <w:vAlign w:val="center"/>
          </w:tcPr>
          <w:p>
            <w:pPr>
              <w:pStyle w:val="TableContents"/>
              <w:spacing w:before="0" w:after="283"/>
              <w:rPr>
                <w:sz w:val="4"/>
                <w:szCs w:val="4"/>
              </w:rPr>
            </w:pPr>
            <w:r>
              <w:rPr>
                <w:sz w:val="4"/>
                <w:szCs w:val="4"/>
              </w:rPr>
            </w:r>
          </w:p>
        </w:tc>
        <w:tc>
          <w:tcPr>
            <w:tcW w:w="1681" w:type="dxa"/>
            <w:gridSpan w:val="4"/>
            <w:tcBorders/>
            <w:shd w:fill="auto" w:val="clear"/>
            <w:vAlign w:val="center"/>
          </w:tcPr>
          <w:p>
            <w:pPr>
              <w:pStyle w:val="TableContents"/>
              <w:spacing w:before="0" w:after="283"/>
              <w:rPr>
                <w:sz w:val="4"/>
                <w:szCs w:val="4"/>
              </w:rPr>
            </w:pPr>
            <w:r>
              <w:rPr>
                <w:sz w:val="4"/>
                <w:szCs w:val="4"/>
              </w:rPr>
            </w:r>
          </w:p>
        </w:tc>
        <w:tc>
          <w:tcPr>
            <w:tcW w:w="1639" w:type="dxa"/>
            <w:gridSpan w:val="4"/>
            <w:tcBorders/>
            <w:shd w:fill="auto" w:val="clear"/>
            <w:vAlign w:val="center"/>
          </w:tcPr>
          <w:p>
            <w:pPr>
              <w:pStyle w:val="TableContents"/>
              <w:spacing w:before="0" w:after="283"/>
              <w:rPr>
                <w:sz w:val="4"/>
                <w:szCs w:val="4"/>
              </w:rPr>
            </w:pPr>
            <w:r>
              <w:rPr>
                <w:sz w:val="4"/>
                <w:szCs w:val="4"/>
              </w:rPr>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Per share data:</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Basic net income from continuing operations</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loss from discontinued operations</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25"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Basic net income</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rHeight w:val="120" w:hRule="atLeast"/>
        </w:trPr>
        <w:tc>
          <w:tcPr>
            <w:tcW w:w="6885" w:type="dxa"/>
            <w:tcBorders/>
            <w:shd w:fill="auto" w:val="clear"/>
            <w:vAlign w:val="center"/>
          </w:tcPr>
          <w:p>
            <w:pPr>
              <w:pStyle w:val="TableContents"/>
              <w:spacing w:before="0" w:after="283"/>
              <w:rPr>
                <w:sz w:val="4"/>
                <w:szCs w:val="4"/>
              </w:rPr>
            </w:pPr>
            <w:r>
              <w:rPr>
                <w:sz w:val="4"/>
                <w:szCs w:val="4"/>
              </w:rPr>
            </w:r>
          </w:p>
        </w:tc>
        <w:tc>
          <w:tcPr>
            <w:tcW w:w="1681" w:type="dxa"/>
            <w:gridSpan w:val="4"/>
            <w:tcBorders/>
            <w:shd w:fill="auto" w:val="clear"/>
            <w:vAlign w:val="center"/>
          </w:tcPr>
          <w:p>
            <w:pPr>
              <w:pStyle w:val="TableContents"/>
              <w:spacing w:before="0" w:after="283"/>
              <w:rPr>
                <w:sz w:val="4"/>
                <w:szCs w:val="4"/>
              </w:rPr>
            </w:pPr>
            <w:r>
              <w:rPr>
                <w:sz w:val="4"/>
                <w:szCs w:val="4"/>
              </w:rPr>
            </w:r>
          </w:p>
        </w:tc>
        <w:tc>
          <w:tcPr>
            <w:tcW w:w="1639" w:type="dxa"/>
            <w:gridSpan w:val="4"/>
            <w:tcBorders/>
            <w:shd w:fill="auto" w:val="clear"/>
            <w:vAlign w:val="center"/>
          </w:tcPr>
          <w:p>
            <w:pPr>
              <w:pStyle w:val="TableContents"/>
              <w:spacing w:before="0" w:after="283"/>
              <w:rPr>
                <w:sz w:val="4"/>
                <w:szCs w:val="4"/>
              </w:rPr>
            </w:pPr>
            <w:r>
              <w:rPr>
                <w:sz w:val="4"/>
                <w:szCs w:val="4"/>
              </w:rPr>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Diluted net income from continuing operations</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30" w:type="dxa"/>
            <w:tcBorders/>
            <w:shd w:fill="auto" w:val="clear"/>
            <w:vAlign w:val="bottom"/>
          </w:tcPr>
          <w:p>
            <w:pPr>
              <w:pStyle w:val="TableContents"/>
              <w:spacing w:before="0" w:after="283"/>
              <w:rPr/>
            </w:pPr>
            <w:r>
              <w:rPr/>
              <w:t>  </w:t>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loss from discontinued operations</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Diluted net income</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30" w:type="dxa"/>
            <w:tcBorders/>
            <w:shd w:fill="auto" w:val="clear"/>
            <w:vAlign w:val="bottom"/>
          </w:tcPr>
          <w:p>
            <w:pPr>
              <w:pStyle w:val="TableContents"/>
              <w:spacing w:before="0" w:after="283"/>
              <w:rPr/>
            </w:pPr>
            <w:r>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rHeight w:val="120" w:hRule="atLeast"/>
        </w:trPr>
        <w:tc>
          <w:tcPr>
            <w:tcW w:w="6885" w:type="dxa"/>
            <w:tcBorders/>
            <w:shd w:fill="auto" w:val="clear"/>
            <w:vAlign w:val="center"/>
          </w:tcPr>
          <w:p>
            <w:pPr>
              <w:pStyle w:val="TableContents"/>
              <w:spacing w:before="0" w:after="283"/>
              <w:rPr>
                <w:sz w:val="4"/>
                <w:szCs w:val="4"/>
              </w:rPr>
            </w:pPr>
            <w:r>
              <w:rPr>
                <w:sz w:val="4"/>
                <w:szCs w:val="4"/>
              </w:rPr>
            </w:r>
          </w:p>
        </w:tc>
        <w:tc>
          <w:tcPr>
            <w:tcW w:w="1681" w:type="dxa"/>
            <w:gridSpan w:val="4"/>
            <w:tcBorders/>
            <w:shd w:fill="auto" w:val="clear"/>
            <w:vAlign w:val="center"/>
          </w:tcPr>
          <w:p>
            <w:pPr>
              <w:pStyle w:val="TableContents"/>
              <w:spacing w:before="0" w:after="283"/>
              <w:rPr>
                <w:sz w:val="4"/>
                <w:szCs w:val="4"/>
              </w:rPr>
            </w:pPr>
            <w:r>
              <w:rPr>
                <w:sz w:val="4"/>
                <w:szCs w:val="4"/>
              </w:rPr>
            </w:r>
          </w:p>
        </w:tc>
        <w:tc>
          <w:tcPr>
            <w:tcW w:w="1639" w:type="dxa"/>
            <w:gridSpan w:val="4"/>
            <w:tcBorders/>
            <w:shd w:fill="auto" w:val="clear"/>
            <w:vAlign w:val="center"/>
          </w:tcPr>
          <w:p>
            <w:pPr>
              <w:pStyle w:val="TableContents"/>
              <w:spacing w:before="0" w:after="283"/>
              <w:rPr>
                <w:sz w:val="4"/>
                <w:szCs w:val="4"/>
              </w:rPr>
            </w:pPr>
            <w:r>
              <w:rPr>
                <w:sz w:val="4"/>
                <w:szCs w:val="4"/>
              </w:rPr>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885"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4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14,296,832</w:t>
            </w:r>
          </w:p>
        </w:tc>
        <w:tc>
          <w:tcPr>
            <w:tcW w:w="125"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14,322,777</w:t>
            </w:r>
          </w:p>
        </w:tc>
        <w:tc>
          <w:tcPr>
            <w:tcW w:w="130" w:type="dxa"/>
            <w:tcBorders/>
            <w:shd w:fill="auto" w:val="clear"/>
            <w:vAlign w:val="bottom"/>
          </w:tcPr>
          <w:p>
            <w:pPr>
              <w:pStyle w:val="TableContents"/>
              <w:spacing w:before="0" w:after="283"/>
              <w:rPr/>
            </w:pPr>
            <w:r>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885"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4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14,358,267</w:t>
            </w:r>
          </w:p>
        </w:tc>
        <w:tc>
          <w:tcPr>
            <w:tcW w:w="125"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15,189,775</w:t>
            </w:r>
          </w:p>
        </w:tc>
        <w:tc>
          <w:tcPr>
            <w:tcW w:w="130" w:type="dxa"/>
            <w:tcBorders/>
            <w:shd w:fill="CCEEFF" w:val="clear"/>
            <w:vAlign w:val="bottom"/>
          </w:tcPr>
          <w:p>
            <w:pPr>
              <w:pStyle w:val="TableContents"/>
              <w:spacing w:before="0" w:after="283"/>
              <w:rPr/>
            </w:pPr>
            <w:r>
              <w:rPr/>
              <w:t>  </w:t>
            </w:r>
          </w:p>
        </w:tc>
      </w:tr>
      <w:tr>
        <w:trPr/>
        <w:tc>
          <w:tcPr>
            <w:tcW w:w="6885" w:type="dxa"/>
            <w:tcBorders/>
            <w:shd w:fill="auto" w:val="clear"/>
            <w:vAlign w:val="bottom"/>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the condensed consolidated financial statements are an integral part of the above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5" w:name="tx70520_3"/>
      <w:bookmarkEnd w:id="5"/>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CONDENSED CONSOLIDATED STATEMENTS OF CASH FLOWS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0" w:after="0"/>
        <w:rPr>
          <w:rFonts w:ascii="Times New Roman" w:hAnsi="Times New Roman"/>
          <w:sz w:val="20"/>
        </w:rPr>
      </w:pPr>
      <w:r>
        <w:rPr>
          <w:rFonts w:ascii="Times New Roman" w:hAnsi="Times New Roman"/>
          <w:sz w:val="20"/>
        </w:rPr>
        <w:t xml:space="preserve">Dollars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698"/>
        <w:gridCol w:w="412"/>
        <w:gridCol w:w="125"/>
        <w:gridCol w:w="556"/>
        <w:gridCol w:w="125"/>
        <w:gridCol w:w="360"/>
        <w:gridCol w:w="125"/>
        <w:gridCol w:w="675"/>
        <w:gridCol w:w="129"/>
      </w:tblGrid>
      <w:tr>
        <w:trPr/>
        <w:tc>
          <w:tcPr>
            <w:tcW w:w="769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69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96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MARCH 31,</w:t>
            </w:r>
          </w:p>
        </w:tc>
        <w:tc>
          <w:tcPr>
            <w:tcW w:w="129" w:type="dxa"/>
            <w:tcBorders/>
            <w:shd w:fill="auto" w:val="clear"/>
            <w:vAlign w:val="bottom"/>
          </w:tcPr>
          <w:p>
            <w:pPr>
              <w:pStyle w:val="TableContents"/>
              <w:spacing w:before="0" w:after="283"/>
              <w:rPr/>
            </w:pPr>
            <w:r>
              <w:rPr/>
              <w:t> </w:t>
            </w:r>
          </w:p>
        </w:tc>
      </w:tr>
      <w:tr>
        <w:trPr/>
        <w:tc>
          <w:tcPr>
            <w:tcW w:w="7698"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6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80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operating activities: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29" w:type="dxa"/>
            <w:tcBorders/>
            <w:shd w:fill="auto" w:val="clear"/>
            <w:vAlign w:val="bottom"/>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 from discontinued operations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from continuing operations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587</w:t>
            </w:r>
          </w:p>
        </w:tc>
        <w:tc>
          <w:tcPr>
            <w:tcW w:w="129" w:type="dxa"/>
            <w:tcBorders/>
            <w:shd w:fill="auto" w:val="clear"/>
            <w:vAlign w:val="bottom"/>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(used in) provided by operating activities: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419</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733</w:t>
            </w:r>
          </w:p>
        </w:tc>
        <w:tc>
          <w:tcPr>
            <w:tcW w:w="129" w:type="dxa"/>
            <w:tcBorders/>
            <w:shd w:fill="auto" w:val="clear"/>
            <w:vAlign w:val="bottom"/>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interest expense included in net income</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Non cash gain on remeasurement of subordinated debt</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Non cash gain from disposal of fixed assets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Share based compensation expense</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234</w:t>
            </w:r>
          </w:p>
        </w:tc>
        <w:tc>
          <w:tcPr>
            <w:tcW w:w="129" w:type="dxa"/>
            <w:tcBorders/>
            <w:shd w:fill="auto" w:val="clear"/>
            <w:vAlign w:val="bottom"/>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Bad debt expense</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883</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11,109</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129" w:type="dxa"/>
            <w:tcBorders/>
            <w:shd w:fill="auto" w:val="clear"/>
            <w:vAlign w:val="bottom"/>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1,852</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416</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(6,169</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Accrued income taxes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(1,796</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provided by continuing operating activities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6,775</w:t>
            </w:r>
          </w:p>
        </w:tc>
        <w:tc>
          <w:tcPr>
            <w:tcW w:w="129" w:type="dxa"/>
            <w:tcBorders/>
            <w:shd w:fill="auto" w:val="clear"/>
            <w:vAlign w:val="bottom"/>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discontinued operating activities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1,780</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Net cash (used in) provided by operating activities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8,555</w:t>
            </w:r>
          </w:p>
        </w:tc>
        <w:tc>
          <w:tcPr>
            <w:tcW w:w="129" w:type="dxa"/>
            <w:tcBorders/>
            <w:shd w:fill="auto" w:val="clear"/>
            <w:vAlign w:val="bottom"/>
          </w:tcPr>
          <w:p>
            <w:pPr>
              <w:pStyle w:val="TableContents"/>
              <w:spacing w:before="0" w:after="283"/>
              <w:rPr/>
            </w:pPr>
            <w:r>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7698" w:type="dxa"/>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c>
          <w:tcPr>
            <w:tcW w:w="1289" w:type="dxa"/>
            <w:gridSpan w:val="4"/>
            <w:tcBorders/>
            <w:shd w:fill="auto" w:val="clear"/>
            <w:vAlign w:val="center"/>
          </w:tcPr>
          <w:p>
            <w:pPr>
              <w:pStyle w:val="TableContents"/>
              <w:spacing w:before="0" w:after="283"/>
              <w:rPr>
                <w:sz w:val="4"/>
                <w:szCs w:val="4"/>
              </w:rPr>
            </w:pPr>
            <w:r>
              <w:rPr>
                <w:sz w:val="4"/>
                <w:szCs w:val="4"/>
              </w:rPr>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Cash flows from investing activities: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property and equipment</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(517</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7698" w:type="dxa"/>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c>
          <w:tcPr>
            <w:tcW w:w="1289" w:type="dxa"/>
            <w:gridSpan w:val="4"/>
            <w:tcBorders/>
            <w:shd w:fill="auto" w:val="clear"/>
            <w:vAlign w:val="center"/>
          </w:tcPr>
          <w:p>
            <w:pPr>
              <w:pStyle w:val="TableContents"/>
              <w:spacing w:before="0" w:after="283"/>
              <w:rPr>
                <w:sz w:val="4"/>
                <w:szCs w:val="4"/>
              </w:rPr>
            </w:pPr>
            <w:r>
              <w:rPr>
                <w:sz w:val="4"/>
                <w:szCs w:val="4"/>
              </w:rPr>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Cash flows from financing activities:</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Net borrowings (payments) on revolving credit lines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1,852</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Subordinated debt repayment</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for deferred financing costs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Repayment of term debt</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(8,123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7698" w:type="dxa"/>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c>
          <w:tcPr>
            <w:tcW w:w="1289" w:type="dxa"/>
            <w:gridSpan w:val="4"/>
            <w:tcBorders/>
            <w:shd w:fill="auto" w:val="clear"/>
            <w:vAlign w:val="center"/>
          </w:tcPr>
          <w:p>
            <w:pPr>
              <w:pStyle w:val="TableContents"/>
              <w:spacing w:before="0" w:after="283"/>
              <w:rPr>
                <w:sz w:val="4"/>
                <w:szCs w:val="4"/>
              </w:rPr>
            </w:pPr>
            <w:r>
              <w:rPr>
                <w:sz w:val="4"/>
                <w:szCs w:val="4"/>
              </w:rPr>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Net decrease in cash</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beginning of the period</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1,393</w:t>
            </w:r>
          </w:p>
        </w:tc>
        <w:tc>
          <w:tcPr>
            <w:tcW w:w="125"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7698" w:type="dxa"/>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c>
          <w:tcPr>
            <w:tcW w:w="1289" w:type="dxa"/>
            <w:gridSpan w:val="4"/>
            <w:tcBorders/>
            <w:shd w:fill="auto" w:val="clear"/>
            <w:vAlign w:val="center"/>
          </w:tcPr>
          <w:p>
            <w:pPr>
              <w:pStyle w:val="TableContents"/>
              <w:spacing w:before="0" w:after="283"/>
              <w:rPr>
                <w:sz w:val="4"/>
                <w:szCs w:val="4"/>
              </w:rPr>
            </w:pPr>
            <w:r>
              <w:rPr>
                <w:sz w:val="4"/>
                <w:szCs w:val="4"/>
              </w:rPr>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end of the period</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861</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1,062</w:t>
            </w:r>
          </w:p>
        </w:tc>
        <w:tc>
          <w:tcPr>
            <w:tcW w:w="129" w:type="dxa"/>
            <w:tcBorders/>
            <w:shd w:fill="auto" w:val="clear"/>
            <w:vAlign w:val="bottom"/>
          </w:tcPr>
          <w:p>
            <w:pPr>
              <w:pStyle w:val="TableContents"/>
              <w:spacing w:before="0" w:after="283"/>
              <w:rPr/>
            </w:pPr>
            <w:r>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7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7698" w:type="dxa"/>
            <w:tcBorders/>
            <w:shd w:fill="auto" w:val="clear"/>
            <w:vAlign w:val="center"/>
          </w:tcPr>
          <w:p>
            <w:pPr>
              <w:pStyle w:val="TableContents"/>
              <w:spacing w:before="0" w:after="283"/>
              <w:rPr>
                <w:sz w:val="4"/>
                <w:szCs w:val="4"/>
              </w:rPr>
            </w:pPr>
            <w:r>
              <w:rPr>
                <w:sz w:val="4"/>
                <w:szCs w:val="4"/>
              </w:rPr>
            </w:r>
          </w:p>
        </w:tc>
        <w:tc>
          <w:tcPr>
            <w:tcW w:w="1218" w:type="dxa"/>
            <w:gridSpan w:val="4"/>
            <w:tcBorders/>
            <w:shd w:fill="auto" w:val="clear"/>
            <w:vAlign w:val="center"/>
          </w:tcPr>
          <w:p>
            <w:pPr>
              <w:pStyle w:val="TableContents"/>
              <w:spacing w:before="0" w:after="283"/>
              <w:rPr>
                <w:sz w:val="4"/>
                <w:szCs w:val="4"/>
              </w:rPr>
            </w:pPr>
            <w:r>
              <w:rPr>
                <w:sz w:val="4"/>
                <w:szCs w:val="4"/>
              </w:rPr>
            </w:r>
          </w:p>
        </w:tc>
        <w:tc>
          <w:tcPr>
            <w:tcW w:w="1289" w:type="dxa"/>
            <w:gridSpan w:val="4"/>
            <w:tcBorders/>
            <w:shd w:fill="auto" w:val="clear"/>
            <w:vAlign w:val="center"/>
          </w:tcPr>
          <w:p>
            <w:pPr>
              <w:pStyle w:val="TableContents"/>
              <w:spacing w:before="0" w:after="283"/>
              <w:rPr>
                <w:sz w:val="4"/>
                <w:szCs w:val="4"/>
              </w:rPr>
            </w:pPr>
            <w:r>
              <w:rPr>
                <w:sz w:val="4"/>
                <w:szCs w:val="4"/>
              </w:rPr>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(refunded) during the period for:</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5"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698" w:type="dxa"/>
            <w:tcBorders/>
            <w:shd w:fill="auto" w:val="clear"/>
          </w:tcPr>
          <w:p>
            <w:pPr>
              <w:pStyle w:val="TableContents"/>
              <w:spacing w:before="0" w:after="283"/>
              <w:rPr>
                <w:rFonts w:ascii="Times New Roman" w:hAnsi="Times New Roman"/>
                <w:sz w:val="20"/>
              </w:rPr>
            </w:pPr>
            <w:r>
              <w:rPr>
                <w:rFonts w:ascii="Times New Roman" w:hAnsi="Times New Roman"/>
                <w:sz w:val="20"/>
              </w:rPr>
              <w:t>Interest</w:t>
            </w:r>
          </w:p>
        </w:tc>
        <w:tc>
          <w:tcPr>
            <w:tcW w:w="4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w:t>
            </w:r>
          </w:p>
        </w:tc>
        <w:tc>
          <w:tcPr>
            <w:tcW w:w="125"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29" w:type="dxa"/>
            <w:tcBorders/>
            <w:shd w:fill="auto" w:val="clear"/>
            <w:vAlign w:val="bottom"/>
          </w:tcPr>
          <w:p>
            <w:pPr>
              <w:pStyle w:val="TableContents"/>
              <w:spacing w:before="0" w:after="283"/>
              <w:rPr/>
            </w:pPr>
            <w:r>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75"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69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w:t>
            </w:r>
          </w:p>
        </w:tc>
        <w:tc>
          <w:tcPr>
            <w:tcW w:w="4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1,943</w:t>
            </w:r>
          </w:p>
        </w:tc>
        <w:tc>
          <w:tcPr>
            <w:tcW w:w="129" w:type="dxa"/>
            <w:tcBorders/>
            <w:shd w:fill="CCEEFF" w:val="clear"/>
            <w:vAlign w:val="bottom"/>
          </w:tcPr>
          <w:p>
            <w:pPr>
              <w:pStyle w:val="TableContents"/>
              <w:spacing w:before="0" w:after="283"/>
              <w:rPr/>
            </w:pPr>
            <w:r>
              <w:rPr/>
              <w:t>  </w:t>
            </w:r>
          </w:p>
        </w:tc>
      </w:tr>
      <w:tr>
        <w:trPr/>
        <w:tc>
          <w:tcPr>
            <w:tcW w:w="7698"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5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75"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The notes to the condensed consolidated financial statements are an integral part of the above statement.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bookmarkStart w:id="6" w:name="tx70520_4"/>
      <w:bookmarkEnd w:id="6"/>
      <w:r>
        <w:rPr>
          <w:rFonts w:ascii="Times New Roman" w:hAnsi="Times New Roman"/>
          <w:sz w:val="20"/>
          <w:u w:val="single"/>
        </w:rPr>
        <w:t xml:space="preserve">CECO ENVIRONMENTAL CORP.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NOTES TO THE CONDENSED CONSOLIDATED FINANCIAL STATEMENTS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Basis of reporting for consolidated financial statements </w:t>
            </w:r>
          </w:p>
        </w:tc>
      </w:tr>
    </w:tbl>
    <w:p>
      <w:pPr>
        <w:pStyle w:val="TextBody"/>
        <w:spacing w:before="90" w:after="0"/>
        <w:rPr>
          <w:rFonts w:ascii="Times New Roman" w:hAnsi="Times New Roman"/>
          <w:sz w:val="20"/>
        </w:rPr>
      </w:pPr>
      <w:r>
        <w:rPr>
          <w:rFonts w:ascii="Times New Roman" w:hAnsi="Times New Roman"/>
          <w:sz w:val="20"/>
        </w:rPr>
        <w:t xml:space="preserve">The accompanying unaudited condensed consolidated financial statements of CECO Environmental Corp. and subsidiaries (the Company, we, us, or our) have been prepared pursuant to the rules and regulations of the Securities and Exchange Commission.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2010 and the results of operations and of cash flows for the three-month periods ended March 31, 2010 and 2009. The results of operations for the three-month period ended March 31, 2010 are not necessarily indicative of the results to be expected for the full year. The balance sheet as of December 31, 2009 has been derived from the audited consolidated financial statements included in the Companys annual report on Form 10-K for the year ended December 31, 2009 filed with the Securities and Exchange Commission. </w:t>
      </w:r>
    </w:p>
    <w:p>
      <w:pPr>
        <w:pStyle w:val="TextBody"/>
        <w:spacing w:before="90" w:after="0"/>
        <w:rPr>
          <w:rFonts w:ascii="Times New Roman" w:hAnsi="Times New Roman"/>
          <w:sz w:val="20"/>
        </w:rPr>
      </w:pPr>
      <w:r>
        <w:rPr>
          <w:rFonts w:ascii="Times New Roman" w:hAnsi="Times New Roman"/>
          <w:sz w:val="20"/>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spacing w:before="90" w:after="0"/>
        <w:rPr>
          <w:rFonts w:ascii="Times New Roman" w:hAnsi="Times New Roman"/>
          <w:sz w:val="20"/>
        </w:rPr>
      </w:pPr>
      <w:r>
        <w:rPr>
          <w:rFonts w:ascii="Times New Roman" w:hAnsi="Times New Roman"/>
          <w:sz w:val="20"/>
        </w:rPr>
        <w:t xml:space="preserve">During 2009, the Company discontinued the operations of its subsidiary, H.M. White, Inc. (H.M. White). In accordance with the provisions of FASB ASC Subtopic 205-20, the results of H.M. White are presented as discontinued operations for all periods in the consolidated financial statements. See footnote 15 for additional details. </w:t>
      </w:r>
    </w:p>
    <w:p>
      <w:pPr>
        <w:pStyle w:val="TextBody"/>
        <w:spacing w:before="90" w:after="0"/>
        <w:rPr>
          <w:rFonts w:ascii="Times New Roman" w:hAnsi="Times New Roman"/>
          <w:sz w:val="20"/>
        </w:rPr>
      </w:pPr>
      <w:r>
        <w:rPr>
          <w:rFonts w:ascii="Times New Roman" w:hAnsi="Times New Roman"/>
          <w:sz w:val="20"/>
        </w:rPr>
        <w:t xml:space="preserve">These financial statements and accompanying notes should be read in conjunction with the audited financial statements and the notes thereto included in the Companys Annual Report on Form 10-K for the fiscal year ended December 31, 2009 filed with the Securities and Exchange Commission.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New Accounting Pronouncements </w:t>
            </w:r>
          </w:p>
        </w:tc>
      </w:tr>
    </w:tbl>
    <w:p>
      <w:pPr>
        <w:pStyle w:val="TextBody"/>
        <w:spacing w:before="90" w:after="0"/>
        <w:rPr>
          <w:rFonts w:ascii="Times New Roman" w:hAnsi="Times New Roman"/>
          <w:i/>
          <w:sz w:val="20"/>
        </w:rPr>
      </w:pPr>
      <w:r>
        <w:rPr>
          <w:rFonts w:ascii="Times New Roman" w:hAnsi="Times New Roman"/>
          <w:i/>
          <w:sz w:val="20"/>
        </w:rPr>
        <w:t xml:space="preserve">Recently Issued Accounting Pronouncements </w:t>
      </w:r>
    </w:p>
    <w:p>
      <w:pPr>
        <w:pStyle w:val="TextBody"/>
        <w:spacing w:before="90" w:after="0"/>
        <w:rPr>
          <w:rFonts w:ascii="Times New Roman" w:hAnsi="Times New Roman"/>
          <w:sz w:val="20"/>
        </w:rPr>
      </w:pPr>
      <w:r>
        <w:rPr>
          <w:rFonts w:ascii="Times New Roman" w:hAnsi="Times New Roman"/>
          <w:sz w:val="20"/>
        </w:rPr>
        <w:t xml:space="preserve">Accounting Standards Codification (ASC) 605-25In October 2009, the Financial Accounting Standards Board (FASB) issued Accounting Standards Update (ASU) No. 2009-13 for updated revenue recognition guidance under the provisions of ASC 605-25, Multiple-Element Arrangements. The previous guidance has been retained for criteria to determine when delivered items in a multiple-deliverable arrangements should be considered separate units of accounting, however the updated guidance removes the previous separation criterion that objective and reliable evidence of fair value of any undelivered items must exist for the delivered items to be considered a separate unit or separate units of accounting. This guidance is effective for fiscal years beginning on or after June 15, 2010. The Company does not expect that the adoption of this guidance will have a material effect on the Companys consolidated results of operations, financial position or cash flows. </w:t>
      </w:r>
    </w:p>
    <w:p>
      <w:pPr>
        <w:pStyle w:val="TextBody"/>
        <w:spacing w:before="90" w:after="0"/>
        <w:rPr>
          <w:rFonts w:ascii="Times New Roman" w:hAnsi="Times New Roman"/>
          <w:sz w:val="20"/>
        </w:rPr>
      </w:pPr>
      <w:r>
        <w:rPr>
          <w:rFonts w:ascii="Times New Roman" w:hAnsi="Times New Roman"/>
          <w:sz w:val="20"/>
        </w:rPr>
        <w:t xml:space="preserve">ASC 820In January 2010, the FASB issued ASU No. 2010-06, Fair Value Measurements and Disclosures (Topic 820): Improving Disclosures About Fair Value Measurements. This guidance amends Subtopic 820-10 to require new disclosures and clarify existing disclosures. This guidance requires new disclosures of amounts and reasons for significant transfers between Level 1 and Level 2 fair value measurements. Additionally, in the reconciliation for fair value measurements using significant unobservable inputs (Level 3), separate presentation of information about purchases, sales, issuances and settlements is required. The guidance clarifies that fair value measurement disclosures for each class of assets and liabilities may constitute a subset of assets and liabilities within a line item on a reporting entitys balance sheet. The guidance also clarifies disclosure requirements about inputs and valuation techniques for both recurring and nonrecurring fair value measurements (Level 2 or Level 3). The ASU also amends guidance on employers disclosures about postretirement benefit plan assets under ASC 715 to require that disclosures be provided by classes of assets instead of by major categories of assets. The new disclosures and clarifications of existing disclosures are effective for interim and annual reporting periods beginning after December 15, 2009, except for the disclosures about purchases, sales, issuances and settlements in the roll forward of activity for Level 3 fair value measurements. Those disclosures are effective for fiscal years beginning after December 15, 2010, including interim periods within those fiscal years. The Company has not had and does not expect that the adoption of this remaining guidance will have a material effect on the Companys consolidated results of operations, financial position or cash flows.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NOTES TO THE CONSOLIDATED FINANCIAL STATEMENTS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(unaudited) </w:t>
      </w:r>
    </w:p>
    <w:p>
      <w:pPr>
        <w:pStyle w:val="TextBody"/>
        <w:spacing w:before="180" w:after="0"/>
        <w:rPr>
          <w:rFonts w:ascii="Times New Roman" w:hAnsi="Times New Roman"/>
          <w:sz w:val="20"/>
        </w:rPr>
      </w:pPr>
      <w:r>
        <w:rPr>
          <w:rFonts w:ascii="Times New Roman" w:hAnsi="Times New Roman"/>
          <w:sz w:val="20"/>
        </w:rPr>
        <w:t xml:space="preserve">ASC 815In March 2010, the FASB issued ASU 2010-11, Scope Exception Related to Embedded Credit Derivatives to address questions that have been raised in practice about the intended breadth of the embedded credit derivative scope exception in paragraphs 815-15-15-8 through 815-15-15-9 of ASC 815, Derivatives and Hedging. The amended guidance clarifies that the scope exception applies to contracts that contain an embedded credit derivative that is only in the form of subordination of one financial instrument to another. This guidance is effective on July 1, 2010 for the Company. The adoption of this guidance is not expected to have a material impact on the Companys consolidated financial position, results of operations or cash flows.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Inventories </w:t>
            </w:r>
          </w:p>
        </w:tc>
      </w:tr>
    </w:tbl>
    <w:p>
      <w:pPr>
        <w:pStyle w:val="TextBody"/>
        <w:spacing w:before="90" w:after="0"/>
        <w:rPr>
          <w:rFonts w:ascii="Times New Roman" w:hAnsi="Times New Roman"/>
          <w:sz w:val="20"/>
        </w:rPr>
      </w:pPr>
      <w:r>
        <w:rPr>
          <w:rFonts w:ascii="Times New Roman" w:hAnsi="Times New Roman"/>
          <w:sz w:val="20"/>
        </w:rPr>
        <w:t xml:space="preserve">$ </w:t>
      </w:r>
      <w:r>
        <w:rPr>
          <w:rFonts w:ascii="Times New Roman" w:hAnsi="Times New Roman"/>
          <w:i/>
          <w:sz w:val="20"/>
        </w:rPr>
        <w:t xml:space="preserve">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046"/>
        <w:gridCol w:w="528"/>
        <w:gridCol w:w="127"/>
        <w:gridCol w:w="495"/>
        <w:gridCol w:w="125"/>
        <w:gridCol w:w="481"/>
        <w:gridCol w:w="163"/>
        <w:gridCol w:w="662"/>
        <w:gridCol w:w="128"/>
      </w:tblGrid>
      <w:tr>
        <w:trPr/>
        <w:tc>
          <w:tcPr>
            <w:tcW w:w="504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046"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rPr/>
            </w:pPr>
            <w:r>
              <w:rPr/>
              <w:t>  </w:t>
            </w:r>
          </w:p>
        </w:tc>
        <w:tc>
          <w:tcPr>
            <w:tcW w:w="6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March 31,</w:t>
              <w:br/>
              <w:t>2010</w:t>
            </w:r>
          </w:p>
        </w:tc>
        <w:tc>
          <w:tcPr>
            <w:tcW w:w="125"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2009</w:t>
            </w:r>
          </w:p>
        </w:tc>
        <w:tc>
          <w:tcPr>
            <w:tcW w:w="128" w:type="dxa"/>
            <w:tcBorders/>
            <w:shd w:fill="auto" w:val="clear"/>
            <w:vAlign w:val="bottom"/>
          </w:tcPr>
          <w:p>
            <w:pPr>
              <w:pStyle w:val="TableContents"/>
              <w:spacing w:before="0" w:after="283"/>
              <w:rPr/>
            </w:pPr>
            <w:r>
              <w:rPr/>
              <w:t> </w:t>
            </w:r>
          </w:p>
        </w:tc>
      </w:tr>
      <w:tr>
        <w:trPr/>
        <w:tc>
          <w:tcPr>
            <w:tcW w:w="5046"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 and subassemblies</w:t>
            </w:r>
          </w:p>
        </w:tc>
        <w:tc>
          <w:tcPr>
            <w:tcW w:w="52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3,619</w:t>
            </w:r>
          </w:p>
        </w:tc>
        <w:tc>
          <w:tcPr>
            <w:tcW w:w="125"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3,322</w:t>
            </w:r>
          </w:p>
        </w:tc>
        <w:tc>
          <w:tcPr>
            <w:tcW w:w="128" w:type="dxa"/>
            <w:tcBorders/>
            <w:shd w:fill="CCEEFF" w:val="clear"/>
            <w:vAlign w:val="bottom"/>
          </w:tcPr>
          <w:p>
            <w:pPr>
              <w:pStyle w:val="TableContents"/>
              <w:spacing w:before="0" w:after="283"/>
              <w:rPr/>
            </w:pPr>
            <w:r>
              <w:rPr/>
              <w:t>  </w:t>
            </w:r>
          </w:p>
        </w:tc>
      </w:tr>
      <w:tr>
        <w:trPr/>
        <w:tc>
          <w:tcPr>
            <w:tcW w:w="5046" w:type="dxa"/>
            <w:tcBorders/>
            <w:shd w:fill="auto" w:val="clear"/>
          </w:tcPr>
          <w:p>
            <w:pPr>
              <w:pStyle w:val="TableContents"/>
              <w:spacing w:before="0" w:after="283"/>
              <w:rPr>
                <w:rFonts w:ascii="Times New Roman" w:hAnsi="Times New Roman"/>
                <w:sz w:val="20"/>
              </w:rPr>
            </w:pPr>
            <w:r>
              <w:rPr>
                <w:rFonts w:ascii="Times New Roman" w:hAnsi="Times New Roman"/>
                <w:sz w:val="20"/>
              </w:rPr>
              <w:t>Finished goods</w:t>
            </w:r>
          </w:p>
        </w:tc>
        <w:tc>
          <w:tcPr>
            <w:tcW w:w="52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c>
          <w:tcPr>
            <w:tcW w:w="125"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1,044</w:t>
            </w:r>
          </w:p>
        </w:tc>
        <w:tc>
          <w:tcPr>
            <w:tcW w:w="128" w:type="dxa"/>
            <w:tcBorders/>
            <w:shd w:fill="auto" w:val="clear"/>
            <w:vAlign w:val="bottom"/>
          </w:tcPr>
          <w:p>
            <w:pPr>
              <w:pStyle w:val="TableContents"/>
              <w:spacing w:before="0" w:after="283"/>
              <w:rPr/>
            </w:pPr>
            <w:r>
              <w:rPr/>
              <w:t>  </w:t>
            </w:r>
          </w:p>
        </w:tc>
      </w:tr>
      <w:tr>
        <w:trPr/>
        <w:tc>
          <w:tcPr>
            <w:tcW w:w="5046" w:type="dxa"/>
            <w:tcBorders/>
            <w:shd w:fill="CCEEFF" w:val="clear"/>
          </w:tcPr>
          <w:p>
            <w:pPr>
              <w:pStyle w:val="TableContents"/>
              <w:spacing w:before="0" w:after="283"/>
              <w:rPr>
                <w:rFonts w:ascii="Times New Roman" w:hAnsi="Times New Roman"/>
                <w:sz w:val="20"/>
              </w:rPr>
            </w:pPr>
            <w:r>
              <w:rPr>
                <w:rFonts w:ascii="Times New Roman" w:hAnsi="Times New Roman"/>
                <w:sz w:val="20"/>
              </w:rPr>
              <w:t>Parts for resale</w:t>
            </w:r>
          </w:p>
        </w:tc>
        <w:tc>
          <w:tcPr>
            <w:tcW w:w="52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695</w:t>
            </w:r>
          </w:p>
        </w:tc>
        <w:tc>
          <w:tcPr>
            <w:tcW w:w="125"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566</w:t>
            </w:r>
          </w:p>
        </w:tc>
        <w:tc>
          <w:tcPr>
            <w:tcW w:w="128" w:type="dxa"/>
            <w:tcBorders/>
            <w:shd w:fill="CCEEFF" w:val="clear"/>
            <w:vAlign w:val="bottom"/>
          </w:tcPr>
          <w:p>
            <w:pPr>
              <w:pStyle w:val="TableContents"/>
              <w:spacing w:before="0" w:after="283"/>
              <w:rPr/>
            </w:pPr>
            <w:r>
              <w:rPr/>
              <w:t>  </w:t>
            </w:r>
          </w:p>
        </w:tc>
      </w:tr>
      <w:tr>
        <w:trPr/>
        <w:tc>
          <w:tcPr>
            <w:tcW w:w="5046" w:type="dxa"/>
            <w:tcBorders/>
            <w:shd w:fill="auto" w:val="clear"/>
          </w:tcPr>
          <w:p>
            <w:pPr>
              <w:pStyle w:val="TableContents"/>
              <w:spacing w:before="0" w:after="283"/>
              <w:rPr>
                <w:rFonts w:ascii="Times New Roman" w:hAnsi="Times New Roman"/>
                <w:sz w:val="20"/>
              </w:rPr>
            </w:pPr>
            <w:r>
              <w:rPr>
                <w:rFonts w:ascii="Times New Roman" w:hAnsi="Times New Roman"/>
                <w:sz w:val="20"/>
              </w:rPr>
              <w:t>Reserve for obsolescence</w:t>
            </w:r>
          </w:p>
        </w:tc>
        <w:tc>
          <w:tcPr>
            <w:tcW w:w="52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8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46"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27" w:type="dxa"/>
            <w:tcBorders>
              <w:top w:val="single" w:sz="2" w:space="0" w:color="000000"/>
            </w:tcBorders>
            <w:shd w:fill="auto" w:val="clear"/>
            <w:tcMar>
              <w:top w:w="28" w:type="dxa"/>
            </w:tcMar>
            <w:vAlign w:val="bottom"/>
          </w:tcPr>
          <w:p>
            <w:pPr>
              <w:pStyle w:val="TableContents"/>
              <w:spacing w:before="0" w:after="283"/>
              <w:rPr/>
            </w:pPr>
            <w:r>
              <w:rPr/>
              <w:t> </w:t>
            </w:r>
          </w:p>
        </w:tc>
        <w:tc>
          <w:tcPr>
            <w:tcW w:w="495"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63" w:type="dxa"/>
            <w:tcBorders>
              <w:top w:val="single" w:sz="2" w:space="0" w:color="000000"/>
            </w:tcBorders>
            <w:shd w:fill="auto" w:val="clear"/>
            <w:tcMar>
              <w:top w:w="28" w:type="dxa"/>
            </w:tcMar>
            <w:vAlign w:val="bottom"/>
          </w:tcPr>
          <w:p>
            <w:pPr>
              <w:pStyle w:val="TableContents"/>
              <w:spacing w:before="0" w:after="283"/>
              <w:rPr/>
            </w:pPr>
            <w:r>
              <w:rPr/>
              <w:t> </w:t>
            </w:r>
          </w:p>
        </w:tc>
        <w:tc>
          <w:tcPr>
            <w:tcW w:w="662" w:type="dxa"/>
            <w:tcBorders>
              <w:top w:val="single" w:sz="2"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5046" w:type="dxa"/>
            <w:tcBorders/>
            <w:shd w:fill="CCEEFF" w:val="clear"/>
          </w:tcPr>
          <w:p>
            <w:pPr>
              <w:pStyle w:val="TableContents"/>
              <w:spacing w:before="0" w:after="283"/>
              <w:rPr>
                <w:sz w:val="4"/>
                <w:szCs w:val="4"/>
              </w:rPr>
            </w:pPr>
            <w:r>
              <w:rPr>
                <w:sz w:val="4"/>
                <w:szCs w:val="4"/>
              </w:rPr>
            </w:r>
          </w:p>
        </w:tc>
        <w:tc>
          <w:tcPr>
            <w:tcW w:w="52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5,109</w:t>
            </w:r>
          </w:p>
        </w:tc>
        <w:tc>
          <w:tcPr>
            <w:tcW w:w="125"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4,877</w:t>
            </w:r>
          </w:p>
        </w:tc>
        <w:tc>
          <w:tcPr>
            <w:tcW w:w="128" w:type="dxa"/>
            <w:tcBorders/>
            <w:shd w:fill="CCEEFF" w:val="clear"/>
            <w:vAlign w:val="bottom"/>
          </w:tcPr>
          <w:p>
            <w:pPr>
              <w:pStyle w:val="TableContents"/>
              <w:spacing w:before="0" w:after="283"/>
              <w:rPr/>
            </w:pPr>
            <w:r>
              <w:rPr/>
              <w:t>  </w:t>
            </w:r>
          </w:p>
        </w:tc>
      </w:tr>
      <w:tr>
        <w:trPr/>
        <w:tc>
          <w:tcPr>
            <w:tcW w:w="5046"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27" w:type="dxa"/>
            <w:tcBorders>
              <w:top w:val="double" w:sz="6" w:space="0" w:color="000000"/>
            </w:tcBorders>
            <w:shd w:fill="auto" w:val="clear"/>
            <w:tcMar>
              <w:top w:w="28" w:type="dxa"/>
            </w:tcMar>
            <w:vAlign w:val="bottom"/>
          </w:tcPr>
          <w:p>
            <w:pPr>
              <w:pStyle w:val="TableContents"/>
              <w:spacing w:before="0" w:after="283"/>
              <w:rPr/>
            </w:pPr>
            <w:r>
              <w:rPr/>
              <w:t> </w:t>
            </w:r>
          </w:p>
        </w:tc>
        <w:tc>
          <w:tcPr>
            <w:tcW w:w="495"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63" w:type="dxa"/>
            <w:tcBorders>
              <w:top w:val="double" w:sz="6" w:space="0" w:color="000000"/>
            </w:tcBorders>
            <w:shd w:fill="auto" w:val="clear"/>
            <w:tcMar>
              <w:top w:w="28" w:type="dxa"/>
            </w:tcMar>
            <w:vAlign w:val="bottom"/>
          </w:tcPr>
          <w:p>
            <w:pPr>
              <w:pStyle w:val="TableContents"/>
              <w:spacing w:before="0" w:after="283"/>
              <w:rPr/>
            </w:pPr>
            <w:r>
              <w:rPr/>
              <w:t> </w:t>
            </w:r>
          </w:p>
        </w:tc>
        <w:tc>
          <w:tcPr>
            <w:tcW w:w="662" w:type="dxa"/>
            <w:tcBorders>
              <w:top w:val="double" w:sz="6" w:space="0" w:color="000000"/>
            </w:tcBorders>
            <w:shd w:fill="auto" w:val="clear"/>
            <w:tcMar>
              <w:top w:w="28" w:type="dxa"/>
            </w:tcMar>
            <w:vAlign w:val="bottom"/>
          </w:tcPr>
          <w:p>
            <w:pPr>
              <w:pStyle w:val="TableContents"/>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Amounts credited to the allowance for obsolete inventory and charged to cost of sales amounted to $138 and $37 for the three month period ended March 31, 2010 and 2009,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Costs and Estimated Earnings on Uncompleted Contracts </w:t>
            </w:r>
          </w:p>
        </w:tc>
      </w:tr>
    </w:tbl>
    <w:p>
      <w:pPr>
        <w:pStyle w:val="TextBody"/>
        <w:spacing w:before="90" w:after="0"/>
        <w:rPr>
          <w:rFonts w:ascii="Times New Roman" w:hAnsi="Times New Roman"/>
          <w:sz w:val="20"/>
        </w:rPr>
      </w:pPr>
      <w:r>
        <w:rPr>
          <w:rFonts w:ascii="Times New Roman" w:hAnsi="Times New Roman"/>
          <w:sz w:val="20"/>
        </w:rPr>
        <w:t xml:space="preserve">$ </w:t>
      </w:r>
      <w:r>
        <w:rPr>
          <w:rFonts w:ascii="Times New Roman" w:hAnsi="Times New Roman"/>
          <w:i/>
          <w:sz w:val="20"/>
        </w:rPr>
        <w:t xml:space="preserve">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999"/>
        <w:gridCol w:w="475"/>
        <w:gridCol w:w="125"/>
        <w:gridCol w:w="664"/>
        <w:gridCol w:w="125"/>
        <w:gridCol w:w="429"/>
        <w:gridCol w:w="129"/>
        <w:gridCol w:w="680"/>
        <w:gridCol w:w="129"/>
      </w:tblGrid>
      <w:tr>
        <w:trPr/>
        <w:tc>
          <w:tcPr>
            <w:tcW w:w="499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999"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7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March 31,</w:t>
              <w:br/>
              <w:t>2010</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8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2009</w:t>
            </w:r>
          </w:p>
        </w:tc>
        <w:tc>
          <w:tcPr>
            <w:tcW w:w="129" w:type="dxa"/>
            <w:tcBorders/>
            <w:shd w:fill="auto" w:val="clear"/>
            <w:vAlign w:val="bottom"/>
          </w:tcPr>
          <w:p>
            <w:pPr>
              <w:pStyle w:val="TableContents"/>
              <w:spacing w:before="0" w:after="283"/>
              <w:rPr/>
            </w:pPr>
            <w:r>
              <w:rPr/>
              <w:t> </w:t>
            </w:r>
          </w:p>
        </w:tc>
      </w:tr>
      <w:tr>
        <w:trPr/>
        <w:tc>
          <w:tcPr>
            <w:tcW w:w="4999" w:type="dxa"/>
            <w:tcBorders/>
            <w:shd w:fill="CCEEFF" w:val="clear"/>
          </w:tcPr>
          <w:p>
            <w:pPr>
              <w:pStyle w:val="TableContents"/>
              <w:spacing w:before="0" w:after="283"/>
              <w:rPr>
                <w:rFonts w:ascii="Times New Roman" w:hAnsi="Times New Roman"/>
                <w:sz w:val="20"/>
              </w:rPr>
            </w:pPr>
            <w:r>
              <w:rPr>
                <w:rFonts w:ascii="Times New Roman" w:hAnsi="Times New Roman"/>
                <w:sz w:val="20"/>
              </w:rPr>
              <w:t>Costs incurred on uncompleted contracts</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78,669</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74,908</w:t>
            </w:r>
          </w:p>
        </w:tc>
        <w:tc>
          <w:tcPr>
            <w:tcW w:w="129" w:type="dxa"/>
            <w:tcBorders/>
            <w:shd w:fill="CCEEFF" w:val="clear"/>
            <w:vAlign w:val="bottom"/>
          </w:tcPr>
          <w:p>
            <w:pPr>
              <w:pStyle w:val="TableContents"/>
              <w:spacing w:before="0" w:after="283"/>
              <w:rPr/>
            </w:pPr>
            <w:r>
              <w:rPr/>
              <w:t>  </w:t>
            </w:r>
          </w:p>
        </w:tc>
      </w:tr>
      <w:tr>
        <w:trPr/>
        <w:tc>
          <w:tcPr>
            <w:tcW w:w="4999" w:type="dxa"/>
            <w:tcBorders/>
            <w:shd w:fill="auto" w:val="clear"/>
          </w:tcPr>
          <w:p>
            <w:pPr>
              <w:pStyle w:val="TableContents"/>
              <w:spacing w:before="0" w:after="283"/>
              <w:rPr>
                <w:rFonts w:ascii="Times New Roman" w:hAnsi="Times New Roman"/>
                <w:sz w:val="20"/>
              </w:rPr>
            </w:pPr>
            <w:r>
              <w:rPr>
                <w:rFonts w:ascii="Times New Roman" w:hAnsi="Times New Roman"/>
                <w:sz w:val="20"/>
              </w:rPr>
              <w:t>Estimated earnings</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16,219</w:t>
            </w:r>
          </w:p>
        </w:tc>
        <w:tc>
          <w:tcPr>
            <w:tcW w:w="125"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16,897</w:t>
            </w:r>
          </w:p>
        </w:tc>
        <w:tc>
          <w:tcPr>
            <w:tcW w:w="129" w:type="dxa"/>
            <w:tcBorders/>
            <w:shd w:fill="auto" w:val="clear"/>
            <w:vAlign w:val="bottom"/>
          </w:tcPr>
          <w:p>
            <w:pPr>
              <w:pStyle w:val="TableContents"/>
              <w:spacing w:before="0" w:after="283"/>
              <w:rPr/>
            </w:pPr>
            <w:r>
              <w:rPr/>
              <w:t>  </w:t>
            </w:r>
          </w:p>
        </w:tc>
      </w:tr>
      <w:tr>
        <w:trPr/>
        <w:tc>
          <w:tcPr>
            <w:tcW w:w="49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8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999" w:type="dxa"/>
            <w:tcBorders/>
            <w:shd w:fill="CCEEFF" w:val="clear"/>
          </w:tcPr>
          <w:p>
            <w:pPr>
              <w:pStyle w:val="TableContents"/>
              <w:spacing w:before="0" w:after="283"/>
              <w:rPr>
                <w:sz w:val="4"/>
                <w:szCs w:val="4"/>
              </w:rPr>
            </w:pPr>
            <w:r>
              <w:rPr>
                <w:sz w:val="4"/>
                <w:szCs w:val="4"/>
              </w:rPr>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94,888</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91,805</w:t>
            </w:r>
          </w:p>
        </w:tc>
        <w:tc>
          <w:tcPr>
            <w:tcW w:w="129" w:type="dxa"/>
            <w:tcBorders/>
            <w:shd w:fill="CCEEFF" w:val="clear"/>
            <w:vAlign w:val="bottom"/>
          </w:tcPr>
          <w:p>
            <w:pPr>
              <w:pStyle w:val="TableContents"/>
              <w:spacing w:before="0" w:after="283"/>
              <w:rPr/>
            </w:pPr>
            <w:r>
              <w:rPr/>
              <w:t>  </w:t>
            </w:r>
          </w:p>
        </w:tc>
      </w:tr>
      <w:tr>
        <w:trPr/>
        <w:tc>
          <w:tcPr>
            <w:tcW w:w="4999" w:type="dxa"/>
            <w:tcBorders/>
            <w:shd w:fill="auto" w:val="clear"/>
          </w:tcPr>
          <w:p>
            <w:pPr>
              <w:pStyle w:val="TableContents"/>
              <w:spacing w:before="0" w:after="283"/>
              <w:rPr>
                <w:rFonts w:ascii="Times New Roman" w:hAnsi="Times New Roman"/>
                <w:sz w:val="20"/>
              </w:rPr>
            </w:pPr>
            <w:r>
              <w:rPr>
                <w:rFonts w:ascii="Times New Roman" w:hAnsi="Times New Roman"/>
                <w:sz w:val="20"/>
              </w:rPr>
              <w:t>Less billings to date</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(92,359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(91,497</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8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999" w:type="dxa"/>
            <w:tcBorders/>
            <w:shd w:fill="CCEEFF" w:val="clear"/>
          </w:tcPr>
          <w:p>
            <w:pPr>
              <w:pStyle w:val="TableContents"/>
              <w:spacing w:before="0" w:after="283"/>
              <w:rPr>
                <w:sz w:val="4"/>
                <w:szCs w:val="4"/>
              </w:rPr>
            </w:pPr>
            <w:r>
              <w:rPr>
                <w:sz w:val="4"/>
                <w:szCs w:val="4"/>
              </w:rPr>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2,529</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129" w:type="dxa"/>
            <w:tcBorders/>
            <w:shd w:fill="CCEEFF" w:val="clear"/>
            <w:vAlign w:val="bottom"/>
          </w:tcPr>
          <w:p>
            <w:pPr>
              <w:pStyle w:val="TableContents"/>
              <w:spacing w:before="0" w:after="283"/>
              <w:rPr/>
            </w:pPr>
            <w:r>
              <w:rPr/>
              <w:t>  </w:t>
            </w:r>
          </w:p>
        </w:tc>
      </w:tr>
      <w:tr>
        <w:trPr/>
        <w:tc>
          <w:tcPr>
            <w:tcW w:w="49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68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7755" w:type="dxa"/>
            <w:gridSpan w:val="9"/>
            <w:tcBorders/>
            <w:shd w:fill="auto" w:val="clear"/>
            <w:vAlign w:val="center"/>
          </w:tcPr>
          <w:p>
            <w:pPr>
              <w:pStyle w:val="TableContents"/>
              <w:spacing w:before="0" w:after="283"/>
              <w:rPr>
                <w:sz w:val="4"/>
                <w:szCs w:val="4"/>
              </w:rPr>
            </w:pPr>
            <w:r>
              <w:rPr>
                <w:sz w:val="4"/>
                <w:szCs w:val="4"/>
              </w:rPr>
            </w:r>
          </w:p>
        </w:tc>
      </w:tr>
      <w:tr>
        <w:trPr/>
        <w:tc>
          <w:tcPr>
            <w:tcW w:w="7626" w:type="dxa"/>
            <w:gridSpan w:val="8"/>
            <w:tcBorders/>
            <w:shd w:fill="auto" w:val="clear"/>
          </w:tcPr>
          <w:p>
            <w:pPr>
              <w:pStyle w:val="TableContents"/>
              <w:spacing w:before="0" w:after="283"/>
              <w:rPr>
                <w:rFonts w:ascii="Times New Roman" w:hAnsi="Times New Roman"/>
                <w:sz w:val="20"/>
              </w:rPr>
            </w:pPr>
            <w:r>
              <w:rPr>
                <w:rFonts w:ascii="Times New Roman" w:hAnsi="Times New Roman"/>
                <w:sz w:val="20"/>
              </w:rPr>
              <w:t>Included in the accompanying condensed consolidated balance sheets under the following captions:</w:t>
            </w:r>
          </w:p>
        </w:tc>
        <w:tc>
          <w:tcPr>
            <w:tcW w:w="129" w:type="dxa"/>
            <w:tcBorders/>
            <w:shd w:fill="auto" w:val="clear"/>
          </w:tcPr>
          <w:p>
            <w:pPr>
              <w:pStyle w:val="TableContents"/>
              <w:spacing w:before="0" w:after="283"/>
              <w:rPr/>
            </w:pPr>
            <w:r>
              <w:rPr/>
              <w:t>  </w:t>
            </w:r>
          </w:p>
        </w:tc>
      </w:tr>
      <w:tr>
        <w:trPr/>
        <w:tc>
          <w:tcPr>
            <w:tcW w:w="4999"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10,174</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10,681</w:t>
            </w:r>
          </w:p>
        </w:tc>
        <w:tc>
          <w:tcPr>
            <w:tcW w:w="129" w:type="dxa"/>
            <w:tcBorders/>
            <w:shd w:fill="CCEEFF" w:val="clear"/>
            <w:vAlign w:val="bottom"/>
          </w:tcPr>
          <w:p>
            <w:pPr>
              <w:pStyle w:val="TableContents"/>
              <w:spacing w:before="0" w:after="283"/>
              <w:rPr/>
            </w:pPr>
            <w:r>
              <w:rPr/>
              <w:t>  </w:t>
            </w:r>
          </w:p>
        </w:tc>
      </w:tr>
      <w:tr>
        <w:trPr/>
        <w:tc>
          <w:tcPr>
            <w:tcW w:w="4999"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47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(7,645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2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(10,373</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9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6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9" w:type="dxa"/>
            <w:tcBorders>
              <w:top w:val="single" w:sz="2" w:space="0" w:color="000000"/>
            </w:tcBorders>
            <w:shd w:fill="auto" w:val="clear"/>
            <w:tcMar>
              <w:top w:w="28" w:type="dxa"/>
            </w:tcMar>
            <w:vAlign w:val="bottom"/>
          </w:tcPr>
          <w:p>
            <w:pPr>
              <w:pStyle w:val="TableContents"/>
              <w:spacing w:before="0" w:after="283"/>
              <w:rPr/>
            </w:pPr>
            <w:r>
              <w:rPr/>
              <w:t> </w:t>
            </w:r>
          </w:p>
        </w:tc>
        <w:tc>
          <w:tcPr>
            <w:tcW w:w="68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999" w:type="dxa"/>
            <w:tcBorders/>
            <w:shd w:fill="CCEEFF" w:val="clear"/>
          </w:tcPr>
          <w:p>
            <w:pPr>
              <w:pStyle w:val="TableContents"/>
              <w:spacing w:before="0" w:after="283"/>
              <w:rPr>
                <w:sz w:val="4"/>
                <w:szCs w:val="4"/>
              </w:rPr>
            </w:pPr>
            <w:r>
              <w:rPr>
                <w:sz w:val="4"/>
                <w:szCs w:val="4"/>
              </w:rPr>
            </w:r>
          </w:p>
        </w:tc>
        <w:tc>
          <w:tcPr>
            <w:tcW w:w="47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2,529</w:t>
            </w:r>
          </w:p>
        </w:tc>
        <w:tc>
          <w:tcPr>
            <w:tcW w:w="125"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129" w:type="dxa"/>
            <w:tcBorders/>
            <w:shd w:fill="CCEEFF" w:val="clear"/>
            <w:vAlign w:val="bottom"/>
          </w:tcPr>
          <w:p>
            <w:pPr>
              <w:pStyle w:val="TableContents"/>
              <w:spacing w:before="0" w:after="283"/>
              <w:rPr/>
            </w:pPr>
            <w:r>
              <w:rPr/>
              <w:t>  </w:t>
            </w:r>
          </w:p>
        </w:tc>
      </w:tr>
      <w:tr>
        <w:trPr/>
        <w:tc>
          <w:tcPr>
            <w:tcW w:w="4999"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6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9" w:type="dxa"/>
            <w:tcBorders>
              <w:top w:val="double" w:sz="6" w:space="0" w:color="000000"/>
            </w:tcBorders>
            <w:shd w:fill="auto" w:val="clear"/>
            <w:tcMar>
              <w:top w:w="28" w:type="dxa"/>
            </w:tcMar>
            <w:vAlign w:val="bottom"/>
          </w:tcPr>
          <w:p>
            <w:pPr>
              <w:pStyle w:val="TableContents"/>
              <w:spacing w:before="0" w:after="283"/>
              <w:rPr/>
            </w:pPr>
            <w:r>
              <w:rPr/>
              <w:t> </w:t>
            </w:r>
          </w:p>
        </w:tc>
        <w:tc>
          <w:tcPr>
            <w:tcW w:w="68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Revenues from contracts, representing the majority of our revenues, are recognized on the percentage of completion method, measured by the percentage of contract costs incurred to date compared to estimated total contract costs for each contract. This method is used because management considers contract costs to be the best available measure of progress on these contracts. </w:t>
      </w:r>
    </w:p>
    <w:p>
      <w:pPr>
        <w:pStyle w:val="TextBody"/>
        <w:spacing w:before="90" w:after="0"/>
        <w:rPr>
          <w:rFonts w:ascii="Times New Roman" w:hAnsi="Times New Roman"/>
          <w:sz w:val="20"/>
        </w:rPr>
      </w:pPr>
      <w:r>
        <w:rPr>
          <w:rFonts w:ascii="Times New Roman" w:hAnsi="Times New Roman"/>
          <w:sz w:val="20"/>
        </w:rPr>
        <w:t xml:space="preserve">Our remaining revenues are recognized when risk and title passes to the customer, which is generally upon shipment of product. Our contracts have various lengths to completion ranging from a few days to several months. We anticipate that a majority of our current contracts will be completed by year end.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NOTES TO THE CONSOLIDATED FINANCIAL STATEMENTS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Goodwill and Intangible Assets </w:t>
            </w:r>
          </w:p>
        </w:tc>
      </w:tr>
    </w:tbl>
    <w:p>
      <w:pPr>
        <w:pStyle w:val="TextBody"/>
        <w:spacing w:before="90" w:after="0"/>
        <w:rPr>
          <w:rFonts w:ascii="Times New Roman" w:hAnsi="Times New Roman"/>
          <w:b/>
          <w:sz w:val="20"/>
        </w:rPr>
      </w:pPr>
      <w:r>
        <w:rPr>
          <w:rFonts w:ascii="Times New Roman" w:hAnsi="Times New Roman"/>
          <w:b/>
          <w:sz w:val="20"/>
        </w:rPr>
        <w:t xml:space="preserve">$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839"/>
        <w:gridCol w:w="374"/>
        <w:gridCol w:w="125"/>
        <w:gridCol w:w="611"/>
        <w:gridCol w:w="374"/>
        <w:gridCol w:w="142"/>
        <w:gridCol w:w="583"/>
        <w:gridCol w:w="374"/>
        <w:gridCol w:w="124"/>
        <w:gridCol w:w="656"/>
        <w:gridCol w:w="125"/>
        <w:gridCol w:w="329"/>
        <w:gridCol w:w="142"/>
        <w:gridCol w:w="590"/>
      </w:tblGrid>
      <w:tr>
        <w:trPr/>
        <w:tc>
          <w:tcPr>
            <w:tcW w:w="483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r>
      <w:tr>
        <w:trPr/>
        <w:tc>
          <w:tcPr>
            <w:tcW w:w="4839" w:type="dxa"/>
            <w:vMerge w:val="restart"/>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Goodwill / Tradename</w:t>
            </w:r>
          </w:p>
        </w:tc>
        <w:tc>
          <w:tcPr>
            <w:tcW w:w="374" w:type="dxa"/>
            <w:tcBorders/>
            <w:shd w:fill="auto" w:val="clear"/>
            <w:vAlign w:val="bottom"/>
          </w:tcPr>
          <w:p>
            <w:pPr>
              <w:pStyle w:val="TableContents"/>
              <w:spacing w:before="0" w:after="283"/>
              <w:rPr/>
            </w:pPr>
            <w:r>
              <w:rPr/>
              <w:t>  </w:t>
            </w:r>
          </w:p>
        </w:tc>
        <w:tc>
          <w:tcPr>
            <w:tcW w:w="1835"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March 31, 2010</w:t>
            </w:r>
          </w:p>
        </w:tc>
        <w:tc>
          <w:tcPr>
            <w:tcW w:w="374" w:type="dxa"/>
            <w:tcBorders/>
            <w:shd w:fill="auto" w:val="clear"/>
            <w:vAlign w:val="bottom"/>
          </w:tcPr>
          <w:p>
            <w:pPr>
              <w:pStyle w:val="TableContents"/>
              <w:spacing w:before="0" w:after="283"/>
              <w:rPr/>
            </w:pPr>
            <w:r>
              <w:rPr/>
              <w:t>  </w:t>
            </w:r>
          </w:p>
        </w:tc>
        <w:tc>
          <w:tcPr>
            <w:tcW w:w="1966"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Year ended</w:t>
            </w:r>
            <w:r>
              <w:rPr/>
              <w:br/>
            </w:r>
            <w:r>
              <w:rPr>
                <w:rFonts w:ascii="Times New Roman" w:hAnsi="Times New Roman"/>
                <w:b/>
                <w:sz w:val="14"/>
              </w:rPr>
              <w:t>December 31, 2009</w:t>
            </w:r>
            <w:r>
              <w:rPr>
                <w:rFonts w:ascii="Times New Roman" w:hAnsi="Times New Roman"/>
                <w:sz w:val="14"/>
              </w:rPr>
              <w:t xml:space="preserve"> </w:t>
            </w:r>
          </w:p>
        </w:tc>
      </w:tr>
      <w:tr>
        <w:trPr/>
        <w:tc>
          <w:tcPr>
            <w:tcW w:w="4839" w:type="dxa"/>
            <w:vMerge w:val="continue"/>
            <w:tcBorders/>
            <w:shd w:fill="auto" w:val="clear"/>
            <w:vAlign w:val="bottom"/>
          </w:tcPr>
          <w:p>
            <w:pPr>
              <w:pStyle w:val="Normal"/>
              <w:rPr/>
            </w:pPr>
            <w:r>
              <w:rPr/>
            </w:r>
          </w:p>
        </w:tc>
        <w:tc>
          <w:tcPr>
            <w:tcW w:w="374" w:type="dxa"/>
            <w:tcBorders/>
            <w:shd w:fill="auto" w:val="clear"/>
            <w:vAlign w:val="bottom"/>
          </w:tcPr>
          <w:p>
            <w:pPr>
              <w:pStyle w:val="TableContents"/>
              <w:spacing w:before="0" w:after="283"/>
              <w:rPr/>
            </w:pPr>
            <w:r>
              <w:rPr/>
              <w:t>  </w:t>
            </w:r>
          </w:p>
        </w:tc>
        <w:tc>
          <w:tcPr>
            <w:tcW w:w="7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Goodwill</w:t>
            </w:r>
          </w:p>
        </w:tc>
        <w:tc>
          <w:tcPr>
            <w:tcW w:w="374" w:type="dxa"/>
            <w:tcBorders/>
            <w:shd w:fill="auto" w:val="clear"/>
            <w:vAlign w:val="bottom"/>
          </w:tcPr>
          <w:p>
            <w:pPr>
              <w:pStyle w:val="TableContents"/>
              <w:spacing w:before="0" w:after="283"/>
              <w:rPr/>
            </w:pPr>
            <w:r>
              <w:rPr/>
              <w:t>  </w:t>
            </w:r>
          </w:p>
        </w:tc>
        <w:tc>
          <w:tcPr>
            <w:tcW w:w="7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Tradename</w:t>
            </w:r>
          </w:p>
        </w:tc>
        <w:tc>
          <w:tcPr>
            <w:tcW w:w="374" w:type="dxa"/>
            <w:tcBorders/>
            <w:shd w:fill="auto" w:val="clear"/>
            <w:vAlign w:val="bottom"/>
          </w:tcPr>
          <w:p>
            <w:pPr>
              <w:pStyle w:val="TableContents"/>
              <w:spacing w:before="0" w:after="283"/>
              <w:rPr/>
            </w:pPr>
            <w:r>
              <w:rPr/>
              <w:t>  </w:t>
            </w:r>
          </w:p>
        </w:tc>
        <w:tc>
          <w:tcPr>
            <w:tcW w:w="7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Goodwill</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73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Tradename</w:t>
            </w:r>
          </w:p>
        </w:tc>
      </w:tr>
      <w:tr>
        <w:trPr/>
        <w:tc>
          <w:tcPr>
            <w:tcW w:w="4839"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balance</w:t>
            </w:r>
          </w:p>
        </w:tc>
        <w:tc>
          <w:tcPr>
            <w:tcW w:w="3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14,591</w:t>
            </w:r>
          </w:p>
        </w:tc>
        <w:tc>
          <w:tcPr>
            <w:tcW w:w="37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3,209</w:t>
            </w:r>
          </w:p>
        </w:tc>
        <w:tc>
          <w:tcPr>
            <w:tcW w:w="3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31,116</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3,165</w:t>
            </w:r>
          </w:p>
        </w:tc>
      </w:tr>
      <w:tr>
        <w:trPr/>
        <w:tc>
          <w:tcPr>
            <w:tcW w:w="4839" w:type="dxa"/>
            <w:tcBorders/>
            <w:shd w:fill="auto" w:val="clear"/>
          </w:tcPr>
          <w:p>
            <w:pPr>
              <w:pStyle w:val="TableContents"/>
              <w:spacing w:before="0" w:after="283"/>
              <w:rPr>
                <w:rFonts w:ascii="Times New Roman" w:hAnsi="Times New Roman"/>
                <w:sz w:val="20"/>
              </w:rPr>
            </w:pPr>
            <w:r>
              <w:rPr>
                <w:rFonts w:ascii="Times New Roman" w:hAnsi="Times New Roman"/>
                <w:sz w:val="20"/>
              </w:rPr>
              <w:t>Impairment</w:t>
            </w:r>
          </w:p>
        </w:tc>
        <w:tc>
          <w:tcPr>
            <w:tcW w:w="3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(17,110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839"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adjustments</w:t>
            </w:r>
          </w:p>
        </w:tc>
        <w:tc>
          <w:tcPr>
            <w:tcW w:w="3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37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3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585</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r>
      <w:tr>
        <w:trPr/>
        <w:tc>
          <w:tcPr>
            <w:tcW w:w="4839"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583" w:type="dxa"/>
            <w:tcBorders>
              <w:top w:val="single" w:sz="2" w:space="0" w:color="000000"/>
            </w:tcBorders>
            <w:shd w:fill="auto" w:val="clear"/>
            <w:tcMar>
              <w:top w:w="28" w:type="dxa"/>
            </w:tcM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6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4839" w:type="dxa"/>
            <w:tcBorders/>
            <w:shd w:fill="auto" w:val="clea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14,667</w:t>
            </w:r>
          </w:p>
        </w:tc>
        <w:tc>
          <w:tcPr>
            <w:tcW w:w="37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3,218</w:t>
            </w:r>
          </w:p>
        </w:tc>
        <w:tc>
          <w:tcPr>
            <w:tcW w:w="3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14,591</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3,209</w:t>
            </w:r>
          </w:p>
        </w:tc>
      </w:tr>
      <w:tr>
        <w:trPr/>
        <w:tc>
          <w:tcPr>
            <w:tcW w:w="4839"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1" w:type="dxa"/>
            <w:tcBorders>
              <w:top w:val="double" w:sz="6" w:space="0" w:color="000000"/>
            </w:tcBorders>
            <w:shd w:fill="auto" w:val="clear"/>
            <w:tcMar>
              <w:top w:w="28" w:type="dxa"/>
            </w:tcM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583" w:type="dxa"/>
            <w:tcBorders>
              <w:top w:val="double" w:sz="6" w:space="0" w:color="000000"/>
            </w:tcBorders>
            <w:shd w:fill="auto" w:val="clear"/>
            <w:tcMar>
              <w:top w:w="28" w:type="dxa"/>
            </w:tcM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5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r>
      <w:tr>
        <w:trPr>
          <w:trHeight w:val="240" w:hRule="atLeast"/>
        </w:trPr>
        <w:tc>
          <w:tcPr>
            <w:tcW w:w="4839" w:type="dxa"/>
            <w:tcBorders/>
            <w:shd w:fill="auto" w:val="clear"/>
            <w:vAlign w:val="center"/>
          </w:tcPr>
          <w:p>
            <w:pPr>
              <w:pStyle w:val="TableContents"/>
              <w:spacing w:before="0" w:after="283"/>
              <w:rPr>
                <w:sz w:val="4"/>
                <w:szCs w:val="4"/>
              </w:rPr>
            </w:pPr>
            <w:r>
              <w:rPr>
                <w:sz w:val="4"/>
                <w:szCs w:val="4"/>
              </w:rPr>
            </w:r>
          </w:p>
        </w:tc>
        <w:tc>
          <w:tcPr>
            <w:tcW w:w="2209" w:type="dxa"/>
            <w:gridSpan w:val="6"/>
            <w:tcBorders/>
            <w:shd w:fill="auto" w:val="clear"/>
            <w:vAlign w:val="center"/>
          </w:tcPr>
          <w:p>
            <w:pPr>
              <w:pStyle w:val="TableContents"/>
              <w:spacing w:before="0" w:after="283"/>
              <w:rPr>
                <w:sz w:val="4"/>
                <w:szCs w:val="4"/>
              </w:rPr>
            </w:pPr>
            <w:r>
              <w:rPr>
                <w:sz w:val="4"/>
                <w:szCs w:val="4"/>
              </w:rPr>
            </w:r>
          </w:p>
        </w:tc>
        <w:tc>
          <w:tcPr>
            <w:tcW w:w="2340" w:type="dxa"/>
            <w:gridSpan w:val="7"/>
            <w:tcBorders/>
            <w:shd w:fill="auto" w:val="clear"/>
            <w:vAlign w:val="center"/>
          </w:tcPr>
          <w:p>
            <w:pPr>
              <w:pStyle w:val="TableContents"/>
              <w:spacing w:before="0" w:after="283"/>
              <w:rPr>
                <w:sz w:val="4"/>
                <w:szCs w:val="4"/>
              </w:rPr>
            </w:pPr>
            <w:r>
              <w:rPr>
                <w:sz w:val="4"/>
                <w:szCs w:val="4"/>
              </w:rPr>
            </w:r>
          </w:p>
        </w:tc>
      </w:tr>
      <w:tr>
        <w:trPr/>
        <w:tc>
          <w:tcPr>
            <w:tcW w:w="4839" w:type="dxa"/>
            <w:vMerge w:val="restart"/>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Intangible assets  finite life</w:t>
            </w:r>
          </w:p>
        </w:tc>
        <w:tc>
          <w:tcPr>
            <w:tcW w:w="374" w:type="dxa"/>
            <w:tcBorders/>
            <w:shd w:fill="auto" w:val="clear"/>
            <w:vAlign w:val="bottom"/>
          </w:tcPr>
          <w:p>
            <w:pPr>
              <w:pStyle w:val="TableContents"/>
              <w:spacing w:before="0" w:after="283"/>
              <w:rPr/>
            </w:pPr>
            <w:r>
              <w:rPr/>
              <w:t>  </w:t>
            </w:r>
          </w:p>
        </w:tc>
        <w:tc>
          <w:tcPr>
            <w:tcW w:w="1835"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March 31, 2010</w:t>
            </w:r>
          </w:p>
        </w:tc>
        <w:tc>
          <w:tcPr>
            <w:tcW w:w="374" w:type="dxa"/>
            <w:tcBorders/>
            <w:shd w:fill="auto" w:val="clear"/>
            <w:vAlign w:val="bottom"/>
          </w:tcPr>
          <w:p>
            <w:pPr>
              <w:pStyle w:val="TableContents"/>
              <w:spacing w:before="0" w:after="283"/>
              <w:rPr/>
            </w:pPr>
            <w:r>
              <w:rPr/>
              <w:t>  </w:t>
            </w:r>
          </w:p>
        </w:tc>
        <w:tc>
          <w:tcPr>
            <w:tcW w:w="196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As of December 31, 2009</w:t>
            </w:r>
          </w:p>
        </w:tc>
      </w:tr>
      <w:tr>
        <w:trPr/>
        <w:tc>
          <w:tcPr>
            <w:tcW w:w="4839" w:type="dxa"/>
            <w:vMerge w:val="continue"/>
            <w:tcBorders/>
            <w:shd w:fill="auto" w:val="clear"/>
            <w:vAlign w:val="bottom"/>
          </w:tcPr>
          <w:p>
            <w:pPr>
              <w:pStyle w:val="Normal"/>
              <w:rPr/>
            </w:pPr>
            <w:r>
              <w:rPr/>
            </w:r>
          </w:p>
        </w:tc>
        <w:tc>
          <w:tcPr>
            <w:tcW w:w="374" w:type="dxa"/>
            <w:tcBorders/>
            <w:shd w:fill="auto" w:val="clear"/>
            <w:vAlign w:val="bottom"/>
          </w:tcPr>
          <w:p>
            <w:pPr>
              <w:pStyle w:val="TableContents"/>
              <w:spacing w:before="0" w:after="283"/>
              <w:rPr/>
            </w:pPr>
            <w:r>
              <w:rPr/>
              <w:t>  </w:t>
            </w:r>
          </w:p>
        </w:tc>
        <w:tc>
          <w:tcPr>
            <w:tcW w:w="7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Cost</w:t>
            </w:r>
          </w:p>
        </w:tc>
        <w:tc>
          <w:tcPr>
            <w:tcW w:w="374" w:type="dxa"/>
            <w:tcBorders/>
            <w:shd w:fill="auto" w:val="clear"/>
            <w:vAlign w:val="bottom"/>
          </w:tcPr>
          <w:p>
            <w:pPr>
              <w:pStyle w:val="TableContents"/>
              <w:spacing w:before="0" w:after="283"/>
              <w:rPr/>
            </w:pPr>
            <w:r>
              <w:rPr/>
              <w:t>  </w:t>
            </w:r>
          </w:p>
        </w:tc>
        <w:tc>
          <w:tcPr>
            <w:tcW w:w="7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w:t>
              <w:br/>
              <w:t>Amort.</w:t>
            </w:r>
          </w:p>
        </w:tc>
        <w:tc>
          <w:tcPr>
            <w:tcW w:w="374" w:type="dxa"/>
            <w:tcBorders/>
            <w:shd w:fill="auto" w:val="clear"/>
            <w:vAlign w:val="bottom"/>
          </w:tcPr>
          <w:p>
            <w:pPr>
              <w:pStyle w:val="TableContents"/>
              <w:spacing w:before="0" w:after="283"/>
              <w:rPr/>
            </w:pPr>
            <w:r>
              <w:rPr/>
              <w:t>  </w:t>
            </w:r>
          </w:p>
        </w:tc>
        <w:tc>
          <w:tcPr>
            <w:tcW w:w="7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Cost</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73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w:t>
              <w:br/>
              <w:t>Amort</w:t>
            </w:r>
          </w:p>
        </w:tc>
      </w:tr>
      <w:tr>
        <w:trPr/>
        <w:tc>
          <w:tcPr>
            <w:tcW w:w="4839" w:type="dxa"/>
            <w:tcBorders/>
            <w:shd w:fill="CCEEFF" w:val="clear"/>
          </w:tcPr>
          <w:p>
            <w:pPr>
              <w:pStyle w:val="TableContents"/>
              <w:spacing w:before="0" w:after="283"/>
              <w:rPr>
                <w:rFonts w:ascii="Times New Roman" w:hAnsi="Times New Roman"/>
                <w:sz w:val="20"/>
              </w:rPr>
            </w:pPr>
            <w:r>
              <w:rPr>
                <w:rFonts w:ascii="Times New Roman" w:hAnsi="Times New Roman"/>
                <w:sz w:val="20"/>
              </w:rPr>
              <w:t>Patents</w:t>
            </w:r>
          </w:p>
        </w:tc>
        <w:tc>
          <w:tcPr>
            <w:tcW w:w="3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1,414</w:t>
            </w:r>
          </w:p>
        </w:tc>
        <w:tc>
          <w:tcPr>
            <w:tcW w:w="37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1,046</w:t>
            </w:r>
          </w:p>
        </w:tc>
        <w:tc>
          <w:tcPr>
            <w:tcW w:w="3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1,412</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1,024</w:t>
            </w:r>
          </w:p>
        </w:tc>
      </w:tr>
      <w:tr>
        <w:trPr/>
        <w:tc>
          <w:tcPr>
            <w:tcW w:w="4839" w:type="dxa"/>
            <w:tcBorders/>
            <w:shd w:fill="auto" w:val="clear"/>
          </w:tcPr>
          <w:p>
            <w:pPr>
              <w:pStyle w:val="TableContents"/>
              <w:spacing w:before="0" w:after="283"/>
              <w:rPr>
                <w:rFonts w:ascii="Times New Roman" w:hAnsi="Times New Roman"/>
                <w:sz w:val="20"/>
              </w:rPr>
            </w:pPr>
            <w:r>
              <w:rPr>
                <w:rFonts w:ascii="Times New Roman" w:hAnsi="Times New Roman"/>
                <w:sz w:val="20"/>
              </w:rPr>
              <w:t>Backlog</w:t>
            </w:r>
          </w:p>
        </w:tc>
        <w:tc>
          <w:tcPr>
            <w:tcW w:w="3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37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3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w:t>
            </w:r>
          </w:p>
        </w:tc>
      </w:tr>
      <w:tr>
        <w:trPr/>
        <w:tc>
          <w:tcPr>
            <w:tcW w:w="4839"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lists</w:t>
            </w:r>
          </w:p>
        </w:tc>
        <w:tc>
          <w:tcPr>
            <w:tcW w:w="3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1,654</w:t>
            </w:r>
          </w:p>
        </w:tc>
        <w:tc>
          <w:tcPr>
            <w:tcW w:w="37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771</w:t>
            </w:r>
          </w:p>
        </w:tc>
        <w:tc>
          <w:tcPr>
            <w:tcW w:w="3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1,644</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685</w:t>
            </w:r>
          </w:p>
        </w:tc>
      </w:tr>
      <w:tr>
        <w:trPr/>
        <w:tc>
          <w:tcPr>
            <w:tcW w:w="4839" w:type="dxa"/>
            <w:tcBorders/>
            <w:shd w:fill="auto" w:val="clear"/>
          </w:tcPr>
          <w:p>
            <w:pPr>
              <w:pStyle w:val="TableContents"/>
              <w:spacing w:before="0" w:after="283"/>
              <w:rPr>
                <w:rFonts w:ascii="Times New Roman" w:hAnsi="Times New Roman"/>
                <w:sz w:val="20"/>
              </w:rPr>
            </w:pPr>
            <w:r>
              <w:rPr>
                <w:rFonts w:ascii="Times New Roman" w:hAnsi="Times New Roman"/>
                <w:sz w:val="20"/>
              </w:rPr>
              <w:t>Employment contracts</w:t>
            </w:r>
          </w:p>
        </w:tc>
        <w:tc>
          <w:tcPr>
            <w:tcW w:w="3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w:t>
            </w:r>
          </w:p>
        </w:tc>
        <w:tc>
          <w:tcPr>
            <w:tcW w:w="37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w:t>
            </w:r>
          </w:p>
        </w:tc>
        <w:tc>
          <w:tcPr>
            <w:tcW w:w="3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w:t>
            </w:r>
          </w:p>
        </w:tc>
      </w:tr>
      <w:tr>
        <w:trPr/>
        <w:tc>
          <w:tcPr>
            <w:tcW w:w="4839"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7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w:t>
            </w:r>
          </w:p>
        </w:tc>
        <w:tc>
          <w:tcPr>
            <w:tcW w:w="37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37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r>
      <w:tr>
        <w:trPr/>
        <w:tc>
          <w:tcPr>
            <w:tcW w:w="4839"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11" w:type="dxa"/>
            <w:tcBorders>
              <w:top w:val="single" w:sz="2" w:space="0" w:color="000000"/>
            </w:tcBorders>
            <w:shd w:fill="auto" w:val="clear"/>
            <w:tcMar>
              <w:top w:w="28" w:type="dxa"/>
            </w:tcM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583" w:type="dxa"/>
            <w:tcBorders>
              <w:top w:val="single" w:sz="2" w:space="0" w:color="000000"/>
            </w:tcBorders>
            <w:shd w:fill="auto" w:val="clear"/>
            <w:tcMar>
              <w:top w:w="28" w:type="dxa"/>
            </w:tcM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656"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top w:val="single" w:sz="2" w:space="0" w:color="000000"/>
            </w:tcBorders>
            <w:shd w:fill="auto" w:val="clear"/>
            <w:tcMar>
              <w:top w:w="28" w:type="dxa"/>
            </w:tcMar>
            <w:vAlign w:val="bottom"/>
          </w:tcPr>
          <w:p>
            <w:pPr>
              <w:pStyle w:val="TableContents"/>
              <w:spacing w:before="0" w:after="283"/>
              <w:rPr/>
            </w:pPr>
            <w:r>
              <w:rPr/>
              <w:t> </w:t>
            </w:r>
          </w:p>
        </w:tc>
        <w:tc>
          <w:tcPr>
            <w:tcW w:w="59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4839" w:type="dxa"/>
            <w:tcBorders/>
            <w:shd w:fill="auto" w:val="clea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4,224</w:t>
            </w:r>
          </w:p>
        </w:tc>
        <w:tc>
          <w:tcPr>
            <w:tcW w:w="37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2,880</w:t>
            </w:r>
          </w:p>
        </w:tc>
        <w:tc>
          <w:tcPr>
            <w:tcW w:w="37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4,198</w:t>
            </w:r>
          </w:p>
        </w:tc>
        <w:tc>
          <w:tcPr>
            <w:tcW w:w="12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2,728</w:t>
            </w:r>
          </w:p>
        </w:tc>
      </w:tr>
      <w:tr>
        <w:trPr/>
        <w:tc>
          <w:tcPr>
            <w:tcW w:w="4839"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11" w:type="dxa"/>
            <w:tcBorders>
              <w:top w:val="double" w:sz="6" w:space="0" w:color="000000"/>
            </w:tcBorders>
            <w:shd w:fill="auto" w:val="clear"/>
            <w:tcMar>
              <w:top w:w="28" w:type="dxa"/>
            </w:tcM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583" w:type="dxa"/>
            <w:tcBorders>
              <w:top w:val="double" w:sz="6" w:space="0" w:color="000000"/>
            </w:tcBorders>
            <w:shd w:fill="auto" w:val="clear"/>
            <w:tcMar>
              <w:top w:w="28" w:type="dxa"/>
            </w:tcM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656"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42" w:type="dxa"/>
            <w:tcBorders>
              <w:top w:val="double" w:sz="6" w:space="0" w:color="000000"/>
            </w:tcBorders>
            <w:shd w:fill="auto" w:val="clear"/>
            <w:tcMar>
              <w:top w:w="28" w:type="dxa"/>
            </w:tcMar>
            <w:vAlign w:val="bottom"/>
          </w:tcPr>
          <w:p>
            <w:pPr>
              <w:pStyle w:val="TableContents"/>
              <w:spacing w:before="0" w:after="283"/>
              <w:rPr/>
            </w:pPr>
            <w:r>
              <w:rPr/>
              <w:t> </w:t>
            </w:r>
          </w:p>
        </w:tc>
        <w:tc>
          <w:tcPr>
            <w:tcW w:w="590"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We complete an annual (or more often if circumstances require) impairment test for our indefinite life intangible assets. In performing these assessments, the carrying value of the asset is considered impaired if the fair value is less than the carrying value of the asset. If this occurs, an impairment charge is recorded for the amount by which the carrying value of the asset exceeds its fair value. </w:t>
      </w:r>
    </w:p>
    <w:p>
      <w:pPr>
        <w:pStyle w:val="TextBody"/>
        <w:spacing w:before="90" w:after="0"/>
        <w:rPr>
          <w:rFonts w:ascii="Times New Roman" w:hAnsi="Times New Roman"/>
          <w:sz w:val="20"/>
        </w:rPr>
      </w:pPr>
      <w:r>
        <w:rPr>
          <w:rFonts w:ascii="Times New Roman" w:hAnsi="Times New Roman"/>
          <w:sz w:val="20"/>
        </w:rPr>
        <w:t xml:space="preserve">Also as required by current accounting rules, we complete an annual (or more often if circumstances require) impairment test for our goodwill. In performing these assessments, the carrying value of the reporting unit is compared to its estimated fair value, as calculated by the discounted present value of cash flow method. If the estimated fair value of the reporting unit is less than its carrying value, an impairment charge is recorded for the amount by which the carrying value of the goodwill exceeds its calculated implied fair value. The Companys fourth quarter 2009 annual evaluation for goodwill impairment indicated an impairment of the goodwill for four of the Companys reporting units. As a result, the Company estimated the implied fair value of the goodwill of these reporting units compared to carrying amounts and recorded total impairment charges of $17.1 million at December 31, 2009 to impair a portion of the goodwill recorded on these reporting units. The decrease in the fair value of the reporting units was due to deteriorating market conditions resulting from the global economic downturn. No impairment of goodwill was identified related to the Companys other reporting units. No additional impairment was recorded in the first quarter of 2010. </w:t>
      </w:r>
    </w:p>
    <w:p>
      <w:pPr>
        <w:pStyle w:val="TextBody"/>
        <w:spacing w:before="90" w:after="0"/>
        <w:rPr>
          <w:rFonts w:ascii="Times New Roman" w:hAnsi="Times New Roman"/>
          <w:sz w:val="20"/>
        </w:rPr>
      </w:pPr>
      <w:r>
        <w:rPr>
          <w:rFonts w:ascii="Times New Roman" w:hAnsi="Times New Roman"/>
          <w:sz w:val="20"/>
        </w:rPr>
        <w:t xml:space="preserve">Major factors that influence our cash flow analyses are our estimates for future revenue and expenses associated with the reporting units. This is the most sensitive of our estimates related to our fair value calculations. Other factors considered in our fair value calculations include assumptions as to the business climate, industry and economic conditions. These assumptions are subjective and different estimates could have a significant impact on the results of our analyses. </w:t>
      </w:r>
    </w:p>
    <w:p>
      <w:pPr>
        <w:pStyle w:val="TextBody"/>
        <w:spacing w:before="90" w:after="0"/>
        <w:rPr>
          <w:rFonts w:ascii="Times New Roman" w:hAnsi="Times New Roman"/>
          <w:sz w:val="20"/>
        </w:rPr>
      </w:pPr>
      <w:r>
        <w:rPr>
          <w:rFonts w:ascii="Times New Roman" w:hAnsi="Times New Roman"/>
          <w:sz w:val="20"/>
        </w:rPr>
        <w:t xml:space="preserve">Finite life intangible assets are comprised of patents, backlog, customer lists and employment contracts. For all amortizable intangible assets, if any events or changes in circumstances occur that indicate possible impairment, our impairment review is based on an undiscounted cash flow analysis. Impairment occurs when the carrying value of the assets exceeds the future undiscounted cash flows. When impairment is indicated, the estimated future cash flows are then discounted to determine the estimated fair value of the asset and an impairment charge is recorded for the difference between the carrying value and the net present value of estimated future cash flows. The Company also evaluates the remaining useful life each reporting period to determine whether events and circumstances warrant a revision to the remaining period of amortization. If the estimate of an intangible assets remaining useful life is changed, the remaining carrying amount of the intangible asset is amortized prospectively over that revised remaining useful life.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NOTES TO THE CONSOLIDATED FINANCIAL STATEMENTS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Amortization of finite life intangibles is on a straight line basis and amortization expense for the three months ended March 31, 2010 and 2009 was $135,000 and $313,000, respectively. Over the next five years amortization expense is $494,000 for all of 2010, $424,000 in 2011, $316,000 in 2012, $130,000 in 2013 and $69,000 in 2014.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Business Segment Information </w:t>
            </w:r>
          </w:p>
        </w:tc>
      </w:tr>
    </w:tbl>
    <w:p>
      <w:pPr>
        <w:pStyle w:val="TextBody"/>
        <w:spacing w:before="90" w:after="0"/>
        <w:rPr>
          <w:rFonts w:ascii="Times New Roman" w:hAnsi="Times New Roman"/>
          <w:sz w:val="20"/>
        </w:rPr>
      </w:pPr>
      <w:r>
        <w:rPr>
          <w:rFonts w:ascii="Times New Roman" w:hAnsi="Times New Roman"/>
          <w:sz w:val="20"/>
        </w:rPr>
        <w:t xml:space="preserve">Our structure and operational integration results in one reportable segment that focuses on engineering, designing, building and installing systems that remove airborne contaminants from industrial facilities, as well as equipment that controls emissions from such facilities. Accordingly, the consolidated financial statements herein reflect the operating results of the reportable segment.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Earnings Per Share </w:t>
            </w:r>
          </w:p>
        </w:tc>
      </w:tr>
    </w:tbl>
    <w:p>
      <w:pPr>
        <w:pStyle w:val="TextBody"/>
        <w:spacing w:before="90" w:after="0"/>
        <w:rPr>
          <w:rFonts w:ascii="Times New Roman" w:hAnsi="Times New Roman"/>
          <w:sz w:val="20"/>
        </w:rPr>
      </w:pPr>
      <w:r>
        <w:rPr>
          <w:rFonts w:ascii="Times New Roman" w:hAnsi="Times New Roman"/>
          <w:sz w:val="20"/>
        </w:rPr>
        <w:t xml:space="preserve">For the three months ended March 31, 2010 and 2009, basic weighted average common shares outstanding were 14,296,832 and 14,322,777, respectively, and diluted average common shares outstanding were 14,358,267 and 15,189,775, respectively. </w:t>
      </w:r>
    </w:p>
    <w:p>
      <w:pPr>
        <w:pStyle w:val="TextBody"/>
        <w:spacing w:before="0" w:after="0"/>
        <w:rPr>
          <w:rFonts w:ascii="Times New Roman" w:hAnsi="Times New Roman"/>
          <w:sz w:val="20"/>
        </w:rPr>
      </w:pPr>
      <w:r>
        <w:rPr>
          <w:rFonts w:ascii="Times New Roman" w:hAnsi="Times New Roman"/>
          <w:sz w:val="20"/>
        </w:rPr>
        <w:t xml:space="preserve">Effective January 1, 2009, the Company adopted ASC 260-10-65-2, Determining Whether Instruments Granted in Share-Based Payment Transactions are Participating Securities. Non-vested shares with non-forfeitable dividend rights are considered participating securities and, thus, subject to the two-class method pursuant to ASC Topic 260, Earnings per Share, when computing basic and diluted EPS. Losses are only allocable to participating securities if the holder has a contractual obligation to share in the losses of the Company. </w:t>
      </w:r>
    </w:p>
    <w:p>
      <w:pPr>
        <w:pStyle w:val="TextBody"/>
        <w:spacing w:before="90" w:after="0"/>
        <w:rPr>
          <w:rFonts w:ascii="Times New Roman" w:hAnsi="Times New Roman"/>
          <w:sz w:val="20"/>
        </w:rPr>
      </w:pPr>
      <w:r>
        <w:rPr>
          <w:rFonts w:ascii="Times New Roman" w:hAnsi="Times New Roman"/>
          <w:sz w:val="20"/>
        </w:rPr>
        <w:t xml:space="preserve">Holders of our restricted stock awards participate in nonforfeitable dividend rights on a one-for-one basis with holders of common stock. Holders of these awards are not obligated to share in losses of the Company. Therefore, these share awards are included in the computation of basic earnings (loss) per share during periods of net income using the two-class method, but are excluded from such computation in periods of net loss. Should the Company declare a dividend on its common stock, the related dividend on shares of unvested restricted stock that are not expected to vest would be recorded as additional compensation expense and therefore excluded from the two-class method computations; however, no such dividends have been declared to date. Undistributed earnings included in the two-class method computations are allocated equally to each share of common stock outstanding, including all shares of unvested restricted common shares. For the three month period ended March 31, 2010, the weighted average number of non-vested restricted share awards which were included in the basic weighted average common shares outstanding totaled 47,308. For the three month period ended March 31, 2009, 127,128 restricted share awards were included in the computation of basic weighted average common shares outstanding. </w:t>
      </w:r>
    </w:p>
    <w:p>
      <w:pPr>
        <w:pStyle w:val="TextBody"/>
        <w:spacing w:before="90" w:after="0"/>
        <w:rPr>
          <w:rFonts w:ascii="Times New Roman" w:hAnsi="Times New Roman"/>
          <w:sz w:val="20"/>
        </w:rPr>
      </w:pPr>
      <w:r>
        <w:rPr>
          <w:rFonts w:ascii="Times New Roman" w:hAnsi="Times New Roman"/>
          <w:sz w:val="20"/>
        </w:rPr>
        <w:t xml:space="preserve">We consider outstanding options and warrants in computing diluted net income per share only when they are dilutive. For the three month periods ended March 31, 2010 and 2009, 1,150,000 and 1,098,000 outstanding options and warrants were excluded from the computation of diluted weighted average common shares outstanding as their effect would have been anti-dilutive. Additionally, pursuant to the if-converted method, net income used for purposes of computing diluted earnings per share is adjusted for the net impact of interest and other items related to the Convertible Subdebt Note and Investor Notes (see Note 8) unless the effect is anti-dilutive. The net impact of interest and other items related to the Convertible Subdebt Note and Investor Notes for the three month periods ended March 31, 2010 and 2009 was approximately $97,000 and $27,000, respectively. Because of an anti-dilutive effect, net income was not adjusted for this net impact for the three month period ended March 31, 2010 and 2,700,000 shares were excluded from the computation of diluted weighted average common shares outstanding.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Debt </w:t>
            </w:r>
          </w:p>
        </w:tc>
      </w:tr>
    </w:tbl>
    <w:p>
      <w:pPr>
        <w:pStyle w:val="TextBody"/>
        <w:spacing w:before="90" w:after="0"/>
        <w:rPr>
          <w:rFonts w:ascii="Times New Roman" w:hAnsi="Times New Roman"/>
          <w:sz w:val="20"/>
        </w:rPr>
      </w:pPr>
      <w:r>
        <w:rPr>
          <w:rFonts w:ascii="Times New Roman" w:hAnsi="Times New Roman"/>
          <w:sz w:val="20"/>
        </w:rPr>
        <w:t xml:space="preserve">Total bank debt at March 31, 2010 was $4.4 million and $2.7 million at December 31, 2009. The bank debt at March 31, 2010 consists of $2.3 million due on the revolving lines of credit and a term note totaling $2.1 million. `Our current credit facility with Fifth Third Bank (the Bank Facility), as amended, includes a revolving line of credit of up to $20 million, including letters of credit, limited to a borrowing base amount computed as 70% of eligible accounts receivable, 50% of unbilled revenues up to $1.0 million, plus 50% of eligible inventories. Unused credit availability under our $20.0 million revolving line of credit at March 31, 2010 was $7.1 million. Interest on the outstanding borrowings is charged at the daily LIBOR rate plus 3.5% or the tranche LIBOR rate plus 3.0% for the revolver and the daily LIBOR rate plus 3.75% or the tranche LIBOR rate plus 3.25% for the term note. The weighted average interest rate under the Bank Facility as of March 31, 2010 and March 31, 2009 was 3.95% and 2.74%, respectively. </w:t>
      </w:r>
    </w:p>
    <w:p>
      <w:pPr>
        <w:pStyle w:val="TextBody"/>
        <w:spacing w:before="90" w:after="0"/>
        <w:rPr>
          <w:rFonts w:ascii="Times New Roman" w:hAnsi="Times New Roman"/>
          <w:sz w:val="20"/>
        </w:rPr>
      </w:pPr>
      <w:r>
        <w:rPr>
          <w:rFonts w:ascii="Times New Roman" w:hAnsi="Times New Roman"/>
          <w:sz w:val="20"/>
        </w:rPr>
        <w:t xml:space="preserve">We entered into our current Bank Facility on December 29, 2005 with Fifth Third Bank. The Bank Facility was amended on various dates and fees paid for these amendments were deferred and are being amortized over the remaining term of the Bank Facility. </w:t>
      </w:r>
    </w:p>
    <w:p>
      <w:pPr>
        <w:pStyle w:val="TextBody"/>
        <w:spacing w:before="90" w:after="0"/>
        <w:rPr>
          <w:rFonts w:ascii="Times New Roman" w:hAnsi="Times New Roman"/>
          <w:sz w:val="20"/>
        </w:rPr>
      </w:pPr>
      <w:r>
        <w:rPr>
          <w:rFonts w:ascii="Times New Roman" w:hAnsi="Times New Roman"/>
          <w:sz w:val="20"/>
        </w:rPr>
        <w:t xml:space="preserve">On May 1, 2009, the Company entered into a Sixth Amendment to the Bank Facility effective as of March 31, 2009. The Sixth Amendment amends the Bank Facility to extend the termination date of the line of credit from January 31, 2010 to April 1, 2011, make certain changes to the interest rates applicable to the obligations under the Bank Facility, including the implementation of a daily reset, one-month LIBOR-based rate and the unavailability of a prime-based rate except in certain circumstances, which results in an increase of the borrowing rates by one percent, consent to a one-time payment of principal on the Subordinated Convertible Promissory Note of Icarus Investment Corp. (Icarus) in an amount not to exceed $3.0 million, and consent to an extension fee of CAD $38,000 payable to Icarus.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NOTES TO THE CONSOLIDATED FINANCIAL STATEMENTS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August 17, 2009, the Company entered into a Seventh Amendment to Credit Agreement to the Bank Facility, effective as of May 15, 2009. The Seventh Amendment incorporates the Note (as described below) as permitted subordinated debt, and permits prepayments under the Note so long as the Company is not in default under the Bank Facility. </w:t>
      </w:r>
    </w:p>
    <w:p>
      <w:pPr>
        <w:pStyle w:val="TextBody"/>
        <w:spacing w:before="90" w:after="0"/>
        <w:rPr>
          <w:rFonts w:ascii="Times New Roman" w:hAnsi="Times New Roman"/>
          <w:sz w:val="20"/>
        </w:rPr>
      </w:pPr>
      <w:r>
        <w:rPr>
          <w:rFonts w:ascii="Times New Roman" w:hAnsi="Times New Roman"/>
          <w:sz w:val="20"/>
        </w:rPr>
        <w:t xml:space="preserve">On November 26, 2009, the Company entered into an Eighth Amendment to Credit Agreement to the Bank Facility effective as of November 26, 2009. The Eighth Amendment permitted the Company to issue subordinated loans, in an aggregate amount not to exceed $11.4 million, to subordinated creditors and permitted the payment in full by the Company of the subordinated debt of Icarus outstanding on the effective date, in an aggregate amount equal to $4.5 million. </w:t>
      </w:r>
    </w:p>
    <w:p>
      <w:pPr>
        <w:pStyle w:val="TextBody"/>
        <w:spacing w:before="90" w:after="0"/>
        <w:rPr>
          <w:rFonts w:ascii="Times New Roman" w:hAnsi="Times New Roman"/>
          <w:sz w:val="20"/>
        </w:rPr>
      </w:pPr>
      <w:r>
        <w:rPr>
          <w:rFonts w:ascii="Times New Roman" w:hAnsi="Times New Roman"/>
          <w:sz w:val="20"/>
        </w:rPr>
        <w:t xml:space="preserve">On February 12, 2010, the Company entered into a Ninth Amendment to Credit Agreement to the Bank Facility effective as of December 31, 2009. The Ninth Amendment decreased the maximum loan commitment from $30.0 million to $20.0 million, decreased the monthly required term loan payment from $83,333 to $26,886, increased the minimum fixed charge coverage ratio financial covenant from 1.25 : 1.0 to 2.5 : 1.0, and permitted the addition of $6.3 million of net funding received from the private placement of subordinated debt to the adjusted EBITDA calculation used in the financial covenants. </w:t>
      </w:r>
    </w:p>
    <w:p>
      <w:pPr>
        <w:pStyle w:val="TextBody"/>
        <w:spacing w:before="90" w:after="0"/>
        <w:rPr>
          <w:rFonts w:ascii="Times New Roman" w:hAnsi="Times New Roman"/>
          <w:sz w:val="20"/>
        </w:rPr>
      </w:pPr>
      <w:r>
        <w:rPr>
          <w:rFonts w:ascii="Times New Roman" w:hAnsi="Times New Roman"/>
          <w:sz w:val="20"/>
        </w:rPr>
        <w:t xml:space="preserve">Terms of the Bank Facility, as amended, include financial covenants which require compliance at December 31, 2009 and each quarter through March 31, 2011. The maximum capital expenditures financial covenant is $2,500,000 per year. The minimum Fixed Charge Coverage Ratio is 2.5 : 1.0 for each quarter through the quarter ended June 30, 2010 and 1.25 : 1.0 thereafter. The maximum funded debt to EBITDA covenant is 3.0 to 1. Our Bank Facility also contains cross-default provisions with respect to our subordinated debt. Also, if we fail to pay (after grace periods) any other debt or lease that, individually or in the aggregate involves indebtedness in excess of $100,000, and such default gives any creditor or lessor the right to accelerate the maturity of any such indebtedness or lease payments, then absent a waiver from the lender, it would result in a default under our Bank </w:t>
      </w:r>
    </w:p>
    <w:p>
      <w:pPr>
        <w:pStyle w:val="TextBody"/>
        <w:spacing w:before="0" w:after="0"/>
        <w:rPr>
          <w:rFonts w:ascii="Times New Roman" w:hAnsi="Times New Roman"/>
          <w:sz w:val="20"/>
        </w:rPr>
      </w:pPr>
      <w:r>
        <w:rPr>
          <w:rFonts w:ascii="Times New Roman" w:hAnsi="Times New Roman"/>
          <w:sz w:val="20"/>
        </w:rPr>
        <w:t xml:space="preserve">Facility and the acceleration of the maturity of outstanding debt under our Bank Facility. As of March 31, 2010, we were well in compliance with all related financial and other restrictive covenants, and expect continued compliance. </w:t>
      </w:r>
    </w:p>
    <w:p>
      <w:pPr>
        <w:pStyle w:val="TextBody"/>
        <w:spacing w:before="90" w:after="0"/>
        <w:rPr>
          <w:rFonts w:ascii="Times New Roman" w:hAnsi="Times New Roman"/>
          <w:sz w:val="20"/>
        </w:rPr>
      </w:pPr>
      <w:r>
        <w:rPr>
          <w:rFonts w:ascii="Times New Roman" w:hAnsi="Times New Roman"/>
          <w:sz w:val="20"/>
        </w:rPr>
        <w:t xml:space="preserve">On August 14, 2008, the Company issued a Subordinated Convertible Promissory Note (the Convertible Subdebt Note) in the amount of Canadian $5.0 million to Icarus, which is controlled by Phillip DeZwirek, our Chairman and former CEO, and Jason DeZwirek, our Secretary and one of our Directors. The Convertible Subdebt Note provided for interest to accrue at the rate of 10% per annum in 2008, 11% per annum in 2009, and 12% per annum commencing January 1, 2010 until paid. The outstanding principal and accrued interest under The Convertible Subdebt Note was convertible at any time into common stock of the Company at a per share price of $4.75 which was the closing price immediately preceding the issuance of the Subdebt. The Convertible Subdebt Note was amended in February 2009 to provide for interest payments to be payable monthly, instead of semi-annually, subject to the Subordination Agreement between Fifth Third Bank and Icarus. The Convertible Subdebt Note was further amended on May 1, 2009 to extend its maturity date to October 1, 2011 from July 31, 2010. Fees of Canadian $38,000 were paid for this amendment and were being deferred and amortized over the remaining term of the Convertible Subdebt Note. We repaid Canadian $3.7 million under the Convertible Subdebt Note on March 31, 2009 and fully repaid the outstanding balance of $1.2 million on November 26, 2009. </w:t>
      </w:r>
    </w:p>
    <w:p>
      <w:pPr>
        <w:pStyle w:val="TextBody"/>
        <w:spacing w:before="90" w:after="0"/>
        <w:rPr>
          <w:rFonts w:ascii="Times New Roman" w:hAnsi="Times New Roman"/>
          <w:sz w:val="20"/>
        </w:rPr>
      </w:pPr>
      <w:r>
        <w:rPr>
          <w:rFonts w:ascii="Times New Roman" w:hAnsi="Times New Roman"/>
          <w:sz w:val="20"/>
        </w:rPr>
        <w:t xml:space="preserve">On May 15, 2009, the Company issued a Promissory Note (Note) to Icarus in the amount of $3.0 million. The Note, which was subordinated to the Companys Bank Facility, bore interest at 12% per annum with interest payable monthly. The maturity date of the note was the earlier of May 15, 2012 or six months after repayment of the Bank Facility. At the option of Icarus, the note was repayable in Canadian funds with a stated conversion rate of 1.1789, or CAD $3.5 million, representing the conversion rate at the issuance date of the Note. In accordance with ASC 815 Derivatives and Hedging, this option was been bifurcated and recorded at fair value. Gains and losses resulting from the revaluation of this liability were included in other income (expense) in the consolidated statements of operations. The Note and accrued interest was fully repaid on November 26, 2009 in the amount of $3.3 million. </w:t>
      </w:r>
    </w:p>
    <w:p>
      <w:pPr>
        <w:pStyle w:val="TextBody"/>
        <w:spacing w:before="90" w:after="0"/>
        <w:rPr>
          <w:rFonts w:ascii="Times New Roman" w:hAnsi="Times New Roman"/>
          <w:sz w:val="20"/>
        </w:rPr>
      </w:pPr>
      <w:r>
        <w:rPr>
          <w:rFonts w:ascii="Times New Roman" w:hAnsi="Times New Roman"/>
          <w:sz w:val="20"/>
        </w:rPr>
        <w:t xml:space="preserve">On November 26, 2009, the Company issued $10.8 million principal amount subordinated convertible promissory notes to a group of investors (the Investor Notes) which includes related parties: Icarus ($2,200,000), Jason DeZwirek ($800,000), and Harvey Sandler Revocable Trust ($800,000), which trust owns over 10% of our outstanding common stock. </w:t>
      </w:r>
    </w:p>
    <w:p>
      <w:pPr>
        <w:pStyle w:val="TextBody"/>
        <w:spacing w:before="90" w:after="0"/>
        <w:rPr>
          <w:rFonts w:ascii="Times New Roman" w:hAnsi="Times New Roman"/>
          <w:sz w:val="20"/>
        </w:rPr>
      </w:pPr>
      <w:r>
        <w:rPr>
          <w:rFonts w:ascii="Times New Roman" w:hAnsi="Times New Roman"/>
          <w:sz w:val="20"/>
        </w:rPr>
        <w:t xml:space="preserve">Interest accrues under the Investor Notes at the annual rate of 6% and is payable as of the end of each calendar quarter. The Company used the proceeds of the Investor Notes to repay all of its previously existing subordinated debt in the amount of approximately $4.5 million, which debt was accruing interest at rates between 11-12%. The balance of the proceeds will be used for general working capital. Fees of $320,000 were paid for the issuance of this debt and are being amortized over the term of the Investor Notes.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NOTES TO THE CONSOLIDATED FINANCIAL STATEMENTS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Investor Notes are due on November 26, 2014 and are not repayable prior to maturity except upon a change of control, or upon the consent of the holder. The outstanding principal amount of the Investor Notes or any portion thereof, but not the interest, is convertible at the holders option, at any time after the issuance of the Investor Notes at a conversion price of $4.00 per share, such price being greater than the Companys share price at the date of issuance of the Investor Notes. Following three years from the date of the Investor Notes, if the closing price of the common stock of the Company is greater than $8.00 for five consecutive days, the Company can cause conversion of the Investor Notes.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Pension and Employee Benefit Plans </w:t>
            </w:r>
          </w:p>
        </w:tc>
      </w:tr>
    </w:tbl>
    <w:p>
      <w:pPr>
        <w:pStyle w:val="TextBody"/>
        <w:spacing w:before="90" w:after="0"/>
        <w:rPr>
          <w:rFonts w:ascii="Times New Roman" w:hAnsi="Times New Roman"/>
          <w:sz w:val="20"/>
        </w:rPr>
      </w:pPr>
      <w:r>
        <w:rPr>
          <w:rFonts w:ascii="Times New Roman" w:hAnsi="Times New Roman"/>
          <w:sz w:val="20"/>
        </w:rPr>
        <w:t xml:space="preserve">We sponsor a non-contributory defined benefit pension plan for certain union employees. The plan is funded in accordance with the funding requirements of the Employee Retirement Income Security Act of 1974. </w:t>
      </w:r>
    </w:p>
    <w:p>
      <w:pPr>
        <w:pStyle w:val="TextBody"/>
        <w:spacing w:before="90" w:after="0"/>
        <w:rPr>
          <w:rFonts w:ascii="Times New Roman" w:hAnsi="Times New Roman"/>
          <w:sz w:val="20"/>
        </w:rPr>
      </w:pPr>
      <w:r>
        <w:rPr>
          <w:rFonts w:ascii="Times New Roman" w:hAnsi="Times New Roman"/>
          <w:sz w:val="20"/>
        </w:rPr>
        <w:t xml:space="preserve">We also sponsor a postretirement health care plan for office employees retiring before January 1, 1990. The plan allows retirees who have attained the age of 65 to elect the type of coverage desired. </w:t>
      </w:r>
    </w:p>
    <w:p>
      <w:pPr>
        <w:pStyle w:val="TextBody"/>
        <w:spacing w:before="90" w:after="0"/>
        <w:rPr>
          <w:rFonts w:ascii="Times New Roman" w:hAnsi="Times New Roman"/>
          <w:sz w:val="20"/>
        </w:rPr>
      </w:pPr>
      <w:r>
        <w:rPr>
          <w:rFonts w:ascii="Times New Roman" w:hAnsi="Times New Roman"/>
          <w:sz w:val="20"/>
        </w:rPr>
        <w:t xml:space="preserve">Retirement and health care plan expense is based on valuations performed by plan actuaries as of the beginning of each fiscal year. The components of the expense consisted of the following: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598"/>
        <w:gridCol w:w="643"/>
        <w:gridCol w:w="209"/>
        <w:gridCol w:w="565"/>
        <w:gridCol w:w="209"/>
        <w:gridCol w:w="625"/>
        <w:gridCol w:w="209"/>
        <w:gridCol w:w="568"/>
        <w:gridCol w:w="129"/>
      </w:tblGrid>
      <w:tr>
        <w:trPr/>
        <w:tc>
          <w:tcPr>
            <w:tcW w:w="4598"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598" w:type="dxa"/>
            <w:vMerge w:val="restart"/>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643" w:type="dxa"/>
            <w:tcBorders/>
            <w:shd w:fill="auto" w:val="clear"/>
            <w:vAlign w:val="bottom"/>
          </w:tcPr>
          <w:p>
            <w:pPr>
              <w:pStyle w:val="TableContents"/>
              <w:spacing w:before="0" w:after="283"/>
              <w:rPr/>
            </w:pPr>
            <w:r>
              <w:rPr/>
              <w:t>  </w:t>
            </w:r>
          </w:p>
        </w:tc>
        <w:tc>
          <w:tcPr>
            <w:tcW w:w="238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March 31,</w:t>
            </w:r>
          </w:p>
        </w:tc>
        <w:tc>
          <w:tcPr>
            <w:tcW w:w="129" w:type="dxa"/>
            <w:tcBorders/>
            <w:shd w:fill="auto" w:val="clear"/>
            <w:vAlign w:val="bottom"/>
          </w:tcPr>
          <w:p>
            <w:pPr>
              <w:pStyle w:val="TableContents"/>
              <w:spacing w:before="0" w:after="283"/>
              <w:rPr/>
            </w:pPr>
            <w:r>
              <w:rPr/>
              <w:t> </w:t>
            </w:r>
          </w:p>
        </w:tc>
      </w:tr>
      <w:tr>
        <w:trPr/>
        <w:tc>
          <w:tcPr>
            <w:tcW w:w="4598" w:type="dxa"/>
            <w:vMerge w:val="continue"/>
            <w:tcBorders/>
            <w:shd w:fill="auto" w:val="clear"/>
            <w:vAlign w:val="bottom"/>
          </w:tcPr>
          <w:p>
            <w:pPr>
              <w:pStyle w:val="Normal"/>
              <w:rPr/>
            </w:pPr>
            <w:r>
              <w:rPr/>
            </w:r>
          </w:p>
        </w:tc>
        <w:tc>
          <w:tcPr>
            <w:tcW w:w="643" w:type="dxa"/>
            <w:tcBorders/>
            <w:shd w:fill="auto" w:val="clear"/>
            <w:vAlign w:val="bottom"/>
          </w:tcPr>
          <w:p>
            <w:pPr>
              <w:pStyle w:val="TableContents"/>
              <w:spacing w:before="0" w:after="283"/>
              <w:rPr/>
            </w:pPr>
            <w:r>
              <w:rPr/>
              <w:t>  </w:t>
            </w:r>
          </w:p>
        </w:tc>
        <w:tc>
          <w:tcPr>
            <w:tcW w:w="7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209"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7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283"/>
              <w:rPr>
                <w:rFonts w:ascii="Times New Roman" w:hAnsi="Times New Roman"/>
                <w:sz w:val="20"/>
              </w:rPr>
            </w:pPr>
            <w:r>
              <w:rPr>
                <w:rFonts w:ascii="Times New Roman" w:hAnsi="Times New Roman"/>
                <w:sz w:val="20"/>
              </w:rPr>
              <w:t>Retirement plan:</w:t>
            </w:r>
          </w:p>
        </w:tc>
        <w:tc>
          <w:tcPr>
            <w:tcW w:w="64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sz w:val="4"/>
                <w:szCs w:val="4"/>
              </w:rPr>
            </w:pPr>
            <w:r>
              <w:rPr>
                <w:sz w:val="4"/>
                <w:szCs w:val="4"/>
              </w:rPr>
            </w:r>
          </w:p>
        </w:tc>
        <w:tc>
          <w:tcPr>
            <w:tcW w:w="565"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sz w:val="4"/>
                <w:szCs w:val="4"/>
              </w:rPr>
            </w:pPr>
            <w:r>
              <w:rPr>
                <w:sz w:val="4"/>
                <w:szCs w:val="4"/>
              </w:rPr>
            </w:r>
          </w:p>
        </w:tc>
        <w:tc>
          <w:tcPr>
            <w:tcW w:w="62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sz w:val="4"/>
                <w:szCs w:val="4"/>
              </w:rPr>
            </w:pPr>
            <w:r>
              <w:rPr>
                <w:sz w:val="4"/>
                <w:szCs w:val="4"/>
              </w:rPr>
            </w:r>
          </w:p>
        </w:tc>
        <w:tc>
          <w:tcPr>
            <w:tcW w:w="568"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4598" w:type="dxa"/>
            <w:tcBorders/>
            <w:shd w:fill="auto" w:val="clear"/>
          </w:tcPr>
          <w:p>
            <w:pPr>
              <w:pStyle w:val="TableContents"/>
              <w:spacing w:before="0" w:after="283"/>
              <w:rPr>
                <w:rFonts w:ascii="Times New Roman" w:hAnsi="Times New Roman"/>
                <w:sz w:val="20"/>
              </w:rPr>
            </w:pPr>
            <w:r>
              <w:rPr>
                <w:rFonts w:ascii="Times New Roman" w:hAnsi="Times New Roman"/>
                <w:sz w:val="20"/>
              </w:rPr>
              <w:t>Service cost</w:t>
            </w:r>
          </w:p>
        </w:tc>
        <w:tc>
          <w:tcPr>
            <w:tcW w:w="64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209"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9"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64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209"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29" w:type="dxa"/>
            <w:tcBorders/>
            <w:shd w:fill="CCEEFF" w:val="clear"/>
            <w:vAlign w:val="bottom"/>
          </w:tcPr>
          <w:p>
            <w:pPr>
              <w:pStyle w:val="TableContents"/>
              <w:spacing w:before="0" w:after="283"/>
              <w:rPr/>
            </w:pPr>
            <w:r>
              <w:rPr/>
              <w:t>  </w:t>
            </w:r>
          </w:p>
        </w:tc>
      </w:tr>
      <w:tr>
        <w:trPr/>
        <w:tc>
          <w:tcPr>
            <w:tcW w:w="4598" w:type="dxa"/>
            <w:tcBorders/>
            <w:shd w:fill="auto" w:val="clear"/>
          </w:tcPr>
          <w:p>
            <w:pPr>
              <w:pStyle w:val="TableContents"/>
              <w:spacing w:before="0" w:after="283"/>
              <w:rPr>
                <w:rFonts w:ascii="Times New Roman" w:hAnsi="Times New Roman"/>
                <w:sz w:val="20"/>
              </w:rPr>
            </w:pPr>
            <w:r>
              <w:rPr>
                <w:rFonts w:ascii="Times New Roman" w:hAnsi="Times New Roman"/>
                <w:sz w:val="20"/>
              </w:rPr>
              <w:t>Expected return on plan assets</w:t>
            </w:r>
          </w:p>
        </w:tc>
        <w:tc>
          <w:tcPr>
            <w:tcW w:w="64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20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8"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prior service cost</w:t>
            </w:r>
          </w:p>
        </w:tc>
        <w:tc>
          <w:tcPr>
            <w:tcW w:w="64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209"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9" w:type="dxa"/>
            <w:tcBorders/>
            <w:shd w:fill="CCEEFF" w:val="clear"/>
            <w:vAlign w:val="bottom"/>
          </w:tcPr>
          <w:p>
            <w:pPr>
              <w:pStyle w:val="TableContents"/>
              <w:spacing w:before="0" w:after="283"/>
              <w:rPr/>
            </w:pPr>
            <w:r>
              <w:rPr/>
              <w:t>  </w:t>
            </w:r>
          </w:p>
        </w:tc>
      </w:tr>
      <w:tr>
        <w:trPr/>
        <w:tc>
          <w:tcPr>
            <w:tcW w:w="4598"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net actuarial loss</w:t>
            </w:r>
          </w:p>
        </w:tc>
        <w:tc>
          <w:tcPr>
            <w:tcW w:w="64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209"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9" w:type="dxa"/>
            <w:tcBorders/>
            <w:shd w:fill="auto" w:val="clear"/>
            <w:vAlign w:val="bottom"/>
          </w:tcPr>
          <w:p>
            <w:pPr>
              <w:pStyle w:val="TableContents"/>
              <w:spacing w:before="0" w:after="283"/>
              <w:rPr/>
            </w:pPr>
            <w:r>
              <w:rPr/>
              <w:t>  </w:t>
            </w:r>
          </w:p>
        </w:tc>
      </w:tr>
      <w:tr>
        <w:trPr/>
        <w:tc>
          <w:tcPr>
            <w:tcW w:w="4598" w:type="dxa"/>
            <w:tcBorders/>
            <w:shd w:fill="auto" w:val="clear"/>
            <w:vAlign w:val="bottom"/>
          </w:tcPr>
          <w:p>
            <w:pPr>
              <w:pStyle w:val="TableContents"/>
              <w:spacing w:before="0" w:after="283"/>
              <w:rPr>
                <w:sz w:val="4"/>
                <w:szCs w:val="4"/>
              </w:rPr>
            </w:pPr>
            <w:r>
              <w:rPr>
                <w:sz w:val="4"/>
                <w:szCs w:val="4"/>
              </w:rPr>
            </w:r>
          </w:p>
        </w:tc>
        <w:tc>
          <w:tcPr>
            <w:tcW w:w="643" w:type="dxa"/>
            <w:tcBorders/>
            <w:shd w:fill="auto" w:val="cle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565" w:type="dxa"/>
            <w:tcBorders>
              <w:top w:val="single" w:sz="2" w:space="0" w:color="000000"/>
            </w:tcBorders>
            <w:shd w:fill="auto" w:val="clear"/>
            <w:tcMar>
              <w:top w:w="28" w:type="dxa"/>
            </w:tcMar>
            <w:vAlign w:val="bottom"/>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56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598"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64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209"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9" w:type="dxa"/>
            <w:tcBorders/>
            <w:shd w:fill="CCEEFF" w:val="clear"/>
            <w:vAlign w:val="bottom"/>
          </w:tcPr>
          <w:p>
            <w:pPr>
              <w:pStyle w:val="TableContents"/>
              <w:spacing w:before="0" w:after="283"/>
              <w:rPr/>
            </w:pPr>
            <w:r>
              <w:rPr/>
              <w:t>  </w:t>
            </w:r>
          </w:p>
        </w:tc>
      </w:tr>
      <w:tr>
        <w:trPr/>
        <w:tc>
          <w:tcPr>
            <w:tcW w:w="4598" w:type="dxa"/>
            <w:tcBorders/>
            <w:shd w:fill="auto" w:val="clear"/>
            <w:vAlign w:val="bottom"/>
          </w:tcPr>
          <w:p>
            <w:pPr>
              <w:pStyle w:val="TableContents"/>
              <w:spacing w:before="0" w:after="283"/>
              <w:rPr>
                <w:sz w:val="4"/>
                <w:szCs w:val="4"/>
              </w:rPr>
            </w:pPr>
            <w:r>
              <w:rPr>
                <w:sz w:val="4"/>
                <w:szCs w:val="4"/>
              </w:rPr>
            </w:r>
          </w:p>
        </w:tc>
        <w:tc>
          <w:tcPr>
            <w:tcW w:w="643" w:type="dxa"/>
            <w:tcBorders/>
            <w:shd w:fill="auto" w:val="cle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565" w:type="dxa"/>
            <w:tcBorders>
              <w:top w:val="single" w:sz="2" w:space="0" w:color="000000"/>
            </w:tcBorders>
            <w:shd w:fill="auto" w:val="clear"/>
            <w:tcMar>
              <w:top w:w="28" w:type="dxa"/>
            </w:tcMar>
            <w:vAlign w:val="bottom"/>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56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4598" w:type="dxa"/>
            <w:tcBorders/>
            <w:shd w:fill="auto" w:val="clear"/>
            <w:vAlign w:val="center"/>
          </w:tcPr>
          <w:p>
            <w:pPr>
              <w:pStyle w:val="TableContents"/>
              <w:spacing w:before="0" w:after="283"/>
              <w:rPr>
                <w:sz w:val="4"/>
                <w:szCs w:val="4"/>
              </w:rPr>
            </w:pPr>
            <w:r>
              <w:rPr>
                <w:sz w:val="4"/>
                <w:szCs w:val="4"/>
              </w:rPr>
            </w:r>
          </w:p>
        </w:tc>
        <w:tc>
          <w:tcPr>
            <w:tcW w:w="1626" w:type="dxa"/>
            <w:gridSpan w:val="4"/>
            <w:tcBorders/>
            <w:shd w:fill="auto" w:val="clear"/>
            <w:vAlign w:val="center"/>
          </w:tcPr>
          <w:p>
            <w:pPr>
              <w:pStyle w:val="TableContents"/>
              <w:spacing w:before="0" w:after="283"/>
              <w:rPr>
                <w:sz w:val="4"/>
                <w:szCs w:val="4"/>
              </w:rPr>
            </w:pPr>
            <w:r>
              <w:rPr>
                <w:sz w:val="4"/>
                <w:szCs w:val="4"/>
              </w:rPr>
            </w:r>
          </w:p>
        </w:tc>
        <w:tc>
          <w:tcPr>
            <w:tcW w:w="1531" w:type="dxa"/>
            <w:gridSpan w:val="4"/>
            <w:tcBorders/>
            <w:shd w:fill="auto" w:val="clear"/>
            <w:vAlign w:val="center"/>
          </w:tcPr>
          <w:p>
            <w:pPr>
              <w:pStyle w:val="TableContents"/>
              <w:spacing w:before="0" w:after="283"/>
              <w:rPr>
                <w:sz w:val="4"/>
                <w:szCs w:val="4"/>
              </w:rPr>
            </w:pPr>
            <w:r>
              <w:rPr>
                <w:sz w:val="4"/>
                <w:szCs w:val="4"/>
              </w:rPr>
            </w:r>
          </w:p>
        </w:tc>
      </w:tr>
      <w:tr>
        <w:trPr/>
        <w:tc>
          <w:tcPr>
            <w:tcW w:w="4598" w:type="dxa"/>
            <w:tcBorders/>
            <w:shd w:fill="auto" w:val="clear"/>
          </w:tcPr>
          <w:p>
            <w:pPr>
              <w:pStyle w:val="TableContents"/>
              <w:spacing w:before="0" w:after="283"/>
              <w:rPr>
                <w:rFonts w:ascii="Times New Roman" w:hAnsi="Times New Roman"/>
                <w:sz w:val="20"/>
              </w:rPr>
            </w:pPr>
            <w:r>
              <w:rPr>
                <w:rFonts w:ascii="Times New Roman" w:hAnsi="Times New Roman"/>
                <w:sz w:val="20"/>
              </w:rPr>
              <w:t>Health care plan:</w:t>
            </w:r>
          </w:p>
        </w:tc>
        <w:tc>
          <w:tcPr>
            <w:tcW w:w="64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6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459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w:t>
            </w:r>
          </w:p>
        </w:tc>
        <w:tc>
          <w:tcPr>
            <w:tcW w:w="64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09"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9" w:type="dxa"/>
            <w:tcBorders/>
            <w:shd w:fill="CCEEFF" w:val="clear"/>
            <w:vAlign w:val="bottom"/>
          </w:tcPr>
          <w:p>
            <w:pPr>
              <w:pStyle w:val="TableContents"/>
              <w:spacing w:before="0" w:after="283"/>
              <w:rPr/>
            </w:pPr>
            <w:r>
              <w:rPr/>
              <w:t>  </w:t>
            </w:r>
          </w:p>
        </w:tc>
      </w:tr>
      <w:tr>
        <w:trPr/>
        <w:tc>
          <w:tcPr>
            <w:tcW w:w="4598"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gain</w:t>
            </w:r>
          </w:p>
        </w:tc>
        <w:tc>
          <w:tcPr>
            <w:tcW w:w="643"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0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25"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98" w:type="dxa"/>
            <w:tcBorders/>
            <w:shd w:fill="auto" w:val="clear"/>
            <w:vAlign w:val="bottom"/>
          </w:tcPr>
          <w:p>
            <w:pPr>
              <w:pStyle w:val="TableContents"/>
              <w:spacing w:before="0" w:after="283"/>
              <w:rPr>
                <w:sz w:val="4"/>
                <w:szCs w:val="4"/>
              </w:rPr>
            </w:pPr>
            <w:r>
              <w:rPr>
                <w:sz w:val="4"/>
                <w:szCs w:val="4"/>
              </w:rPr>
            </w:r>
          </w:p>
        </w:tc>
        <w:tc>
          <w:tcPr>
            <w:tcW w:w="643" w:type="dxa"/>
            <w:tcBorders/>
            <w:shd w:fill="auto" w:val="cle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565" w:type="dxa"/>
            <w:tcBorders>
              <w:top w:val="single" w:sz="2" w:space="0" w:color="000000"/>
            </w:tcBorders>
            <w:shd w:fill="auto" w:val="clear"/>
            <w:tcMar>
              <w:top w:w="28" w:type="dxa"/>
            </w:tcMar>
            <w:vAlign w:val="bottom"/>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56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598" w:type="dxa"/>
            <w:tcBorders/>
            <w:shd w:fill="CCEEFF" w:val="clear"/>
          </w:tcPr>
          <w:p>
            <w:pPr>
              <w:pStyle w:val="TableContents"/>
              <w:spacing w:before="0" w:after="283"/>
              <w:rPr>
                <w:rFonts w:ascii="Times New Roman" w:hAnsi="Times New Roman"/>
                <w:sz w:val="20"/>
              </w:rPr>
            </w:pPr>
            <w:r>
              <w:rPr>
                <w:rFonts w:ascii="Times New Roman" w:hAnsi="Times New Roman"/>
                <w:sz w:val="20"/>
              </w:rPr>
              <w:t>Net periodic benefit cost</w:t>
            </w:r>
          </w:p>
        </w:tc>
        <w:tc>
          <w:tcPr>
            <w:tcW w:w="643"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09"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9" w:type="dxa"/>
            <w:tcBorders/>
            <w:shd w:fill="CCEEFF" w:val="clear"/>
            <w:vAlign w:val="bottom"/>
          </w:tcPr>
          <w:p>
            <w:pPr>
              <w:pStyle w:val="TableContents"/>
              <w:spacing w:before="0" w:after="283"/>
              <w:rPr/>
            </w:pPr>
            <w:r>
              <w:rPr/>
              <w:t>  </w:t>
            </w:r>
          </w:p>
        </w:tc>
      </w:tr>
      <w:tr>
        <w:trPr/>
        <w:tc>
          <w:tcPr>
            <w:tcW w:w="4598" w:type="dxa"/>
            <w:tcBorders/>
            <w:shd w:fill="auto" w:val="clear"/>
            <w:vAlign w:val="bottom"/>
          </w:tcPr>
          <w:p>
            <w:pPr>
              <w:pStyle w:val="TableContents"/>
              <w:spacing w:before="0" w:after="283"/>
              <w:rPr>
                <w:sz w:val="4"/>
                <w:szCs w:val="4"/>
              </w:rPr>
            </w:pPr>
            <w:r>
              <w:rPr>
                <w:sz w:val="4"/>
                <w:szCs w:val="4"/>
              </w:rPr>
            </w:r>
          </w:p>
        </w:tc>
        <w:tc>
          <w:tcPr>
            <w:tcW w:w="643" w:type="dxa"/>
            <w:tcBorders/>
            <w:shd w:fill="auto" w:val="cle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565" w:type="dxa"/>
            <w:tcBorders>
              <w:top w:val="single" w:sz="2" w:space="0" w:color="000000"/>
            </w:tcBorders>
            <w:shd w:fill="auto" w:val="clear"/>
            <w:tcMar>
              <w:top w:w="28" w:type="dxa"/>
            </w:tcMar>
            <w:vAlign w:val="bottom"/>
          </w:tcPr>
          <w:p>
            <w:pPr>
              <w:pStyle w:val="TableContents"/>
              <w:spacing w:before="0" w:after="283"/>
              <w:rPr/>
            </w:pPr>
            <w:r>
              <w:rPr/>
              <w:t> </w:t>
            </w:r>
          </w:p>
        </w:tc>
        <w:tc>
          <w:tcPr>
            <w:tcW w:w="209" w:type="dxa"/>
            <w:tcBorders/>
            <w:shd w:fill="auto" w:val="clear"/>
            <w:vAlign w:val="center"/>
          </w:tcPr>
          <w:p>
            <w:pPr>
              <w:pStyle w:val="TableContents"/>
              <w:spacing w:before="0" w:after="283"/>
              <w:rPr/>
            </w:pPr>
            <w:r>
              <w:rPr/>
              <w:t> </w:t>
            </w:r>
          </w:p>
        </w:tc>
        <w:tc>
          <w:tcPr>
            <w:tcW w:w="625" w:type="dxa"/>
            <w:tcBorders/>
            <w:shd w:fill="auto" w:val="cle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56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We made contributions to our defined benefit plans in the first quarter of 2010 totaling $53,000. We anticipate contributing $214,000 to fund the pension plan and $39,000 for the retiree health care plan during the remainder of fiscal of 2010. </w:t>
      </w:r>
    </w:p>
    <w:p>
      <w:pPr>
        <w:pStyle w:val="TextBody"/>
        <w:spacing w:before="90" w:after="0"/>
        <w:rPr>
          <w:rFonts w:ascii="Times New Roman" w:hAnsi="Times New Roman"/>
          <w:sz w:val="20"/>
        </w:rPr>
      </w:pPr>
      <w:r>
        <w:rPr>
          <w:rFonts w:ascii="Times New Roman" w:hAnsi="Times New Roman"/>
          <w:sz w:val="20"/>
        </w:rPr>
        <w:t xml:space="preserve">The funded status for our postretirement health care plan is calculated based on the projected postretirement benefit obligation.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Stock-Based Compensation </w:t>
            </w:r>
          </w:p>
        </w:tc>
      </w:tr>
    </w:tbl>
    <w:p>
      <w:pPr>
        <w:pStyle w:val="TextBody"/>
        <w:spacing w:before="90" w:after="0"/>
        <w:rPr>
          <w:rFonts w:ascii="Times New Roman" w:hAnsi="Times New Roman"/>
          <w:sz w:val="20"/>
        </w:rPr>
      </w:pPr>
      <w:r>
        <w:rPr>
          <w:rFonts w:ascii="Times New Roman" w:hAnsi="Times New Roman"/>
          <w:sz w:val="20"/>
        </w:rPr>
        <w:t xml:space="preserve">The Company accounts for stock-based compensation in accordance with ASC Topic 718, Compensation  Stock Compensation which requires the Company to recognize compensation expense for stock-based awards, measured at the fair value of the awards at the grant date. The Company recognized expense of approximately $224,000 and $234,000 during the quarters ended March 31, 2010 and 2009,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Income Taxes </w:t>
            </w:r>
          </w:p>
        </w:tc>
      </w:tr>
    </w:tbl>
    <w:p>
      <w:pPr>
        <w:pStyle w:val="TextBody"/>
        <w:spacing w:before="90" w:after="0"/>
        <w:rPr>
          <w:rFonts w:ascii="Times New Roman" w:hAnsi="Times New Roman"/>
          <w:sz w:val="20"/>
        </w:rPr>
      </w:pPr>
      <w:r>
        <w:rPr>
          <w:rFonts w:ascii="Times New Roman" w:hAnsi="Times New Roman"/>
          <w:sz w:val="20"/>
        </w:rPr>
        <w:t xml:space="preserve">The Company files income tax returns in various federal, state and local jurisdictions. The Company is no longer subject to federal, state and local income tax examinations by tax authorities for years before 2006. </w:t>
      </w:r>
    </w:p>
    <w:p>
      <w:pPr>
        <w:pStyle w:val="TextBody"/>
        <w:spacing w:before="90" w:after="0"/>
        <w:rPr>
          <w:rFonts w:ascii="Times New Roman" w:hAnsi="Times New Roman"/>
          <w:sz w:val="20"/>
        </w:rPr>
      </w:pPr>
      <w:r>
        <w:rPr>
          <w:rFonts w:ascii="Times New Roman" w:hAnsi="Times New Roman"/>
          <w:sz w:val="20"/>
        </w:rPr>
        <w:t xml:space="preserve">The Company accounts for uncertain tax positions pursuant to ASC Topic 740, Income Taxes.. As of March 31, 2010 and December 31, 2009, the liability for unrecognized tax expense totaled approximately $387,000. Included in this balance is a $148,000 tax position for which the ultimate outcome is highly certain. The Company recognizes interest accrued related to unrecognized tax expenses in interest expense and penalties in income tax expense.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Comprehensive Income (Loss) </w:t>
            </w:r>
          </w:p>
        </w:tc>
      </w:tr>
    </w:tbl>
    <w:p>
      <w:pPr>
        <w:pStyle w:val="TextBody"/>
        <w:spacing w:before="90" w:after="0"/>
        <w:rPr>
          <w:rFonts w:ascii="Times New Roman" w:hAnsi="Times New Roman"/>
          <w:sz w:val="20"/>
        </w:rPr>
      </w:pPr>
      <w:r>
        <w:rPr>
          <w:rFonts w:ascii="Times New Roman" w:hAnsi="Times New Roman"/>
          <w:sz w:val="20"/>
        </w:rPr>
        <w:t xml:space="preserve">Comprehensive income (loss) consists of net income (loss), changes in the pension liability that do not directly impact net earnings and translation gains and losses for foreign operations. Comprehensive income of $204,000 included net income of $97,000 and a translation gain of $107,000 for the three month period ended March 31, 2010, and comprehensive income of $222,000 for the three month period ended March 31, 2009 included net income of $369,000 and a translation loss of $(147,000).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NOTES TO THE CONSOLIDATED FINANCIAL STATEMENTS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Product Warranties </w:t>
            </w:r>
          </w:p>
        </w:tc>
      </w:tr>
    </w:tbl>
    <w:p>
      <w:pPr>
        <w:pStyle w:val="TextBody"/>
        <w:spacing w:before="90" w:after="0"/>
        <w:rPr>
          <w:rFonts w:ascii="Times New Roman" w:hAnsi="Times New Roman"/>
          <w:sz w:val="20"/>
        </w:rPr>
      </w:pPr>
      <w:r>
        <w:rPr>
          <w:rFonts w:ascii="Times New Roman" w:hAnsi="Times New Roman"/>
          <w:sz w:val="20"/>
        </w:rPr>
        <w:t xml:space="preserve">The Companys warranty reserve is to cover the products sold and is principally at our Effox subsidiary. The warranty accrual is based on historical claims information. The warranty reserve is reviewed and adjusted as necessary on a quarterly basis. Warranty accrual is not significant at the Companys other operations due to the nature of the work which includes installation and testing. The change in accrued warranty expense is summarized in the following table: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179"/>
        <w:gridCol w:w="733"/>
        <w:gridCol w:w="258"/>
        <w:gridCol w:w="698"/>
        <w:gridCol w:w="125"/>
        <w:gridCol w:w="677"/>
        <w:gridCol w:w="258"/>
        <w:gridCol w:w="698"/>
        <w:gridCol w:w="129"/>
      </w:tblGrid>
      <w:tr>
        <w:trPr/>
        <w:tc>
          <w:tcPr>
            <w:tcW w:w="417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17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733"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Ended</w:t>
              <w:br/>
              <w:t>March 31, 2010</w:t>
            </w:r>
          </w:p>
        </w:tc>
        <w:tc>
          <w:tcPr>
            <w:tcW w:w="125"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w:t>
              <w:br/>
              <w:t>Ended</w:t>
              <w:br/>
              <w:t>March 31, 2009</w:t>
            </w:r>
          </w:p>
        </w:tc>
        <w:tc>
          <w:tcPr>
            <w:tcW w:w="129" w:type="dxa"/>
            <w:tcBorders/>
            <w:shd w:fill="auto" w:val="clear"/>
            <w:vAlign w:val="bottom"/>
          </w:tcPr>
          <w:p>
            <w:pPr>
              <w:pStyle w:val="TableContents"/>
              <w:spacing w:before="0" w:after="283"/>
              <w:rPr/>
            </w:pPr>
            <w:r>
              <w:rPr/>
              <w:t> </w:t>
            </w:r>
          </w:p>
        </w:tc>
      </w:tr>
      <w:tr>
        <w:trPr/>
        <w:tc>
          <w:tcPr>
            <w:tcW w:w="4179" w:type="dxa"/>
            <w:tcBorders/>
            <w:shd w:fill="CCEEFF" w:val="clear"/>
          </w:tcPr>
          <w:p>
            <w:pPr>
              <w:pStyle w:val="TableContents"/>
              <w:spacing w:before="0" w:after="283"/>
              <w:rPr>
                <w:rFonts w:ascii="Times New Roman" w:hAnsi="Times New Roman"/>
                <w:sz w:val="20"/>
              </w:rPr>
            </w:pPr>
            <w:r>
              <w:rPr>
                <w:rFonts w:ascii="Times New Roman" w:hAnsi="Times New Roman"/>
                <w:sz w:val="20"/>
              </w:rPr>
              <w:t>Beginning Balance</w:t>
            </w:r>
          </w:p>
        </w:tc>
        <w:tc>
          <w:tcPr>
            <w:tcW w:w="733"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w:t>
            </w:r>
          </w:p>
        </w:tc>
        <w:tc>
          <w:tcPr>
            <w:tcW w:w="125"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29" w:type="dxa"/>
            <w:tcBorders/>
            <w:shd w:fill="CCEEFF" w:val="clear"/>
            <w:vAlign w:val="bottom"/>
          </w:tcPr>
          <w:p>
            <w:pPr>
              <w:pStyle w:val="TableContents"/>
              <w:spacing w:before="0" w:after="283"/>
              <w:rPr/>
            </w:pPr>
            <w:r>
              <w:rPr/>
              <w:t>  </w:t>
            </w:r>
          </w:p>
        </w:tc>
      </w:tr>
      <w:tr>
        <w:trPr/>
        <w:tc>
          <w:tcPr>
            <w:tcW w:w="4179" w:type="dxa"/>
            <w:tcBorders/>
            <w:shd w:fill="auto" w:val="clear"/>
          </w:tcPr>
          <w:p>
            <w:pPr>
              <w:pStyle w:val="TableContents"/>
              <w:spacing w:before="0" w:after="283"/>
              <w:rPr>
                <w:rFonts w:ascii="Times New Roman" w:hAnsi="Times New Roman"/>
                <w:sz w:val="20"/>
              </w:rPr>
            </w:pPr>
            <w:r>
              <w:rPr>
                <w:rFonts w:ascii="Times New Roman" w:hAnsi="Times New Roman"/>
                <w:sz w:val="20"/>
              </w:rPr>
              <w:t>Provision</w:t>
            </w:r>
          </w:p>
        </w:tc>
        <w:tc>
          <w:tcPr>
            <w:tcW w:w="733"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5"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9" w:type="dxa"/>
            <w:tcBorders/>
            <w:shd w:fill="auto" w:val="clear"/>
            <w:vAlign w:val="bottom"/>
          </w:tcPr>
          <w:p>
            <w:pPr>
              <w:pStyle w:val="TableContents"/>
              <w:spacing w:before="0" w:after="283"/>
              <w:rPr/>
            </w:pPr>
            <w:r>
              <w:rPr/>
              <w:t>  </w:t>
            </w:r>
          </w:p>
        </w:tc>
      </w:tr>
      <w:tr>
        <w:trPr/>
        <w:tc>
          <w:tcPr>
            <w:tcW w:w="4179"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w:t>
            </w:r>
          </w:p>
        </w:tc>
        <w:tc>
          <w:tcPr>
            <w:tcW w:w="733"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77"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17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pPr>
            <w:r>
              <w:rPr/>
              <w:t>  </w:t>
            </w:r>
          </w:p>
        </w:tc>
        <w:tc>
          <w:tcPr>
            <w:tcW w:w="258"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77" w:type="dxa"/>
            <w:tcBorders/>
            <w:shd w:fill="auto" w:val="clear"/>
            <w:vAlign w:val="bottom"/>
          </w:tcPr>
          <w:p>
            <w:pPr>
              <w:pStyle w:val="TableContents"/>
              <w:spacing w:before="0" w:after="283"/>
              <w:rPr/>
            </w:pPr>
            <w:r>
              <w:rPr/>
              <w:t> </w:t>
            </w:r>
          </w:p>
        </w:tc>
        <w:tc>
          <w:tcPr>
            <w:tcW w:w="258"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179" w:type="dxa"/>
            <w:tcBorders/>
            <w:shd w:fill="auto" w:val="clear"/>
          </w:tcPr>
          <w:p>
            <w:pPr>
              <w:pStyle w:val="TableContents"/>
              <w:spacing w:before="0" w:after="283"/>
              <w:rPr>
                <w:rFonts w:ascii="Times New Roman" w:hAnsi="Times New Roman"/>
                <w:sz w:val="20"/>
              </w:rPr>
            </w:pPr>
            <w:r>
              <w:rPr>
                <w:rFonts w:ascii="Times New Roman" w:hAnsi="Times New Roman"/>
                <w:sz w:val="20"/>
              </w:rPr>
              <w:t>Ending Balance</w:t>
            </w:r>
          </w:p>
        </w:tc>
        <w:tc>
          <w:tcPr>
            <w:tcW w:w="733"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125"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553</w:t>
            </w:r>
          </w:p>
        </w:tc>
        <w:tc>
          <w:tcPr>
            <w:tcW w:w="129" w:type="dxa"/>
            <w:tcBorders/>
            <w:shd w:fill="auto" w:val="clear"/>
            <w:vAlign w:val="bottom"/>
          </w:tcPr>
          <w:p>
            <w:pPr>
              <w:pStyle w:val="TableContents"/>
              <w:spacing w:before="0" w:after="283"/>
              <w:rPr/>
            </w:pPr>
            <w:r>
              <w:rPr/>
              <w:t>  </w:t>
            </w:r>
          </w:p>
        </w:tc>
      </w:tr>
      <w:tr>
        <w:trPr/>
        <w:tc>
          <w:tcPr>
            <w:tcW w:w="417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pPr>
            <w:r>
              <w:rPr/>
              <w:t>  </w:t>
            </w:r>
          </w:p>
        </w:tc>
        <w:tc>
          <w:tcPr>
            <w:tcW w:w="258"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77" w:type="dxa"/>
            <w:tcBorders/>
            <w:shd w:fill="auto" w:val="clear"/>
            <w:vAlign w:val="bottom"/>
          </w:tcPr>
          <w:p>
            <w:pPr>
              <w:pStyle w:val="TableContents"/>
              <w:spacing w:before="0" w:after="283"/>
              <w:rPr/>
            </w:pPr>
            <w:r>
              <w:rPr/>
              <w:t> </w:t>
            </w:r>
          </w:p>
        </w:tc>
        <w:tc>
          <w:tcPr>
            <w:tcW w:w="258" w:type="dxa"/>
            <w:tcBorders>
              <w:top w:val="single" w:sz="2" w:space="0" w:color="000000"/>
            </w:tcBorders>
            <w:shd w:fill="auto" w:val="clear"/>
            <w:tcMar>
              <w:top w:w="28" w:type="dxa"/>
            </w:tcMar>
            <w:vAlign w:val="bottom"/>
          </w:tcPr>
          <w:p>
            <w:pPr>
              <w:pStyle w:val="TableContents"/>
              <w:spacing w:before="0" w:after="283"/>
              <w:rPr/>
            </w:pPr>
            <w:r>
              <w:rPr/>
              <w:t> </w:t>
            </w:r>
          </w:p>
        </w:tc>
        <w:tc>
          <w:tcPr>
            <w:tcW w:w="698"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Instruments </w:t>
            </w:r>
          </w:p>
        </w:tc>
      </w:tr>
    </w:tbl>
    <w:p>
      <w:pPr>
        <w:pStyle w:val="TextBody"/>
        <w:spacing w:before="90" w:after="0"/>
        <w:rPr>
          <w:rFonts w:ascii="Times New Roman" w:hAnsi="Times New Roman"/>
          <w:sz w:val="20"/>
        </w:rPr>
      </w:pPr>
      <w:r>
        <w:rPr>
          <w:rFonts w:ascii="Times New Roman" w:hAnsi="Times New Roman"/>
          <w:sz w:val="20"/>
        </w:rPr>
        <w:t xml:space="preserve">Our financial instruments consist primarily of investments in cash and cash equivalents, receivables and certain other assets and accounts payable. The carrying values of these financial instruments approximate fair value at March 31, 2010 and December 31, 2009, due to their short-term nature. </w:t>
      </w:r>
    </w:p>
    <w:p>
      <w:pPr>
        <w:pStyle w:val="TextBody"/>
        <w:spacing w:before="90" w:after="0"/>
        <w:rPr>
          <w:rFonts w:ascii="Times New Roman" w:hAnsi="Times New Roman"/>
          <w:sz w:val="20"/>
        </w:rPr>
      </w:pPr>
      <w:r>
        <w:rPr>
          <w:rFonts w:ascii="Times New Roman" w:hAnsi="Times New Roman"/>
          <w:sz w:val="20"/>
        </w:rPr>
        <w:t xml:space="preserve">Most of the debt obligations approximate their reported carrying amounts based on future payments discounted at current interest rates for similar obligations or interest rates which fluctuate with the market.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Discontinued Operations </w:t>
            </w:r>
          </w:p>
        </w:tc>
      </w:tr>
    </w:tbl>
    <w:p>
      <w:pPr>
        <w:pStyle w:val="TextBody"/>
        <w:spacing w:before="90" w:after="0"/>
        <w:rPr>
          <w:rFonts w:ascii="Times New Roman" w:hAnsi="Times New Roman"/>
          <w:sz w:val="20"/>
        </w:rPr>
      </w:pPr>
      <w:r>
        <w:rPr>
          <w:rFonts w:ascii="Times New Roman" w:hAnsi="Times New Roman"/>
          <w:sz w:val="20"/>
        </w:rPr>
        <w:t xml:space="preserve">During 2009, the Company discontinued the operations of H.M. White. The Company terminated its facility lease in Detroit, Michigan and all property and equipment held by H.M. White was sold at net book value to its former owner. Accordingly, there was no gain or loss associated with the sale of H.M. Whites assets. </w:t>
      </w:r>
    </w:p>
    <w:p>
      <w:pPr>
        <w:pStyle w:val="TextBody"/>
        <w:spacing w:before="90" w:after="0"/>
        <w:rPr>
          <w:rFonts w:ascii="Times New Roman" w:hAnsi="Times New Roman"/>
          <w:sz w:val="20"/>
        </w:rPr>
      </w:pPr>
      <w:r>
        <w:rPr>
          <w:rFonts w:ascii="Times New Roman" w:hAnsi="Times New Roman"/>
          <w:sz w:val="20"/>
        </w:rPr>
        <w:t xml:space="preserve">The results of H.M. White are presented as discontinued operations for all periods in the consolidated financial statements. The Company did not allocate general corporate interest expense to H.M. White. </w:t>
      </w:r>
    </w:p>
    <w:p>
      <w:pPr>
        <w:pStyle w:val="TextBody"/>
        <w:spacing w:before="90" w:after="0"/>
        <w:rPr>
          <w:rFonts w:ascii="Times New Roman" w:hAnsi="Times New Roman"/>
          <w:sz w:val="20"/>
        </w:rPr>
      </w:pPr>
      <w:r>
        <w:rPr>
          <w:rFonts w:ascii="Times New Roman" w:hAnsi="Times New Roman"/>
          <w:sz w:val="20"/>
        </w:rPr>
        <w:t xml:space="preserve">Operating results of discontinued operations are as follows: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629"/>
        <w:gridCol w:w="381"/>
        <w:gridCol w:w="125"/>
        <w:gridCol w:w="423"/>
        <w:gridCol w:w="120"/>
        <w:gridCol w:w="334"/>
        <w:gridCol w:w="125"/>
        <w:gridCol w:w="494"/>
        <w:gridCol w:w="124"/>
      </w:tblGrid>
      <w:tr>
        <w:trPr/>
        <w:tc>
          <w:tcPr>
            <w:tcW w:w="562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5629"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381" w:type="dxa"/>
            <w:tcBorders/>
            <w:shd w:fill="auto" w:val="clear"/>
            <w:vAlign w:val="bottom"/>
          </w:tcPr>
          <w:p>
            <w:pPr>
              <w:pStyle w:val="TableContents"/>
              <w:spacing w:before="0" w:after="283"/>
              <w:rPr/>
            </w:pPr>
            <w:r>
              <w:rPr/>
              <w:t>  </w:t>
            </w:r>
          </w:p>
        </w:tc>
        <w:tc>
          <w:tcPr>
            <w:tcW w:w="162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March 31,</w:t>
            </w:r>
          </w:p>
        </w:tc>
        <w:tc>
          <w:tcPr>
            <w:tcW w:w="124" w:type="dxa"/>
            <w:tcBorders/>
            <w:shd w:fill="auto"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54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6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4" w:type="dxa"/>
            <w:tcBorders/>
            <w:shd w:fill="auto" w:val="clear"/>
            <w:vAlign w:val="bottom"/>
          </w:tcPr>
          <w:p>
            <w:pPr>
              <w:pStyle w:val="TableContents"/>
              <w:spacing w:before="0" w:after="283"/>
              <w:rPr/>
            </w:pPr>
            <w:r>
              <w:rPr/>
              <w:t> </w:t>
            </w:r>
          </w:p>
        </w:tc>
      </w:tr>
      <w:tr>
        <w:trPr>
          <w:trHeight w:val="120" w:hRule="atLeast"/>
        </w:trPr>
        <w:tc>
          <w:tcPr>
            <w:tcW w:w="5629" w:type="dxa"/>
            <w:tcBorders/>
            <w:shd w:fill="auto" w:val="clear"/>
            <w:vAlign w:val="center"/>
          </w:tcPr>
          <w:p>
            <w:pPr>
              <w:pStyle w:val="TableContents"/>
              <w:spacing w:before="0" w:after="283"/>
              <w:rPr>
                <w:sz w:val="4"/>
                <w:szCs w:val="4"/>
              </w:rPr>
            </w:pPr>
            <w:r>
              <w:rPr>
                <w:sz w:val="4"/>
                <w:szCs w:val="4"/>
              </w:rPr>
            </w:r>
          </w:p>
        </w:tc>
        <w:tc>
          <w:tcPr>
            <w:tcW w:w="1049" w:type="dxa"/>
            <w:gridSpan w:val="4"/>
            <w:tcBorders/>
            <w:shd w:fill="auto" w:val="clear"/>
            <w:vAlign w:val="center"/>
          </w:tcPr>
          <w:p>
            <w:pPr>
              <w:pStyle w:val="TableContents"/>
              <w:spacing w:before="0" w:after="283"/>
              <w:rPr>
                <w:sz w:val="4"/>
                <w:szCs w:val="4"/>
              </w:rPr>
            </w:pPr>
            <w:r>
              <w:rPr>
                <w:sz w:val="4"/>
                <w:szCs w:val="4"/>
              </w:rPr>
            </w:r>
          </w:p>
        </w:tc>
        <w:tc>
          <w:tcPr>
            <w:tcW w:w="1077" w:type="dxa"/>
            <w:gridSpan w:val="4"/>
            <w:tcBorders/>
            <w:shd w:fill="auto" w:val="clear"/>
            <w:vAlign w:val="center"/>
          </w:tcPr>
          <w:p>
            <w:pPr>
              <w:pStyle w:val="TableContents"/>
              <w:spacing w:before="0" w:after="283"/>
              <w:rPr>
                <w:sz w:val="4"/>
                <w:szCs w:val="4"/>
              </w:rPr>
            </w:pPr>
            <w:r>
              <w:rPr>
                <w:sz w:val="4"/>
                <w:szCs w:val="4"/>
              </w:rPr>
            </w:r>
          </w:p>
        </w:tc>
      </w:tr>
      <w:tr>
        <w:trPr/>
        <w:tc>
          <w:tcPr>
            <w:tcW w:w="5629"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42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128</w:t>
            </w:r>
          </w:p>
        </w:tc>
        <w:tc>
          <w:tcPr>
            <w:tcW w:w="12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494"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1,695</w:t>
            </w:r>
          </w:p>
        </w:tc>
        <w:tc>
          <w:tcPr>
            <w:tcW w:w="124" w:type="dxa"/>
            <w:tcBorders/>
            <w:shd w:fill="CCEEFF" w:val="clear"/>
            <w:vAlign w:val="bottom"/>
          </w:tcPr>
          <w:p>
            <w:pPr>
              <w:pStyle w:val="TableContents"/>
              <w:spacing w:before="0" w:after="283"/>
              <w:rPr/>
            </w:pPr>
            <w:r>
              <w:rPr/>
              <w:t>  </w:t>
            </w:r>
          </w:p>
        </w:tc>
      </w:tr>
      <w:tr>
        <w:trPr/>
        <w:tc>
          <w:tcPr>
            <w:tcW w:w="5629"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23"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4"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629" w:type="dxa"/>
            <w:tcBorders/>
            <w:shd w:fill="auto" w:val="clear"/>
          </w:tcPr>
          <w:p>
            <w:pPr>
              <w:pStyle w:val="TableContents"/>
              <w:spacing w:before="0" w:after="283"/>
              <w:rPr>
                <w:rFonts w:ascii="Times New Roman" w:hAnsi="Times New Roman"/>
                <w:sz w:val="20"/>
              </w:rPr>
            </w:pPr>
            <w:r>
              <w:rPr>
                <w:rFonts w:ascii="Times New Roman" w:hAnsi="Times New Roman"/>
                <w:sz w:val="20"/>
              </w:rPr>
              <w:t>Loss from discontinued operations, before income taxes</w:t>
            </w:r>
          </w:p>
        </w:tc>
        <w:tc>
          <w:tcPr>
            <w:tcW w:w="3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62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w:t>
            </w:r>
          </w:p>
        </w:tc>
        <w:tc>
          <w:tcPr>
            <w:tcW w:w="38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629"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23" w:type="dxa"/>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494" w:type="dxa"/>
            <w:tcBorders>
              <w:top w:val="single" w:sz="2"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5629" w:type="dxa"/>
            <w:tcBorders/>
            <w:shd w:fill="auto" w:val="clear"/>
          </w:tcPr>
          <w:p>
            <w:pPr>
              <w:pStyle w:val="TableContents"/>
              <w:spacing w:before="0" w:after="283"/>
              <w:rPr>
                <w:rFonts w:ascii="Times New Roman" w:hAnsi="Times New Roman"/>
                <w:sz w:val="20"/>
              </w:rPr>
            </w:pPr>
            <w:r>
              <w:rPr>
                <w:rFonts w:ascii="Times New Roman" w:hAnsi="Times New Roman"/>
                <w:sz w:val="20"/>
              </w:rPr>
              <w:t>Loss from discontinued operations</w:t>
            </w:r>
          </w:p>
        </w:tc>
        <w:tc>
          <w:tcPr>
            <w:tcW w:w="38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42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(70</w:t>
            </w:r>
          </w:p>
        </w:tc>
        <w:tc>
          <w:tcPr>
            <w:tcW w:w="120"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3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494"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(218</w:t>
            </w:r>
          </w:p>
        </w:tc>
        <w:tc>
          <w:tcPr>
            <w:tcW w:w="12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r>
      <w:tr>
        <w:trPr/>
        <w:tc>
          <w:tcPr>
            <w:tcW w:w="5629"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23" w:type="dxa"/>
            <w:tcBorders>
              <w:top w:val="double" w:sz="6" w:space="0" w:color="000000"/>
            </w:tcBorders>
            <w:shd w:fill="auto" w:val="clear"/>
            <w:tcMar>
              <w:top w:w="28" w:type="dxa"/>
            </w:tcMar>
            <w:vAlign w:val="bottom"/>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494" w:type="dxa"/>
            <w:tcBorders>
              <w:top w:val="double" w:sz="6" w:space="0" w:color="000000"/>
            </w:tcBorders>
            <w:shd w:fill="auto" w:val="clear"/>
            <w:tcMar>
              <w:top w:w="28" w:type="dxa"/>
            </w:tcMar>
            <w:vAlign w:val="bottom"/>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Assets and liabilities related to discontinued operations consisted of the following: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13"/>
        <w:gridCol w:w="553"/>
        <w:gridCol w:w="168"/>
        <w:gridCol w:w="453"/>
        <w:gridCol w:w="553"/>
        <w:gridCol w:w="163"/>
        <w:gridCol w:w="652"/>
      </w:tblGrid>
      <w:tr>
        <w:trPr/>
        <w:tc>
          <w:tcPr>
            <w:tcW w:w="521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r>
      <w:tr>
        <w:trPr/>
        <w:tc>
          <w:tcPr>
            <w:tcW w:w="521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thousands</w:t>
            </w:r>
          </w:p>
        </w:tc>
        <w:tc>
          <w:tcPr>
            <w:tcW w:w="553" w:type="dxa"/>
            <w:tcBorders/>
            <w:shd w:fill="auto" w:val="clear"/>
            <w:vAlign w:val="bottom"/>
          </w:tcPr>
          <w:p>
            <w:pPr>
              <w:pStyle w:val="TableContents"/>
              <w:spacing w:before="0" w:after="283"/>
              <w:rPr/>
            </w:pPr>
            <w:r>
              <w:rPr/>
              <w:t>  </w:t>
            </w:r>
          </w:p>
        </w:tc>
        <w:tc>
          <w:tcPr>
            <w:tcW w:w="6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March 31,</w:t>
              <w:br/>
              <w:t>2010</w:t>
            </w:r>
          </w:p>
        </w:tc>
        <w:tc>
          <w:tcPr>
            <w:tcW w:w="553" w:type="dxa"/>
            <w:tcBorders/>
            <w:shd w:fill="auto" w:val="clear"/>
            <w:vAlign w:val="bottom"/>
          </w:tcPr>
          <w:p>
            <w:pPr>
              <w:pStyle w:val="TableContents"/>
              <w:spacing w:before="0" w:after="283"/>
              <w:rPr/>
            </w:pPr>
            <w:r>
              <w:rPr/>
              <w:t>  </w:t>
            </w:r>
          </w:p>
        </w:tc>
        <w:tc>
          <w:tcPr>
            <w:tcW w:w="8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December 31,</w:t>
              <w:br/>
              <w:t>2009</w:t>
            </w:r>
          </w:p>
        </w:tc>
      </w:tr>
      <w:tr>
        <w:trPr>
          <w:trHeight w:val="120" w:hRule="atLeast"/>
        </w:trPr>
        <w:tc>
          <w:tcPr>
            <w:tcW w:w="5213" w:type="dxa"/>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55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sz w:val="4"/>
                <w:szCs w:val="4"/>
              </w:rPr>
            </w:pPr>
            <w:r>
              <w:rPr>
                <w:sz w:val="4"/>
                <w:szCs w:val="4"/>
              </w:rPr>
            </w:r>
          </w:p>
        </w:tc>
        <w:tc>
          <w:tcPr>
            <w:tcW w:w="453" w:type="dxa"/>
            <w:tcBorders/>
            <w:shd w:fill="CCEEFF" w:val="clear"/>
            <w:vAlign w:val="bottom"/>
          </w:tcPr>
          <w:p>
            <w:pPr>
              <w:pStyle w:val="TableContents"/>
              <w:spacing w:before="0" w:after="283"/>
              <w:rPr>
                <w:sz w:val="4"/>
                <w:szCs w:val="4"/>
              </w:rPr>
            </w:pPr>
            <w:r>
              <w:rPr>
                <w:sz w:val="4"/>
                <w:szCs w:val="4"/>
              </w:rPr>
            </w:r>
          </w:p>
        </w:tc>
        <w:tc>
          <w:tcPr>
            <w:tcW w:w="55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5213" w:type="dxa"/>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r>
      <w:tr>
        <w:trPr/>
        <w:tc>
          <w:tcPr>
            <w:tcW w:w="5213"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55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591</w:t>
            </w:r>
          </w:p>
        </w:tc>
        <w:tc>
          <w:tcPr>
            <w:tcW w:w="55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1,356</w:t>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Inventories</w:t>
            </w:r>
          </w:p>
        </w:tc>
        <w:tc>
          <w:tcPr>
            <w:tcW w:w="55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5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r>
      <w:tr>
        <w:trPr/>
        <w:tc>
          <w:tcPr>
            <w:tcW w:w="5213"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55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55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299</w:t>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w:t>
            </w:r>
          </w:p>
        </w:tc>
        <w:tc>
          <w:tcPr>
            <w:tcW w:w="55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55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r>
      <w:tr>
        <w:trPr/>
        <w:tc>
          <w:tcPr>
            <w:tcW w:w="5213"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pPr>
            <w:r>
              <w:rPr/>
              <w:t>  </w:t>
            </w:r>
          </w:p>
        </w:tc>
        <w:tc>
          <w:tcPr>
            <w:tcW w:w="168" w:type="dxa"/>
            <w:tcBorders>
              <w:top w:val="single" w:sz="2" w:space="0" w:color="000000"/>
            </w:tcBorders>
            <w:shd w:fill="auto" w:val="clear"/>
            <w:tcMar>
              <w:top w:w="28" w:type="dxa"/>
            </w:tcMar>
            <w:vAlign w:val="bottom"/>
          </w:tcPr>
          <w:p>
            <w:pPr>
              <w:pStyle w:val="TableContents"/>
              <w:spacing w:before="0" w:after="283"/>
              <w:rPr/>
            </w:pPr>
            <w:r>
              <w:rPr/>
              <w:t> </w:t>
            </w:r>
          </w:p>
        </w:tc>
        <w:tc>
          <w:tcPr>
            <w:tcW w:w="453" w:type="dxa"/>
            <w:tcBorders>
              <w:top w:val="single" w:sz="2" w:space="0" w:color="000000"/>
            </w:tcBorders>
            <w:shd w:fill="auto" w:val="clear"/>
            <w:tcMar>
              <w:top w:w="28" w:type="dxa"/>
            </w:tcMar>
            <w:vAlign w:val="bottom"/>
          </w:tcPr>
          <w:p>
            <w:pPr>
              <w:pStyle w:val="TableContents"/>
              <w:spacing w:before="0" w:after="283"/>
              <w:rPr/>
            </w:pPr>
            <w:r>
              <w:rPr/>
              <w:t> </w:t>
            </w:r>
          </w:p>
        </w:tc>
        <w:tc>
          <w:tcPr>
            <w:tcW w:w="553" w:type="dxa"/>
            <w:tcBorders/>
            <w:shd w:fill="auto" w:val="clear"/>
            <w:vAlign w:val="bottom"/>
          </w:tcPr>
          <w:p>
            <w:pPr>
              <w:pStyle w:val="TableContents"/>
              <w:spacing w:before="0" w:after="283"/>
              <w:rPr/>
            </w:pPr>
            <w:r>
              <w:rPr/>
              <w:t>  </w:t>
            </w:r>
          </w:p>
        </w:tc>
        <w:tc>
          <w:tcPr>
            <w:tcW w:w="163" w:type="dxa"/>
            <w:tcBorders>
              <w:top w:val="single" w:sz="2" w:space="0" w:color="000000"/>
            </w:tcBorders>
            <w:shd w:fill="auto" w:val="clear"/>
            <w:tcMar>
              <w:top w:w="28" w:type="dxa"/>
            </w:tcMar>
            <w:vAlign w:val="bottom"/>
          </w:tcPr>
          <w:p>
            <w:pPr>
              <w:pStyle w:val="TableContents"/>
              <w:spacing w:before="0" w:after="283"/>
              <w:rPr/>
            </w:pPr>
            <w:r>
              <w:rPr/>
              <w:t> </w:t>
            </w:r>
          </w:p>
        </w:tc>
        <w:tc>
          <w:tcPr>
            <w:tcW w:w="652"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213"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 of discontinued operation</w:t>
            </w:r>
          </w:p>
        </w:tc>
        <w:tc>
          <w:tcPr>
            <w:tcW w:w="55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924</w:t>
            </w:r>
          </w:p>
        </w:tc>
        <w:tc>
          <w:tcPr>
            <w:tcW w:w="55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1,877</w:t>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55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5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r>
      <w:tr>
        <w:trPr/>
        <w:tc>
          <w:tcPr>
            <w:tcW w:w="5213"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pPr>
            <w:r>
              <w:rPr/>
              <w:t>  </w:t>
            </w:r>
          </w:p>
        </w:tc>
        <w:tc>
          <w:tcPr>
            <w:tcW w:w="168" w:type="dxa"/>
            <w:tcBorders>
              <w:top w:val="single" w:sz="2" w:space="0" w:color="000000"/>
            </w:tcBorders>
            <w:shd w:fill="auto" w:val="clear"/>
            <w:tcMar>
              <w:top w:w="28" w:type="dxa"/>
            </w:tcMar>
            <w:vAlign w:val="bottom"/>
          </w:tcPr>
          <w:p>
            <w:pPr>
              <w:pStyle w:val="TableContents"/>
              <w:spacing w:before="0" w:after="283"/>
              <w:rPr/>
            </w:pPr>
            <w:r>
              <w:rPr/>
              <w:t> </w:t>
            </w:r>
          </w:p>
        </w:tc>
        <w:tc>
          <w:tcPr>
            <w:tcW w:w="453" w:type="dxa"/>
            <w:tcBorders>
              <w:top w:val="single" w:sz="2" w:space="0" w:color="000000"/>
            </w:tcBorders>
            <w:shd w:fill="auto" w:val="clear"/>
            <w:tcMar>
              <w:top w:w="28" w:type="dxa"/>
            </w:tcMar>
            <w:vAlign w:val="bottom"/>
          </w:tcPr>
          <w:p>
            <w:pPr>
              <w:pStyle w:val="TableContents"/>
              <w:spacing w:before="0" w:after="283"/>
              <w:rPr/>
            </w:pPr>
            <w:r>
              <w:rPr/>
              <w:t> </w:t>
            </w:r>
          </w:p>
        </w:tc>
        <w:tc>
          <w:tcPr>
            <w:tcW w:w="553" w:type="dxa"/>
            <w:tcBorders/>
            <w:shd w:fill="auto" w:val="clear"/>
            <w:vAlign w:val="bottom"/>
          </w:tcPr>
          <w:p>
            <w:pPr>
              <w:pStyle w:val="TableContents"/>
              <w:spacing w:before="0" w:after="283"/>
              <w:rPr/>
            </w:pPr>
            <w:r>
              <w:rPr/>
              <w:t>  </w:t>
            </w:r>
          </w:p>
        </w:tc>
        <w:tc>
          <w:tcPr>
            <w:tcW w:w="163" w:type="dxa"/>
            <w:tcBorders>
              <w:top w:val="single" w:sz="2" w:space="0" w:color="000000"/>
            </w:tcBorders>
            <w:shd w:fill="auto" w:val="clear"/>
            <w:tcMar>
              <w:top w:w="28" w:type="dxa"/>
            </w:tcMar>
            <w:vAlign w:val="bottom"/>
          </w:tcPr>
          <w:p>
            <w:pPr>
              <w:pStyle w:val="TableContents"/>
              <w:spacing w:before="0" w:after="283"/>
              <w:rPr/>
            </w:pPr>
            <w:r>
              <w:rPr/>
              <w:t> </w:t>
            </w:r>
          </w:p>
        </w:tc>
        <w:tc>
          <w:tcPr>
            <w:tcW w:w="652"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213"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 of discontinued operation</w:t>
            </w:r>
          </w:p>
        </w:tc>
        <w:tc>
          <w:tcPr>
            <w:tcW w:w="55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924</w:t>
            </w:r>
          </w:p>
        </w:tc>
        <w:tc>
          <w:tcPr>
            <w:tcW w:w="55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1,934</w:t>
            </w:r>
          </w:p>
        </w:tc>
      </w:tr>
      <w:tr>
        <w:trPr/>
        <w:tc>
          <w:tcPr>
            <w:tcW w:w="5213"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pPr>
            <w:r>
              <w:rPr/>
              <w:t>  </w:t>
            </w:r>
          </w:p>
        </w:tc>
        <w:tc>
          <w:tcPr>
            <w:tcW w:w="168" w:type="dxa"/>
            <w:tcBorders>
              <w:top w:val="double" w:sz="6" w:space="0" w:color="000000"/>
            </w:tcBorders>
            <w:shd w:fill="auto" w:val="clear"/>
            <w:tcMar>
              <w:top w:w="28" w:type="dxa"/>
            </w:tcMar>
            <w:vAlign w:val="bottom"/>
          </w:tcPr>
          <w:p>
            <w:pPr>
              <w:pStyle w:val="TableContents"/>
              <w:spacing w:before="0" w:after="283"/>
              <w:rPr/>
            </w:pPr>
            <w:r>
              <w:rPr/>
              <w:t> </w:t>
            </w:r>
          </w:p>
        </w:tc>
        <w:tc>
          <w:tcPr>
            <w:tcW w:w="453" w:type="dxa"/>
            <w:tcBorders>
              <w:top w:val="double" w:sz="6" w:space="0" w:color="000000"/>
            </w:tcBorders>
            <w:shd w:fill="auto" w:val="clear"/>
            <w:tcMar>
              <w:top w:w="28" w:type="dxa"/>
            </w:tcMar>
            <w:vAlign w:val="bottom"/>
          </w:tcPr>
          <w:p>
            <w:pPr>
              <w:pStyle w:val="TableContents"/>
              <w:spacing w:before="0" w:after="283"/>
              <w:rPr/>
            </w:pPr>
            <w:r>
              <w:rPr/>
              <w:t> </w:t>
            </w:r>
          </w:p>
        </w:tc>
        <w:tc>
          <w:tcPr>
            <w:tcW w:w="553" w:type="dxa"/>
            <w:tcBorders/>
            <w:shd w:fill="auto" w:val="clear"/>
            <w:vAlign w:val="bottom"/>
          </w:tcPr>
          <w:p>
            <w:pPr>
              <w:pStyle w:val="TableContents"/>
              <w:spacing w:before="0" w:after="283"/>
              <w:rPr/>
            </w:pPr>
            <w:r>
              <w:rPr/>
              <w:t>  </w:t>
            </w:r>
          </w:p>
        </w:tc>
        <w:tc>
          <w:tcPr>
            <w:tcW w:w="163" w:type="dxa"/>
            <w:tcBorders>
              <w:top w:val="double" w:sz="6" w:space="0" w:color="000000"/>
            </w:tcBorders>
            <w:shd w:fill="auto" w:val="clear"/>
            <w:tcMar>
              <w:top w:w="28" w:type="dxa"/>
            </w:tcMar>
            <w:vAlign w:val="bottom"/>
          </w:tcPr>
          <w:p>
            <w:pPr>
              <w:pStyle w:val="TableContents"/>
              <w:spacing w:before="0" w:after="283"/>
              <w:rPr/>
            </w:pPr>
            <w:r>
              <w:rPr/>
              <w:t> </w:t>
            </w:r>
          </w:p>
        </w:tc>
        <w:tc>
          <w:tcPr>
            <w:tcW w:w="652" w:type="dxa"/>
            <w:tcBorders>
              <w:top w:val="double" w:sz="6" w:space="0" w:color="000000"/>
            </w:tcBorders>
            <w:shd w:fill="auto" w:val="clear"/>
            <w:tcMar>
              <w:top w:w="28" w:type="dxa"/>
            </w:tcMar>
            <w:vAlign w:val="bottom"/>
          </w:tcPr>
          <w:p>
            <w:pPr>
              <w:pStyle w:val="TableContents"/>
              <w:spacing w:before="0" w:after="283"/>
              <w:rPr/>
            </w:pPr>
            <w:r>
              <w:rPr/>
              <w:t> </w:t>
            </w:r>
          </w:p>
        </w:tc>
      </w:tr>
      <w:tr>
        <w:trPr>
          <w:trHeight w:val="120" w:hRule="atLeast"/>
        </w:trPr>
        <w:tc>
          <w:tcPr>
            <w:tcW w:w="5213" w:type="dxa"/>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w:t>
            </w:r>
          </w:p>
        </w:tc>
        <w:tc>
          <w:tcPr>
            <w:tcW w:w="55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sz w:val="4"/>
                <w:szCs w:val="4"/>
              </w:rPr>
            </w:pPr>
            <w:r>
              <w:rPr>
                <w:sz w:val="4"/>
                <w:szCs w:val="4"/>
              </w:rPr>
            </w:r>
          </w:p>
        </w:tc>
        <w:tc>
          <w:tcPr>
            <w:tcW w:w="453" w:type="dxa"/>
            <w:tcBorders/>
            <w:shd w:fill="CCEEFF" w:val="clear"/>
            <w:vAlign w:val="bottom"/>
          </w:tcPr>
          <w:p>
            <w:pPr>
              <w:pStyle w:val="TableContents"/>
              <w:spacing w:before="0" w:after="283"/>
              <w:rPr>
                <w:sz w:val="4"/>
                <w:szCs w:val="4"/>
              </w:rPr>
            </w:pPr>
            <w:r>
              <w:rPr>
                <w:sz w:val="4"/>
                <w:szCs w:val="4"/>
              </w:rPr>
            </w:r>
          </w:p>
        </w:tc>
        <w:tc>
          <w:tcPr>
            <w:tcW w:w="55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sz w:val="4"/>
                <w:szCs w:val="4"/>
              </w:rPr>
            </w:pPr>
            <w:r>
              <w:rPr>
                <w:sz w:val="4"/>
                <w:szCs w:val="4"/>
              </w:rPr>
            </w:r>
          </w:p>
        </w:tc>
        <w:tc>
          <w:tcPr>
            <w:tcW w:w="652" w:type="dxa"/>
            <w:tcBorders/>
            <w:shd w:fill="CCEEFF" w:val="clear"/>
            <w:vAlign w:val="bottom"/>
          </w:tcPr>
          <w:p>
            <w:pPr>
              <w:pStyle w:val="TableContents"/>
              <w:spacing w:before="0" w:after="283"/>
              <w:rPr>
                <w:sz w:val="4"/>
                <w:szCs w:val="4"/>
              </w:rPr>
            </w:pPr>
            <w:r>
              <w:rPr>
                <w:sz w:val="4"/>
                <w:szCs w:val="4"/>
              </w:rPr>
            </w:r>
          </w:p>
        </w:tc>
      </w:tr>
      <w:tr>
        <w:trPr/>
        <w:tc>
          <w:tcPr>
            <w:tcW w:w="5213"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55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55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w:t>
            </w:r>
          </w:p>
        </w:tc>
      </w:tr>
      <w:tr>
        <w:trPr/>
        <w:tc>
          <w:tcPr>
            <w:tcW w:w="5213"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55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553"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r>
      <w:tr>
        <w:trPr/>
        <w:tc>
          <w:tcPr>
            <w:tcW w:w="5213"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pPr>
            <w:r>
              <w:rPr/>
              <w:t>  </w:t>
            </w:r>
          </w:p>
        </w:tc>
        <w:tc>
          <w:tcPr>
            <w:tcW w:w="168" w:type="dxa"/>
            <w:tcBorders>
              <w:top w:val="single" w:sz="2" w:space="0" w:color="000000"/>
            </w:tcBorders>
            <w:shd w:fill="auto" w:val="clear"/>
            <w:tcMar>
              <w:top w:w="28" w:type="dxa"/>
            </w:tcMar>
            <w:vAlign w:val="bottom"/>
          </w:tcPr>
          <w:p>
            <w:pPr>
              <w:pStyle w:val="TableContents"/>
              <w:spacing w:before="0" w:after="283"/>
              <w:rPr/>
            </w:pPr>
            <w:r>
              <w:rPr/>
              <w:t> </w:t>
            </w:r>
          </w:p>
        </w:tc>
        <w:tc>
          <w:tcPr>
            <w:tcW w:w="453" w:type="dxa"/>
            <w:tcBorders>
              <w:top w:val="single" w:sz="2" w:space="0" w:color="000000"/>
            </w:tcBorders>
            <w:shd w:fill="auto" w:val="clear"/>
            <w:tcMar>
              <w:top w:w="28" w:type="dxa"/>
            </w:tcMar>
            <w:vAlign w:val="bottom"/>
          </w:tcPr>
          <w:p>
            <w:pPr>
              <w:pStyle w:val="TableContents"/>
              <w:spacing w:before="0" w:after="283"/>
              <w:rPr/>
            </w:pPr>
            <w:r>
              <w:rPr/>
              <w:t> </w:t>
            </w:r>
          </w:p>
        </w:tc>
        <w:tc>
          <w:tcPr>
            <w:tcW w:w="553" w:type="dxa"/>
            <w:tcBorders/>
            <w:shd w:fill="auto" w:val="clear"/>
            <w:vAlign w:val="bottom"/>
          </w:tcPr>
          <w:p>
            <w:pPr>
              <w:pStyle w:val="TableContents"/>
              <w:spacing w:before="0" w:after="283"/>
              <w:rPr/>
            </w:pPr>
            <w:r>
              <w:rPr/>
              <w:t>  </w:t>
            </w:r>
          </w:p>
        </w:tc>
        <w:tc>
          <w:tcPr>
            <w:tcW w:w="163" w:type="dxa"/>
            <w:tcBorders>
              <w:top w:val="single" w:sz="2" w:space="0" w:color="000000"/>
            </w:tcBorders>
            <w:shd w:fill="auto" w:val="clear"/>
            <w:tcMar>
              <w:top w:w="28" w:type="dxa"/>
            </w:tcMar>
            <w:vAlign w:val="bottom"/>
          </w:tcPr>
          <w:p>
            <w:pPr>
              <w:pStyle w:val="TableContents"/>
              <w:spacing w:before="0" w:after="283"/>
              <w:rPr/>
            </w:pPr>
            <w:r>
              <w:rPr/>
              <w:t> </w:t>
            </w:r>
          </w:p>
        </w:tc>
        <w:tc>
          <w:tcPr>
            <w:tcW w:w="652"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213"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 of discontinued operation</w:t>
            </w:r>
          </w:p>
        </w:tc>
        <w:tc>
          <w:tcPr>
            <w:tcW w:w="55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w:t>
            </w:r>
          </w:p>
        </w:tc>
        <w:tc>
          <w:tcPr>
            <w:tcW w:w="553"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w:t>
            </w:r>
          </w:p>
        </w:tc>
      </w:tr>
      <w:tr>
        <w:trPr/>
        <w:tc>
          <w:tcPr>
            <w:tcW w:w="5213"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pPr>
            <w:r>
              <w:rPr/>
              <w:t>  </w:t>
            </w:r>
          </w:p>
        </w:tc>
        <w:tc>
          <w:tcPr>
            <w:tcW w:w="168" w:type="dxa"/>
            <w:tcBorders>
              <w:top w:val="double" w:sz="6" w:space="0" w:color="000000"/>
            </w:tcBorders>
            <w:shd w:fill="auto" w:val="clear"/>
            <w:tcMar>
              <w:top w:w="28" w:type="dxa"/>
            </w:tcMar>
            <w:vAlign w:val="bottom"/>
          </w:tcPr>
          <w:p>
            <w:pPr>
              <w:pStyle w:val="TableContents"/>
              <w:spacing w:before="0" w:after="283"/>
              <w:rPr/>
            </w:pPr>
            <w:r>
              <w:rPr/>
              <w:t> </w:t>
            </w:r>
          </w:p>
        </w:tc>
        <w:tc>
          <w:tcPr>
            <w:tcW w:w="453" w:type="dxa"/>
            <w:tcBorders>
              <w:top w:val="double" w:sz="6" w:space="0" w:color="000000"/>
            </w:tcBorders>
            <w:shd w:fill="auto" w:val="clear"/>
            <w:tcMar>
              <w:top w:w="28" w:type="dxa"/>
            </w:tcMar>
            <w:vAlign w:val="bottom"/>
          </w:tcPr>
          <w:p>
            <w:pPr>
              <w:pStyle w:val="TableContents"/>
              <w:spacing w:before="0" w:after="283"/>
              <w:rPr/>
            </w:pPr>
            <w:r>
              <w:rPr/>
              <w:t> </w:t>
            </w:r>
          </w:p>
        </w:tc>
        <w:tc>
          <w:tcPr>
            <w:tcW w:w="553" w:type="dxa"/>
            <w:tcBorders/>
            <w:shd w:fill="auto" w:val="clear"/>
            <w:vAlign w:val="bottom"/>
          </w:tcPr>
          <w:p>
            <w:pPr>
              <w:pStyle w:val="TableContents"/>
              <w:spacing w:before="0" w:after="283"/>
              <w:rPr/>
            </w:pPr>
            <w:r>
              <w:rPr/>
              <w:t>  </w:t>
            </w:r>
          </w:p>
        </w:tc>
        <w:tc>
          <w:tcPr>
            <w:tcW w:w="163" w:type="dxa"/>
            <w:tcBorders>
              <w:top w:val="double" w:sz="6" w:space="0" w:color="000000"/>
            </w:tcBorders>
            <w:shd w:fill="auto" w:val="clear"/>
            <w:tcMar>
              <w:top w:w="28" w:type="dxa"/>
            </w:tcMar>
            <w:vAlign w:val="bottom"/>
          </w:tcPr>
          <w:p>
            <w:pPr>
              <w:pStyle w:val="TableContents"/>
              <w:spacing w:before="0" w:after="283"/>
              <w:rPr/>
            </w:pPr>
            <w:r>
              <w:rPr/>
              <w:t> </w:t>
            </w:r>
          </w:p>
        </w:tc>
        <w:tc>
          <w:tcPr>
            <w:tcW w:w="652"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NOTES TO THE CONSOLIDATED FINANCIAL STATEMENTS </w:t>
      </w:r>
    </w:p>
    <w:p>
      <w:pPr>
        <w:pStyle w:val="TextBody"/>
        <w:spacing w:before="0" w:after="0"/>
        <w:jc w:val="center"/>
        <w:rPr>
          <w:rFonts w:ascii="Times New Roman" w:hAnsi="Times New Roman"/>
          <w:sz w:val="20"/>
          <w:u w:val="single"/>
        </w:rPr>
      </w:pPr>
      <w:r>
        <w:rPr>
          <w:rFonts w:ascii="Times New Roman" w:hAnsi="Times New Roman"/>
          <w:sz w:val="20"/>
          <w:u w:val="single"/>
        </w:rPr>
        <w:t xml:space="preserve">(unaudited)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16.</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Legal proceedings </w:t>
            </w:r>
          </w:p>
        </w:tc>
      </w:tr>
    </w:tbl>
    <w:p>
      <w:pPr>
        <w:pStyle w:val="TextBody"/>
        <w:spacing w:before="90" w:after="0"/>
        <w:rPr>
          <w:rFonts w:ascii="Times New Roman" w:hAnsi="Times New Roman"/>
          <w:sz w:val="20"/>
        </w:rPr>
      </w:pPr>
      <w:r>
        <w:rPr>
          <w:rFonts w:ascii="Times New Roman" w:hAnsi="Times New Roman"/>
          <w:sz w:val="20"/>
        </w:rPr>
        <w:t xml:space="preserve">A lawsuit was filed on September 10, 2009 in Marion County Superior Court, State of Indiana. A wrongful death claim has been made by the estate of Terry David Walk for an accident that occurred in March 2008 at the worksite of a customer of the Company relating to a baghouse system. The defendants include CECO and its subsidiaries, The Kirk &amp; Blum Manufacturing Company, kbd/Technic, Inc., and CECO Abatement Systems, Inc. The complaint contains causes of action for negligence and a cause of action for breach of implied warranties, and the complainant is asking for unspecified compensatory damages and costs. The Companys insurance carriers have agreed to defend the claims, pursuant to reservation of rights letters, and have retained counsel to defend the Company. We record provisions in the consolidated financial statements for pending litigation when we determine that an unfavorable outcome is probable and the amount of the loss can be reasonably estimated. However, at this time the Company cannot estimate any potential final range of loss resulting from this litigation as it is still in discovery and accordingly, we have not provided any amounts in the consolidated financial statements for unfavorable outcomes, if any. At this time, we believe that the claims are without merit and we intend to vigorously defend this suit. </w:t>
      </w:r>
    </w:p>
    <w:p>
      <w:pPr>
        <w:pStyle w:val="TextBody"/>
        <w:spacing w:before="90" w:after="0"/>
        <w:rPr>
          <w:rFonts w:ascii="Times New Roman" w:hAnsi="Times New Roman"/>
          <w:sz w:val="20"/>
        </w:rPr>
      </w:pPr>
      <w:r>
        <w:rPr>
          <w:rFonts w:ascii="Times New Roman" w:hAnsi="Times New Roman"/>
          <w:sz w:val="20"/>
        </w:rPr>
        <w:t xml:space="preserve">There are no other material pending legal proceedings to which the Company or any of our subsidiaries is a party or to which any of our properties is subject.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180" w:after="0"/>
        <w:rPr>
          <w:rFonts w:ascii="Times New Roman" w:hAnsi="Times New Roman"/>
          <w:b/>
          <w:sz w:val="20"/>
        </w:rPr>
      </w:pPr>
      <w:bookmarkStart w:id="7" w:name="tx70520_5"/>
      <w:bookmarkEnd w:id="7"/>
      <w:r>
        <w:rPr>
          <w:rFonts w:ascii="Times New Roman" w:hAnsi="Times New Roman"/>
          <w:b/>
          <w:sz w:val="20"/>
        </w:rPr>
        <w:t xml:space="preserve">ITEM 2. Managements Discussion and Analysis of Financial Condition and Results of Operations </w:t>
      </w:r>
    </w:p>
    <w:p>
      <w:pPr>
        <w:pStyle w:val="TextBody"/>
        <w:spacing w:before="90" w:after="0"/>
        <w:rPr>
          <w:rFonts w:ascii="Times New Roman" w:hAnsi="Times New Roman"/>
          <w:sz w:val="20"/>
        </w:rPr>
      </w:pPr>
      <w:r>
        <w:rPr>
          <w:rFonts w:ascii="Times New Roman" w:hAnsi="Times New Roman"/>
          <w:sz w:val="20"/>
        </w:rPr>
        <w:t xml:space="preserve">The Companys consolidated statements of operations for the three-month periods ended March 31, 2010 and 2009 reflect the operations of the Company consolidated with the operations of its subsidiaries. </w:t>
      </w:r>
    </w:p>
    <w:p>
      <w:pPr>
        <w:pStyle w:val="TextBody"/>
        <w:spacing w:before="180" w:after="0"/>
        <w:rPr>
          <w:rFonts w:ascii="Times New Roman" w:hAnsi="Times New Roman"/>
          <w:sz w:val="20"/>
        </w:rPr>
      </w:pPr>
      <w:r>
        <w:rPr>
          <w:rFonts w:ascii="Times New Roman" w:hAnsi="Times New Roman"/>
          <w:sz w:val="20"/>
        </w:rPr>
        <w:t xml:space="preserve">We are one of the leading providers of air-pollution control products and services. Our revenues are generated by our services of engineering and designing as well as building equipment, and installing systems that capture, clean and destroy airborne contaminants from industrial facilities and equipment that controls emissions from such facilities. We have a diversified base of more than 3,000 active customers among a myriad of industries including aerospace, brick, cement, ceramics, metalworking, ethanol, printing, paper, food, foundry, power, refining, mining, metal plating, woodworking, chemicals, tobacco, glass, automotive, and pharmaceuticals. Therefore, our business is not concentrated in a single industry or customer. </w:t>
      </w:r>
    </w:p>
    <w:p>
      <w:pPr>
        <w:pStyle w:val="TextBody"/>
        <w:spacing w:before="180" w:after="0"/>
        <w:rPr>
          <w:rFonts w:ascii="Times New Roman" w:hAnsi="Times New Roman"/>
          <w:sz w:val="20"/>
        </w:rPr>
      </w:pPr>
      <w:r>
        <w:rPr>
          <w:rFonts w:ascii="Times New Roman" w:hAnsi="Times New Roman"/>
          <w:sz w:val="20"/>
        </w:rPr>
        <w:t xml:space="preserve">On February 15, 2010, we appointed Jeffrey Lang as our new Chief Executive Officer. Mr. Lang has more than thirty years of executive operating management experience including Executive Vice President, Chief Operating Officer at McJunkin Red Man Corp. and twenty five years at Ingersol Rand including leading their Industrial Air Solutions sales, service and operations for North America. </w:t>
      </w:r>
    </w:p>
    <w:p>
      <w:pPr>
        <w:pStyle w:val="TextBody"/>
        <w:spacing w:before="180" w:after="0"/>
        <w:rPr>
          <w:rFonts w:ascii="Times New Roman" w:hAnsi="Times New Roman"/>
          <w:sz w:val="20"/>
        </w:rPr>
      </w:pPr>
      <w:r>
        <w:rPr>
          <w:rFonts w:ascii="Times New Roman" w:hAnsi="Times New Roman"/>
          <w:sz w:val="20"/>
        </w:rPr>
        <w:t xml:space="preserve">Management has been closely monitoring the current economic conditions especially as some of our customers have announced that they are facing financial distress which may adversely affect our revenues and accounts receivable. In a weak economy customers tend to lengthen the time between inquiry and order or may defer purchasing our products and services until the economy recovers. </w:t>
      </w:r>
    </w:p>
    <w:p>
      <w:pPr>
        <w:pStyle w:val="TextBody"/>
        <w:spacing w:before="180" w:after="0"/>
        <w:rPr>
          <w:rFonts w:ascii="Times New Roman" w:hAnsi="Times New Roman"/>
          <w:sz w:val="20"/>
        </w:rPr>
      </w:pPr>
      <w:r>
        <w:rPr>
          <w:rFonts w:ascii="Times New Roman" w:hAnsi="Times New Roman"/>
          <w:sz w:val="20"/>
        </w:rPr>
        <w:t xml:space="preserve">In light of this reduction in demand and the new management expertise of Jeff Lang, we have focused on reducing costs throughout the company, including plant rationalizations and reductions in overhead and general and administrative expenses. </w:t>
      </w:r>
    </w:p>
    <w:p>
      <w:pPr>
        <w:pStyle w:val="TextBody"/>
        <w:spacing w:before="270" w:after="0"/>
        <w:rPr>
          <w:rFonts w:ascii="Times New Roman" w:hAnsi="Times New Roman"/>
          <w:i/>
          <w:sz w:val="20"/>
        </w:rPr>
      </w:pPr>
      <w:r>
        <w:rPr>
          <w:rFonts w:ascii="Times New Roman" w:hAnsi="Times New Roman"/>
          <w:i/>
          <w:sz w:val="20"/>
        </w:rPr>
        <w:t xml:space="preserve">Operations Overview </w:t>
      </w:r>
    </w:p>
    <w:p>
      <w:pPr>
        <w:pStyle w:val="TextBody"/>
        <w:spacing w:before="90" w:after="0"/>
        <w:rPr>
          <w:rFonts w:ascii="Times New Roman" w:hAnsi="Times New Roman"/>
          <w:sz w:val="20"/>
        </w:rPr>
      </w:pPr>
      <w:r>
        <w:rPr>
          <w:rFonts w:ascii="Times New Roman" w:hAnsi="Times New Roman"/>
          <w:sz w:val="20"/>
        </w:rPr>
        <w:t xml:space="preserve">Our contracts are obtained either through competitive bidding or as a result of negotiations with our customers. Contract terms offered by us are generally dependent on the complexity and risk of the project as well as the resources that will be required to complete the project. For example, a contract that can be performed primarily by subcontractors and that does not require us to use our fabrication and assembly facilities can be quoted at a lower gross margin than a more typical contract that will require additional factory overhead and administrative expenses. Our focus is on increasing our operating margins as well as our gross margin percentage which translates into higher net income. </w:t>
      </w:r>
    </w:p>
    <w:p>
      <w:pPr>
        <w:pStyle w:val="TextBody"/>
        <w:spacing w:before="270" w:after="0"/>
        <w:rPr>
          <w:rFonts w:ascii="Times New Roman" w:hAnsi="Times New Roman"/>
          <w:i/>
          <w:sz w:val="20"/>
        </w:rPr>
      </w:pPr>
      <w:r>
        <w:rPr>
          <w:rFonts w:ascii="Times New Roman" w:hAnsi="Times New Roman"/>
          <w:i/>
          <w:sz w:val="20"/>
        </w:rPr>
        <w:t xml:space="preserve">How We Manage our Business </w:t>
      </w:r>
    </w:p>
    <w:p>
      <w:pPr>
        <w:pStyle w:val="TextBody"/>
        <w:spacing w:before="90" w:after="0"/>
        <w:rPr>
          <w:rFonts w:ascii="Times New Roman" w:hAnsi="Times New Roman"/>
          <w:sz w:val="20"/>
        </w:rPr>
      </w:pPr>
      <w:r>
        <w:rPr>
          <w:rFonts w:ascii="Times New Roman" w:hAnsi="Times New Roman"/>
          <w:sz w:val="20"/>
        </w:rPr>
        <w:t xml:space="preserve">We operate under a hub and spoke business model in which executive management, finance, administrative and marketing staff serves as the hub while the sales channels serve as spokes. We use this model throughout our operations. This has provided us with certain efficiencies over a more decentralized model. </w:t>
      </w:r>
    </w:p>
    <w:p>
      <w:pPr>
        <w:pStyle w:val="TextBody"/>
        <w:spacing w:before="180" w:after="0"/>
        <w:rPr>
          <w:rFonts w:ascii="Times New Roman" w:hAnsi="Times New Roman"/>
          <w:sz w:val="20"/>
        </w:rPr>
      </w:pPr>
      <w:r>
        <w:rPr>
          <w:rFonts w:ascii="Times New Roman" w:hAnsi="Times New Roman"/>
          <w:sz w:val="20"/>
        </w:rPr>
        <w:t xml:space="preserve">Although we discuss four principal product lines, our operating units function as internal customers and suppliers of each others products and services and as such, products and services are intermingled in one major project. As a result, it is not reasonably possible to segregate revenues to external customers, operating profits or identifiable assets by product line. </w:t>
      </w:r>
    </w:p>
    <w:p>
      <w:pPr>
        <w:pStyle w:val="TextBody"/>
        <w:spacing w:before="180" w:after="0"/>
        <w:rPr>
          <w:rFonts w:ascii="Times New Roman" w:hAnsi="Times New Roman"/>
          <w:sz w:val="20"/>
        </w:rPr>
      </w:pPr>
      <w:r>
        <w:rPr>
          <w:rFonts w:ascii="Times New Roman" w:hAnsi="Times New Roman"/>
          <w:sz w:val="20"/>
        </w:rPr>
        <w:t xml:space="preserve">During 2009, the Company discontinued the operations of its subsidiary, H.M. White, Inc. The Company terminated its facility lease in Detroit, Michigan and all property and equipment held by H.M. White was sold at net book value to its former owner. </w:t>
      </w:r>
    </w:p>
    <w:p>
      <w:pPr>
        <w:pStyle w:val="TextBody"/>
        <w:spacing w:before="180" w:after="0"/>
        <w:rPr>
          <w:rFonts w:ascii="Times New Roman" w:hAnsi="Times New Roman"/>
          <w:sz w:val="20"/>
        </w:rPr>
      </w:pPr>
      <w:r>
        <w:rPr>
          <w:rFonts w:ascii="Times New Roman" w:hAnsi="Times New Roman"/>
          <w:sz w:val="20"/>
        </w:rPr>
        <w:t xml:space="preserve">The results of H.M. White are presented as discontinued operations for the periods presented. </w:t>
      </w:r>
    </w:p>
    <w:p>
      <w:pPr>
        <w:pStyle w:val="TextBody"/>
        <w:spacing w:before="270" w:after="0"/>
        <w:rPr>
          <w:rFonts w:ascii="Times New Roman" w:hAnsi="Times New Roman"/>
          <w:b/>
          <w:sz w:val="20"/>
        </w:rPr>
      </w:pPr>
      <w:r>
        <w:rPr>
          <w:rFonts w:ascii="Times New Roman" w:hAnsi="Times New Roman"/>
          <w:b/>
          <w:sz w:val="20"/>
        </w:rPr>
        <w:t xml:space="preserve">Results of operations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091"/>
        <w:gridCol w:w="664"/>
        <w:gridCol w:w="212"/>
        <w:gridCol w:w="651"/>
        <w:gridCol w:w="391"/>
        <w:gridCol w:w="647"/>
        <w:gridCol w:w="212"/>
        <w:gridCol w:w="652"/>
        <w:gridCol w:w="235"/>
      </w:tblGrid>
      <w:tr>
        <w:trPr/>
        <w:tc>
          <w:tcPr>
            <w:tcW w:w="409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4091"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rPr/>
            </w:pPr>
            <w:r>
              <w:rPr/>
              <w:t>  </w:t>
            </w:r>
          </w:p>
        </w:tc>
        <w:tc>
          <w:tcPr>
            <w:tcW w:w="276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 March 31,</w:t>
            </w:r>
          </w:p>
        </w:tc>
        <w:tc>
          <w:tcPr>
            <w:tcW w:w="235" w:type="dxa"/>
            <w:tcBorders/>
            <w:shd w:fill="auto" w:val="clear"/>
            <w:vAlign w:val="bottom"/>
          </w:tcPr>
          <w:p>
            <w:pPr>
              <w:pStyle w:val="TableContents"/>
              <w:spacing w:before="0" w:after="283"/>
              <w:rPr/>
            </w:pPr>
            <w:r>
              <w:rPr/>
              <w:t> </w:t>
            </w:r>
          </w:p>
        </w:tc>
      </w:tr>
      <w:tr>
        <w:trPr/>
        <w:tc>
          <w:tcPr>
            <w:tcW w:w="409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millions)</w:t>
            </w:r>
          </w:p>
        </w:tc>
        <w:tc>
          <w:tcPr>
            <w:tcW w:w="664" w:type="dxa"/>
            <w:tcBorders/>
            <w:shd w:fill="auto" w:val="clear"/>
            <w:vAlign w:val="bottom"/>
          </w:tcPr>
          <w:p>
            <w:pPr>
              <w:pStyle w:val="TableContents"/>
              <w:spacing w:before="0" w:after="283"/>
              <w:rPr/>
            </w:pPr>
            <w:r>
              <w:rPr/>
              <w:t>  </w:t>
            </w:r>
          </w:p>
        </w:tc>
        <w:tc>
          <w:tcPr>
            <w:tcW w:w="8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391"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rPr/>
            </w:pPr>
            <w:r>
              <w:rPr/>
              <w:t> </w:t>
            </w:r>
          </w:p>
        </w:tc>
        <w:tc>
          <w:tcPr>
            <w:tcW w:w="8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235" w:type="dxa"/>
            <w:tcBorders/>
            <w:shd w:fill="auto" w:val="clear"/>
            <w:vAlign w:val="bottom"/>
          </w:tcPr>
          <w:p>
            <w:pPr>
              <w:pStyle w:val="TableContents"/>
              <w:spacing w:before="0" w:after="283"/>
              <w:rPr/>
            </w:pPr>
            <w:r>
              <w:rPr/>
              <w:t> </w:t>
            </w:r>
          </w:p>
        </w:tc>
      </w:tr>
      <w:tr>
        <w:trPr/>
        <w:tc>
          <w:tcPr>
            <w:tcW w:w="4091"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 from continuing operations</w:t>
            </w:r>
          </w:p>
        </w:tc>
        <w:tc>
          <w:tcPr>
            <w:tcW w:w="66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391"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w:t>
            </w:r>
          </w:p>
        </w:tc>
        <w:tc>
          <w:tcPr>
            <w:tcW w:w="235" w:type="dxa"/>
            <w:tcBorders/>
            <w:shd w:fill="CCEEFF" w:val="clear"/>
            <w:vAlign w:val="bottom"/>
          </w:tcPr>
          <w:p>
            <w:pPr>
              <w:pStyle w:val="TableContents"/>
              <w:spacing w:before="0" w:after="283"/>
              <w:rPr/>
            </w:pPr>
            <w:r>
              <w:rPr/>
              <w:t>  </w:t>
            </w:r>
          </w:p>
        </w:tc>
      </w:tr>
      <w:tr>
        <w:trPr/>
        <w:tc>
          <w:tcPr>
            <w:tcW w:w="4091"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 from continuing operations</w:t>
            </w:r>
          </w:p>
        </w:tc>
        <w:tc>
          <w:tcPr>
            <w:tcW w:w="66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w:t>
            </w:r>
          </w:p>
        </w:tc>
        <w:tc>
          <w:tcPr>
            <w:tcW w:w="391"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29.4</w:t>
            </w:r>
          </w:p>
        </w:tc>
        <w:tc>
          <w:tcPr>
            <w:tcW w:w="235" w:type="dxa"/>
            <w:tcBorders/>
            <w:shd w:fill="auto" w:val="clear"/>
            <w:vAlign w:val="bottom"/>
          </w:tcPr>
          <w:p>
            <w:pPr>
              <w:pStyle w:val="TableContents"/>
              <w:spacing w:before="0" w:after="283"/>
              <w:rPr/>
            </w:pPr>
            <w:r>
              <w:rPr/>
              <w:t>  </w:t>
            </w:r>
          </w:p>
        </w:tc>
      </w:tr>
      <w:tr>
        <w:trPr/>
        <w:tc>
          <w:tcPr>
            <w:tcW w:w="4091" w:type="dxa"/>
            <w:tcBorders/>
            <w:shd w:fill="auto" w:val="clear"/>
            <w:vAlign w:val="bottom"/>
          </w:tcPr>
          <w:p>
            <w:pPr>
              <w:pStyle w:val="TableContents"/>
              <w:spacing w:before="0" w:after="283"/>
              <w:rPr>
                <w:sz w:val="4"/>
                <w:szCs w:val="4"/>
              </w:rPr>
            </w:pPr>
            <w:r>
              <w:rPr>
                <w:sz w:val="4"/>
                <w:szCs w:val="4"/>
              </w:rPr>
            </w:r>
          </w:p>
        </w:tc>
        <w:tc>
          <w:tcPr>
            <w:tcW w:w="664" w:type="dxa"/>
            <w:tcBorders/>
            <w:shd w:fill="auto" w:val="clear"/>
            <w:vAlign w:val="bottom"/>
          </w:tcPr>
          <w:p>
            <w:pPr>
              <w:pStyle w:val="TableContents"/>
              <w:spacing w:before="0" w:after="283"/>
              <w:rPr/>
            </w:pPr>
            <w:r>
              <w:rPr/>
              <w:t>  </w:t>
            </w:r>
          </w:p>
        </w:tc>
        <w:tc>
          <w:tcPr>
            <w:tcW w:w="212" w:type="dxa"/>
            <w:tcBorders>
              <w:top w:val="single" w:sz="2" w:space="0" w:color="000000"/>
            </w:tcBorders>
            <w:shd w:fill="auto" w:val="clear"/>
            <w:tcMar>
              <w:top w:w="28" w:type="dxa"/>
            </w:tcMar>
            <w:vAlign w:val="bottom"/>
          </w:tcPr>
          <w:p>
            <w:pPr>
              <w:pStyle w:val="TableContents"/>
              <w:spacing w:before="0" w:after="283"/>
              <w:rPr/>
            </w:pPr>
            <w:r>
              <w:rPr/>
              <w:t> </w:t>
            </w:r>
          </w:p>
        </w:tc>
        <w:tc>
          <w:tcPr>
            <w:tcW w:w="651" w:type="dxa"/>
            <w:tcBorders>
              <w:top w:val="single" w:sz="2" w:space="0" w:color="000000"/>
            </w:tcBorders>
            <w:shd w:fill="auto" w:val="clear"/>
            <w:tcMar>
              <w:top w:w="28" w:type="dxa"/>
            </w:tcMar>
            <w:vAlign w:val="bottom"/>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647" w:type="dxa"/>
            <w:tcBorders/>
            <w:shd w:fill="auto" w:val="clear"/>
            <w:vAlign w:val="bottom"/>
          </w:tcPr>
          <w:p>
            <w:pPr>
              <w:pStyle w:val="TableContents"/>
              <w:spacing w:before="0" w:after="283"/>
              <w:rPr/>
            </w:pPr>
            <w:r>
              <w:rPr/>
              <w:t> </w:t>
            </w:r>
          </w:p>
        </w:tc>
        <w:tc>
          <w:tcPr>
            <w:tcW w:w="212" w:type="dxa"/>
            <w:tcBorders>
              <w:top w:val="single" w:sz="2" w:space="0" w:color="000000"/>
            </w:tcBorders>
            <w:shd w:fill="auto" w:val="clear"/>
            <w:tcMar>
              <w:top w:w="28" w:type="dxa"/>
            </w:tcMar>
            <w:vAlign w:val="bottom"/>
          </w:tcPr>
          <w:p>
            <w:pPr>
              <w:pStyle w:val="TableContents"/>
              <w:spacing w:before="0" w:after="283"/>
              <w:rPr/>
            </w:pPr>
            <w:r>
              <w:rPr/>
              <w:t> </w:t>
            </w:r>
          </w:p>
        </w:tc>
        <w:tc>
          <w:tcPr>
            <w:tcW w:w="652" w:type="dxa"/>
            <w:tcBorders>
              <w:top w:val="single" w:sz="2" w:space="0" w:color="000000"/>
            </w:tcBorders>
            <w:shd w:fill="auto" w:val="clear"/>
            <w:tcMar>
              <w:top w:w="28" w:type="dxa"/>
            </w:tcMar>
            <w:vAlign w:val="bottom"/>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r>
      <w:tr>
        <w:trPr/>
        <w:tc>
          <w:tcPr>
            <w:tcW w:w="4091"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 from continuing operations</w:t>
            </w:r>
          </w:p>
        </w:tc>
        <w:tc>
          <w:tcPr>
            <w:tcW w:w="66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391"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235" w:type="dxa"/>
            <w:tcBorders/>
            <w:shd w:fill="CCEEFF" w:val="clear"/>
            <w:vAlign w:val="bottom"/>
          </w:tcPr>
          <w:p>
            <w:pPr>
              <w:pStyle w:val="TableContents"/>
              <w:spacing w:before="0" w:after="283"/>
              <w:rPr/>
            </w:pPr>
            <w:r>
              <w:rPr/>
              <w:t>  </w:t>
            </w:r>
          </w:p>
        </w:tc>
      </w:tr>
      <w:tr>
        <w:trPr/>
        <w:tc>
          <w:tcPr>
            <w:tcW w:w="4091"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66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i/>
                <w:sz w:val="20"/>
              </w:rPr>
            </w:pPr>
            <w:r>
              <w:rPr>
                <w:rFonts w:ascii="Times New Roman" w:hAnsi="Times New Roman"/>
                <w:i/>
                <w:sz w:val="20"/>
              </w:rPr>
              <w:t>22.9</w:t>
            </w:r>
          </w:p>
        </w:tc>
        <w:tc>
          <w:tcPr>
            <w:tcW w:w="391"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 </w:t>
            </w:r>
          </w:p>
        </w:tc>
        <w:tc>
          <w:tcPr>
            <w:tcW w:w="64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i/>
                <w:sz w:val="20"/>
              </w:rPr>
            </w:pPr>
            <w:r>
              <w:rPr>
                <w:rFonts w:ascii="Times New Roman" w:hAnsi="Times New Roman"/>
                <w:i/>
                <w:sz w:val="20"/>
              </w:rPr>
              <w:t>22.8</w:t>
            </w:r>
          </w:p>
        </w:tc>
        <w:tc>
          <w:tcPr>
            <w:tcW w:w="235"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 </w:t>
            </w:r>
          </w:p>
        </w:tc>
      </w:tr>
      <w:tr>
        <w:trPr/>
        <w:tc>
          <w:tcPr>
            <w:tcW w:w="4091" w:type="dxa"/>
            <w:tcBorders/>
            <w:shd w:fill="CCEEFF" w:val="clear"/>
          </w:tcPr>
          <w:p>
            <w:pPr>
              <w:pStyle w:val="TableContents"/>
              <w:spacing w:before="0" w:after="283"/>
              <w:rPr>
                <w:rFonts w:ascii="Times New Roman" w:hAnsi="Times New Roman"/>
                <w:sz w:val="20"/>
              </w:rPr>
            </w:pPr>
            <w:r>
              <w:rPr>
                <w:rFonts w:ascii="Times New Roman" w:hAnsi="Times New Roman"/>
                <w:sz w:val="20"/>
              </w:rPr>
              <w:t>Selling and administrative expenses from continuing operations</w:t>
            </w:r>
          </w:p>
        </w:tc>
        <w:tc>
          <w:tcPr>
            <w:tcW w:w="66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391"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35" w:type="dxa"/>
            <w:tcBorders/>
            <w:shd w:fill="CCEEFF" w:val="clear"/>
            <w:vAlign w:val="bottom"/>
          </w:tcPr>
          <w:p>
            <w:pPr>
              <w:pStyle w:val="TableContents"/>
              <w:spacing w:before="0" w:after="283"/>
              <w:rPr/>
            </w:pPr>
            <w:r>
              <w:rPr/>
              <w:t>  </w:t>
            </w:r>
          </w:p>
        </w:tc>
      </w:tr>
      <w:tr>
        <w:trPr/>
        <w:tc>
          <w:tcPr>
            <w:tcW w:w="4091"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66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i/>
                <w:sz w:val="20"/>
              </w:rPr>
            </w:pPr>
            <w:r>
              <w:rPr>
                <w:rFonts w:ascii="Times New Roman" w:hAnsi="Times New Roman"/>
                <w:i/>
                <w:sz w:val="20"/>
              </w:rPr>
              <w:t>20.6</w:t>
            </w:r>
          </w:p>
        </w:tc>
        <w:tc>
          <w:tcPr>
            <w:tcW w:w="391"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 </w:t>
            </w:r>
          </w:p>
        </w:tc>
        <w:tc>
          <w:tcPr>
            <w:tcW w:w="64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i/>
                <w:sz w:val="20"/>
              </w:rPr>
            </w:pPr>
            <w:r>
              <w:rPr>
                <w:rFonts w:ascii="Times New Roman" w:hAnsi="Times New Roman"/>
                <w:i/>
                <w:sz w:val="20"/>
              </w:rPr>
              <w:t>18.9</w:t>
            </w:r>
          </w:p>
        </w:tc>
        <w:tc>
          <w:tcPr>
            <w:tcW w:w="235"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 </w:t>
            </w:r>
          </w:p>
        </w:tc>
      </w:tr>
      <w:tr>
        <w:trPr/>
        <w:tc>
          <w:tcPr>
            <w:tcW w:w="4091"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income from continuing operations</w:t>
            </w:r>
          </w:p>
        </w:tc>
        <w:tc>
          <w:tcPr>
            <w:tcW w:w="664"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w:t>
            </w:r>
          </w:p>
        </w:tc>
        <w:tc>
          <w:tcPr>
            <w:tcW w:w="391"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235" w:type="dxa"/>
            <w:tcBorders/>
            <w:shd w:fill="CCEEFF" w:val="clear"/>
            <w:vAlign w:val="bottom"/>
          </w:tcPr>
          <w:p>
            <w:pPr>
              <w:pStyle w:val="TableContents"/>
              <w:spacing w:before="0" w:after="283"/>
              <w:rPr/>
            </w:pPr>
            <w:r>
              <w:rPr/>
              <w:t>  </w:t>
            </w:r>
          </w:p>
        </w:tc>
      </w:tr>
      <w:tr>
        <w:trPr/>
        <w:tc>
          <w:tcPr>
            <w:tcW w:w="4091" w:type="dxa"/>
            <w:tcBorders/>
            <w:shd w:fill="auto" w:val="clear"/>
          </w:tcPr>
          <w:p>
            <w:pPr>
              <w:pStyle w:val="TableContents"/>
              <w:spacing w:before="0" w:after="283"/>
              <w:rPr>
                <w:rFonts w:ascii="Times New Roman" w:hAnsi="Times New Roman"/>
                <w:sz w:val="20"/>
              </w:rPr>
            </w:pPr>
            <w:r>
              <w:rPr>
                <w:rFonts w:ascii="Times New Roman" w:hAnsi="Times New Roman"/>
                <w:sz w:val="20"/>
              </w:rPr>
              <w:t>Percent of sales</w:t>
            </w:r>
          </w:p>
        </w:tc>
        <w:tc>
          <w:tcPr>
            <w:tcW w:w="664"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3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4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rFonts w:ascii="Times New Roman" w:hAnsi="Times New Roman"/>
                <w:i/>
                <w:sz w:val="20"/>
              </w:rPr>
            </w:pPr>
            <w:r>
              <w:rPr>
                <w:rFonts w:ascii="Times New Roman" w:hAnsi="Times New Roman"/>
                <w:i/>
                <w:sz w:val="20"/>
              </w:rPr>
              <w:t>3.1</w:t>
            </w:r>
          </w:p>
        </w:tc>
        <w:tc>
          <w:tcPr>
            <w:tcW w:w="235"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Consolidated net sales from continuing operations for the first quarter were $35.0 million, a decrease of 8.1% or $3.1 million compared to the same quarter in 2009. The decline in first quarter net sales from continuing operations was attributable to a 40% decline in our contracting group sales offset by a 24% increase in our parts group sales and a modest increase in equipment group sales. Parts group sales increased due to smaller contractors cutting back on shop expenses and outsourcing the component parts and ducting products that they previously made in-house. Contracting group sales continue to be negatively impacted by the slow economy. </w:t>
      </w:r>
    </w:p>
    <w:p>
      <w:pPr>
        <w:pStyle w:val="TextBody"/>
        <w:spacing w:before="180" w:after="0"/>
        <w:rPr>
          <w:rFonts w:ascii="Times New Roman" w:hAnsi="Times New Roman"/>
          <w:sz w:val="20"/>
        </w:rPr>
      </w:pPr>
      <w:r>
        <w:rPr>
          <w:rFonts w:ascii="Times New Roman" w:hAnsi="Times New Roman"/>
          <w:sz w:val="20"/>
        </w:rPr>
        <w:t xml:space="preserve">Orders booked from continuing operations in the first quarter of 2010 were $27.1 million as compared to $35.0 million during the first quarter of 2009, a decrease of $7.9 million or 22.6%. Bookings have also been impacted by the slowing economy. </w:t>
      </w:r>
    </w:p>
    <w:p>
      <w:pPr>
        <w:pStyle w:val="TextBody"/>
        <w:spacing w:before="180" w:after="0"/>
        <w:rPr>
          <w:rFonts w:ascii="Times New Roman" w:hAnsi="Times New Roman"/>
          <w:sz w:val="20"/>
        </w:rPr>
      </w:pPr>
      <w:r>
        <w:rPr>
          <w:rFonts w:ascii="Times New Roman" w:hAnsi="Times New Roman"/>
          <w:sz w:val="20"/>
        </w:rPr>
        <w:t xml:space="preserve">First quarter 2010 gross profit from continuing operations was $8.0 million compared to gross profit from continuing operations of $8.7 million during the same period in 2009. This $0.7 million decrease in gross profit was the result of lower overall revenues. Gross profit from continuing operations, as a percentage of sales, increased to 22.9% in the first quarter 2010 from 22.8% in the comparable prior year quarter. Equipment group revenues before intercompany eliminations, which generate higher margins, comprised 64% of our current quarterly revenues compared to 55% for the same period last year. This shift in product mix is due to the greater impact of the weak economy on the contracting/services group. Additionally, the first quarter of 2010 was negatively affected by lower margins in our contracting group due to the impact of significant costs incurred on a large project which may continue in subsequent quarters. </w:t>
      </w:r>
    </w:p>
    <w:p>
      <w:pPr>
        <w:pStyle w:val="TextBody"/>
        <w:spacing w:before="180" w:after="0"/>
        <w:rPr>
          <w:rFonts w:ascii="Times New Roman" w:hAnsi="Times New Roman"/>
          <w:sz w:val="20"/>
        </w:rPr>
      </w:pPr>
      <w:r>
        <w:rPr>
          <w:rFonts w:ascii="Times New Roman" w:hAnsi="Times New Roman"/>
          <w:sz w:val="20"/>
        </w:rPr>
        <w:t xml:space="preserve">Selling and administrative expenses from continuing operations remained constant at $7.2 million during the first quarter of 2010 compared to the same period of 2009. Selling and administrative expenses in 2010 included expense items of accrued severance pay of $127,000, executive recruiting fees of $150,000 and $100,000 for bad debt expense. These expenses were primarily offset by reductions in wages and fringes from continuing operations of $119,000 from recent staff reductions and reduced travel expenses of $64,000. We continue to streamline staffing levels and various selling and administrative costs throughout the Company in response to the slow economy and will continue to monitor these costs as we move forward. </w:t>
      </w:r>
    </w:p>
    <w:p>
      <w:pPr>
        <w:pStyle w:val="TextBody"/>
        <w:spacing w:before="180" w:after="0"/>
        <w:rPr>
          <w:rFonts w:ascii="Times New Roman" w:hAnsi="Times New Roman"/>
          <w:sz w:val="20"/>
        </w:rPr>
      </w:pPr>
      <w:r>
        <w:rPr>
          <w:rFonts w:ascii="Times New Roman" w:hAnsi="Times New Roman"/>
          <w:sz w:val="20"/>
        </w:rPr>
        <w:t xml:space="preserve">Amortization expense, which is primarily related to acquisition intangibles, decreased to $135,000 for the three months ended March 31, 2010 compared to $313,000 for the three months ended March 31, 2009. This decrease was due primarily to intangibles related to 2007 and 2008 acquisitions becoming fully amortized. </w:t>
      </w:r>
    </w:p>
    <w:p>
      <w:pPr>
        <w:pStyle w:val="TextBody"/>
        <w:spacing w:before="180" w:after="0"/>
        <w:rPr>
          <w:rFonts w:ascii="Times New Roman" w:hAnsi="Times New Roman"/>
          <w:sz w:val="20"/>
        </w:rPr>
      </w:pPr>
      <w:r>
        <w:rPr>
          <w:rFonts w:ascii="Times New Roman" w:hAnsi="Times New Roman"/>
          <w:sz w:val="20"/>
        </w:rPr>
        <w:t xml:space="preserve">Operating income from continuing operations decreased by $0.6 million to $0.6 million in the first quarter of 2010 compared to $1.2 million during the same quarter of 2009. This decrease was due to the factors previously mentioned. </w:t>
      </w:r>
    </w:p>
    <w:p>
      <w:pPr>
        <w:pStyle w:val="TextBody"/>
        <w:spacing w:before="180" w:after="0"/>
        <w:rPr>
          <w:rFonts w:ascii="Times New Roman" w:hAnsi="Times New Roman"/>
          <w:sz w:val="20"/>
        </w:rPr>
      </w:pPr>
      <w:r>
        <w:rPr>
          <w:rFonts w:ascii="Times New Roman" w:hAnsi="Times New Roman"/>
          <w:sz w:val="20"/>
        </w:rPr>
        <w:t xml:space="preserve">Interest expense for the three months ended March 31, 2010 decreased by $69,000 to $293,000 from $362,000 during the first quarter of 2009. This decrease was due to lower rates on convertible debt and lower outstanding balances on our credit line. </w:t>
      </w:r>
    </w:p>
    <w:p>
      <w:pPr>
        <w:pStyle w:val="TextBody"/>
        <w:spacing w:before="180" w:after="0"/>
        <w:rPr>
          <w:rFonts w:ascii="Times New Roman" w:hAnsi="Times New Roman"/>
          <w:sz w:val="20"/>
        </w:rPr>
      </w:pPr>
      <w:r>
        <w:rPr>
          <w:rFonts w:ascii="Times New Roman" w:hAnsi="Times New Roman"/>
          <w:sz w:val="20"/>
        </w:rPr>
        <w:t xml:space="preserve">Federal and state income tax expense totaled $103,000 during the first quarter of 2010 compared to $317,000 during the first quarter of 2009. The estimated federal and state income tax rate in the first quarter of 2010 was 38% compared to 35% in 2009. Our effective income tax rate is affected by certain permanent differences including foreign income, expenses for stock based compensation and domestic manufacturing deductions. </w:t>
      </w:r>
    </w:p>
    <w:p>
      <w:pPr>
        <w:pStyle w:val="TextBody"/>
        <w:spacing w:before="180" w:after="0"/>
        <w:rPr>
          <w:rFonts w:ascii="Times New Roman" w:hAnsi="Times New Roman"/>
          <w:sz w:val="20"/>
        </w:rPr>
      </w:pPr>
      <w:r>
        <w:rPr>
          <w:rFonts w:ascii="Times New Roman" w:hAnsi="Times New Roman"/>
          <w:sz w:val="20"/>
        </w:rPr>
        <w:t xml:space="preserve">Net income from continuing operations for the quarter ended March 31, 2010 was $167,000 compared to a net income from continuing operations of $587,000 for the same period in 2009 and net income for the quarter ended March 31, 2010 was $97,000 compared to net income of $369,000 for the same period in 2009. </w:t>
      </w:r>
    </w:p>
    <w:p>
      <w:pPr>
        <w:pStyle w:val="TextBody"/>
        <w:spacing w:before="270" w:after="0"/>
        <w:rPr>
          <w:rFonts w:ascii="Times New Roman" w:hAnsi="Times New Roman"/>
          <w:b/>
          <w:sz w:val="20"/>
        </w:rPr>
      </w:pPr>
      <w:r>
        <w:rPr>
          <w:rFonts w:ascii="Times New Roman" w:hAnsi="Times New Roman"/>
          <w:b/>
          <w:sz w:val="20"/>
        </w:rPr>
        <w:t xml:space="preserve">Backlog </w:t>
      </w:r>
    </w:p>
    <w:p>
      <w:pPr>
        <w:pStyle w:val="TextBody"/>
        <w:spacing w:before="90" w:after="0"/>
        <w:rPr>
          <w:rFonts w:ascii="Times New Roman" w:hAnsi="Times New Roman"/>
          <w:sz w:val="20"/>
        </w:rPr>
      </w:pPr>
      <w:r>
        <w:rPr>
          <w:rFonts w:ascii="Times New Roman" w:hAnsi="Times New Roman"/>
          <w:sz w:val="20"/>
        </w:rPr>
        <w:t xml:space="preserve">Our backlog consists of the amount of revenue we expect from complete performance of uncompleted, signed, firm fixed price contracts that have not been completed for products and services we expect to substantially deliver within the next 12 months. Our backlog from continuing operations, as of March 31, 2010, was $58.6 million compared to $66.5 million as of December 31, 2009.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w:t>
      </w:r>
    </w:p>
    <w:p>
      <w:pPr>
        <w:pStyle w:val="TextBody"/>
        <w:spacing w:before="270" w:after="0"/>
        <w:rPr>
          <w:rFonts w:ascii="Times New Roman" w:hAnsi="Times New Roman"/>
          <w:b/>
          <w:sz w:val="20"/>
        </w:rPr>
      </w:pPr>
      <w:r>
        <w:rPr>
          <w:rFonts w:ascii="Times New Roman" w:hAnsi="Times New Roman"/>
          <w:b/>
          <w:sz w:val="20"/>
        </w:rPr>
        <w:t xml:space="preserve">New Accounting Pronouncements </w:t>
      </w:r>
    </w:p>
    <w:p>
      <w:pPr>
        <w:pStyle w:val="TextBody"/>
        <w:spacing w:before="90" w:after="0"/>
        <w:rPr>
          <w:rFonts w:ascii="Times New Roman" w:hAnsi="Times New Roman"/>
          <w:sz w:val="20"/>
        </w:rPr>
      </w:pPr>
      <w:r>
        <w:rPr>
          <w:rFonts w:ascii="Times New Roman" w:hAnsi="Times New Roman"/>
          <w:sz w:val="20"/>
        </w:rPr>
        <w:t xml:space="preserve">For information regarding recent accounting pronouncements, see Note 2 to the unaudited consolidated financial statements within Item 1 of this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Financial Condition, Liquidity and Capital Resources </w:t>
      </w:r>
    </w:p>
    <w:p>
      <w:pPr>
        <w:pStyle w:val="TextBody"/>
        <w:spacing w:before="90" w:after="0"/>
        <w:rPr>
          <w:rFonts w:ascii="Times New Roman" w:hAnsi="Times New Roman"/>
          <w:sz w:val="20"/>
        </w:rPr>
      </w:pPr>
      <w:r>
        <w:rPr>
          <w:rFonts w:ascii="Times New Roman" w:hAnsi="Times New Roman"/>
          <w:sz w:val="20"/>
        </w:rPr>
        <w:t xml:space="preserve">Our principal sources of liquidity are cash flow from operations, available borrowings under our revolving credit facility and convertible subordinated debt. At March 31, 2010 and December 31, 2009, cash and cash equivalents totaled $0.9 million and $1.4 million, respectively. Generally, we do not carry significant cash and cash equivalent balances because excess amounts are used to pay down our revolving line of credit or other indebtedness. </w:t>
      </w:r>
    </w:p>
    <w:p>
      <w:pPr>
        <w:pStyle w:val="TextBody"/>
        <w:spacing w:before="180" w:after="0"/>
        <w:rPr>
          <w:rFonts w:ascii="Times New Roman" w:hAnsi="Times New Roman"/>
          <w:sz w:val="20"/>
        </w:rPr>
      </w:pPr>
      <w:r>
        <w:rPr>
          <w:rFonts w:ascii="Times New Roman" w:hAnsi="Times New Roman"/>
          <w:sz w:val="20"/>
        </w:rPr>
        <w:t xml:space="preserve">Total bank debt was $4.4 million at March 31, 2010 and $2.7 million at December 31, 2009. The bank debt at March 31, 2010 consists of $2.3 million due on the revolving lines of credit and a term note totaling $2.1 million. Availability is limited as determined by a borrowing base formula contained in the credit agreement. The Bank Facility, as amended, includes a revolving line of credit of up to $20 million, including letters of credit, limited to a borrowing base amount computed as 70% of eligible accounts receivable, 50% of unbilled revenues up to $1.0 million plus 50% of eligible inventories. Unused credit availability under our $20.0 million revolving line of credit at March 31, 2010 was $7.1 million. Interest on the outstanding borrowings is charged at the daily LIBOR rate plus 3.5% or the tranche LIBOR rate plus 3.0% for the revolver and the daily LIBOR rate plus 3.75% or the tranche LIBOR rate plus 3.25% for the term note. The weighted average interest rate under the Bank Facility as of March 31, 2010 and March 31, 2009 was 3.95% and 2.74%, respectively.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281"/>
        <w:gridCol w:w="350"/>
        <w:gridCol w:w="125"/>
        <w:gridCol w:w="384"/>
        <w:gridCol w:w="125"/>
        <w:gridCol w:w="303"/>
        <w:gridCol w:w="125"/>
        <w:gridCol w:w="383"/>
        <w:gridCol w:w="129"/>
      </w:tblGrid>
      <w:tr>
        <w:trPr/>
        <w:tc>
          <w:tcPr>
            <w:tcW w:w="8281"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8281"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 in millions</w:t>
            </w:r>
          </w:p>
        </w:tc>
        <w:tc>
          <w:tcPr>
            <w:tcW w:w="350" w:type="dxa"/>
            <w:tcBorders/>
            <w:shd w:fill="auto" w:val="clear"/>
            <w:vAlign w:val="bottom"/>
          </w:tcPr>
          <w:p>
            <w:pPr>
              <w:pStyle w:val="TableContents"/>
              <w:spacing w:before="0" w:after="283"/>
              <w:rPr/>
            </w:pPr>
            <w:r>
              <w:rPr/>
              <w:t>  </w:t>
            </w:r>
          </w:p>
        </w:tc>
        <w:tc>
          <w:tcPr>
            <w:tcW w:w="50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3/31/10</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50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12/31/09</w:t>
            </w:r>
          </w:p>
        </w:tc>
        <w:tc>
          <w:tcPr>
            <w:tcW w:w="129" w:type="dxa"/>
            <w:tcBorders/>
            <w:shd w:fill="auto" w:val="clear"/>
            <w:vAlign w:val="bottom"/>
          </w:tcPr>
          <w:p>
            <w:pPr>
              <w:pStyle w:val="TableContents"/>
              <w:spacing w:before="0" w:after="283"/>
              <w:rPr/>
            </w:pPr>
            <w:r>
              <w:rPr/>
              <w:t> </w:t>
            </w:r>
          </w:p>
        </w:tc>
      </w:tr>
      <w:tr>
        <w:trPr>
          <w:trHeight w:val="120" w:hRule="atLeast"/>
        </w:trPr>
        <w:tc>
          <w:tcPr>
            <w:tcW w:w="8281" w:type="dxa"/>
            <w:tcBorders/>
            <w:shd w:fill="auto" w:val="clear"/>
            <w:vAlign w:val="center"/>
          </w:tcPr>
          <w:p>
            <w:pPr>
              <w:pStyle w:val="TableContents"/>
              <w:spacing w:before="0" w:after="283"/>
              <w:rPr>
                <w:sz w:val="4"/>
                <w:szCs w:val="4"/>
              </w:rPr>
            </w:pPr>
            <w:r>
              <w:rPr>
                <w:sz w:val="4"/>
                <w:szCs w:val="4"/>
              </w:rPr>
            </w:r>
          </w:p>
        </w:tc>
        <w:tc>
          <w:tcPr>
            <w:tcW w:w="984"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r>
      <w:tr>
        <w:trPr/>
        <w:tc>
          <w:tcPr>
            <w:tcW w:w="8281" w:type="dxa"/>
            <w:tcBorders/>
            <w:shd w:fill="CCEEFF" w:val="clear"/>
          </w:tcPr>
          <w:p>
            <w:pPr>
              <w:pStyle w:val="TableContents"/>
              <w:spacing w:before="0" w:after="283"/>
              <w:rPr>
                <w:rFonts w:ascii="Times New Roman" w:hAnsi="Times New Roman"/>
                <w:sz w:val="20"/>
              </w:rPr>
            </w:pPr>
            <w:r>
              <w:rPr>
                <w:rFonts w:ascii="Times New Roman" w:hAnsi="Times New Roman"/>
                <w:sz w:val="20"/>
              </w:rPr>
              <w:t>Eligible accounts receivable at 70%</w:t>
            </w:r>
          </w:p>
        </w:tc>
        <w:tc>
          <w:tcPr>
            <w:tcW w:w="35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9" w:type="dxa"/>
            <w:tcBorders/>
            <w:shd w:fill="CCEEFF" w:val="clear"/>
            <w:vAlign w:val="bottom"/>
          </w:tcPr>
          <w:p>
            <w:pPr>
              <w:pStyle w:val="TableContents"/>
              <w:spacing w:before="0" w:after="283"/>
              <w:rPr/>
            </w:pPr>
            <w:r>
              <w:rPr/>
              <w:t>  </w:t>
            </w:r>
          </w:p>
        </w:tc>
      </w:tr>
      <w:tr>
        <w:trPr/>
        <w:tc>
          <w:tcPr>
            <w:tcW w:w="8281" w:type="dxa"/>
            <w:tcBorders/>
            <w:shd w:fill="auto" w:val="clear"/>
          </w:tcPr>
          <w:p>
            <w:pPr>
              <w:pStyle w:val="TableContents"/>
              <w:spacing w:before="0" w:after="283"/>
              <w:rPr>
                <w:rFonts w:ascii="Times New Roman" w:hAnsi="Times New Roman"/>
                <w:sz w:val="20"/>
              </w:rPr>
            </w:pPr>
            <w:r>
              <w:rPr>
                <w:rFonts w:ascii="Times New Roman" w:hAnsi="Times New Roman"/>
                <w:sz w:val="20"/>
              </w:rPr>
              <w:t>Net unbilled revenues at 50% up to $1.0 million</w:t>
            </w:r>
          </w:p>
        </w:tc>
        <w:tc>
          <w:tcPr>
            <w:tcW w:w="35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29" w:type="dxa"/>
            <w:tcBorders/>
            <w:shd w:fill="auto" w:val="clear"/>
            <w:vAlign w:val="bottom"/>
          </w:tcPr>
          <w:p>
            <w:pPr>
              <w:pStyle w:val="TableContents"/>
              <w:spacing w:before="0" w:after="283"/>
              <w:rPr/>
            </w:pPr>
            <w:r>
              <w:rPr/>
              <w:t>  </w:t>
            </w:r>
          </w:p>
        </w:tc>
      </w:tr>
      <w:tr>
        <w:trPr/>
        <w:tc>
          <w:tcPr>
            <w:tcW w:w="8281" w:type="dxa"/>
            <w:tcBorders/>
            <w:shd w:fill="CCEEFF" w:val="clear"/>
          </w:tcPr>
          <w:p>
            <w:pPr>
              <w:pStyle w:val="TableContents"/>
              <w:spacing w:before="0" w:after="283"/>
              <w:rPr>
                <w:rFonts w:ascii="Times New Roman" w:hAnsi="Times New Roman"/>
                <w:sz w:val="20"/>
              </w:rPr>
            </w:pPr>
            <w:r>
              <w:rPr>
                <w:rFonts w:ascii="Times New Roman" w:hAnsi="Times New Roman"/>
                <w:sz w:val="20"/>
              </w:rPr>
              <w:t>Eligible inventory at 50% up to $7.5 million</w:t>
            </w:r>
          </w:p>
        </w:tc>
        <w:tc>
          <w:tcPr>
            <w:tcW w:w="35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9" w:type="dxa"/>
            <w:tcBorders/>
            <w:shd w:fill="CCEEFF" w:val="clear"/>
            <w:vAlign w:val="bottom"/>
          </w:tcPr>
          <w:p>
            <w:pPr>
              <w:pStyle w:val="TableContents"/>
              <w:spacing w:before="0" w:after="283"/>
              <w:rPr/>
            </w:pPr>
            <w:r>
              <w:rPr/>
              <w:t>  </w:t>
            </w:r>
          </w:p>
        </w:tc>
      </w:tr>
      <w:tr>
        <w:trPr/>
        <w:tc>
          <w:tcPr>
            <w:tcW w:w="8281" w:type="dxa"/>
            <w:tcBorders/>
            <w:shd w:fill="auto" w:val="clear"/>
          </w:tcPr>
          <w:p>
            <w:pPr>
              <w:pStyle w:val="TableContents"/>
              <w:spacing w:before="0" w:after="283"/>
              <w:rPr>
                <w:rFonts w:ascii="Times New Roman" w:hAnsi="Times New Roman"/>
                <w:sz w:val="20"/>
              </w:rPr>
            </w:pPr>
            <w:r>
              <w:rPr>
                <w:rFonts w:ascii="Times New Roman" w:hAnsi="Times New Roman"/>
                <w:sz w:val="20"/>
              </w:rPr>
              <w:t>Borrowing base reserves required by lender</w:t>
            </w:r>
          </w:p>
        </w:tc>
        <w:tc>
          <w:tcPr>
            <w:tcW w:w="35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129" w:type="dxa"/>
            <w:tcBorders/>
            <w:shd w:fill="auto" w:val="clear"/>
            <w:vAlign w:val="bottom"/>
          </w:tcPr>
          <w:p>
            <w:pPr>
              <w:pStyle w:val="TableContents"/>
              <w:spacing w:before="0" w:after="283"/>
              <w:rPr/>
            </w:pPr>
            <w:r>
              <w:rPr/>
              <w:t>  </w:t>
            </w:r>
          </w:p>
        </w:tc>
      </w:tr>
      <w:tr>
        <w:trPr/>
        <w:tc>
          <w:tcPr>
            <w:tcW w:w="8281"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8281" w:type="dxa"/>
            <w:tcBorders/>
            <w:shd w:fill="auto" w:val="clear"/>
            <w:vAlign w:val="center"/>
          </w:tcPr>
          <w:p>
            <w:pPr>
              <w:pStyle w:val="TableContents"/>
              <w:spacing w:before="0" w:after="283"/>
              <w:rPr>
                <w:sz w:val="4"/>
                <w:szCs w:val="4"/>
              </w:rPr>
            </w:pPr>
            <w:r>
              <w:rPr>
                <w:sz w:val="4"/>
                <w:szCs w:val="4"/>
              </w:rPr>
            </w:r>
          </w:p>
        </w:tc>
        <w:tc>
          <w:tcPr>
            <w:tcW w:w="984"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r>
      <w:tr>
        <w:trPr/>
        <w:tc>
          <w:tcPr>
            <w:tcW w:w="8281" w:type="dxa"/>
            <w:tcBorders/>
            <w:shd w:fill="CCEEFF" w:val="clear"/>
          </w:tcPr>
          <w:p>
            <w:pPr>
              <w:pStyle w:val="TableContents"/>
              <w:spacing w:before="0" w:after="283"/>
              <w:rPr>
                <w:rFonts w:ascii="Times New Roman" w:hAnsi="Times New Roman"/>
                <w:sz w:val="20"/>
              </w:rPr>
            </w:pPr>
            <w:r>
              <w:rPr>
                <w:rFonts w:ascii="Times New Roman" w:hAnsi="Times New Roman"/>
                <w:sz w:val="20"/>
              </w:rPr>
              <w:t>Borrowing base</w:t>
            </w:r>
          </w:p>
        </w:tc>
        <w:tc>
          <w:tcPr>
            <w:tcW w:w="35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w:t>
            </w:r>
          </w:p>
        </w:tc>
        <w:tc>
          <w:tcPr>
            <w:tcW w:w="125"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9" w:type="dxa"/>
            <w:tcBorders/>
            <w:shd w:fill="CCEEFF" w:val="clear"/>
            <w:vAlign w:val="bottom"/>
          </w:tcPr>
          <w:p>
            <w:pPr>
              <w:pStyle w:val="TableContents"/>
              <w:spacing w:before="0" w:after="283"/>
              <w:rPr/>
            </w:pPr>
            <w:r>
              <w:rPr/>
              <w:t>  </w:t>
            </w:r>
          </w:p>
        </w:tc>
      </w:tr>
      <w:tr>
        <w:trPr/>
        <w:tc>
          <w:tcPr>
            <w:tcW w:w="8281" w:type="dxa"/>
            <w:tcBorders/>
            <w:shd w:fill="auto" w:val="clear"/>
          </w:tcPr>
          <w:p>
            <w:pPr>
              <w:pStyle w:val="TableContents"/>
              <w:spacing w:before="0" w:after="283"/>
              <w:rPr>
                <w:rFonts w:ascii="Times New Roman" w:hAnsi="Times New Roman"/>
                <w:sz w:val="20"/>
              </w:rPr>
            </w:pPr>
            <w:r>
              <w:rPr>
                <w:rFonts w:ascii="Times New Roman" w:hAnsi="Times New Roman"/>
                <w:sz w:val="20"/>
              </w:rPr>
              <w:t>Revolving loan principal amount</w:t>
            </w:r>
          </w:p>
        </w:tc>
        <w:tc>
          <w:tcPr>
            <w:tcW w:w="35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8281" w:type="dxa"/>
            <w:tcBorders/>
            <w:shd w:fill="CCEEFF" w:val="clear"/>
          </w:tcPr>
          <w:p>
            <w:pPr>
              <w:pStyle w:val="TableContents"/>
              <w:spacing w:before="0" w:after="283"/>
              <w:rPr>
                <w:rFonts w:ascii="Times New Roman" w:hAnsi="Times New Roman"/>
                <w:sz w:val="20"/>
              </w:rPr>
            </w:pPr>
            <w:r>
              <w:rPr>
                <w:rFonts w:ascii="Times New Roman" w:hAnsi="Times New Roman"/>
                <w:sz w:val="20"/>
              </w:rPr>
              <w:t>Letters of credit</w:t>
            </w:r>
          </w:p>
        </w:tc>
        <w:tc>
          <w:tcPr>
            <w:tcW w:w="35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8281"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4"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383"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8281" w:type="dxa"/>
            <w:tcBorders/>
            <w:shd w:fill="auto" w:val="clear"/>
            <w:vAlign w:val="center"/>
          </w:tcPr>
          <w:p>
            <w:pPr>
              <w:pStyle w:val="TableContents"/>
              <w:spacing w:before="0" w:after="283"/>
              <w:rPr>
                <w:sz w:val="4"/>
                <w:szCs w:val="4"/>
              </w:rPr>
            </w:pPr>
            <w:r>
              <w:rPr>
                <w:sz w:val="4"/>
                <w:szCs w:val="4"/>
              </w:rPr>
            </w:r>
          </w:p>
        </w:tc>
        <w:tc>
          <w:tcPr>
            <w:tcW w:w="984" w:type="dxa"/>
            <w:gridSpan w:val="4"/>
            <w:tcBorders/>
            <w:shd w:fill="auto" w:val="clear"/>
            <w:vAlign w:val="center"/>
          </w:tcPr>
          <w:p>
            <w:pPr>
              <w:pStyle w:val="TableContents"/>
              <w:spacing w:before="0" w:after="283"/>
              <w:rPr>
                <w:sz w:val="4"/>
                <w:szCs w:val="4"/>
              </w:rPr>
            </w:pPr>
            <w:r>
              <w:rPr>
                <w:sz w:val="4"/>
                <w:szCs w:val="4"/>
              </w:rPr>
            </w:r>
          </w:p>
        </w:tc>
        <w:tc>
          <w:tcPr>
            <w:tcW w:w="940" w:type="dxa"/>
            <w:gridSpan w:val="4"/>
            <w:tcBorders/>
            <w:shd w:fill="auto" w:val="clear"/>
            <w:vAlign w:val="center"/>
          </w:tcPr>
          <w:p>
            <w:pPr>
              <w:pStyle w:val="TableContents"/>
              <w:spacing w:before="0" w:after="283"/>
              <w:rPr>
                <w:sz w:val="4"/>
                <w:szCs w:val="4"/>
              </w:rPr>
            </w:pPr>
            <w:r>
              <w:rPr>
                <w:sz w:val="4"/>
                <w:szCs w:val="4"/>
              </w:rPr>
            </w:r>
          </w:p>
        </w:tc>
      </w:tr>
      <w:tr>
        <w:trPr/>
        <w:tc>
          <w:tcPr>
            <w:tcW w:w="8281" w:type="dxa"/>
            <w:tcBorders/>
            <w:shd w:fill="auto" w:val="clear"/>
          </w:tcPr>
          <w:p>
            <w:pPr>
              <w:pStyle w:val="TableContents"/>
              <w:spacing w:before="0" w:after="283"/>
              <w:rPr>
                <w:rFonts w:ascii="Times New Roman" w:hAnsi="Times New Roman"/>
                <w:sz w:val="20"/>
              </w:rPr>
            </w:pPr>
            <w:r>
              <w:rPr>
                <w:rFonts w:ascii="Times New Roman" w:hAnsi="Times New Roman"/>
                <w:sz w:val="20"/>
              </w:rPr>
              <w:t>Loan availability</w:t>
            </w:r>
          </w:p>
        </w:tc>
        <w:tc>
          <w:tcPr>
            <w:tcW w:w="35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125"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29" w:type="dxa"/>
            <w:tcBorders/>
            <w:shd w:fill="auto" w:val="clear"/>
            <w:vAlign w:val="bottom"/>
          </w:tcPr>
          <w:p>
            <w:pPr>
              <w:pStyle w:val="TableContents"/>
              <w:spacing w:before="0" w:after="283"/>
              <w:rPr/>
            </w:pPr>
            <w:r>
              <w:rPr/>
              <w:t>  </w:t>
            </w:r>
          </w:p>
        </w:tc>
      </w:tr>
      <w:tr>
        <w:trPr/>
        <w:tc>
          <w:tcPr>
            <w:tcW w:w="8281"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84"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383"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We entered into our Bank Facility on December 29, 2005 with Fifth Third Bank. The Bank Facility was amended on various dates and fees paid for these amendments were deferred and are being amortized over the remaining term of the Bank Facility. </w:t>
      </w:r>
    </w:p>
    <w:p>
      <w:pPr>
        <w:pStyle w:val="TextBody"/>
        <w:spacing w:before="180" w:after="0"/>
        <w:rPr>
          <w:rFonts w:ascii="Times New Roman" w:hAnsi="Times New Roman"/>
          <w:sz w:val="20"/>
        </w:rPr>
      </w:pPr>
      <w:r>
        <w:rPr>
          <w:rFonts w:ascii="Times New Roman" w:hAnsi="Times New Roman"/>
          <w:sz w:val="20"/>
        </w:rPr>
        <w:t xml:space="preserve">On May 1, 2009, the Company entered into a Sixth Amendment to the Bank Facility effective as of March 31, 2009. The Sixth Amendment amends the Bank Facility to extend the termination date of the line of credit from January 31, 2010 to April 1, 2011, make certain changes to the interest rates applicable to the obligations under the Bank Facility, including the implementation of a daily reset, one-month LIBOR-based rate and the unavailability of a prime-based rate except in certain circumstances, which results in an increase of the borrowing rates by one percent, consent to a one-time payment of principal on the Subordinated Convertible Promissory Note of Icarus in an amount not to exceed $3.0 million, and consent to an extension fee of CAD $38,000 payable to Icarus. </w:t>
      </w:r>
    </w:p>
    <w:p>
      <w:pPr>
        <w:pStyle w:val="TextBody"/>
        <w:spacing w:before="180" w:after="0"/>
        <w:rPr>
          <w:rFonts w:ascii="Times New Roman" w:hAnsi="Times New Roman"/>
          <w:sz w:val="20"/>
        </w:rPr>
      </w:pPr>
      <w:r>
        <w:rPr>
          <w:rFonts w:ascii="Times New Roman" w:hAnsi="Times New Roman"/>
          <w:sz w:val="20"/>
        </w:rPr>
        <w:t xml:space="preserve">On August 17, 2009, the Company entered into a Seventh Amendment to Credit Agreement to the Bank Facility, effective as of May 15, 2009. The Seventh Amendment incorporates the Note (as described below) as permitted subordinated debt, and permits prepayments under the Note so long as the Company is not in default under the Bank Facility. </w:t>
      </w:r>
    </w:p>
    <w:p>
      <w:pPr>
        <w:pStyle w:val="TextBody"/>
        <w:spacing w:before="180" w:after="0"/>
        <w:rPr>
          <w:rFonts w:ascii="Times New Roman" w:hAnsi="Times New Roman"/>
          <w:sz w:val="20"/>
        </w:rPr>
      </w:pPr>
      <w:r>
        <w:rPr>
          <w:rFonts w:ascii="Times New Roman" w:hAnsi="Times New Roman"/>
          <w:sz w:val="20"/>
        </w:rPr>
        <w:t xml:space="preserve">On November 26, 2009, the Company entered into an Eighth Amendment to Credit Agreement to the Bank Facility effective as of November 26, 2009. The Eighth Amendment permitted the Company to issue subordinated loans, in an aggregate amount not to exceed $11.4 million, to subordinated creditors and permitted the payment in full by the Company of the subordinated debt outstanding on the effective date to Icarus, in an aggregate amount equal to $4.5 million. </w:t>
      </w:r>
    </w:p>
    <w:p>
      <w:pPr>
        <w:pStyle w:val="TextBody"/>
        <w:spacing w:before="180" w:after="0"/>
        <w:rPr>
          <w:rFonts w:ascii="Times New Roman" w:hAnsi="Times New Roman"/>
          <w:sz w:val="20"/>
        </w:rPr>
      </w:pPr>
      <w:r>
        <w:rPr>
          <w:rFonts w:ascii="Times New Roman" w:hAnsi="Times New Roman"/>
          <w:sz w:val="20"/>
        </w:rPr>
        <w:t xml:space="preserve">On February 12, 2010, the Company entered into a Ninth Amendment to Credit Agreement to the Bank Facility effective as of December 31, 2009. The Ninth Amendment decreased the maximum loan commitment from $30.0 million to $20.0 million, decreased the monthly required term loan payment from $83,333 to $26,886 increased the minimum fixed charge coverage ratio financial covenant from 1.25 : 1.0 to 2.5 : 1.0, and permitted the addition of $6.3 million of net funding received from the private placement of subordinated debt to the adjusted EBITDA calculation used in the financial covenants.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Terms of the Bank Facility, as amended, include financial covenants which require compliance at December 31, 2009 and each quarter through March 31, 2011. The maximum capital expenditures financial covenant is $2,500,000 per year. The minimum Fixed Charge Coverage Ratio is 2.5 : 1.0 for each quarter through the quarter ended June 30, 2010 and 1.25 : 1.0 thereafter. The maximum funded debt to EBITDA covenant is 3.0 to 1. Our Bank Facility also contains cross-default provisions with respect to our subordinated debt. Also, if we fail to pay (after grace periods) any other debt or lease that, individually or in the aggregate involves indebtedness in excess of $100,000, and such default gives any creditor or lessor the right to accelerate the maturity of any such indebtedness or lease payments, then absent a waiver from the lender, it would result in a default under our Bank Facility and the acceleration of the maturity of outstanding debt under our Bank Facility. As of March 31, 2010, we were well in compliance with all related financial and other restrictive covenants, and expect continued compliance. In the future, if we cannot comply with the terms of the Bank Facility covenants it will be necessary for us to obtain a waiver or renegotiate our loan covenants, and there can be no assurance that such negotiations would be successful. In the event that we are not successful in obtaining a waiver or an amendment, we would be declared in default, which could cause all amounts owed to be immediately due and payable. </w:t>
      </w:r>
    </w:p>
    <w:p>
      <w:pPr>
        <w:pStyle w:val="TextBody"/>
        <w:spacing w:before="180" w:after="0"/>
        <w:rPr>
          <w:rFonts w:ascii="Times New Roman" w:hAnsi="Times New Roman"/>
          <w:sz w:val="20"/>
        </w:rPr>
      </w:pPr>
      <w:r>
        <w:rPr>
          <w:rFonts w:ascii="Times New Roman" w:hAnsi="Times New Roman"/>
          <w:sz w:val="20"/>
        </w:rPr>
        <w:t xml:space="preserve">On August 14, 2008, the Company issued a Subordinated Convertible Promissory Note (the Convertible Subdebt Note) in the amount of Canadian $5.0 million to Icarus, which is controlled by Phillip DeZwirek, our Chairman and former CEO, and Jason DeZwirek, our Secretary and one of our Directors. The Convertible Subdebt Note provided for interest to accrue at the rate of 10% per annum in 2008, 11% per annum in 2009, and 12% per annum commencing January 1, 2010 until paid. The outstanding principal and accrued interest under The Convertible Subdebt Note was convertible at any time into common stock of the Company at a per share price of $4.75, which was the closing price immediately preceding the issuance of the Subdebt. The Convertible Subdebt Note was amended in February 2009 to provide for interest payments to be payable monthly, instead of semi-annually, subject to the Subordination Agreement between Fifth Third Bank and Icarus. The Convertible Subdebt Note was further amended on May 1, 2009 to extend its maturity date to October 1, 2011 from July 31, 2010. Fees of Canadian $38,000 were paid for this amendment and were being deferred and amortized over the remaining term of the Convertible Subdebt Note. We repaid Canadian $3.7 million under the Convertible Subdebt Note on March 31, 2009 and fully repaid the outstanding balance of $1.2 million on November 26, 2009. </w:t>
      </w:r>
    </w:p>
    <w:p>
      <w:pPr>
        <w:pStyle w:val="TextBody"/>
        <w:spacing w:before="180" w:after="0"/>
        <w:rPr>
          <w:rFonts w:ascii="Times New Roman" w:hAnsi="Times New Roman"/>
          <w:sz w:val="20"/>
        </w:rPr>
      </w:pPr>
      <w:r>
        <w:rPr>
          <w:rFonts w:ascii="Times New Roman" w:hAnsi="Times New Roman"/>
          <w:sz w:val="20"/>
        </w:rPr>
        <w:t xml:space="preserve">On May 15, 2009, the Company issued a Promissory Note (Note) to Icarus in the amount of $3.0 million. The Note, which was subordinated to the Companys Bank Facility, bore interest at 12% per annum with interest payable monthly. The maturity date of the note was the earlier of May 15, 2012 or six months after repayment of the Bank Facility. At the option of Icarus, the note was repayable in Canadian funds with a stated conversion rate of 1.1789, or CAD $3.5 million, representing the conversion rate at the issuance date of the Note. In accordance with ASC 815 Derivatives and Hedging, this option has been bifurcated and recorded at fair value. Gains and losses resulting from the revaluation of this liability were included in other income (expense) in the consolidated statements of operations. The Note and accrued interest was fully repaid on November 26, 2009 in the amount of $3.3 million. </w:t>
      </w:r>
    </w:p>
    <w:p>
      <w:pPr>
        <w:pStyle w:val="TextBody"/>
        <w:spacing w:before="180" w:after="0"/>
        <w:rPr>
          <w:rFonts w:ascii="Times New Roman" w:hAnsi="Times New Roman"/>
          <w:sz w:val="20"/>
        </w:rPr>
      </w:pPr>
      <w:r>
        <w:rPr>
          <w:rFonts w:ascii="Times New Roman" w:hAnsi="Times New Roman"/>
          <w:sz w:val="20"/>
        </w:rPr>
        <w:t xml:space="preserve">On November 26, 2009, the Company issued $10.8 million principal amount subordinated convertible promissory notes to a group of investors (the Investor Notes) which includes related parties: Icarus ($2,200,000), Jason DeZwirek ($800,000), and Harvey Sandler Revocable Trust ($800,000), which trust owns over 10% of our outstanding common stock. </w:t>
      </w:r>
    </w:p>
    <w:p>
      <w:pPr>
        <w:pStyle w:val="TextBody"/>
        <w:spacing w:before="180" w:after="0"/>
        <w:rPr>
          <w:rFonts w:ascii="Times New Roman" w:hAnsi="Times New Roman"/>
          <w:sz w:val="20"/>
        </w:rPr>
      </w:pPr>
      <w:r>
        <w:rPr>
          <w:rFonts w:ascii="Times New Roman" w:hAnsi="Times New Roman"/>
          <w:sz w:val="20"/>
        </w:rPr>
        <w:t xml:space="preserve">Interest accrues under the Investor Notes at the annual rate of 6% and is payable as of the end of each calendar quarter. The Company used the proceeds of the Investor Notes to repay all of its previously existing subordinated debt in the amount of approximately $4.5 million, which debt was accruing interest at rates between 11-12%. The balance of the proceeds will be used for general working capital. Fees of $320,000 were paid for this private placement and are being amortized over the remaining term of the Investor Notes. </w:t>
      </w:r>
    </w:p>
    <w:p>
      <w:pPr>
        <w:pStyle w:val="TextBody"/>
        <w:spacing w:before="180" w:after="0"/>
        <w:rPr>
          <w:rFonts w:ascii="Times New Roman" w:hAnsi="Times New Roman"/>
          <w:sz w:val="20"/>
        </w:rPr>
      </w:pPr>
      <w:r>
        <w:rPr>
          <w:rFonts w:ascii="Times New Roman" w:hAnsi="Times New Roman"/>
          <w:sz w:val="20"/>
        </w:rPr>
        <w:t xml:space="preserve">The Investor Notes are due on November 26, 2014 and are not repayable prior to maturity except upon a change of control, or upon the consent of the holder. The outstanding principal amount of the Investor Notes or any portion thereof, but not the interest, is convertible at the holders option, at any time after the issuance of the Investor Notes at a conversion price of $4.00 per share, such price being greater than the Companys share price at the date of the Investor Note agreement. Following three years from the date of the notes, if the closing price of the common stock of the Company is greater than $8.00 for five consecutive days, the Company can cause conversion of the Investor Notes. </w:t>
      </w:r>
    </w:p>
    <w:p>
      <w:pPr>
        <w:pStyle w:val="TextBody"/>
        <w:spacing w:before="270" w:after="0"/>
        <w:rPr>
          <w:rFonts w:ascii="Times New Roman" w:hAnsi="Times New Roman"/>
          <w:sz w:val="20"/>
          <w:u w:val="single"/>
        </w:rPr>
      </w:pPr>
      <w:r>
        <w:rPr>
          <w:rFonts w:ascii="Times New Roman" w:hAnsi="Times New Roman"/>
          <w:sz w:val="20"/>
          <w:u w:val="single"/>
        </w:rPr>
        <w:t xml:space="preserve">Overview of Cash Flows and Liquidity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05"/>
        <w:gridCol w:w="350"/>
        <w:gridCol w:w="181"/>
        <w:gridCol w:w="802"/>
        <w:gridCol w:w="181"/>
        <w:gridCol w:w="371"/>
        <w:gridCol w:w="181"/>
        <w:gridCol w:w="805"/>
        <w:gridCol w:w="129"/>
      </w:tblGrid>
      <w:tr>
        <w:trPr/>
        <w:tc>
          <w:tcPr>
            <w:tcW w:w="720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205"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252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 March 31,</w:t>
            </w:r>
          </w:p>
        </w:tc>
        <w:tc>
          <w:tcPr>
            <w:tcW w:w="129" w:type="dxa"/>
            <w:tcBorders/>
            <w:shd w:fill="auto" w:val="clear"/>
            <w:vAlign w:val="bottom"/>
          </w:tcPr>
          <w:p>
            <w:pPr>
              <w:pStyle w:val="TableContents"/>
              <w:spacing w:before="0" w:after="283"/>
              <w:rPr/>
            </w:pPr>
            <w:r>
              <w:rPr/>
              <w:t> </w:t>
            </w:r>
          </w:p>
        </w:tc>
      </w:tr>
      <w:tr>
        <w:trPr/>
        <w:tc>
          <w:tcPr>
            <w:tcW w:w="720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($s in thousands)</w:t>
            </w:r>
          </w:p>
        </w:tc>
        <w:tc>
          <w:tcPr>
            <w:tcW w:w="350" w:type="dxa"/>
            <w:tcBorders/>
            <w:shd w:fill="auto" w:val="clear"/>
            <w:vAlign w:val="bottom"/>
          </w:tcPr>
          <w:p>
            <w:pPr>
              <w:pStyle w:val="TableContents"/>
              <w:spacing w:before="0" w:after="283"/>
              <w:rPr/>
            </w:pPr>
            <w:r>
              <w:rPr/>
              <w:t> </w:t>
            </w:r>
          </w:p>
        </w:tc>
        <w:tc>
          <w:tcPr>
            <w:tcW w:w="9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81"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9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720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provided by continuing operations</w:t>
            </w:r>
          </w:p>
        </w:tc>
        <w:tc>
          <w:tcPr>
            <w:tcW w:w="35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(2,414</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6,775</w:t>
            </w:r>
          </w:p>
        </w:tc>
        <w:tc>
          <w:tcPr>
            <w:tcW w:w="129" w:type="dxa"/>
            <w:tcBorders/>
            <w:shd w:fill="CCEEFF" w:val="clear"/>
            <w:vAlign w:val="bottom"/>
          </w:tcPr>
          <w:p>
            <w:pPr>
              <w:pStyle w:val="TableContents"/>
              <w:spacing w:before="0" w:after="283"/>
              <w:rPr/>
            </w:pPr>
            <w:r>
              <w:rPr/>
              <w:t>  </w:t>
            </w:r>
          </w:p>
        </w:tc>
      </w:tr>
      <w:tr>
        <w:trPr/>
        <w:tc>
          <w:tcPr>
            <w:tcW w:w="7205"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discontinued operations</w:t>
            </w:r>
          </w:p>
        </w:tc>
        <w:tc>
          <w:tcPr>
            <w:tcW w:w="35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675</w:t>
            </w:r>
          </w:p>
        </w:tc>
        <w:tc>
          <w:tcPr>
            <w:tcW w:w="181"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1,780</w:t>
            </w:r>
          </w:p>
        </w:tc>
        <w:tc>
          <w:tcPr>
            <w:tcW w:w="129" w:type="dxa"/>
            <w:tcBorders/>
            <w:shd w:fill="auto" w:val="clear"/>
            <w:vAlign w:val="bottom"/>
          </w:tcPr>
          <w:p>
            <w:pPr>
              <w:pStyle w:val="TableContents"/>
              <w:spacing w:before="0" w:after="283"/>
              <w:rPr/>
            </w:pPr>
            <w:r>
              <w:rPr/>
              <w:t>  </w:t>
            </w:r>
          </w:p>
        </w:tc>
      </w:tr>
      <w:tr>
        <w:trPr/>
        <w:tc>
          <w:tcPr>
            <w:tcW w:w="7205"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35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205" w:type="dxa"/>
            <w:tcBorders/>
            <w:shd w:fill="auto"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350"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181"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(8,123</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20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181" w:type="dxa"/>
            <w:tcBorders>
              <w:top w:val="single" w:sz="2" w:space="0" w:color="000000"/>
            </w:tcBorders>
            <w:shd w:fill="auto" w:val="clear"/>
            <w:tcMar>
              <w:top w:w="28" w:type="dxa"/>
            </w:tcMar>
            <w:vAlign w:val="bottom"/>
          </w:tcPr>
          <w:p>
            <w:pPr>
              <w:pStyle w:val="TableContents"/>
              <w:spacing w:before="0" w:after="283"/>
              <w:rPr/>
            </w:pPr>
            <w:r>
              <w:rPr/>
              <w:t> </w:t>
            </w:r>
          </w:p>
        </w:tc>
        <w:tc>
          <w:tcPr>
            <w:tcW w:w="802"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81" w:type="dxa"/>
            <w:tcBorders>
              <w:top w:val="single" w:sz="2" w:space="0" w:color="000000"/>
            </w:tcBorders>
            <w:shd w:fill="auto" w:val="clear"/>
            <w:tcMar>
              <w:top w:w="28" w:type="dxa"/>
            </w:tcMar>
            <w:vAlign w:val="bottom"/>
          </w:tcPr>
          <w:p>
            <w:pPr>
              <w:pStyle w:val="TableContents"/>
              <w:spacing w:before="0" w:after="283"/>
              <w:rPr/>
            </w:pPr>
            <w:r>
              <w:rPr/>
              <w:t> </w:t>
            </w:r>
          </w:p>
        </w:tc>
        <w:tc>
          <w:tcPr>
            <w:tcW w:w="80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205" w:type="dxa"/>
            <w:tcBorders/>
            <w:shd w:fill="CCEEFF" w:val="clear"/>
          </w:tcPr>
          <w:p>
            <w:pPr>
              <w:pStyle w:val="TableContents"/>
              <w:spacing w:before="0" w:after="283"/>
              <w:rPr>
                <w:rFonts w:ascii="Times New Roman" w:hAnsi="Times New Roman"/>
                <w:sz w:val="20"/>
              </w:rPr>
            </w:pPr>
            <w:r>
              <w:rPr>
                <w:rFonts w:ascii="Times New Roman" w:hAnsi="Times New Roman"/>
                <w:sz w:val="20"/>
              </w:rPr>
              <w:t>Net decrease in cash</w:t>
            </w:r>
          </w:p>
        </w:tc>
        <w:tc>
          <w:tcPr>
            <w:tcW w:w="35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(532</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20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pPr>
            <w:r>
              <w:rPr/>
              <w:t> </w:t>
            </w:r>
          </w:p>
        </w:tc>
        <w:tc>
          <w:tcPr>
            <w:tcW w:w="181" w:type="dxa"/>
            <w:tcBorders>
              <w:top w:val="single" w:sz="2" w:space="0" w:color="000000"/>
            </w:tcBorders>
            <w:shd w:fill="auto" w:val="clear"/>
            <w:tcMar>
              <w:top w:w="28" w:type="dxa"/>
            </w:tcMar>
            <w:vAlign w:val="bottom"/>
          </w:tcPr>
          <w:p>
            <w:pPr>
              <w:pStyle w:val="TableContents"/>
              <w:spacing w:before="0" w:after="283"/>
              <w:rPr/>
            </w:pPr>
            <w:r>
              <w:rPr/>
              <w:t> </w:t>
            </w:r>
          </w:p>
        </w:tc>
        <w:tc>
          <w:tcPr>
            <w:tcW w:w="802" w:type="dxa"/>
            <w:tcBorders>
              <w:top w:val="single" w:sz="2" w:space="0" w:color="000000"/>
            </w:tcBorders>
            <w:shd w:fill="auto" w:val="clear"/>
            <w:tcMar>
              <w:top w:w="28" w:type="dxa"/>
            </w:tcMar>
            <w:vAlign w:val="bottom"/>
          </w:tcPr>
          <w:p>
            <w:pPr>
              <w:pStyle w:val="TableContents"/>
              <w:spacing w:before="0" w:after="283"/>
              <w:rPr/>
            </w:pPr>
            <w:r>
              <w:rPr/>
              <w:t> </w:t>
            </w:r>
          </w:p>
        </w:tc>
        <w:tc>
          <w:tcPr>
            <w:tcW w:w="181" w:type="dxa"/>
            <w:tcBorders/>
            <w:shd w:fill="auto" w:val="clear"/>
            <w:vAlign w:val="center"/>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81" w:type="dxa"/>
            <w:tcBorders>
              <w:top w:val="single" w:sz="2" w:space="0" w:color="000000"/>
            </w:tcBorders>
            <w:shd w:fill="auto" w:val="clear"/>
            <w:tcMar>
              <w:top w:w="28" w:type="dxa"/>
            </w:tcMar>
            <w:vAlign w:val="bottom"/>
          </w:tcPr>
          <w:p>
            <w:pPr>
              <w:pStyle w:val="TableContents"/>
              <w:spacing w:before="0" w:after="283"/>
              <w:rPr/>
            </w:pPr>
            <w:r>
              <w:rPr/>
              <w:t> </w:t>
            </w:r>
          </w:p>
        </w:tc>
        <w:tc>
          <w:tcPr>
            <w:tcW w:w="805"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the three months ended March 31, 2010, $2.4 million of cash was used by continuing operating activities compared to $6.8 million provided by continuing operating activities for the same period in 2009. The $9.2 million change in cash flows from operating activities was primarily due to a net $8.6 million increase in non-cash working capital requirements. That net increase was largely due to a $10.2 million decrease in cash provided by the change in accounts receivable in the 2010 quarter as compared to the 2009 quarter, primarily due to lower revenues. Additionally, the 2010 first quarter change in uncompleted contract balances reflects a use of $2.2 million of cash while the 2009 first quarter change reflects a provision of $2.1 million of cash primarily due to lower advance billings to customers. These working capital changes were offset by a $1.8 million use of cash in the first quarter of 2009 to pay income taxes that was not repeated in the first quarter of 2010. The changes in working capital elements were mainly the result of the continuing slow economic activity. </w:t>
      </w:r>
    </w:p>
    <w:p>
      <w:pPr>
        <w:pStyle w:val="TextBody"/>
        <w:spacing w:before="180" w:after="0"/>
        <w:rPr>
          <w:rFonts w:ascii="Times New Roman" w:hAnsi="Times New Roman"/>
          <w:sz w:val="20"/>
        </w:rPr>
      </w:pPr>
      <w:r>
        <w:rPr>
          <w:rFonts w:ascii="Times New Roman" w:hAnsi="Times New Roman"/>
          <w:sz w:val="20"/>
        </w:rPr>
        <w:t xml:space="preserve">Depreciation and amortization amounted to $0.4 million in for the three months ended March 31, 2010 compared to $0.7 million for depreciation and amortization in the same period in 2009. This decrease in depreciation and amortization was due primarily to decreased amortization of definite life intangibles from recent acquisitions which are now fully amortized. 2010. Our net investment in working capital (excluding cash and cash equivalents, current portion of debt and working capital from discontinued operations) at March 31, 2010 was $17.2 million as compared to $14.5 million at December 31, 2009. We believe that our working capital needs will remain constant unless we experience a significant increase or decrease in sales and operating income. </w:t>
      </w:r>
    </w:p>
    <w:p>
      <w:pPr>
        <w:pStyle w:val="TextBody"/>
        <w:spacing w:before="180" w:after="0"/>
        <w:rPr>
          <w:rFonts w:ascii="Times New Roman" w:hAnsi="Times New Roman"/>
          <w:sz w:val="20"/>
        </w:rPr>
      </w:pPr>
      <w:r>
        <w:rPr>
          <w:rFonts w:ascii="Times New Roman" w:hAnsi="Times New Roman"/>
          <w:sz w:val="20"/>
        </w:rPr>
        <w:t xml:space="preserve">For the three months ended March 31, 2010, net cash used in investing activities related to capital expenditures for property and equipment were $0.2 million compared with $0.5 million for the same period in 2009. We are managing our capital expenditures in light of the current level of sales. </w:t>
      </w:r>
    </w:p>
    <w:p>
      <w:pPr>
        <w:pStyle w:val="TextBody"/>
        <w:spacing w:before="180" w:after="0"/>
        <w:rPr>
          <w:rFonts w:ascii="Times New Roman" w:hAnsi="Times New Roman"/>
          <w:sz w:val="20"/>
        </w:rPr>
      </w:pPr>
      <w:r>
        <w:rPr>
          <w:rFonts w:ascii="Times New Roman" w:hAnsi="Times New Roman"/>
          <w:sz w:val="20"/>
        </w:rPr>
        <w:t xml:space="preserve">For the three months ended March 31, 2010, financing activities, which simply consisted of net borrowings from our bank, provided cash of $1.4 million, compared with cash used of $8.1 million during the same period of 2009 primarily related to net payment of debt. </w:t>
      </w:r>
    </w:p>
    <w:p>
      <w:pPr>
        <w:pStyle w:val="TextBody"/>
        <w:spacing w:before="180" w:after="0"/>
        <w:rPr>
          <w:rFonts w:ascii="Times New Roman" w:hAnsi="Times New Roman"/>
          <w:sz w:val="20"/>
        </w:rPr>
      </w:pPr>
      <w:r>
        <w:rPr>
          <w:rFonts w:ascii="Times New Roman" w:hAnsi="Times New Roman"/>
          <w:sz w:val="20"/>
        </w:rPr>
        <w:t xml:space="preserve">When we undertake large jobs, our working capital objective is to make these projects self-funding. We try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Inventory remains relatively constant from quarter to quarter. Accordingly, changes in inventory do not constitute a significant part of our investment in working capital. </w:t>
      </w:r>
    </w:p>
    <w:p>
      <w:pPr>
        <w:pStyle w:val="TextBody"/>
        <w:spacing w:before="180" w:after="0"/>
        <w:rPr>
          <w:rFonts w:ascii="Times New Roman" w:hAnsi="Times New Roman"/>
          <w:sz w:val="20"/>
        </w:rPr>
      </w:pPr>
      <w:r>
        <w:rPr>
          <w:rFonts w:ascii="Times New Roman" w:hAnsi="Times New Roman"/>
          <w:sz w:val="20"/>
        </w:rPr>
        <w:t xml:space="preserve">Based on our historical results, managements experience, our current business strategy and current cash flows, we believe that our existing cash resources will be sufficient to meet our anticipated working capital and capital expenditure requirements for at least the next 12 months. Nevertheless, if we generate insufficient cash flows from operations or are unable to draw the amounts needed from our Bank Facility to meet our short-term liquidity needs, we may borrow additional funds. Although management believes that we will be able to fund our operations from current resources, there is no guarantee that we will be able to do so, however, alternative sources of funding are potentially available in the form of additional term debt to be provided by our lender, which may be collateralized by our real estate and equipment, as well as subordinated debt to be provided by a related party. However, we cannot provide any assurances that such financing will be available to us on favorable terms or at all. </w:t>
      </w:r>
    </w:p>
    <w:p>
      <w:pPr>
        <w:pStyle w:val="TextBody"/>
        <w:spacing w:before="270" w:after="0"/>
        <w:rPr>
          <w:rFonts w:ascii="Times New Roman" w:hAnsi="Times New Roman"/>
          <w:b/>
          <w:sz w:val="20"/>
        </w:rPr>
      </w:pPr>
      <w:r>
        <w:rPr>
          <w:rFonts w:ascii="Times New Roman" w:hAnsi="Times New Roman"/>
          <w:b/>
          <w:sz w:val="20"/>
        </w:rPr>
        <w:t xml:space="preserve">Forward-Looking Statements </w:t>
      </w:r>
    </w:p>
    <w:p>
      <w:pPr>
        <w:pStyle w:val="TextBody"/>
        <w:spacing w:before="90" w:after="0"/>
        <w:rPr>
          <w:rFonts w:ascii="Times New Roman" w:hAnsi="Times New Roman"/>
          <w:sz w:val="20"/>
        </w:rPr>
      </w:pPr>
      <w:r>
        <w:rPr>
          <w:rFonts w:ascii="Times New Roman" w:hAnsi="Times New Roman"/>
          <w:sz w:val="20"/>
        </w:rPr>
        <w:t xml:space="preserve">This Form 10-Q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Form 10-Q are forward-looking. We use words such as believe, expect, anticipate, intends, estimate, forecast, project, will, plan, should and similar expressions to identify forward-looking statements. Forward-looking statements are based on managements current expectations and assumptions that are subject to risks and uncertainties, many of which are beyond our control, which may cause actual results, performance or trends to differ materially from those expressed in the forward-looking statements. Potential risks, among others, that could cause actual results to differ materially are discussed under Item 1A Risk Factors of the Companys Annual Report on Form 10-K for the fiscal year ended December 31, 2009 and include, but are not limited to: our dependence on fixed price contracts and the risks associated therewith, including actual costs exceeding our estimates and our method of accounting for contract revenue; our history of losses and possibility of further losses; fluctuations in operating results from period to period due to seasonality of our business; the effect of growth on our infrastructure, resources, and existing sales; our ability to expand our operations in both new and existing markets; the potential for contract delay or cancellation; the potential for fluctuations in prices for manufactured components and raw materials; our ability to raise capital and the availability of capital resources; our ability to fully utilize and retain executives; the impact of federal, state or local government regulations; labor shortages or increases in labor costs; economic and political conditions generally; and the effect of competition in the air pollution control and industrial ventilation industry.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MANAGEMENTS DISCUSSION AND ANALYSIS OF FINANCIAL CONDITION </w:t>
      </w:r>
    </w:p>
    <w:p>
      <w:pPr>
        <w:pStyle w:val="TextBody"/>
        <w:spacing w:before="0" w:after="0"/>
        <w:jc w:val="center"/>
        <w:rPr>
          <w:rFonts w:ascii="Times New Roman" w:hAnsi="Times New Roman"/>
          <w:sz w:val="20"/>
        </w:rPr>
      </w:pPr>
      <w:r>
        <w:rPr>
          <w:rFonts w:ascii="Times New Roman" w:hAnsi="Times New Roman"/>
          <w:sz w:val="20"/>
        </w:rPr>
        <w:t xml:space="preserve">AND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Except as required by law, we undertake no obligation to publicly update or revise any forward-looking statements, whether because of new information, future events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bookmarkStart w:id="8" w:name="tx70520_6"/>
            <w:bookmarkEnd w:id="8"/>
            <w:r>
              <w:rPr>
                <w:rFonts w:ascii="Times New Roman" w:hAnsi="Times New Roman"/>
                <w:b/>
                <w:sz w:val="20"/>
              </w:rPr>
              <w:t>ITEM 4T.</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CONTROLS AND PROCEDURES </w:t>
            </w:r>
          </w:p>
        </w:tc>
      </w:tr>
    </w:tbl>
    <w:p>
      <w:pPr>
        <w:pStyle w:val="TextBody"/>
        <w:spacing w:before="90" w:after="0"/>
        <w:rPr>
          <w:rFonts w:ascii="Times New Roman" w:hAnsi="Times New Roman"/>
          <w:b/>
          <w:i/>
          <w:sz w:val="20"/>
        </w:rPr>
      </w:pPr>
      <w:r>
        <w:rPr>
          <w:rFonts w:ascii="Times New Roman" w:hAnsi="Times New Roman"/>
          <w:b/>
          <w:i/>
          <w:sz w:val="20"/>
        </w:rPr>
        <w:t xml:space="preserve">Evaluation of Disclosure Controls and Procedures </w:t>
      </w:r>
    </w:p>
    <w:p>
      <w:pPr>
        <w:pStyle w:val="TextBody"/>
        <w:spacing w:before="90" w:after="0"/>
        <w:rPr>
          <w:rFonts w:ascii="Times New Roman" w:hAnsi="Times New Roman"/>
          <w:sz w:val="20"/>
        </w:rPr>
      </w:pPr>
      <w:r>
        <w:rPr>
          <w:rFonts w:ascii="Times New Roman" w:hAnsi="Times New Roman"/>
          <w:sz w:val="20"/>
        </w:rPr>
        <w:t xml:space="preserve">Our Chief Executive Officer and Chief Financial Officer have evaluated our disclosure controls and procedures (as such term is defined in Rules 13a- 15(e) and 15d- 15(e) under the Securities Exchange Act of 1934, as amended (the Exchange Act)) as of the end of the period covered by this quarterly report. Based on this evaluation, such officers have concluded that these controls and procedures are effective as of the end of the period covered by this quarterly report on Form 10-Q in ensuring that the information we are required to disclose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discussions regarding required disclosure. </w:t>
      </w:r>
    </w:p>
    <w:p>
      <w:pPr>
        <w:pStyle w:val="TextBody"/>
        <w:spacing w:before="180" w:after="0"/>
        <w:rPr>
          <w:rFonts w:ascii="Times New Roman" w:hAnsi="Times New Roman"/>
          <w:sz w:val="20"/>
        </w:rPr>
      </w:pPr>
      <w:r>
        <w:rPr>
          <w:rFonts w:ascii="Times New Roman" w:hAnsi="Times New Roman"/>
          <w:sz w:val="20"/>
        </w:rPr>
        <w:t xml:space="preserve">There have been no changes in the Companys internal control over financial reporting during the quarter ended March 31, 2010 that have materially affected, or are reasonably likely to materially affect, the Companys internal control over financial reporting.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PART II - OTHER INFORMATION </w:t>
      </w:r>
    </w:p>
    <w:p>
      <w:pPr>
        <w:pStyle w:val="TextBody"/>
        <w:spacing w:before="180" w:after="0"/>
        <w:rPr>
          <w:rFonts w:ascii="Times New Roman" w:hAnsi="Times New Roman"/>
          <w:sz w:val="20"/>
        </w:rPr>
      </w:pPr>
      <w:bookmarkStart w:id="9" w:name="tx70520_7"/>
      <w:bookmarkEnd w:id="9"/>
      <w:r>
        <w:rPr>
          <w:rFonts w:ascii="Times New Roman" w:hAnsi="Times New Roman"/>
          <w:sz w:val="20"/>
        </w:rPr>
        <w:t xml:space="preserve">ITEM 6.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
        <w:gridCol w:w="210"/>
        <w:gridCol w:w="391"/>
        <w:gridCol w:w="323"/>
        <w:gridCol w:w="9179"/>
      </w:tblGrid>
      <w:tr>
        <w:trPr/>
        <w:tc>
          <w:tcPr>
            <w:tcW w:w="10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9179" w:type="dxa"/>
            <w:tcBorders/>
            <w:shd w:fill="auto" w:val="clear"/>
            <w:vAlign w:val="center"/>
          </w:tcPr>
          <w:p>
            <w:pPr>
              <w:pStyle w:val="TableContents"/>
              <w:spacing w:before="0" w:after="283"/>
              <w:rPr>
                <w:sz w:val="4"/>
                <w:szCs w:val="4"/>
              </w:rPr>
            </w:pPr>
            <w:r>
              <w:rPr>
                <w:sz w:val="4"/>
                <w:szCs w:val="4"/>
              </w:rPr>
            </w:r>
          </w:p>
        </w:tc>
      </w:tr>
      <w:tr>
        <w:trPr/>
        <w:tc>
          <w:tcPr>
            <w:tcW w:w="102"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391"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323" w:type="dxa"/>
            <w:tcBorders/>
            <w:shd w:fill="auto" w:val="clear"/>
            <w:vAlign w:val="bottom"/>
          </w:tcPr>
          <w:p>
            <w:pPr>
              <w:pStyle w:val="TableContents"/>
              <w:spacing w:before="0" w:after="283"/>
              <w:rPr/>
            </w:pPr>
            <w:r>
              <w:rPr/>
              <w:t>  </w:t>
            </w:r>
          </w:p>
        </w:tc>
        <w:tc>
          <w:tcPr>
            <w:tcW w:w="9179" w:type="dxa"/>
            <w:tcBorders/>
            <w:shd w:fill="auto" w:val="clear"/>
          </w:tcPr>
          <w:p>
            <w:pPr>
              <w:pStyle w:val="TableContents"/>
              <w:spacing w:before="0" w:after="283"/>
              <w:rPr>
                <w:rFonts w:ascii="Times New Roman" w:hAnsi="Times New Roman"/>
                <w:sz w:val="20"/>
              </w:rPr>
            </w:pPr>
            <w:r>
              <w:rPr>
                <w:rFonts w:ascii="Times New Roman" w:hAnsi="Times New Roman"/>
                <w:sz w:val="20"/>
              </w:rPr>
              <w:t>Ninth Amendment to Credit Agreement, dated February 12, 2010, effective date December 31, 2009 (Incorporated by reference from Exhibit 10.1 of the Companys Current Report on Form 8-K filed February 19, 2010).</w:t>
            </w:r>
          </w:p>
        </w:tc>
      </w:tr>
      <w:tr>
        <w:trPr>
          <w:trHeight w:val="120" w:hRule="atLeast"/>
        </w:trPr>
        <w:tc>
          <w:tcPr>
            <w:tcW w:w="102" w:type="dxa"/>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9502" w:type="dxa"/>
            <w:gridSpan w:val="2"/>
            <w:tcBorders/>
            <w:shd w:fill="auto" w:val="clear"/>
            <w:vAlign w:val="center"/>
          </w:tcPr>
          <w:p>
            <w:pPr>
              <w:pStyle w:val="TableContents"/>
              <w:spacing w:before="0" w:after="283"/>
              <w:rPr>
                <w:sz w:val="4"/>
                <w:szCs w:val="4"/>
              </w:rPr>
            </w:pPr>
            <w:r>
              <w:rPr>
                <w:sz w:val="4"/>
                <w:szCs w:val="4"/>
              </w:rPr>
            </w:r>
          </w:p>
        </w:tc>
      </w:tr>
      <w:tr>
        <w:trPr/>
        <w:tc>
          <w:tcPr>
            <w:tcW w:w="102"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391" w:type="dxa"/>
            <w:tcBorders/>
            <w:shd w:fill="auto" w:val="clear"/>
          </w:tcPr>
          <w:p>
            <w:pPr>
              <w:pStyle w:val="TableContents"/>
              <w:spacing w:before="0" w:after="283"/>
              <w:rPr>
                <w:rFonts w:ascii="Times New Roman" w:hAnsi="Times New Roman"/>
                <w:sz w:val="20"/>
              </w:rPr>
            </w:pPr>
            <w:r>
              <w:rPr>
                <w:rFonts w:ascii="Times New Roman" w:hAnsi="Times New Roman"/>
                <w:sz w:val="20"/>
              </w:rPr>
              <w:t>10.2</w:t>
            </w:r>
          </w:p>
        </w:tc>
        <w:tc>
          <w:tcPr>
            <w:tcW w:w="323" w:type="dxa"/>
            <w:tcBorders/>
            <w:shd w:fill="auto" w:val="clear"/>
            <w:vAlign w:val="bottom"/>
          </w:tcPr>
          <w:p>
            <w:pPr>
              <w:pStyle w:val="TableContents"/>
              <w:spacing w:before="0" w:after="283"/>
              <w:rPr/>
            </w:pPr>
            <w:r>
              <w:rPr/>
              <w:t>  </w:t>
            </w:r>
          </w:p>
        </w:tc>
        <w:tc>
          <w:tcPr>
            <w:tcW w:w="9179" w:type="dxa"/>
            <w:tcBorders/>
            <w:shd w:fill="auto" w:val="clear"/>
          </w:tcPr>
          <w:p>
            <w:pPr>
              <w:pStyle w:val="TableContents"/>
              <w:spacing w:before="0" w:after="283"/>
              <w:rPr>
                <w:rFonts w:ascii="Times New Roman" w:hAnsi="Times New Roman"/>
                <w:sz w:val="20"/>
              </w:rPr>
            </w:pPr>
            <w:r>
              <w:rPr>
                <w:rFonts w:ascii="Times New Roman" w:hAnsi="Times New Roman"/>
                <w:sz w:val="20"/>
              </w:rPr>
              <w:t>Fifth Amended and Restated Revolving Credit Promissory Note, effective date December 31, 2009 (Incorporated by reference from Exhibit 10.2 of the Companys Current Report on Form 8-K filed February 19, 2010).</w:t>
            </w:r>
          </w:p>
        </w:tc>
      </w:tr>
      <w:tr>
        <w:trPr>
          <w:trHeight w:val="120" w:hRule="atLeast"/>
        </w:trPr>
        <w:tc>
          <w:tcPr>
            <w:tcW w:w="102" w:type="dxa"/>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9502" w:type="dxa"/>
            <w:gridSpan w:val="2"/>
            <w:tcBorders/>
            <w:shd w:fill="auto" w:val="clear"/>
            <w:vAlign w:val="center"/>
          </w:tcPr>
          <w:p>
            <w:pPr>
              <w:pStyle w:val="TableContents"/>
              <w:spacing w:before="0" w:after="283"/>
              <w:rPr>
                <w:sz w:val="4"/>
                <w:szCs w:val="4"/>
              </w:rPr>
            </w:pPr>
            <w:r>
              <w:rPr>
                <w:sz w:val="4"/>
                <w:szCs w:val="4"/>
              </w:rPr>
            </w:r>
          </w:p>
        </w:tc>
      </w:tr>
      <w:tr>
        <w:trPr/>
        <w:tc>
          <w:tcPr>
            <w:tcW w:w="102"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391" w:type="dxa"/>
            <w:tcBorders/>
            <w:shd w:fill="auto" w:val="clear"/>
          </w:tcPr>
          <w:p>
            <w:pPr>
              <w:pStyle w:val="TableContents"/>
              <w:spacing w:before="0" w:after="283"/>
              <w:rPr>
                <w:rFonts w:ascii="Times New Roman" w:hAnsi="Times New Roman"/>
                <w:sz w:val="20"/>
              </w:rPr>
            </w:pPr>
            <w:r>
              <w:rPr>
                <w:rFonts w:ascii="Times New Roman" w:hAnsi="Times New Roman"/>
                <w:sz w:val="20"/>
              </w:rPr>
              <w:t>10.3</w:t>
            </w:r>
          </w:p>
        </w:tc>
        <w:tc>
          <w:tcPr>
            <w:tcW w:w="323" w:type="dxa"/>
            <w:tcBorders/>
            <w:shd w:fill="auto" w:val="clear"/>
            <w:vAlign w:val="bottom"/>
          </w:tcPr>
          <w:p>
            <w:pPr>
              <w:pStyle w:val="TableContents"/>
              <w:spacing w:before="0" w:after="283"/>
              <w:rPr/>
            </w:pPr>
            <w:r>
              <w:rPr/>
              <w:t>  </w:t>
            </w:r>
          </w:p>
        </w:tc>
        <w:tc>
          <w:tcPr>
            <w:tcW w:w="9179" w:type="dxa"/>
            <w:tcBorders/>
            <w:shd w:fill="auto" w:val="clear"/>
          </w:tcPr>
          <w:p>
            <w:pPr>
              <w:pStyle w:val="TableContents"/>
              <w:spacing w:before="0" w:after="283"/>
              <w:rPr>
                <w:rFonts w:ascii="Times New Roman" w:hAnsi="Times New Roman"/>
                <w:sz w:val="20"/>
              </w:rPr>
            </w:pPr>
            <w:r>
              <w:rPr>
                <w:rFonts w:ascii="Times New Roman" w:hAnsi="Times New Roman"/>
                <w:sz w:val="20"/>
              </w:rPr>
              <w:t>Amended and Restated Term Promissory Note, effective date December 31, 2009 (Incorporated by reference from Exhibit 10.3 of the Companys Current Report on Form 8-K filed February 19, 2010).</w:t>
            </w:r>
          </w:p>
        </w:tc>
      </w:tr>
      <w:tr>
        <w:trPr>
          <w:trHeight w:val="120" w:hRule="atLeast"/>
        </w:trPr>
        <w:tc>
          <w:tcPr>
            <w:tcW w:w="102" w:type="dxa"/>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9502" w:type="dxa"/>
            <w:gridSpan w:val="2"/>
            <w:tcBorders/>
            <w:shd w:fill="auto" w:val="clear"/>
            <w:vAlign w:val="center"/>
          </w:tcPr>
          <w:p>
            <w:pPr>
              <w:pStyle w:val="TableContents"/>
              <w:spacing w:before="0" w:after="283"/>
              <w:rPr>
                <w:sz w:val="4"/>
                <w:szCs w:val="4"/>
              </w:rPr>
            </w:pPr>
            <w:r>
              <w:rPr>
                <w:sz w:val="4"/>
                <w:szCs w:val="4"/>
              </w:rPr>
            </w:r>
          </w:p>
        </w:tc>
      </w:tr>
      <w:tr>
        <w:trPr/>
        <w:tc>
          <w:tcPr>
            <w:tcW w:w="102"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391" w:type="dxa"/>
            <w:tcBorders/>
            <w:shd w:fill="auto" w:val="clear"/>
          </w:tcPr>
          <w:p>
            <w:pPr>
              <w:pStyle w:val="TableContents"/>
              <w:spacing w:before="0" w:after="283"/>
              <w:rPr>
                <w:rFonts w:ascii="Times New Roman" w:hAnsi="Times New Roman"/>
                <w:sz w:val="20"/>
              </w:rPr>
            </w:pPr>
            <w:r>
              <w:rPr>
                <w:rFonts w:ascii="Times New Roman" w:hAnsi="Times New Roman"/>
                <w:sz w:val="20"/>
              </w:rPr>
              <w:t>10.4</w:t>
            </w:r>
          </w:p>
        </w:tc>
        <w:tc>
          <w:tcPr>
            <w:tcW w:w="323" w:type="dxa"/>
            <w:tcBorders/>
            <w:shd w:fill="auto" w:val="clear"/>
            <w:vAlign w:val="bottom"/>
          </w:tcPr>
          <w:p>
            <w:pPr>
              <w:pStyle w:val="TableContents"/>
              <w:spacing w:before="0" w:after="283"/>
              <w:rPr/>
            </w:pPr>
            <w:r>
              <w:rPr/>
              <w:t>  </w:t>
            </w:r>
          </w:p>
        </w:tc>
        <w:tc>
          <w:tcPr>
            <w:tcW w:w="9179" w:type="dxa"/>
            <w:tcBorders/>
            <w:shd w:fill="auto" w:val="clear"/>
          </w:tcPr>
          <w:p>
            <w:pPr>
              <w:pStyle w:val="TableContents"/>
              <w:spacing w:before="0" w:after="283"/>
              <w:rPr>
                <w:rFonts w:ascii="Times New Roman" w:hAnsi="Times New Roman"/>
                <w:sz w:val="20"/>
              </w:rPr>
            </w:pPr>
            <w:r>
              <w:rPr>
                <w:rFonts w:ascii="Times New Roman" w:hAnsi="Times New Roman"/>
                <w:sz w:val="20"/>
              </w:rPr>
              <w:t>Employment Agreement of Jeffrey Lang dated February 15, 2010.</w:t>
            </w:r>
          </w:p>
        </w:tc>
      </w:tr>
      <w:tr>
        <w:trPr>
          <w:trHeight w:val="120" w:hRule="atLeast"/>
        </w:trPr>
        <w:tc>
          <w:tcPr>
            <w:tcW w:w="102" w:type="dxa"/>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9502" w:type="dxa"/>
            <w:gridSpan w:val="2"/>
            <w:tcBorders/>
            <w:shd w:fill="auto" w:val="clear"/>
            <w:vAlign w:val="center"/>
          </w:tcPr>
          <w:p>
            <w:pPr>
              <w:pStyle w:val="TableContents"/>
              <w:spacing w:before="0" w:after="283"/>
              <w:rPr>
                <w:sz w:val="4"/>
                <w:szCs w:val="4"/>
              </w:rPr>
            </w:pPr>
            <w:r>
              <w:rPr>
                <w:sz w:val="4"/>
                <w:szCs w:val="4"/>
              </w:rPr>
            </w:r>
          </w:p>
        </w:tc>
      </w:tr>
      <w:tr>
        <w:trPr/>
        <w:tc>
          <w:tcPr>
            <w:tcW w:w="102"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391" w:type="dxa"/>
            <w:tcBorders/>
            <w:shd w:fill="auto" w:val="clear"/>
          </w:tcPr>
          <w:p>
            <w:pPr>
              <w:pStyle w:val="TableContents"/>
              <w:spacing w:before="0" w:after="283"/>
              <w:rPr>
                <w:rFonts w:ascii="Times New Roman" w:hAnsi="Times New Roman"/>
                <w:sz w:val="20"/>
              </w:rPr>
            </w:pPr>
            <w:r>
              <w:rPr>
                <w:rFonts w:ascii="Times New Roman" w:hAnsi="Times New Roman"/>
                <w:sz w:val="20"/>
              </w:rPr>
              <w:t>31.1</w:t>
            </w:r>
          </w:p>
        </w:tc>
        <w:tc>
          <w:tcPr>
            <w:tcW w:w="323" w:type="dxa"/>
            <w:tcBorders/>
            <w:shd w:fill="auto" w:val="clear"/>
            <w:vAlign w:val="bottom"/>
          </w:tcPr>
          <w:p>
            <w:pPr>
              <w:pStyle w:val="TableContents"/>
              <w:spacing w:before="0" w:after="283"/>
              <w:rPr/>
            </w:pPr>
            <w:r>
              <w:rPr/>
              <w:t>  </w:t>
            </w:r>
          </w:p>
        </w:tc>
        <w:tc>
          <w:tcPr>
            <w:tcW w:w="9179" w:type="dxa"/>
            <w:tcBorders/>
            <w:shd w:fill="auto" w:val="clear"/>
          </w:tcPr>
          <w:p>
            <w:pPr>
              <w:pStyle w:val="TableContents"/>
              <w:spacing w:before="0" w:after="283"/>
              <w:rPr>
                <w:rFonts w:ascii="Times New Roman" w:hAnsi="Times New Roman"/>
                <w:sz w:val="20"/>
              </w:rPr>
            </w:pPr>
            <w:r>
              <w:rPr>
                <w:rFonts w:ascii="Times New Roman" w:hAnsi="Times New Roman"/>
                <w:sz w:val="20"/>
              </w:rPr>
              <w:t>Rule 13(a)/15d- 14(a) Certification by Chief Executive Officer</w:t>
            </w:r>
          </w:p>
        </w:tc>
      </w:tr>
      <w:tr>
        <w:trPr>
          <w:trHeight w:val="120" w:hRule="atLeast"/>
        </w:trPr>
        <w:tc>
          <w:tcPr>
            <w:tcW w:w="102" w:type="dxa"/>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9502" w:type="dxa"/>
            <w:gridSpan w:val="2"/>
            <w:tcBorders/>
            <w:shd w:fill="auto" w:val="clear"/>
            <w:vAlign w:val="center"/>
          </w:tcPr>
          <w:p>
            <w:pPr>
              <w:pStyle w:val="TableContents"/>
              <w:spacing w:before="0" w:after="283"/>
              <w:rPr>
                <w:sz w:val="4"/>
                <w:szCs w:val="4"/>
              </w:rPr>
            </w:pPr>
            <w:r>
              <w:rPr>
                <w:sz w:val="4"/>
                <w:szCs w:val="4"/>
              </w:rPr>
            </w:r>
          </w:p>
        </w:tc>
      </w:tr>
      <w:tr>
        <w:trPr/>
        <w:tc>
          <w:tcPr>
            <w:tcW w:w="102"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391" w:type="dxa"/>
            <w:tcBorders/>
            <w:shd w:fill="auto" w:val="clear"/>
          </w:tcPr>
          <w:p>
            <w:pPr>
              <w:pStyle w:val="TableContents"/>
              <w:spacing w:before="0" w:after="283"/>
              <w:rPr>
                <w:rFonts w:ascii="Times New Roman" w:hAnsi="Times New Roman"/>
                <w:sz w:val="20"/>
              </w:rPr>
            </w:pPr>
            <w:r>
              <w:rPr>
                <w:rFonts w:ascii="Times New Roman" w:hAnsi="Times New Roman"/>
                <w:sz w:val="20"/>
              </w:rPr>
              <w:t>31.2</w:t>
            </w:r>
          </w:p>
        </w:tc>
        <w:tc>
          <w:tcPr>
            <w:tcW w:w="323" w:type="dxa"/>
            <w:tcBorders/>
            <w:shd w:fill="auto" w:val="clear"/>
            <w:vAlign w:val="bottom"/>
          </w:tcPr>
          <w:p>
            <w:pPr>
              <w:pStyle w:val="TableContents"/>
              <w:spacing w:before="0" w:after="283"/>
              <w:rPr/>
            </w:pPr>
            <w:r>
              <w:rPr/>
              <w:t>  </w:t>
            </w:r>
          </w:p>
        </w:tc>
        <w:tc>
          <w:tcPr>
            <w:tcW w:w="9179" w:type="dxa"/>
            <w:tcBorders/>
            <w:shd w:fill="auto" w:val="clear"/>
          </w:tcPr>
          <w:p>
            <w:pPr>
              <w:pStyle w:val="TableContents"/>
              <w:spacing w:before="0" w:after="283"/>
              <w:rPr>
                <w:rFonts w:ascii="Times New Roman" w:hAnsi="Times New Roman"/>
                <w:sz w:val="20"/>
              </w:rPr>
            </w:pPr>
            <w:r>
              <w:rPr>
                <w:rFonts w:ascii="Times New Roman" w:hAnsi="Times New Roman"/>
                <w:sz w:val="20"/>
              </w:rPr>
              <w:t>Rule 13(a)/15d- 14(a) Certification by Chief Financial Officer</w:t>
            </w:r>
          </w:p>
        </w:tc>
      </w:tr>
      <w:tr>
        <w:trPr>
          <w:trHeight w:val="120" w:hRule="atLeast"/>
        </w:trPr>
        <w:tc>
          <w:tcPr>
            <w:tcW w:w="102" w:type="dxa"/>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9502" w:type="dxa"/>
            <w:gridSpan w:val="2"/>
            <w:tcBorders/>
            <w:shd w:fill="auto" w:val="clear"/>
            <w:vAlign w:val="center"/>
          </w:tcPr>
          <w:p>
            <w:pPr>
              <w:pStyle w:val="TableContents"/>
              <w:spacing w:before="0" w:after="283"/>
              <w:rPr>
                <w:sz w:val="4"/>
                <w:szCs w:val="4"/>
              </w:rPr>
            </w:pPr>
            <w:r>
              <w:rPr>
                <w:sz w:val="4"/>
                <w:szCs w:val="4"/>
              </w:rPr>
            </w:r>
          </w:p>
        </w:tc>
      </w:tr>
      <w:tr>
        <w:trPr/>
        <w:tc>
          <w:tcPr>
            <w:tcW w:w="102"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391" w:type="dxa"/>
            <w:tcBorders/>
            <w:shd w:fill="auto" w:val="clear"/>
          </w:tcPr>
          <w:p>
            <w:pPr>
              <w:pStyle w:val="TableContents"/>
              <w:spacing w:before="0" w:after="283"/>
              <w:rPr>
                <w:rFonts w:ascii="Times New Roman" w:hAnsi="Times New Roman"/>
                <w:sz w:val="20"/>
              </w:rPr>
            </w:pPr>
            <w:r>
              <w:rPr>
                <w:rFonts w:ascii="Times New Roman" w:hAnsi="Times New Roman"/>
                <w:sz w:val="20"/>
              </w:rPr>
              <w:t>32.1</w:t>
            </w:r>
          </w:p>
        </w:tc>
        <w:tc>
          <w:tcPr>
            <w:tcW w:w="323" w:type="dxa"/>
            <w:tcBorders/>
            <w:shd w:fill="auto" w:val="clear"/>
            <w:vAlign w:val="bottom"/>
          </w:tcPr>
          <w:p>
            <w:pPr>
              <w:pStyle w:val="TableContents"/>
              <w:spacing w:before="0" w:after="283"/>
              <w:rPr/>
            </w:pPr>
            <w:r>
              <w:rPr/>
              <w:t>  </w:t>
            </w:r>
          </w:p>
        </w:tc>
        <w:tc>
          <w:tcPr>
            <w:tcW w:w="9179"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Executive Officer (18 U.S. Section 1350)</w:t>
            </w:r>
          </w:p>
        </w:tc>
      </w:tr>
      <w:tr>
        <w:trPr>
          <w:trHeight w:val="120" w:hRule="atLeast"/>
        </w:trPr>
        <w:tc>
          <w:tcPr>
            <w:tcW w:w="102" w:type="dxa"/>
            <w:tcBorders/>
            <w:shd w:fill="auto" w:val="clear"/>
            <w:vAlign w:val="center"/>
          </w:tcPr>
          <w:p>
            <w:pPr>
              <w:pStyle w:val="TableContents"/>
              <w:spacing w:before="0" w:after="283"/>
              <w:rPr>
                <w:sz w:val="4"/>
                <w:szCs w:val="4"/>
              </w:rPr>
            </w:pPr>
            <w:r>
              <w:rPr>
                <w:sz w:val="4"/>
                <w:szCs w:val="4"/>
              </w:rPr>
            </w:r>
          </w:p>
        </w:tc>
        <w:tc>
          <w:tcPr>
            <w:tcW w:w="601" w:type="dxa"/>
            <w:gridSpan w:val="2"/>
            <w:tcBorders/>
            <w:shd w:fill="auto" w:val="clear"/>
            <w:vAlign w:val="center"/>
          </w:tcPr>
          <w:p>
            <w:pPr>
              <w:pStyle w:val="TableContents"/>
              <w:spacing w:before="0" w:after="283"/>
              <w:rPr>
                <w:sz w:val="4"/>
                <w:szCs w:val="4"/>
              </w:rPr>
            </w:pPr>
            <w:r>
              <w:rPr>
                <w:sz w:val="4"/>
                <w:szCs w:val="4"/>
              </w:rPr>
            </w:r>
          </w:p>
        </w:tc>
        <w:tc>
          <w:tcPr>
            <w:tcW w:w="9502" w:type="dxa"/>
            <w:gridSpan w:val="2"/>
            <w:tcBorders/>
            <w:shd w:fill="auto" w:val="clear"/>
            <w:vAlign w:val="center"/>
          </w:tcPr>
          <w:p>
            <w:pPr>
              <w:pStyle w:val="TableContents"/>
              <w:spacing w:before="0" w:after="283"/>
              <w:rPr>
                <w:sz w:val="4"/>
                <w:szCs w:val="4"/>
              </w:rPr>
            </w:pPr>
            <w:r>
              <w:rPr>
                <w:sz w:val="4"/>
                <w:szCs w:val="4"/>
              </w:rPr>
            </w:r>
          </w:p>
        </w:tc>
      </w:tr>
      <w:tr>
        <w:trPr/>
        <w:tc>
          <w:tcPr>
            <w:tcW w:w="102"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391" w:type="dxa"/>
            <w:tcBorders/>
            <w:shd w:fill="auto" w:val="clear"/>
          </w:tcPr>
          <w:p>
            <w:pPr>
              <w:pStyle w:val="TableContents"/>
              <w:spacing w:before="0" w:after="283"/>
              <w:rPr>
                <w:rFonts w:ascii="Times New Roman" w:hAnsi="Times New Roman"/>
                <w:sz w:val="20"/>
              </w:rPr>
            </w:pPr>
            <w:r>
              <w:rPr>
                <w:rFonts w:ascii="Times New Roman" w:hAnsi="Times New Roman"/>
                <w:sz w:val="20"/>
              </w:rPr>
              <w:t>32.2</w:t>
            </w:r>
          </w:p>
        </w:tc>
        <w:tc>
          <w:tcPr>
            <w:tcW w:w="323" w:type="dxa"/>
            <w:tcBorders/>
            <w:shd w:fill="auto" w:val="clear"/>
            <w:vAlign w:val="bottom"/>
          </w:tcPr>
          <w:p>
            <w:pPr>
              <w:pStyle w:val="TableContents"/>
              <w:spacing w:before="0" w:after="283"/>
              <w:rPr/>
            </w:pPr>
            <w:r>
              <w:rPr/>
              <w:t>  </w:t>
            </w:r>
          </w:p>
        </w:tc>
        <w:tc>
          <w:tcPr>
            <w:tcW w:w="9179"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 of Chief Financial Officer (18 U.S. Section 1350)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sz w:val="20"/>
        </w:rPr>
      </w:pPr>
      <w:bookmarkStart w:id="10" w:name="tx70520_8"/>
      <w:bookmarkEnd w:id="10"/>
      <w:r>
        <w:rPr>
          <w:rFonts w:ascii="Times New Roman" w:hAnsi="Times New Roman"/>
          <w:sz w:val="20"/>
        </w:rPr>
        <w:t xml:space="preserve">SIGNATURE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37"/>
        <w:gridCol w:w="93"/>
        <w:gridCol w:w="3652"/>
      </w:tblGrid>
      <w:tr>
        <w:trPr/>
        <w:tc>
          <w:tcPr>
            <w:tcW w:w="337"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65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337" w:type="dxa"/>
            <w:tcBorders/>
            <w:shd w:fill="auto" w:val="clear"/>
            <w:vAlign w:val="center"/>
          </w:tcPr>
          <w:p>
            <w:pPr>
              <w:pStyle w:val="TableContents"/>
              <w:spacing w:before="0" w:after="283"/>
              <w:rPr>
                <w:sz w:val="4"/>
                <w:szCs w:val="4"/>
              </w:rPr>
            </w:pPr>
            <w:r>
              <w:rPr>
                <w:sz w:val="4"/>
                <w:szCs w:val="4"/>
              </w:rPr>
            </w:r>
          </w:p>
        </w:tc>
        <w:tc>
          <w:tcPr>
            <w:tcW w:w="3745" w:type="dxa"/>
            <w:gridSpan w:val="2"/>
            <w:tcBorders/>
            <w:shd w:fill="auto" w:val="clear"/>
            <w:vAlign w:val="center"/>
          </w:tcPr>
          <w:p>
            <w:pPr>
              <w:pStyle w:val="TableContents"/>
              <w:spacing w:before="0" w:after="283"/>
              <w:rPr>
                <w:sz w:val="4"/>
                <w:szCs w:val="4"/>
              </w:rPr>
            </w:pPr>
            <w:r>
              <w:rPr>
                <w:sz w:val="4"/>
                <w:szCs w:val="4"/>
              </w:rPr>
            </w:r>
          </w:p>
        </w:tc>
      </w:tr>
      <w:tr>
        <w:trPr/>
        <w:tc>
          <w:tcPr>
            <w:tcW w:w="33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3" w:type="dxa"/>
            <w:tcBorders/>
            <w:shd w:fill="auto" w:val="clear"/>
            <w:vAlign w:val="bottom"/>
          </w:tcPr>
          <w:p>
            <w:pPr>
              <w:pStyle w:val="TableContents"/>
              <w:spacing w:before="0" w:after="283"/>
              <w:rPr/>
            </w:pPr>
            <w:r>
              <w:rPr/>
              <w:t> </w:t>
            </w:r>
          </w:p>
        </w:tc>
        <w:tc>
          <w:tcPr>
            <w:tcW w:w="365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 Chief</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Financial Officer</w:t>
            </w:r>
          </w:p>
        </w:tc>
      </w:tr>
    </w:tbl>
    <w:p>
      <w:pPr>
        <w:pStyle w:val="TextBody"/>
        <w:spacing w:before="270" w:after="0"/>
        <w:rPr>
          <w:rFonts w:ascii="Times New Roman" w:hAnsi="Times New Roman"/>
          <w:sz w:val="20"/>
        </w:rPr>
      </w:pPr>
      <w:r>
        <w:rPr>
          <w:rFonts w:ascii="Times New Roman" w:hAnsi="Times New Roman"/>
          <w:sz w:val="20"/>
        </w:rPr>
        <w:t xml:space="preserve">Date: May 14,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TextBody"/>
        <w:spacing w:before="0" w:after="0"/>
        <w:jc w:val="right"/>
        <w:rPr>
          <w:rFonts w:ascii="Times New Roman" w:hAnsi="Times New Roman"/>
          <w:b/>
          <w:sz w:val="20"/>
        </w:rPr>
      </w:pPr>
      <w:bookmarkStart w:id="11" w:name="dex104.htm"/>
      <w:bookmarkStart w:id="12" w:name="ksdex104"/>
      <w:bookmarkEnd w:id="11"/>
      <w:bookmarkEnd w:id="12"/>
      <w:r>
        <w:rPr>
          <w:rFonts w:ascii="Times New Roman" w:hAnsi="Times New Roman"/>
          <w:b/>
          <w:sz w:val="20"/>
        </w:rPr>
        <w:t xml:space="preserve">Exhibit 10.4 </w:t>
      </w:r>
    </w:p>
    <w:p>
      <w:pPr>
        <w:pStyle w:val="TextBody"/>
        <w:spacing w:before="180" w:after="0"/>
        <w:jc w:val="center"/>
        <w:rPr>
          <w:rFonts w:ascii="Times New Roman" w:hAnsi="Times New Roman"/>
          <w:b/>
          <w:sz w:val="20"/>
        </w:rPr>
      </w:pPr>
      <w:r>
        <w:rPr>
          <w:rFonts w:ascii="Times New Roman" w:hAnsi="Times New Roman"/>
          <w:b/>
          <w:sz w:val="20"/>
        </w:rPr>
        <w:t xml:space="preserve">EXECUTIVE EMPLOYMENT AGREEMENT </w:t>
      </w:r>
    </w:p>
    <w:p>
      <w:pPr>
        <w:pStyle w:val="TextBody"/>
        <w:pBdr/>
        <w:spacing w:before="180" w:after="0"/>
        <w:rPr/>
      </w:pPr>
      <w:r>
        <w:rPr>
          <w:rFonts w:ascii="Times New Roman" w:hAnsi="Times New Roman"/>
          <w:sz w:val="20"/>
        </w:rPr>
        <w:t>This Executive Employment Agreement (the </w:t>
      </w:r>
      <w:r>
        <w:rPr>
          <w:rFonts w:ascii="Times New Roman" w:hAnsi="Times New Roman"/>
          <w:sz w:val="20"/>
          <w:u w:val="single"/>
        </w:rPr>
        <w:t>Agreement</w:t>
      </w:r>
      <w:r>
        <w:rPr>
          <w:rFonts w:ascii="Times New Roman" w:hAnsi="Times New Roman"/>
          <w:sz w:val="20"/>
        </w:rPr>
        <w:t>) is made and entered into as of the 15</w:t>
      </w:r>
      <w:r>
        <w:rPr>
          <w:rFonts w:ascii="Times New Roman" w:hAnsi="Times New Roman"/>
          <w:sz w:val="14"/>
        </w:rPr>
        <w:t>th</w:t>
      </w:r>
      <w:r>
        <w:rPr/>
        <w:t xml:space="preserve"> </w:t>
      </w:r>
      <w:r>
        <w:rPr>
          <w:rFonts w:ascii="Times New Roman" w:hAnsi="Times New Roman"/>
          <w:sz w:val="20"/>
        </w:rPr>
        <w:t>day of February, 2010, by and between Jeffrey Lang (the </w:t>
      </w:r>
      <w:r>
        <w:rPr>
          <w:rFonts w:ascii="Times New Roman" w:hAnsi="Times New Roman"/>
          <w:sz w:val="20"/>
          <w:u w:val="single"/>
        </w:rPr>
        <w:t>Executive</w:t>
      </w:r>
      <w:r>
        <w:rPr>
          <w:rFonts w:ascii="Times New Roman" w:hAnsi="Times New Roman"/>
          <w:sz w:val="20"/>
        </w:rPr>
        <w:t>) and CECO Environmental Corp., a Delaware corporation (the </w:t>
      </w:r>
      <w:r>
        <w:rPr>
          <w:rFonts w:ascii="Times New Roman" w:hAnsi="Times New Roman"/>
          <w:sz w:val="20"/>
          <w:u w:val="single"/>
        </w:rPr>
        <w:t>Company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desires to employ Executive and to enter into an agreement, embodying the terms of such employment; and </w:t>
      </w:r>
    </w:p>
    <w:p>
      <w:pPr>
        <w:pStyle w:val="TextBody"/>
        <w:spacing w:before="180" w:after="0"/>
        <w:rPr>
          <w:rFonts w:ascii="Times New Roman" w:hAnsi="Times New Roman"/>
          <w:sz w:val="20"/>
        </w:rPr>
      </w:pPr>
      <w:r>
        <w:rPr>
          <w:rFonts w:ascii="Times New Roman" w:hAnsi="Times New Roman"/>
          <w:b/>
          <w:sz w:val="20"/>
        </w:rPr>
        <w:t>WHEREAS</w:t>
      </w:r>
      <w:r>
        <w:rPr>
          <w:rFonts w:ascii="Times New Roman" w:hAnsi="Times New Roman"/>
          <w:sz w:val="20"/>
        </w:rPr>
        <w:t xml:space="preserve">, Executive desires to accept such employment and enter into such an agreement; </w:t>
      </w:r>
    </w:p>
    <w:p>
      <w:pPr>
        <w:pStyle w:val="TextBody"/>
        <w:spacing w:before="180" w:after="0"/>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mutual covenants herein and for other good and valuable consideration, the parties agree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Term of Employment</w:t>
      </w:r>
      <w:r>
        <w:rPr>
          <w:rFonts w:ascii="Times New Roman" w:hAnsi="Times New Roman"/>
          <w:sz w:val="20"/>
        </w:rPr>
        <w:t>. Subject to the provisions of Section 8 of this Agreement, Executive shall be employed by the Company for a period commencing on February 15, 2010 (the </w:t>
      </w:r>
      <w:r>
        <w:rPr>
          <w:rFonts w:ascii="Times New Roman" w:hAnsi="Times New Roman"/>
          <w:sz w:val="20"/>
          <w:u w:val="single"/>
        </w:rPr>
        <w:t>Effective Date</w:t>
      </w:r>
      <w:r>
        <w:rPr>
          <w:rFonts w:ascii="Times New Roman" w:hAnsi="Times New Roman"/>
          <w:sz w:val="20"/>
        </w:rPr>
        <w:t>) and ending five (5) years after the Effective Date, unless terminated earlier, as provided herein, in accordance with the provisions of Section 8 of this Agreement (the </w:t>
      </w:r>
      <w:r>
        <w:rPr>
          <w:rFonts w:ascii="Times New Roman" w:hAnsi="Times New Roman"/>
          <w:sz w:val="20"/>
          <w:u w:val="single"/>
        </w:rPr>
        <w:t>Employment Term</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Position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a. During the Employment Term, Executive shall serve as the Chief Executive Officer of the Company. Executive shall also have the option of assuming the title of President of the Company. In such position, Executive shall have such duties and authority as shall be determined from time to time by the Compensation Committee of the Board of Directors (Comp Committee) or such other designees of the Board of Directors authority hereunder as the Board of Directors may designate (collectively, the </w:t>
      </w:r>
      <w:r>
        <w:rPr>
          <w:rFonts w:ascii="Times New Roman" w:hAnsi="Times New Roman"/>
          <w:sz w:val="20"/>
          <w:u w:val="single"/>
        </w:rPr>
        <w:t>Board</w:t>
      </w:r>
      <w:r>
        <w:rPr>
          <w:rFonts w:ascii="Times New Roman" w:hAnsi="Times New Roman"/>
          <w:sz w:val="20"/>
        </w:rPr>
        <w:t xml:space="preserve">). Executive agrees to serve, if requested, without additional compensation, as an officer for each of the Companys subsidiaries and other affiliates, including any entities in which the Company has a significant investment. Executive shall be nominated to serve as a member of the Board of Directors of the Company on or prior to the Companys 2010 Annual Meeting. Executive shall serve as a member of the Boards of Directors of the Company and any of its subsidiaries or other affiliates without additional compensation, if requested. As used in this Agreement, the term affiliates will include any entity controlled by, controlling, or under common control of the Company. </w:t>
      </w:r>
    </w:p>
    <w:p>
      <w:pPr>
        <w:pStyle w:val="TextBody"/>
        <w:spacing w:before="180" w:after="0"/>
        <w:rPr>
          <w:rFonts w:ascii="Times New Roman" w:hAnsi="Times New Roman"/>
          <w:sz w:val="20"/>
        </w:rPr>
      </w:pPr>
      <w:r>
        <w:rPr>
          <w:rFonts w:ascii="Times New Roman" w:hAnsi="Times New Roman"/>
          <w:sz w:val="20"/>
        </w:rPr>
        <w:t xml:space="preserve">b. During the Employment Term, 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Times New Roman" w:hAnsi="Times New Roman"/>
          <w:sz w:val="20"/>
          <w:u w:val="single"/>
        </w:rPr>
        <w:t>provided</w:t>
      </w:r>
      <w:r>
        <w:rPr>
          <w:rFonts w:ascii="Times New Roman" w:hAnsi="Times New Roman"/>
          <w:sz w:val="20"/>
        </w:rPr>
        <w:t xml:space="preserve"> that nothing herein shall preclude Executive, subject to the prior approval of the Board, from accepting appointment to or continuing to serve on any board of directors or trustees of any business corporation or any charitable organization or any industry association f</w:t>
      </w:r>
      <w:r>
        <w:rPr>
          <w:rFonts w:ascii="Times New Roman" w:hAnsi="Times New Roman"/>
          <w:sz w:val="20"/>
          <w:u w:val="single"/>
        </w:rPr>
        <w:t>urther provided</w:t>
      </w:r>
      <w:r>
        <w:rPr>
          <w:rFonts w:ascii="Times New Roman" w:hAnsi="Times New Roman"/>
          <w:sz w:val="20"/>
        </w:rPr>
        <w:t xml:space="preserve">, in each case, and in the aggregate, that such activities do not conflict or interfere with the performance of Executives duties hereunder or conflict with Section 9 or Section 10. Set forth on </w:t>
      </w:r>
      <w:r>
        <w:rPr>
          <w:rFonts w:ascii="Times New Roman" w:hAnsi="Times New Roman"/>
          <w:sz w:val="20"/>
          <w:u w:val="single"/>
        </w:rPr>
        <w:t>Exhibit A</w:t>
      </w:r>
      <w:r>
        <w:rPr>
          <w:rFonts w:ascii="Times New Roman" w:hAnsi="Times New Roman"/>
          <w:sz w:val="20"/>
        </w:rPr>
        <w:t xml:space="preserve"> hereto is a complete list, as of the Effective Date, of the Executives positions on any board of directors or trustees of any business corporation or any charitable organization.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At all times during the Employment Term, Executive shall strictly adhere to and obey all of the Companys written rules, regulations and policies, including without limitation the CECO Environmental Corp. Code of Ethics and Corporate Insider Trading Policy as provided to Executive on February     , 2010, and as amended from time to time to conform to applicable rules and regulations or as determined by the Board or a committee thereof, which govern the operation of the Companys business and the conduct of employees of the Company.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Base Salary</w:t>
      </w:r>
      <w:r>
        <w:rPr>
          <w:rFonts w:ascii="Times New Roman" w:hAnsi="Times New Roman"/>
          <w:sz w:val="20"/>
        </w:rPr>
        <w:t>. During the Employment Term, the Company shall pay Executive a base salary at the annual rate of $385,000, payable in regular installments in accordance with the Companys usual payment practices. Executives base salary shall be reviewed annually by the Comp Committee. Executive shall be entitled to such increases in Executives base salary, if any, as may be determined from time to time in the sole discretion of the Comp Committee. Executives annual base salary, as in effect from time to time, is hereinafter referred to as the </w:t>
      </w:r>
      <w:r>
        <w:rPr>
          <w:rFonts w:ascii="Times New Roman" w:hAnsi="Times New Roman"/>
          <w:sz w:val="20"/>
          <w:u w:val="single"/>
        </w:rPr>
        <w:t>Base Salary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Annual Bonus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a. With respect to the 2010 fiscal year and each full fiscal year of the Company during the Employment Term (</w:t>
      </w:r>
      <w:r>
        <w:rPr>
          <w:rFonts w:ascii="Times New Roman" w:hAnsi="Times New Roman"/>
          <w:sz w:val="20"/>
          <w:u w:val="single"/>
        </w:rPr>
        <w:t>Fiscal Year</w:t>
      </w:r>
      <w:r>
        <w:rPr>
          <w:rFonts w:ascii="Times New Roman" w:hAnsi="Times New Roman"/>
          <w:sz w:val="20"/>
        </w:rPr>
        <w:t>), Executive shall be eligible to earn an annual bonus award (an </w:t>
      </w:r>
      <w:r>
        <w:rPr>
          <w:rFonts w:ascii="Times New Roman" w:hAnsi="Times New Roman"/>
          <w:sz w:val="20"/>
          <w:u w:val="single"/>
        </w:rPr>
        <w:t>Annual Bonus</w:t>
      </w:r>
      <w:r>
        <w:rPr>
          <w:rFonts w:ascii="Times New Roman" w:hAnsi="Times New Roman"/>
          <w:sz w:val="20"/>
        </w:rPr>
        <w:t>). The amount of each Annual Bonus shall be based on achievement of the annual targets (collectively, the </w:t>
      </w:r>
      <w:r>
        <w:rPr>
          <w:rFonts w:ascii="Times New Roman" w:hAnsi="Times New Roman"/>
          <w:sz w:val="20"/>
          <w:u w:val="single"/>
        </w:rPr>
        <w:t>Bonus Targets</w:t>
      </w:r>
      <w:r>
        <w:rPr>
          <w:rFonts w:ascii="Times New Roman" w:hAnsi="Times New Roman"/>
          <w:sz w:val="20"/>
        </w:rPr>
        <w:t xml:space="preserve">) mutually determined by the Comp Committee and Executive, which Bonus Targets shall include the following metrics: gross profit, net income, personal goals and achievements, Company revenue, share price, and such other metrics as agreed to by Executive and the Comp Committee on an annual basis, commencing with the Bonus Targets for the Companys Fiscal Year commencing January 1, 2010 and ending December 31, 2010. Within 90 days following the Effective Date and thereafter on or before the date which is 30 days prior to the end of each of the Companys subsequent Fiscal Year ends, the Comp Committee will propose Bonus Targets for the upcoming Fiscal Year in consultation with the Executive and will make any adjustments to the Bonus Targets that the Comp Committee and the Executive agree are reasonable and appropriate. For each full Fiscal Year, if the Company achieves 100% of its Bonus Targets for such Fiscal Year, the Annual Bonus shall have a target value equal to 100% of Executives Base Salary for that Fiscal Year. The Annual Bonus Target value shall be pro rated for the 2010 Fiscal Year based upon the percentage equal to number of days of such Fiscal Year following the Effective Date divided by 365. The Comp Committee will determine in its discretion what adjustments, if any, will be made to the Annual Bonus amount to be paid to Executive in the event the Company meets some but not all of its Bonus Targets for a Fiscal year. </w:t>
      </w:r>
    </w:p>
    <w:p>
      <w:pPr>
        <w:pStyle w:val="TextBody"/>
        <w:spacing w:before="180" w:after="0"/>
        <w:rPr>
          <w:rFonts w:ascii="Times New Roman" w:hAnsi="Times New Roman"/>
          <w:sz w:val="20"/>
        </w:rPr>
      </w:pPr>
      <w:r>
        <w:rPr>
          <w:rFonts w:ascii="Times New Roman" w:hAnsi="Times New Roman"/>
          <w:sz w:val="20"/>
        </w:rPr>
        <w:t xml:space="preserve">b. Each Annual Bonus shall be deemed to vest and accrue at the end of the last day of the Fiscal Year for which it is earned. Each Annual Bonus shall be paid as soon as practicable following the end of the Fiscal Year for which it is earned, subject to the certification by the Chief Financial Officer of the Company and approval by the Comp Committee of achievement of the applicable performance targets and goals described in this Section 4 above and the amount of such Annual Bonus. The Annual Bonus, if any, shall be paid to Executive 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all cases within the later of i) two and one-half (2.5) months after the end of the Fiscal Year or ii) 30 days after the completion of an external audit to the satisfaction of the Comp Committee, but in no event later than two and one-half (2.5) months after the end of the calendar year in which the Annual Bonus vests. </w:t>
      </w:r>
    </w:p>
    <w:p>
      <w:pPr>
        <w:pStyle w:val="TextBody"/>
        <w:spacing w:before="180" w:after="0"/>
        <w:rPr>
          <w:rFonts w:ascii="Times New Roman" w:hAnsi="Times New Roman"/>
          <w:sz w:val="20"/>
        </w:rPr>
      </w:pPr>
      <w:r>
        <w:rPr>
          <w:rFonts w:ascii="Times New Roman" w:hAnsi="Times New Roman"/>
          <w:sz w:val="20"/>
        </w:rPr>
        <w:t xml:space="preserve">c. Notwithstanding anything herein to the contrary, if the Company implements a plan from which the Company grants and administers cash incentive payments and the intent of such plan is to make the awards thereunder qualified performance based compensation under Section 162(m) of the Code, then on the day immediately prior to the day such plan is approved by shareholders (a) Section 4.a. shall be automatically and without further action amended and restated to read With respect to each fiscal year of the Company during the Employment Term (Fiscal Year), Executive shall be eligible to earn an annual bonus award (an Annual Bonus) pursuant to and in accordance with the terms set from time to time by the Comp Committee. and (b) Section 8.c.(ii)(B)(ii) shall be automatically and without further action amended and restated to read the Annual Bonus for the Companys Fiscal Year during which Executives termination without Cause occurred, based upon actual performance and prorated for the number of days employed during that Fiscal Year and paid within two and one half months after the end of such year.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Stock Option Award</w:t>
      </w:r>
      <w:r>
        <w:rPr>
          <w:rFonts w:ascii="Times New Roman" w:hAnsi="Times New Roman"/>
          <w:sz w:val="20"/>
        </w:rPr>
        <w:t>. On or as soon as practicable following the Effective Date, Executive will be granted under the CECO Environmental Corp. 2007 Equity Incentive Plan (the </w:t>
      </w:r>
      <w:r>
        <w:rPr>
          <w:rFonts w:ascii="Times New Roman" w:hAnsi="Times New Roman"/>
          <w:sz w:val="20"/>
          <w:u w:val="single"/>
        </w:rPr>
        <w:t>Plan</w:t>
      </w:r>
      <w:r>
        <w:rPr>
          <w:rFonts w:ascii="Times New Roman" w:hAnsi="Times New Roman"/>
          <w:sz w:val="20"/>
        </w:rPr>
        <w:t>) an option agreement (the </w:t>
      </w:r>
      <w:r>
        <w:rPr>
          <w:rFonts w:ascii="Times New Roman" w:hAnsi="Times New Roman"/>
          <w:sz w:val="20"/>
          <w:u w:val="single"/>
        </w:rPr>
        <w:t>Option Agreement</w:t>
      </w:r>
      <w:r>
        <w:rPr>
          <w:rFonts w:ascii="Times New Roman" w:hAnsi="Times New Roman"/>
          <w:sz w:val="20"/>
        </w:rPr>
        <w:t>) containing incentive options for shares of common stock, up to the amount permitted by applicable law, and non-qualified stock options for the remainder resulting in the aggregate right to purchase up to 600,000 shares of the Companys common stock, subject to the terms and conditions of the Plan, and subject to the action of the committee that administers such Plan (the </w:t>
      </w:r>
      <w:r>
        <w:rPr>
          <w:rFonts w:ascii="Times New Roman" w:hAnsi="Times New Roman"/>
          <w:sz w:val="20"/>
          <w:u w:val="single"/>
        </w:rPr>
        <w:t>Stock Options</w:t>
      </w:r>
      <w:r>
        <w:rPr>
          <w:rFonts w:ascii="Times New Roman" w:hAnsi="Times New Roman"/>
          <w:sz w:val="20"/>
        </w:rPr>
        <w:t xml:space="preserve">). The per-share exercise price for the Stock Options will be the fair market value of a share of the Companys common stock on the date of grant as provided in the Plan. The Stock Options shall have a ten (10) year term. The Stock Options will vest in five (5) equal installments on each of the first five (5) anniversary dates of the Effective Date of this Agreement, as long as Executive is employed by the Company on such date. Additionally, the Option Agreement shall have the other terms as set forth in </w:t>
      </w:r>
      <w:r>
        <w:rPr>
          <w:rFonts w:ascii="Times New Roman" w:hAnsi="Times New Roman"/>
          <w:sz w:val="20"/>
          <w:u w:val="single"/>
        </w:rPr>
        <w:t>Exhibit B</w:t>
      </w:r>
      <w:r>
        <w:rPr>
          <w:rFonts w:ascii="Times New Roman" w:hAnsi="Times New Roman"/>
          <w:sz w:val="20"/>
        </w:rPr>
        <w:t xml:space="preserve"> and other reasonable and customary Company stock option agreement terms not inconsistent with those set forth in </w:t>
      </w:r>
      <w:r>
        <w:rPr>
          <w:rFonts w:ascii="Times New Roman" w:hAnsi="Times New Roman"/>
          <w:sz w:val="20"/>
          <w:u w:val="single"/>
        </w:rPr>
        <w:t>Exhibit B</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Employee Benefits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a. During the Employment Term, Executive shall be entitled to participate in the employee benefit plans of the Company or The Kirk &amp; Blum Manufacturing Company (other than annual bonus plans, severance plans, and incentive plans) as in effect from time to time (collectively, </w:t>
      </w:r>
      <w:r>
        <w:rPr>
          <w:rFonts w:ascii="Times New Roman" w:hAnsi="Times New Roman"/>
          <w:sz w:val="20"/>
          <w:u w:val="single"/>
        </w:rPr>
        <w:t>Employee Benefits</w:t>
      </w:r>
      <w:r>
        <w:rPr>
          <w:rFonts w:ascii="Times New Roman" w:hAnsi="Times New Roman"/>
          <w:sz w:val="20"/>
        </w:rPr>
        <w:t xml:space="preserve">), on the same basis as those benefits are generally made available to other similarly situated executives. </w:t>
      </w:r>
    </w:p>
    <w:p>
      <w:pPr>
        <w:pStyle w:val="TextBody"/>
        <w:spacing w:before="180" w:after="0"/>
        <w:rPr>
          <w:rFonts w:ascii="Times New Roman" w:hAnsi="Times New Roman"/>
          <w:sz w:val="20"/>
        </w:rPr>
      </w:pPr>
      <w:r>
        <w:rPr>
          <w:rFonts w:ascii="Times New Roman" w:hAnsi="Times New Roman"/>
          <w:sz w:val="20"/>
        </w:rPr>
        <w:t xml:space="preserve">b. Executive shall receive three (3) weeks paid vacation, of which not more than ten (10) days shall be taken consecutively, during each year of employment to accumulate from year to year to the extent not used and to be paid in cash to the extent not taken during the Employment Term, and such holiday and sick time as the as provided under the Companys policies from time to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Executive shall receive a car allowance of $1,000 per month. </w:t>
      </w:r>
    </w:p>
    <w:p>
      <w:pPr>
        <w:pStyle w:val="TextBody"/>
        <w:spacing w:before="180" w:after="0"/>
        <w:rPr>
          <w:rFonts w:ascii="Times New Roman" w:hAnsi="Times New Roman"/>
          <w:sz w:val="20"/>
        </w:rPr>
      </w:pPr>
      <w:r>
        <w:rPr>
          <w:rFonts w:ascii="Times New Roman" w:hAnsi="Times New Roman"/>
          <w:sz w:val="20"/>
        </w:rPr>
        <w:t xml:space="preserve">d. The Company and Executive acknowledge that Executive shall incur relocation expenses in connection with the Executives employment by the Company. The Company agrees that Executive shall be reimbursed for relocation expenses up to $50,000. Any amounts in excess of $50,000 shall require written approval of the Comp Committee.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Business Expenses</w:t>
      </w:r>
      <w:r>
        <w:rPr>
          <w:rFonts w:ascii="Times New Roman" w:hAnsi="Times New Roman"/>
          <w:sz w:val="20"/>
        </w:rPr>
        <w:t xml:space="preserve">. During the Employment Term, reasonable travel, entertainment and other business expenses incurred by Executive in the performance of Executives as in effect from time to time duties hereunder shall be reimbursed by the Company in accordance with Company policies. </w:t>
      </w:r>
    </w:p>
    <w:p>
      <w:pPr>
        <w:pStyle w:val="TextBody"/>
        <w:spacing w:before="18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Termination</w:t>
      </w:r>
      <w:r>
        <w:rPr>
          <w:rFonts w:ascii="Times New Roman" w:hAnsi="Times New Roman"/>
          <w:sz w:val="20"/>
        </w:rPr>
        <w:t xml:space="preserve">. The Employment Term and Executives employment hereunder may be terminated by either party at any time, with or without cause or for any or no cause; </w:t>
      </w:r>
      <w:r>
        <w:rPr>
          <w:rFonts w:ascii="Times New Roman" w:hAnsi="Times New Roman"/>
          <w:sz w:val="20"/>
          <w:u w:val="single"/>
        </w:rPr>
        <w:t>provided</w:t>
      </w:r>
      <w:r>
        <w:rPr>
          <w:rFonts w:ascii="Times New Roman" w:hAnsi="Times New Roman"/>
          <w:sz w:val="20"/>
        </w:rPr>
        <w:t xml:space="preserve"> that Executive will be required to give the Company at least 60 days advance written notice of any resignation of Executives employment. Notwithstanding any other provision of this Agreement, the provisions of this Section 8 shall exclusively govern Executives rights upon termination of employment with the Company and its affiliates.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By the Company For Cause or By Executive Resignation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 The Employment Term and Executives employment hereunder may be terminated by the Company for Cause (as defined below) and shall terminate automatically upon Executives resignation; </w:t>
      </w:r>
      <w:r>
        <w:rPr>
          <w:rFonts w:ascii="Times New Roman" w:hAnsi="Times New Roman"/>
          <w:sz w:val="20"/>
          <w:u w:val="single"/>
        </w:rPr>
        <w:t>provided</w:t>
      </w:r>
      <w:r>
        <w:rPr>
          <w:rFonts w:ascii="Times New Roman" w:hAnsi="Times New Roman"/>
          <w:sz w:val="20"/>
        </w:rPr>
        <w:t xml:space="preserve"> that Executive shall be required to give the Company at least 60 days advance written notice of a resignation. </w:t>
      </w:r>
    </w:p>
    <w:p>
      <w:pPr>
        <w:pStyle w:val="TextBody"/>
        <w:spacing w:before="180" w:after="0"/>
        <w:rPr>
          <w:rFonts w:ascii="Times New Roman" w:hAnsi="Times New Roman"/>
          <w:sz w:val="20"/>
        </w:rPr>
      </w:pPr>
      <w:r>
        <w:rPr>
          <w:rFonts w:ascii="Times New Roman" w:hAnsi="Times New Roman"/>
          <w:sz w:val="20"/>
        </w:rPr>
        <w:t>For purposes of this Agreement, </w:t>
      </w:r>
      <w:r>
        <w:rPr>
          <w:rFonts w:ascii="Times New Roman" w:hAnsi="Times New Roman"/>
          <w:sz w:val="20"/>
          <w:u w:val="single"/>
        </w:rPr>
        <w:t>Cause</w:t>
      </w:r>
      <w:r>
        <w:rPr>
          <w:rFonts w:ascii="Times New Roman" w:hAnsi="Times New Roman"/>
          <w:sz w:val="20"/>
        </w:rPr>
        <w:t xml:space="preserve"> shall mean: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1"/>
        <w:gridCol w:w="510"/>
        <w:gridCol w:w="7554"/>
      </w:tblGrid>
      <w:tr>
        <w:trPr/>
        <w:tc>
          <w:tcPr>
            <w:tcW w:w="214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75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wilfull and material breach of Executive of any provision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2"/>
        <w:gridCol w:w="508"/>
        <w:gridCol w:w="7555"/>
      </w:tblGrid>
      <w:tr>
        <w:trPr/>
        <w:tc>
          <w:tcPr>
            <w:tcW w:w="2142"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75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act by Executive of fraud or dishonesty including, but not limited to, stealing or falsification of company records, with respect to the Company or its affiliates;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2"/>
        <w:gridCol w:w="508"/>
        <w:gridCol w:w="7555"/>
      </w:tblGrid>
      <w:tr>
        <w:trPr/>
        <w:tc>
          <w:tcPr>
            <w:tcW w:w="2142"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75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by Executive to perform his duties as lawfully directed by the Board, provided the Company has delivered to Executive a written notice setting forth such failure and shall have given Executive an opportunity to meet with the Company and to remedy or cure such failure within 15 business days following delivery of such written notice;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3"/>
        <w:gridCol w:w="509"/>
        <w:gridCol w:w="7553"/>
      </w:tblGrid>
      <w:tr>
        <w:trPr/>
        <w:tc>
          <w:tcPr>
            <w:tcW w:w="214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755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misappropriation of Company funds or of any corporate opportunity;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3"/>
        <w:gridCol w:w="510"/>
        <w:gridCol w:w="7552"/>
      </w:tblGrid>
      <w:tr>
        <w:trPr/>
        <w:tc>
          <w:tcPr>
            <w:tcW w:w="214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755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unauthorized use or disclosure of Confidential Information (as defined herein);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142"/>
        <w:gridCol w:w="510"/>
        <w:gridCol w:w="7553"/>
      </w:tblGrid>
      <w:tr>
        <w:trPr/>
        <w:tc>
          <w:tcPr>
            <w:tcW w:w="214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755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conviction of Executive of a felony, or of a crime that the Company, in its sole discretion, determines involves a subject matter which may reflect negatively on the reputation or business of the Company or any of its affiliates (or a plea of </w:t>
            </w:r>
            <w:r>
              <w:rPr>
                <w:rFonts w:ascii="Times New Roman" w:hAnsi="Times New Roman"/>
                <w:i/>
                <w:sz w:val="20"/>
              </w:rPr>
              <w:t>nolo contendere</w:t>
            </w:r>
            <w:r>
              <w:rPr>
                <w:rFonts w:ascii="Times New Roman" w:hAnsi="Times New Roman"/>
                <w:sz w:val="20"/>
              </w:rPr>
              <w:t xml:space="preserve"> thereto), excluding minor traffic violations and similar incidents;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2"/>
        <w:gridCol w:w="510"/>
        <w:gridCol w:w="7553"/>
      </w:tblGrid>
      <w:tr>
        <w:trPr/>
        <w:tc>
          <w:tcPr>
            <w:tcW w:w="214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(G)</w:t>
            </w:r>
          </w:p>
        </w:tc>
        <w:tc>
          <w:tcPr>
            <w:tcW w:w="755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acts by Executive attempting to secure or securing any personal profit not fully disclosed to and approved by the Board in connection with any transaction entered into on behalf of the Company or any of its affiliates;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2"/>
        <w:gridCol w:w="508"/>
        <w:gridCol w:w="7555"/>
      </w:tblGrid>
      <w:tr>
        <w:trPr/>
        <w:tc>
          <w:tcPr>
            <w:tcW w:w="2142"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(H)</w:t>
            </w:r>
          </w:p>
        </w:tc>
        <w:tc>
          <w:tcPr>
            <w:tcW w:w="75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gross, willful or wanton negligence, misconduct, or other conduct on the part of Executive, which constitutes a breach of any fiduciary duty or duty of loyalty owed to the Company by Executive; provided the Company has delivered to Executive a written notice setting forth such conduct and shall have given Executive an opportunity to meet with the Company and to remedy or cure such conduct within 15 business days following delivery of such written notice;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1"/>
        <w:gridCol w:w="508"/>
        <w:gridCol w:w="7556"/>
      </w:tblGrid>
      <w:tr>
        <w:trPr/>
        <w:tc>
          <w:tcPr>
            <w:tcW w:w="2141"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755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acceptance by Executive of employment with another employer, other than employment approved by the Board of Directors in accordance with Section 2(b)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1"/>
        <w:gridCol w:w="509"/>
        <w:gridCol w:w="7555"/>
      </w:tblGrid>
      <w:tr>
        <w:trPr/>
        <w:tc>
          <w:tcPr>
            <w:tcW w:w="214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(J)</w:t>
            </w:r>
          </w:p>
        </w:tc>
        <w:tc>
          <w:tcPr>
            <w:tcW w:w="755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conduct on the part of Executive, even if not in connection with the performance of Executives duties contemplated under this Agreement, that could result in serious prejudice to the interests of the Company or any of its affiliates, as determined by the Board in its sole discretion, and failure by Executive to cease such conduct immediately upon receipt of notice to cease such conduct;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1"/>
        <w:gridCol w:w="510"/>
        <w:gridCol w:w="7554"/>
      </w:tblGrid>
      <w:tr>
        <w:trPr/>
        <w:tc>
          <w:tcPr>
            <w:tcW w:w="214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(K)</w:t>
            </w:r>
          </w:p>
        </w:tc>
        <w:tc>
          <w:tcPr>
            <w:tcW w:w="75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violation of any material federal or state securities laws, rules or regulations, as determined by the Board in its sole and good faith discretion;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2"/>
        <w:gridCol w:w="510"/>
        <w:gridCol w:w="7553"/>
      </w:tblGrid>
      <w:tr>
        <w:trPr/>
        <w:tc>
          <w:tcPr>
            <w:tcW w:w="214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(L)</w:t>
            </w:r>
          </w:p>
        </w:tc>
        <w:tc>
          <w:tcPr>
            <w:tcW w:w="755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obstructing or impeding; (B) endeavoring to influence, obstruct or impede, or (C) failing to materially cooperate with, any investigation authorized by the Board or any governmental or self-regulatory entity (an Investigation). However, Executives failure to waive attorney-client privilege relating to communications with Executives own attorney in connection with an Investigation will not constitute Cause. </w:t>
            </w:r>
          </w:p>
        </w:tc>
      </w:tr>
    </w:tbl>
    <w:p>
      <w:pPr>
        <w:pStyle w:val="TextBody"/>
        <w:spacing w:before="180" w:after="0"/>
        <w:rPr>
          <w:rFonts w:ascii="Times New Roman" w:hAnsi="Times New Roman"/>
          <w:sz w:val="20"/>
        </w:rPr>
      </w:pPr>
      <w:r>
        <w:rPr>
          <w:rFonts w:ascii="Times New Roman" w:hAnsi="Times New Roman"/>
          <w:sz w:val="20"/>
        </w:rPr>
        <w:t xml:space="preserve">(ii) If Executives employment is terminated by the Company for Cause, or if Executive resigns, Executive shall be entitled to receive: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3"/>
        <w:gridCol w:w="509"/>
        <w:gridCol w:w="7553"/>
      </w:tblGrid>
      <w:tr>
        <w:trPr/>
        <w:tc>
          <w:tcPr>
            <w:tcW w:w="214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755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Base Salary through the date of termination;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142"/>
        <w:gridCol w:w="510"/>
        <w:gridCol w:w="7553"/>
      </w:tblGrid>
      <w:tr>
        <w:trPr/>
        <w:tc>
          <w:tcPr>
            <w:tcW w:w="214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755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reimbursement, within 30 days following submission by Executive to the Company of appropriate supporting documentation, for any unreimbursed business expenses properly incurred by Executive in accordance with Company policy prior to the date of Executives termination; </w:t>
            </w:r>
            <w:r>
              <w:rPr>
                <w:rFonts w:ascii="Times New Roman" w:hAnsi="Times New Roman"/>
                <w:sz w:val="20"/>
                <w:u w:val="single"/>
              </w:rPr>
              <w:t>provided</w:t>
            </w:r>
            <w:r>
              <w:rPr>
                <w:rFonts w:ascii="Times New Roman" w:hAnsi="Times New Roman"/>
                <w:sz w:val="20"/>
              </w:rPr>
              <w:t xml:space="preserve"> claims for such reimbursement (accompanied by appropriate supporting documentation) are submitted to the Company within 90 days following the date of Executives termination of employment;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1"/>
        <w:gridCol w:w="510"/>
        <w:gridCol w:w="7554"/>
      </w:tblGrid>
      <w:tr>
        <w:trPr/>
        <w:tc>
          <w:tcPr>
            <w:tcW w:w="214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75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accrued and unused vacation that the Company is legally obligated to pay to Executive;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143"/>
        <w:gridCol w:w="509"/>
        <w:gridCol w:w="7553"/>
      </w:tblGrid>
      <w:tr>
        <w:trPr/>
        <w:tc>
          <w:tcPr>
            <w:tcW w:w="214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755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such Employee Benefits, if any, as to which Executive may be entitled under the employee benefit plans as described in Section 6 (the amounts described in clauses (A) through (D) hereof being referred to as the </w:t>
            </w:r>
            <w:r>
              <w:rPr>
                <w:rFonts w:ascii="Times New Roman" w:hAnsi="Times New Roman"/>
                <w:sz w:val="20"/>
                <w:u w:val="single"/>
              </w:rPr>
              <w:t>Accrued Rights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sz w:val="20"/>
        </w:rPr>
        <w:t xml:space="preserve">Following the termination of Executives employment by the Company for Cause or resignation by Executive, except as set forth in this Section 8(a)(ii), Executive shall have no further rights to any compensation or any other benefits under this Agreement.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Disability or Death</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(i) The Employment Term and Executives employment hereunder shall terminate upon Executives death and may be terminated by the Company if Executive becomes physically or mentally incapacitated and is therefore unable for a period of six (6) consecutive months or for an aggregate of nine (9) months in any twenty-four (24) consecutive month period to perform Executives duties (such incapacity is hereinafter referred to as </w:t>
      </w:r>
      <w:r>
        <w:rPr>
          <w:rFonts w:ascii="Times New Roman" w:hAnsi="Times New Roman"/>
          <w:sz w:val="20"/>
          <w:u w:val="single"/>
        </w:rPr>
        <w:t>Disability</w:t>
      </w:r>
      <w:r>
        <w:rPr>
          <w:rFonts w:ascii="Times New Roman" w:hAnsi="Times New Roman"/>
          <w:sz w:val="20"/>
        </w:rPr>
        <w:t xml:space="preserve">). Any question as to the existence of the Disability of Executive as to which Executive and the Company cannot agree shall be determined in writing by a qualified independent physician mutually acceptable to Executive and the Company. If Executive and the Company cannot agree as to a qualified independent physician, each shall appoint such a physician and those two physicians shall select a third who shall make such determination in writing. The determination of Disability made in writing to the Company and Executive shall be final and conclusive for all purposes of the Agreement. </w:t>
      </w:r>
    </w:p>
    <w:p>
      <w:pPr>
        <w:pStyle w:val="TextBody"/>
        <w:spacing w:before="180" w:after="0"/>
        <w:rPr>
          <w:rFonts w:ascii="Times New Roman" w:hAnsi="Times New Roman"/>
          <w:sz w:val="20"/>
        </w:rPr>
      </w:pPr>
      <w:r>
        <w:rPr>
          <w:rFonts w:ascii="Times New Roman" w:hAnsi="Times New Roman"/>
          <w:sz w:val="20"/>
        </w:rPr>
        <w:t xml:space="preserve">(ii) Upon termination of Executives employment hereunder for either Disability or death, Executive or Executives estate (as the case may be) shall be entitled to receive: </w:t>
      </w:r>
    </w:p>
    <w:p>
      <w:pPr>
        <w:pStyle w:val="TextBody"/>
        <w:spacing w:before="90" w:after="0"/>
        <w:rPr>
          <w:rFonts w:ascii="Times New Roman" w:hAnsi="Times New Roman"/>
          <w:sz w:val="20"/>
        </w:rPr>
      </w:pPr>
      <w:r>
        <w:rPr>
          <w:rFonts w:ascii="Times New Roman" w:hAnsi="Times New Roman"/>
          <w:sz w:val="20"/>
        </w:rPr>
        <w:t xml:space="preserve">(A) the Accrued Rights; and </w:t>
      </w:r>
    </w:p>
    <w:p>
      <w:pPr>
        <w:pStyle w:val="TextBody"/>
        <w:spacing w:before="90" w:after="0"/>
        <w:rPr>
          <w:rFonts w:ascii="Times New Roman" w:hAnsi="Times New Roman"/>
          <w:sz w:val="20"/>
        </w:rPr>
      </w:pPr>
      <w:r>
        <w:rPr>
          <w:rFonts w:ascii="Times New Roman" w:hAnsi="Times New Roman"/>
          <w:sz w:val="20"/>
        </w:rPr>
        <w:t xml:space="preserve">(B) subject to Executives continued compliance with the provisions of Sections 9 and 10, continued payment of the Base Salary in accordance with the Companys normal payroll practices, as in effect on the date of termination of Executives employment, for a period of three (3) months following the date of such termination.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amounts and other benefits set forth in Section 8(b)(ii)(B) shall be in lieu of, and not in addition to, any severance benefits under any severance plan or policy of the Company or any of its affiliates. Following Executives termination of employment due to death or Disability, except as set forth in this Section 8(b)(ii), Executive shall have no further rights to any compensation or any other benefits under this Agreement.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By the Company Without Cause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 The Employment Term and Executives employment hereunder may be terminated by the Company without Cause. </w:t>
      </w:r>
    </w:p>
    <w:p>
      <w:pPr>
        <w:pStyle w:val="TextBody"/>
        <w:spacing w:before="180" w:after="0"/>
        <w:rPr>
          <w:rFonts w:ascii="Times New Roman" w:hAnsi="Times New Roman"/>
          <w:sz w:val="20"/>
        </w:rPr>
      </w:pPr>
      <w:r>
        <w:rPr>
          <w:rFonts w:ascii="Times New Roman" w:hAnsi="Times New Roman"/>
          <w:sz w:val="20"/>
        </w:rPr>
        <w:t xml:space="preserve">(ii) If Executives employment is terminated by the Company without Cause (other than by reason of death or Disability), Executive shall be entitled to receive: </w:t>
      </w:r>
    </w:p>
    <w:p>
      <w:pPr>
        <w:pStyle w:val="TextBody"/>
        <w:spacing w:before="90" w:after="0"/>
        <w:rPr>
          <w:rFonts w:ascii="Times New Roman" w:hAnsi="Times New Roman"/>
          <w:sz w:val="20"/>
        </w:rPr>
      </w:pPr>
      <w:r>
        <w:rPr>
          <w:rFonts w:ascii="Times New Roman" w:hAnsi="Times New Roman"/>
          <w:sz w:val="20"/>
        </w:rPr>
        <w:t xml:space="preserve">(A) the Accrued Rights; and </w:t>
      </w:r>
    </w:p>
    <w:p>
      <w:pPr>
        <w:pStyle w:val="TextBody"/>
        <w:spacing w:before="90" w:after="0"/>
        <w:rPr>
          <w:rFonts w:ascii="Times New Roman" w:hAnsi="Times New Roman"/>
          <w:sz w:val="20"/>
        </w:rPr>
      </w:pPr>
      <w:r>
        <w:rPr>
          <w:rFonts w:ascii="Times New Roman" w:hAnsi="Times New Roman"/>
          <w:sz w:val="20"/>
        </w:rPr>
        <w:t xml:space="preserve">(B) subject to Executives continued compliance with the provisions of Sections 9 and 10, (i) continued payment of the Base Salary in accordance with the Companys normal payroll practices, as in effect on the date of termination of Executives employment, for a period of twelve (12) months following the date of such termination, (ii) continuation of medical benefits under the Companys then current medical plans at the same level provided by the Company on the date of termination, for a period of twelve (12) months, provided that such medical benefits shall end earlier if Executive becomes eligible to participate in a medical plan offered by a subsequent employer, and (iii) the Annual Bonus as of the end of the Companys Fiscal Year during which Executives termination without Cause occurred, based upon the then current Bonus Targets and the percentage of Base Salary applicable to the Annual Bonus for the previous Fiscal Year during the Employment Term (and if there is no prior Fiscal Year during the Employment Term, based on the percentage of Base Salary established for the Annual Bonus for the year ending December 31, 2010). In addition, the Stock Options held by Executive to the extent such Stock Options have already vested and become exercisable, will remain exercisable for a period of ninety (90) days from the date of termination, after which date all Stock Options will expire. The Executives receipt of any Severance Payments and the Companys payment of the foregoing amounts to Executive under this Section 8(c)(ii)(B) shall be expressly conditioned upon and in consideration of Executives execution and nonrevocation of a General Release in favor of the Company, in a form substantially the same as </w:t>
      </w:r>
      <w:r>
        <w:rPr>
          <w:rFonts w:ascii="Times New Roman" w:hAnsi="Times New Roman"/>
          <w:sz w:val="20"/>
          <w:u w:val="single"/>
        </w:rPr>
        <w:t>Exhibit C</w:t>
      </w:r>
      <w:r>
        <w:rPr>
          <w:rFonts w:ascii="Times New Roman" w:hAnsi="Times New Roman"/>
          <w:sz w:val="20"/>
        </w:rPr>
        <w:t xml:space="preserve"> hereto and a separation agreement with reasonable and customary terms and conditions. (The period during which Executive is entitled to receive his Base Salary after termination of employment is referred to as the </w:t>
      </w:r>
      <w:r>
        <w:rPr>
          <w:rFonts w:ascii="Times New Roman" w:hAnsi="Times New Roman"/>
          <w:sz w:val="20"/>
          <w:u w:val="single"/>
        </w:rPr>
        <w:t>Severance Period</w:t>
      </w:r>
      <w:r>
        <w:rPr>
          <w:rFonts w:ascii="Times New Roman" w:hAnsi="Times New Roman"/>
          <w:sz w:val="20"/>
        </w:rPr>
        <w:t> and the amount so received as </w:t>
      </w:r>
      <w:r>
        <w:rPr>
          <w:rFonts w:ascii="Times New Roman" w:hAnsi="Times New Roman"/>
          <w:sz w:val="20"/>
          <w:u w:val="single"/>
        </w:rPr>
        <w:t>Severance Payments.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amount set forth in Section 8(c)(ii)(B) shall be in lieu of, and not in addition to, any severance benefits under any severance plan or policy of the Company or any of its affiliates. Following Executives termination of employment by the Company without Cause (other than by reason of Executives death or Disability), except as set forth in this Section 8(c)(ii), Executive shall have no further rights to any compensation or any other benefits under this Agreement.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of Termination</w:t>
      </w:r>
      <w:r>
        <w:rPr>
          <w:rFonts w:ascii="Times New Roman" w:hAnsi="Times New Roman"/>
          <w:sz w:val="20"/>
        </w:rPr>
        <w:t>. Any purported termination of employment by the Company or by Executive (other than due to Executives death) shall be communicated by written Notice of Termination to the other party hereto in accordance with Section 13(j) hereof. For purposes of this Agreement, a </w:t>
      </w:r>
      <w:r>
        <w:rPr>
          <w:rFonts w:ascii="Times New Roman" w:hAnsi="Times New Roman"/>
          <w:sz w:val="20"/>
          <w:u w:val="single"/>
        </w:rPr>
        <w:t>Notice of Termination</w:t>
      </w:r>
      <w:r>
        <w:rPr>
          <w:rFonts w:ascii="Times New Roman" w:hAnsi="Times New Roman"/>
          <w:sz w:val="20"/>
        </w:rPr>
        <w:t xml:space="preserve"> shall mean a notice which shall indicate the specific termination provision in this Agreement relied upon and shall set forth in reasonable detail the facts and circumstances claimed to provide a basis for termination of employment under the provision so indicated.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Board/Committee Resignation</w:t>
      </w:r>
      <w:r>
        <w:rPr>
          <w:rFonts w:ascii="Times New Roman" w:hAnsi="Times New Roman"/>
          <w:sz w:val="20"/>
        </w:rPr>
        <w:t xml:space="preserve">. Upon termination of Executives employment for any reason, Executive agrees to resign, as of the date of such termination and to the extent applicable, from the Board of Directors of the Company (and any committees thereof) and as an officer and from the Board of Directors (and any committees thereof) of any of the Companys subsidiaries and other affiliates.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Non-Competition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Executive acknowledges and recognizes the highly competitive nature of the businesses of the Company and its affiliates and accordingly agrees as follows: </w:t>
      </w:r>
    </w:p>
    <w:p>
      <w:pPr>
        <w:pStyle w:val="TextBody"/>
        <w:spacing w:before="180" w:after="0"/>
        <w:rPr>
          <w:rFonts w:ascii="Times New Roman" w:hAnsi="Times New Roman"/>
          <w:sz w:val="20"/>
        </w:rPr>
      </w:pPr>
      <w:r>
        <w:rPr>
          <w:rFonts w:ascii="Times New Roman" w:hAnsi="Times New Roman"/>
          <w:sz w:val="20"/>
        </w:rPr>
        <w:t>(1) During the Employment Term and, for the Severance Period following the date Executive ceases to be employed by the Company if the Executive is terminated by the Company without Cause, or if Executives employment otherwise is terminated and (B) Executive is not entitled to Severance as a result of such termination, then in such cases, for the two years following termination of employment (collectively, the </w:t>
      </w:r>
      <w:r>
        <w:rPr>
          <w:rFonts w:ascii="Times New Roman" w:hAnsi="Times New Roman"/>
          <w:sz w:val="20"/>
          <w:u w:val="single"/>
        </w:rPr>
        <w:t>Restricted Period</w:t>
      </w:r>
      <w:r>
        <w:rPr>
          <w:rFonts w:ascii="Times New Roman" w:hAnsi="Times New Roman"/>
          <w:sz w:val="20"/>
        </w:rPr>
        <w:t>), Executive will not, whether on Executives own behalf or on behalf of or in conjunction with any person, firm, partnership, limited liability company, limited liability partnership, joint venture, association, trust, corporation or other business organization, entity or enterprise whatsoever (</w:t>
      </w:r>
      <w:r>
        <w:rPr>
          <w:rFonts w:ascii="Times New Roman" w:hAnsi="Times New Roman"/>
          <w:sz w:val="20"/>
          <w:u w:val="single"/>
        </w:rPr>
        <w:t>Person</w:t>
      </w:r>
      <w:r>
        <w:rPr>
          <w:rFonts w:ascii="Times New Roman" w:hAnsi="Times New Roman"/>
          <w:sz w:val="20"/>
        </w:rPr>
        <w:t xml:space="preserve">), directly or indirectly: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33"/>
        <w:gridCol w:w="406"/>
        <w:gridCol w:w="8066"/>
      </w:tblGrid>
      <w:tr>
        <w:trPr/>
        <w:tc>
          <w:tcPr>
            <w:tcW w:w="1733"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806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engage in any business that competes with any of the businesses of the Company or its affiliates (including, without limitation, businesses which the Company or its affiliates have specific plans to conduct in the future and as to which plans Executive is aware) in any geographical area in which the Company or its affiliates produces, sells, manufactures, leases, rents, licenses or otherwise provides its products or services, including without limitation the manufacture of industrial air pollution control equipment and engineering solutions (a </w:t>
            </w:r>
            <w:r>
              <w:rPr>
                <w:rFonts w:ascii="Times New Roman" w:hAnsi="Times New Roman"/>
                <w:sz w:val="20"/>
                <w:u w:val="single"/>
              </w:rPr>
              <w:t>Competitive Business</w:t>
            </w:r>
            <w:r>
              <w:rPr>
                <w:rFonts w:ascii="Times New Roman" w:hAnsi="Times New Roman"/>
                <w:sz w:val="20"/>
              </w:rPr>
              <w:t xml:space="preser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734"/>
        <w:gridCol w:w="408"/>
        <w:gridCol w:w="8063"/>
      </w:tblGrid>
      <w:tr>
        <w:trPr/>
        <w:tc>
          <w:tcPr>
            <w:tcW w:w="1734"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80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 the employ of, or render any services to, any Person (or any division or controlled or controlling affiliate of any Person) who or which engages in a Competitive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34"/>
        <w:gridCol w:w="408"/>
        <w:gridCol w:w="8063"/>
      </w:tblGrid>
      <w:tr>
        <w:trPr/>
        <w:tc>
          <w:tcPr>
            <w:tcW w:w="1734"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(iii)</w:t>
            </w:r>
          </w:p>
        </w:tc>
        <w:tc>
          <w:tcPr>
            <w:tcW w:w="80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acquire a financial interest in, or otherwise become actively involved with, any Competitive Business, directly or indirectly, as an individual, partner, shareholder, officer, director, principal, agent, trustee, consultant, adviser, franchisee, financier, lender, or guarantor;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34"/>
        <w:gridCol w:w="408"/>
        <w:gridCol w:w="8063"/>
      </w:tblGrid>
      <w:tr>
        <w:trPr/>
        <w:tc>
          <w:tcPr>
            <w:tcW w:w="1734"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(iv)</w:t>
            </w:r>
          </w:p>
        </w:tc>
        <w:tc>
          <w:tcPr>
            <w:tcW w:w="80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interfere with, or attempt to interfere with, business relationships (whether formed before, on or after the date of this Agreement) between the Company or any of its affiliates and customers, clients, agents, contractors, managers, consultants, suppliers, bankers or investors. </w:t>
            </w:r>
          </w:p>
        </w:tc>
      </w:tr>
    </w:tbl>
    <w:p>
      <w:pPr>
        <w:pStyle w:val="TextBody"/>
        <w:spacing w:before="180" w:after="0"/>
        <w:rPr>
          <w:rFonts w:ascii="Times New Roman" w:hAnsi="Times New Roman"/>
          <w:sz w:val="20"/>
        </w:rPr>
      </w:pPr>
      <w:r>
        <w:rPr>
          <w:rFonts w:ascii="Times New Roman" w:hAnsi="Times New Roman"/>
          <w:sz w:val="20"/>
        </w:rPr>
        <w:t xml:space="preserve">(2) Notwithstanding anything to the contrary in this Agreement, Executive may, directly or indirectly, own, solely as an investment, securities of any Person engaged in a Competitive Business which are publicly traded on a national or regional stock exchange or on the over-the-counter market if Executive (i) is not a controlling person of, or a member of a group which controls, such person and (ii) does not, directly or indirectly, own 5% or more of any class of securities of such Person. </w:t>
      </w:r>
    </w:p>
    <w:p>
      <w:pPr>
        <w:pStyle w:val="TextBody"/>
        <w:spacing w:before="180" w:after="0"/>
        <w:rPr>
          <w:rFonts w:ascii="Times New Roman" w:hAnsi="Times New Roman"/>
          <w:sz w:val="20"/>
        </w:rPr>
      </w:pPr>
      <w:r>
        <w:rPr>
          <w:rFonts w:ascii="Times New Roman" w:hAnsi="Times New Roman"/>
          <w:sz w:val="20"/>
        </w:rPr>
        <w:t xml:space="preserve">(3) During the Restricted Period, Executive will not, whether on Executives own behalf or on behalf of or in conjunction with any Person, directly or indirectly: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34"/>
        <w:gridCol w:w="407"/>
        <w:gridCol w:w="8064"/>
      </w:tblGrid>
      <w:tr>
        <w:trPr/>
        <w:tc>
          <w:tcPr>
            <w:tcW w:w="1734"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806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 encourage or attempt to solicit or encourage any employee of the Company or any of its affiliates to leave the employment of the Company or its affiliates;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734"/>
        <w:gridCol w:w="408"/>
        <w:gridCol w:w="8063"/>
      </w:tblGrid>
      <w:tr>
        <w:trPr/>
        <w:tc>
          <w:tcPr>
            <w:tcW w:w="1734"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(ii)</w:t>
            </w:r>
          </w:p>
        </w:tc>
        <w:tc>
          <w:tcPr>
            <w:tcW w:w="806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Hire, engage or employ any such employee who was employed by the Company or its affiliates as of the date of Executives termination of employment with the Company or who left the employment of the Company or its affiliates coincident with, or within one year prior to or after, the termination of Executives employment with the Company; provided that, this prohibition shall not apply to solicitations for employment and hiring resulting from general advertisements appearing in newspapers, periodicals, trade journals or other media of broad circulation, or to solicitations to employees of the Company or any of its affiliates after they are no longer employed by the Company or any affiliate of the Company. </w:t>
            </w:r>
          </w:p>
        </w:tc>
      </w:tr>
    </w:tbl>
    <w:p>
      <w:pPr>
        <w:pStyle w:val="TextBody"/>
        <w:spacing w:before="180" w:after="0"/>
        <w:rPr>
          <w:rFonts w:ascii="Times New Roman" w:hAnsi="Times New Roman"/>
          <w:sz w:val="20"/>
        </w:rPr>
      </w:pPr>
      <w:r>
        <w:rPr>
          <w:rFonts w:ascii="Times New Roman" w:hAnsi="Times New Roman"/>
          <w:sz w:val="20"/>
        </w:rPr>
        <w:t xml:space="preserve">(4) During the Restricted Period, neither Executive nor any business in which Executive may engage or participate in, will directly or indirectly solicit, encourage or attempt to solicit or encourage any customer or prospective customer of the Company or any of 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affiliates or any independent contractor providing services to the Company or any of its affiliates, determined, in each case, as of the date of termination, to terminate, modify or diminish its relationship with the Company or any of its affiliates or to seek to persuade any customer of the Company or any of its affiliates, determined as of the date of termination, to conduct with anyone else any business or activity that such customer conducts or could conduct with the Company or any of its affiliates. </w:t>
      </w:r>
    </w:p>
    <w:p>
      <w:pPr>
        <w:pStyle w:val="TextBody"/>
        <w:spacing w:before="180" w:after="0"/>
        <w:rPr>
          <w:rFonts w:ascii="Times New Roman" w:hAnsi="Times New Roman"/>
          <w:sz w:val="20"/>
        </w:rPr>
      </w:pPr>
      <w:r>
        <w:rPr>
          <w:rFonts w:ascii="Times New Roman" w:hAnsi="Times New Roman"/>
          <w:sz w:val="20"/>
        </w:rPr>
        <w:t xml:space="preserve">(5) During the Restricted Period, nether Executive, nor any business in which Executive may engage or participate in, will, directly or indirectly, compete with the Company or any of its affiliates by merging with or acquiring any other company or business (whether by a purchase of stock or other equity interests, or a purchase of assets or otherwise) which is a Competitive Business. </w:t>
      </w:r>
    </w:p>
    <w:p>
      <w:pPr>
        <w:pStyle w:val="TextBody"/>
        <w:spacing w:before="180" w:after="0"/>
        <w:rPr>
          <w:rFonts w:ascii="Times New Roman" w:hAnsi="Times New Roman"/>
          <w:sz w:val="20"/>
        </w:rPr>
      </w:pPr>
      <w:r>
        <w:rPr>
          <w:rFonts w:ascii="Times New Roman" w:hAnsi="Times New Roman"/>
          <w:sz w:val="20"/>
        </w:rPr>
        <w:t xml:space="preserve">b. It is expressly understood and agreed that although Executive and the Company consider the restrictions contained in this Section 9 to be reasonable,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 The provisions of this Section 9 shall survive the termination of Executives employment for any reason.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Confidentiality; Intellectual Property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Confidentiality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(i) Except as prohibited by Section 10(b)(v) below, Executive will not at any time (whether during or after Executives employment with the Company) (x) retain or use for the benefit, purposes or account of Executive or any other Person, or (y) disclose, divulge, reveal, communicate, share, transfer or provide access to any Person outside the Company (other than its professional advisers who are bound by confidentiality obligations), any non-public, proprietary or confidential information (including without limitation trade secrets, know-how, knowledge capital, research and development, software, consulting techniques, engineering techniques, source codes, databases, inventions, processes, formulae, databases, technology, designs and other intellectual property, information concerning finances, investments, projections, profits, strategies, pricing, costs, products, services, service providers, vendors, customers, clients, partners, investors, personnel, compensation, recruiting, training, advertising, sales, marketing, promotions, government and regulatory activities and approvals), in whatever form or media, concerning the past, current or future business, activities and operations of the Company, its subsidiaries or affiliates and/or any third party that has disclosed or provided any of same to the Company on a confidential basis, including any such information obtained prior to the Effective Date (</w:t>
      </w:r>
      <w:r>
        <w:rPr>
          <w:rFonts w:ascii="Times New Roman" w:hAnsi="Times New Roman"/>
          <w:sz w:val="20"/>
          <w:u w:val="single"/>
        </w:rPr>
        <w:t>Confidential Information</w:t>
      </w:r>
      <w:r>
        <w:rPr>
          <w:rFonts w:ascii="Times New Roman" w:hAnsi="Times New Roman"/>
          <w:sz w:val="20"/>
        </w:rPr>
        <w:t xml:space="preserve">) without the prior written authorization of the Board.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(ii) </w:t>
      </w:r>
      <w:r>
        <w:rPr>
          <w:rFonts w:ascii="Times New Roman" w:hAnsi="Times New Roman"/>
          <w:sz w:val="20"/>
          <w:u w:val="single"/>
        </w:rPr>
        <w:t>Confidential Information</w:t>
      </w:r>
      <w:r>
        <w:rPr>
          <w:rFonts w:ascii="Times New Roman" w:hAnsi="Times New Roman"/>
          <w:sz w:val="20"/>
        </w:rPr>
        <w:t xml:space="preserve"> shall not include any information that is (x) generally known to the industry or the public other than as a result of Executives breach of this covenant or any breach of other confidentiality obligations by third parties, (y) made legitimately available to Executive by a third party without breach of any confidentiality obligation, or (z) required by law to be disclosed; </w:t>
      </w:r>
      <w:r>
        <w:rPr>
          <w:rFonts w:ascii="Times New Roman" w:hAnsi="Times New Roman"/>
          <w:sz w:val="20"/>
          <w:u w:val="single"/>
        </w:rPr>
        <w:t>provided</w:t>
      </w:r>
      <w:r>
        <w:rPr>
          <w:rFonts w:ascii="Times New Roman" w:hAnsi="Times New Roman"/>
          <w:sz w:val="20"/>
        </w:rPr>
        <w:t xml:space="preserve"> that Executive shall give prompt written notice to the Company of such requirement, disclose no more information than is so required, and cooperate with any attempts by the Company to obtain a protective order or similar treatment for such Confidential Information. </w:t>
      </w:r>
    </w:p>
    <w:p>
      <w:pPr>
        <w:pStyle w:val="TextBody"/>
        <w:spacing w:before="180" w:after="0"/>
        <w:rPr>
          <w:rFonts w:ascii="Times New Roman" w:hAnsi="Times New Roman"/>
          <w:sz w:val="20"/>
        </w:rPr>
      </w:pPr>
      <w:r>
        <w:rPr>
          <w:rFonts w:ascii="Times New Roman" w:hAnsi="Times New Roman"/>
          <w:sz w:val="20"/>
        </w:rPr>
        <w:t xml:space="preserve">(iii) Upon termination of Executives employment with the Company for any reason, Executive shall (x) cease and not thereafter commence use of any Confidential Information or intellectual property (including without limitation, any patent, invention, copyright, trade secret, trademark, trade name, logo, domain name or other source indicator) owned or used by the Company or any of its affiliates, (y) immediately destroy, delete, or return to the Company, at the Companys option, all originals and copies in any form or medium (including memoranda, books, papers, plans, computer files, thumb drives, letters and other data) in Executives possession or control (including any of the foregoing stored or located in Executives office, home, laptop or other computer, or in other location whether or not company property) that contain Confidential Information or otherwise relate to the business of the Company or any of its affiliates, except that Executive may retain only those portions of any personal notes, notebooks and diaries that do not contain any Confidential Information, and (z) notify and fully cooperate with the Company regarding the delivery or destruction of any other Confidential Information of which Executive is or becomes aware.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Intellectual Property</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(i) If Executive has created, invented, designed, developed, contributed to or improved any works of authorship, inventions, intellectual property, materials, documents or other work product (including without limitation, research, reports, software, databases, systems, applications, presentations, textual works, content, or audiovisual materials) (</w:t>
      </w:r>
      <w:r>
        <w:rPr>
          <w:rFonts w:ascii="Times New Roman" w:hAnsi="Times New Roman"/>
          <w:sz w:val="20"/>
          <w:u w:val="single"/>
        </w:rPr>
        <w:t>Works</w:t>
      </w:r>
      <w:r>
        <w:rPr>
          <w:rFonts w:ascii="Times New Roman" w:hAnsi="Times New Roman"/>
          <w:sz w:val="20"/>
        </w:rPr>
        <w:t>), either alone or with third parties, prior to Executives employment by the Company hereunder, that are relevant to or implicated by such employment (</w:t>
      </w:r>
      <w:r>
        <w:rPr>
          <w:rFonts w:ascii="Times New Roman" w:hAnsi="Times New Roman"/>
          <w:sz w:val="20"/>
          <w:u w:val="single"/>
        </w:rPr>
        <w:t>Prior Works</w:t>
      </w:r>
      <w:r>
        <w:rPr>
          <w:rFonts w:ascii="Times New Roman" w:hAnsi="Times New Roman"/>
          <w:sz w:val="20"/>
        </w:rPr>
        <w:t xml:space="preserve">), Executive hereby grants the Company a perpetual, non-exclusive, royalty-free, worldwide, assignable, sublicensable license under all rights and intellectual property rights (including rights under patent, industrial property, copyright, trademark, trade secret, unfair competition and related laws) therein for all purposes in connection with the Companys current and future business. </w:t>
      </w:r>
    </w:p>
    <w:p>
      <w:pPr>
        <w:pStyle w:val="TextBody"/>
        <w:spacing w:before="180" w:after="0"/>
        <w:rPr>
          <w:rFonts w:ascii="Times New Roman" w:hAnsi="Times New Roman"/>
          <w:sz w:val="20"/>
        </w:rPr>
      </w:pPr>
      <w:r>
        <w:rPr>
          <w:rFonts w:ascii="Times New Roman" w:hAnsi="Times New Roman"/>
          <w:sz w:val="20"/>
        </w:rPr>
        <w:t>(ii) If Executive creates, invents, designs, develops, contributes to, perfects or improves any Works, either alone or with third parties, at any time during Executives employment by the Company and within the scope of such employment and/or with the use of any the Company resources (</w:t>
      </w:r>
      <w:r>
        <w:rPr>
          <w:rFonts w:ascii="Times New Roman" w:hAnsi="Times New Roman"/>
          <w:sz w:val="20"/>
          <w:u w:val="single"/>
        </w:rPr>
        <w:t>Company Works</w:t>
      </w:r>
      <w:r>
        <w:rPr>
          <w:rFonts w:ascii="Times New Roman" w:hAnsi="Times New Roman"/>
          <w:sz w:val="20"/>
        </w:rPr>
        <w:t xml:space="preserve">), Executive shall promptly and fully disclose same to the Company and hereby irrevocably assigns, transfers and conveys, to the 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w:t>
      </w:r>
    </w:p>
    <w:p>
      <w:pPr>
        <w:pStyle w:val="TextBody"/>
        <w:spacing w:before="0" w:after="0"/>
        <w:rPr/>
      </w:pPr>
      <w:r>
        <w:rPr/>
        <w:t xml:space="preserve">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(iii) 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 </w:t>
      </w:r>
    </w:p>
    <w:p>
      <w:pPr>
        <w:pStyle w:val="TextBody"/>
        <w:spacing w:before="180" w:after="0"/>
        <w:rPr>
          <w:rFonts w:ascii="Times New Roman" w:hAnsi="Times New Roman"/>
          <w:sz w:val="20"/>
        </w:rPr>
      </w:pPr>
      <w:r>
        <w:rPr>
          <w:rFonts w:ascii="Times New Roman" w:hAnsi="Times New Roman"/>
          <w:sz w:val="20"/>
        </w:rPr>
        <w:t xml:space="preserve">(iv) Executive shall take all requested actions and execute all requested documents (including any licenses or assignments required by a government contract) at the Companys expense (but without further remuneration) to assist the Company in validating, maintaining, protecting, enforcing, perfecting, recording, patenting or registering any of the Companys rights in the Prior Works and Company Works. If the Company is unable for any other reason to secure Executives signature on any document for this purpose, then Executive hereby irrevocably designates and appoints the Company and its duly authorized officers and agents as Executives agent and attorney in fact, to act for and in Executives behalf and stead to execute any documents and to do all other lawfully permitted acts in connection with the foregoing. </w:t>
      </w:r>
    </w:p>
    <w:p>
      <w:pPr>
        <w:pStyle w:val="TextBody"/>
        <w:spacing w:before="180" w:after="0"/>
        <w:rPr>
          <w:rFonts w:ascii="Times New Roman" w:hAnsi="Times New Roman"/>
          <w:sz w:val="20"/>
        </w:rPr>
      </w:pPr>
      <w:r>
        <w:rPr>
          <w:rFonts w:ascii="Times New Roman" w:hAnsi="Times New Roman"/>
          <w:sz w:val="20"/>
        </w:rPr>
        <w:t xml:space="preserve">(v) Executive shall not improperly use for the benefit of, bring to any premises of, divulge, disclose, communicate, reveal, transfer or provide access to, or share with the Company any confidential, proprietary or non-public information or intellectual property relating to a former employer or other third party without the prior written permission of such third party. Executive hereby indemnifies, holds harmless and agrees to defend the Company and its officers, directors, partners, employees, agents and representatives from any breach of the foregoing covenant. Executive shall comply with all relevant policies and guidelines of the Company, including regarding the protection of confidential information and intellectual property and potential conflicts of interest. Executive acknowledges that the Company may amend any such policies and guidelines from time to time, and that Executive remains at all times bound by their most current version.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Nondisparagement.</w:t>
      </w:r>
      <w:r>
        <w:rPr>
          <w:rFonts w:ascii="Times New Roman" w:hAnsi="Times New Roman"/>
          <w:sz w:val="20"/>
        </w:rPr>
        <w:t xml:space="preserve"> During the Employment Term and Restricted Period, Executive will not knowingly disparage, criticize, or otherwise make any derogatory statements regarding the Company, its affiliates or their directors or officers. The Company will instruct its and its affiliates officers and directors to not knowingly disparage, criticize, or otherwise make any derogatory statements regarding Executive during the Employment Term and Restricted Period. Notwithstanding the foregoing, nothing contained in this agreement will be deemed to restrict Executive, the Company or any of the Companys or its affiliates current or former officers and/or directors from providing information to any governmental or regulatory agency (or in any way limit the content of any such information) to the extent they are requested or required to provide such information pursuant to applicable law or regulation.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Title</w:t>
      </w:r>
      <w:r>
        <w:rPr>
          <w:rFonts w:ascii="Times New Roman" w:hAnsi="Times New Roman"/>
          <w:sz w:val="20"/>
        </w:rPr>
        <w:t xml:space="preserve">. The provisions of this Section 10 shall survive the termination of Executives employment for any reason.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Specific Performance</w:t>
      </w:r>
      <w:r>
        <w:rPr>
          <w:rFonts w:ascii="Times New Roman" w:hAnsi="Times New Roman"/>
          <w:sz w:val="20"/>
        </w:rPr>
        <w:t xml:space="preserve">. Executive acknowledges and agrees that the Companys remedies at law for a breach or threatened breach of any of the provisions of Section 9 or Section 10 would be inadequate and the Company would suffer irreparable damages as a result of such breach or threatened breach. In recognition of this fact, Executive agrees that, in the event of such a breach or threatened breach, in addition to any remedies at law, the Company, without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posting any bond, shall be entitled to obtain equitable relief in the form of specific performance, temporary restraining order, temporary or permanent injunction or any other equitable remedy which may then be available.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Change in Control.</w:t>
      </w:r>
      <w:r>
        <w:rPr>
          <w:rFonts w:ascii="Times New Roman" w:hAnsi="Times New Roman"/>
          <w:sz w:val="20"/>
        </w:rPr>
        <w:t xml:space="preserve"> In the event of a Change in Control of the Company, if Executive is not offered employment with the successor entity or purchaser as chief executive officer with a compensation package equal to or better than the combination of Executives Base Salary and Annual Bonus under this Agreement, then Executive shall resign as of the date of the Change in Control or agree to resign as of the end of a reasonable transition period after the Change in Control and shall be paid in a lump sum on the date of the Change in Control an amount equal to the sum of his annual Base Salary plus his Annual Bonus in an amount equal to the same percentage of his Base Salary as the Annual Bonus, if any, that he received for the most recently ended Fiscal Year. For purpose of this Agreement, the term Change in Control shall have the same meaning as set forth in the Plan. Immediately prior to the closing of a Change in Control the Stock Options held by Executive, to the extent such Stock Options have not already vested and become exercisable, will immediately vest and become exercisable.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Ohio, without regard to conflicts of laws principles thereof.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Agreement/Amendments</w:t>
      </w:r>
      <w:r>
        <w:rPr>
          <w:rFonts w:ascii="Times New Roman" w:hAnsi="Times New Roman"/>
          <w:sz w:val="20"/>
        </w:rPr>
        <w:t xml:space="preserve">. This Agreement contains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This Agreement may not be altered, modified, or amended except by written instrument signed by the parties hereto.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No Waiver</w:t>
      </w:r>
      <w:r>
        <w:rPr>
          <w:rFonts w:ascii="Times New Roman" w:hAnsi="Times New Roman"/>
          <w:sz w:val="20"/>
        </w:rPr>
        <w:t xml:space="preser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Severability</w:t>
      </w:r>
      <w:r>
        <w:rPr>
          <w:rFonts w:ascii="Times New Roman" w:hAnsi="Times New Roman"/>
          <w:sz w:val="20"/>
        </w:rPr>
        <w:t xml:space="preserve">. In the event that any one or more of the provisions of this Agreement shall be or become invalid, illegal or unenforceable in any respect, the validity, legality and enforceability of the remaining provisions of this Agreement shall not be affected thereby.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Assignment</w:t>
      </w:r>
      <w:r>
        <w:rPr>
          <w:rFonts w:ascii="Times New Roman" w:hAnsi="Times New Roman"/>
          <w:sz w:val="20"/>
        </w:rPr>
        <w:t xml:space="preserve">. This Agreement, and all of Executives rights and duties hereunder, shall not be assignable or delegable by Executive. Any purported assignment or delegation by Executive in violation of the foregoing shall be null and void </w:t>
      </w:r>
      <w:r>
        <w:rPr>
          <w:rFonts w:ascii="Times New Roman" w:hAnsi="Times New Roman"/>
          <w:i/>
          <w:sz w:val="20"/>
        </w:rPr>
        <w:t>ab initio</w:t>
      </w:r>
      <w:r>
        <w:rPr>
          <w:rFonts w:ascii="Times New Roman" w:hAnsi="Times New Roman"/>
          <w:sz w:val="20"/>
        </w:rPr>
        <w:t xml:space="preserve"> and of no force and effect. This Agreement may be assigned by the Company to a person or entity which is an affiliate or a successor in interest to substantially all of the business operations of the Company. Upon such assignment, the rights and obligations of the Company hereunder shall become the rights and obligations of such affiliate or successor person or entity.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Set Off; No Mitigation</w:t>
      </w:r>
      <w:r>
        <w:rPr>
          <w:rFonts w:ascii="Times New Roman" w:hAnsi="Times New Roman"/>
          <w:sz w:val="20"/>
        </w:rPr>
        <w:t xml:space="preserve">. The Companys obligation to pay Executive the amounts provided and to make the arrangements provided hereunder shall be subject to set-off, counterclaim or recoupment of amounts owed by Executive to the Company or its affiliates. Executive shall not be required to mitigate the amount of any payment provided for pursuant to this Agreement by seeking other employment. Anything in this Agreement to the contrary notwithstanding, in the event that Executive provides services for pay to anyone other than the Company or any of its affiliates during the term of Executives employment hereunder, all amounts paid to Executive during such period pursuant to this Agreement shall be reduced (or if paid to Executive, refunded to the Company by Executive) by the amounts of salary, bonus or other cash or in-kind compensation earned by, paid or granted to Executive during such period as a result of Executives performing such services (regardless of when such earned amounts are actually paid to Executive). </w:t>
      </w:r>
    </w:p>
    <w:p>
      <w:pPr>
        <w:pStyle w:val="TextBody"/>
        <w:spacing w:before="180" w:after="0"/>
        <w:rPr>
          <w:rFonts w:ascii="Times New Roman" w:hAnsi="Times New Roman"/>
          <w:sz w:val="20"/>
        </w:rPr>
      </w:pPr>
      <w:r>
        <w:rPr>
          <w:rFonts w:ascii="Times New Roman" w:hAnsi="Times New Roman"/>
          <w:sz w:val="20"/>
        </w:rPr>
        <w:t xml:space="preserve">g. </w:t>
      </w:r>
      <w:r>
        <w:rPr>
          <w:rFonts w:ascii="Times New Roman" w:hAnsi="Times New Roman"/>
          <w:sz w:val="20"/>
          <w:u w:val="single"/>
        </w:rPr>
        <w:t>Code Section 409A</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 Section 409A shall mean Section 409A of the Code, and any proposed or final regulations and guidance promulgated thereunder. Notwithstanding anything to the contrary in this Agreement, no Deferred Compensation Separation Benefits (as defined below) will become payable under this Agreement until Executive has a separation from service which means a termination of employment of Executive with the Company, whether voluntarily or involuntarily, other than by reason of death or Disability, as determined by the Comp Committee in accordance with Treas. Reg. §1.409A-1(h). Executive shall be considered to have experienced a termination of employment when the facts and circumstances indicate that Executive and the Company reasonably anticipate that either (a) no further services will be performed for the Company after a certain date, or (b) that the level of bona fide services Executive will perform for the Company after such date (whether as an employee or as an independent contractor) will permanently decrease to less than 50% of the average level of bona fide services performed by Executive (whether as an employee or an independent contractor) over the immediately preceding 36-month period (or the full period of services to the Company if Executive has been providing services to the Company less than 36 months). Further, if the amount paid under this Agreement on separation from service is deferred compensation subject to Section 409A and if Executive is a specified employee within the meaning of Section 409A at the time of Executives termination (other than due to death), and the severance payable to Executive, if any, pursuant to this Agreement, when considered together with any other severance payments or separation benefits, are considered deferred compensation under Section 409A (together, the Deferred Compensation Separation Benefits), such Deferred Compensation Separation Payments that are otherwise payable within the first six (6) months following Executives termination of employment will become payable on the first payroll date that occurs on or after the date six (6) months and one (1) day following the date of Executives termination of employment. All subsequent Deferred Compensation Separation Benefits, if any, will be payable in accordance with the payment schedule applicable to each payment or benefit. Notwithstanding anything herein to the contrary, if Executive dies following his termination but prior to the six (6) month anniversary of his termination,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Any amount paid under this Agreement that satisfies the requirements of the short-term deferral rule set forth in Section 1.409A-1(b)(4) of the Treasury Regulations shall not constitute Deferred Compensation Separation Benefits for purposes of Section 13(g)(i) above. </w:t>
      </w:r>
    </w:p>
    <w:p>
      <w:pPr>
        <w:pStyle w:val="TextBody"/>
        <w:spacing w:before="180" w:after="0"/>
        <w:rPr>
          <w:rFonts w:ascii="Times New Roman" w:hAnsi="Times New Roman"/>
          <w:sz w:val="20"/>
        </w:rPr>
      </w:pPr>
      <w:r>
        <w:rPr>
          <w:rFonts w:ascii="Times New Roman" w:hAnsi="Times New Roman"/>
          <w:sz w:val="20"/>
        </w:rPr>
        <w:t xml:space="preserve">(iii) Any amount paid under this Agreement that qualifies as a payment made as a result of an involuntary separation from service pursuant to Section 1.409A-1(b)(9)(iii) of the Treasury Regulations that does not exceed the Section 409A Limit (as defined below) shall not constitute Deferred Compensation Separation Benefits for purposes of Section 13(g)(i) above. For purposes of this Section 13(g)(iii) Section 409A Limit will mean the lesser of two (2) times: (i) Executives annualized compensation based upon the annual rate of pay paid to Executive during the Companys taxable year preceding the Companys taxable year of Executives termination of employment as determined under Treasury Regulation 1.409A-1(b)(9)(iii)(A)(1); or (ii) the maximum amount that may be taken into account under a qualified plan pursuant to Section 401(a)(17) of the Code for the year in which Executives employment is terminated. </w:t>
      </w:r>
    </w:p>
    <w:p>
      <w:pPr>
        <w:pStyle w:val="TextBody"/>
        <w:spacing w:before="180" w:after="0"/>
        <w:rPr>
          <w:rFonts w:ascii="Times New Roman" w:hAnsi="Times New Roman"/>
          <w:sz w:val="20"/>
        </w:rPr>
      </w:pPr>
      <w:r>
        <w:rPr>
          <w:rFonts w:ascii="Times New Roman" w:hAnsi="Times New Roman"/>
          <w:sz w:val="20"/>
        </w:rPr>
        <w:t xml:space="preserve">(iv)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sz w:val="20"/>
          <w:u w:val="single"/>
        </w:rPr>
        <w:t>Excise Taxes.</w:t>
      </w:r>
      <w:r>
        <w:rPr>
          <w:rFonts w:ascii="Times New Roman" w:hAnsi="Times New Roman"/>
          <w:sz w:val="20"/>
        </w:rPr>
        <w:t xml:space="preserve"> In the event that the benefits provided for in this Agreement constitute parachute payments within the meaning of Section 280G of the Code and will be subject to the excise tax imposed by Section 4999 of the Code (the Excise Tax), then Executives severance benefits payable under the terms of this Agreement will be either (i) delivered in full, or (ii) delivered as to such lesser extent which would result in no portion of such severance benefits being subject to the Excise Tax, whichever of the foregoing amounts, taking into account the applicable federal, state and local income taxes and the Excise Tax, results in the receipt by Executive on an after-tax basis, of the greatest amount of severance benefits, notwithstanding that all or some portion of such severance benefits may be taxable under Section 4999 of the Code. Unless the Company and Executive otherwise agree in writing, any determination required under this Section 13(h) will be made in writing by the Companys independent public accountants (the Accountants), whose determination will be conclusive and binding upon Executive and the Company for all purposes. For purposes of making the calculations required by this Section 13(h), the Accountants may make reasonable assumptions and approximations concerning applicable taxes and may rely on reasonable, good faith interpretations concerning the application of Section 280G and 4999 of the Code. The Company and Executive will furnish to the Accountants such information and documents as the Accountants may reasonably request in order to make a determination under this Section 13(h). The Company will bear all costs the Accountants may reasonably incur in connection with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calculations contemplated by this Section 13(h). Any reduction in payments and/or benefits required by this Section 13(h) shall occur in the following order: (1) reduction of cash payments; (2) reduction of vesting acceleration of equity awards; and (3) reduction of other benefits paid or provided to Executive. In the event that acceleration of vesting of equity awards is to be reduced, such acceleration of vesting shall be cancelled in the reverse order of the date of grant for the Executives equity awards. If two or more equity awards are granted on the same day, the equity awards will be reduced on a pro-rata basis. </w:t>
      </w:r>
    </w:p>
    <w:p>
      <w:pPr>
        <w:pStyle w:val="TextBody"/>
        <w:spacing w:before="180" w:after="0"/>
        <w:rPr>
          <w:rFonts w:ascii="Times New Roman" w:hAnsi="Times New Roman"/>
          <w:sz w:val="20"/>
        </w:rPr>
      </w:pPr>
      <w:r>
        <w:rPr>
          <w:rFonts w:ascii="Times New Roman" w:hAnsi="Times New Roman"/>
          <w:sz w:val="20"/>
        </w:rPr>
        <w:t xml:space="preserve">i. </w:t>
      </w:r>
      <w:r>
        <w:rPr>
          <w:rFonts w:ascii="Times New Roman" w:hAnsi="Times New Roman"/>
          <w:sz w:val="20"/>
          <w:u w:val="single"/>
        </w:rPr>
        <w:t>Successors; Binding Agreement</w:t>
      </w:r>
      <w:r>
        <w:rPr>
          <w:rFonts w:ascii="Times New Roman" w:hAnsi="Times New Roman"/>
          <w:sz w:val="20"/>
        </w:rPr>
        <w:t xml:space="preserve">. This Agreement shall inure to the benefit of and be binding upon personal or legal representatives, executors, administrators, successors, heirs, distributees, devisees and legatees. </w:t>
      </w:r>
    </w:p>
    <w:p>
      <w:pPr>
        <w:pStyle w:val="TextBody"/>
        <w:spacing w:before="180" w:after="0"/>
        <w:rPr>
          <w:rFonts w:ascii="Times New Roman" w:hAnsi="Times New Roman"/>
          <w:sz w:val="20"/>
        </w:rPr>
      </w:pPr>
      <w:r>
        <w:rPr>
          <w:rFonts w:ascii="Times New Roman" w:hAnsi="Times New Roman"/>
          <w:sz w:val="20"/>
        </w:rPr>
        <w:t xml:space="preserve">j. </w:t>
      </w:r>
      <w:r>
        <w:rPr>
          <w:rFonts w:ascii="Times New Roman" w:hAnsi="Times New Roman"/>
          <w:sz w:val="20"/>
          <w:u w:val="single"/>
        </w:rPr>
        <w:t>Notice</w:t>
      </w:r>
      <w:r>
        <w:rPr>
          <w:rFonts w:ascii="Times New Roman" w:hAnsi="Times New Roman"/>
          <w:sz w:val="20"/>
        </w:rPr>
        <w:t xml:space="preserve">. For the purpose of this Agreement, notices and all other communications provided for in the Agreement shall be in writing and shall be deemed to have been duly given when delivered by hand or overnight courier or three business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 </w:t>
      </w:r>
    </w:p>
    <w:p>
      <w:pPr>
        <w:pStyle w:val="TextBody"/>
        <w:spacing w:before="180" w:after="0"/>
        <w:rPr>
          <w:rFonts w:ascii="Times New Roman" w:hAnsi="Times New Roman"/>
          <w:sz w:val="20"/>
        </w:rPr>
      </w:pPr>
      <w:r>
        <w:rPr>
          <w:rFonts w:ascii="Times New Roman" w:hAnsi="Times New Roman"/>
          <w:sz w:val="20"/>
        </w:rPr>
        <w:t xml:space="preserve">If to the Company: </w:t>
      </w:r>
    </w:p>
    <w:p>
      <w:pPr>
        <w:pStyle w:val="TextBody"/>
        <w:spacing w:before="180" w:after="0"/>
        <w:rPr>
          <w:rFonts w:ascii="Times New Roman" w:hAnsi="Times New Roman"/>
          <w:sz w:val="20"/>
        </w:rPr>
      </w:pPr>
      <w:r>
        <w:rPr>
          <w:rFonts w:ascii="Times New Roman" w:hAnsi="Times New Roman"/>
          <w:sz w:val="20"/>
        </w:rPr>
        <w:t xml:space="preserve">CECO Environmental Corp. </w:t>
      </w:r>
    </w:p>
    <w:p>
      <w:pPr>
        <w:pStyle w:val="TextBody"/>
        <w:spacing w:before="0" w:after="0"/>
        <w:rPr>
          <w:rFonts w:ascii="Times New Roman" w:hAnsi="Times New Roman"/>
          <w:sz w:val="20"/>
        </w:rPr>
      </w:pPr>
      <w:r>
        <w:rPr>
          <w:rFonts w:ascii="Times New Roman" w:hAnsi="Times New Roman"/>
          <w:sz w:val="20"/>
        </w:rPr>
        <w:t xml:space="preserve">2300 Yonge Street </w:t>
      </w:r>
    </w:p>
    <w:p>
      <w:pPr>
        <w:pStyle w:val="TextBody"/>
        <w:spacing w:before="0" w:after="0"/>
        <w:rPr>
          <w:rFonts w:ascii="Times New Roman" w:hAnsi="Times New Roman"/>
          <w:sz w:val="20"/>
        </w:rPr>
      </w:pPr>
      <w:r>
        <w:rPr>
          <w:rFonts w:ascii="Times New Roman" w:hAnsi="Times New Roman"/>
          <w:sz w:val="20"/>
        </w:rPr>
        <w:t xml:space="preserve">P.O. Box 2408 </w:t>
      </w:r>
    </w:p>
    <w:p>
      <w:pPr>
        <w:pStyle w:val="TextBody"/>
        <w:spacing w:before="0" w:after="0"/>
        <w:rPr>
          <w:rFonts w:ascii="Times New Roman" w:hAnsi="Times New Roman"/>
          <w:sz w:val="20"/>
        </w:rPr>
      </w:pPr>
      <w:r>
        <w:rPr>
          <w:rFonts w:ascii="Times New Roman" w:hAnsi="Times New Roman"/>
          <w:sz w:val="20"/>
        </w:rPr>
        <w:t xml:space="preserve">Toronto, Ontario M4P 1E4 </w:t>
      </w:r>
    </w:p>
    <w:p>
      <w:pPr>
        <w:pStyle w:val="TextBody"/>
        <w:spacing w:before="0" w:after="0"/>
        <w:rPr>
          <w:rFonts w:ascii="Times New Roman" w:hAnsi="Times New Roman"/>
          <w:sz w:val="20"/>
        </w:rPr>
      </w:pPr>
      <w:r>
        <w:rPr>
          <w:rFonts w:ascii="Times New Roman" w:hAnsi="Times New Roman"/>
          <w:sz w:val="20"/>
        </w:rPr>
        <w:t xml:space="preserve">Canada </w:t>
      </w:r>
    </w:p>
    <w:p>
      <w:pPr>
        <w:pStyle w:val="TextBody"/>
        <w:spacing w:before="0" w:after="0"/>
        <w:rPr>
          <w:rFonts w:ascii="Times New Roman" w:hAnsi="Times New Roman"/>
          <w:sz w:val="20"/>
        </w:rPr>
      </w:pPr>
      <w:r>
        <w:rPr>
          <w:rFonts w:ascii="Times New Roman" w:hAnsi="Times New Roman"/>
          <w:sz w:val="20"/>
        </w:rPr>
        <w:t xml:space="preserve">Attention: Phillip DeZwirek </w:t>
      </w:r>
    </w:p>
    <w:p>
      <w:pPr>
        <w:pStyle w:val="TextBody"/>
        <w:spacing w:before="180" w:after="0"/>
        <w:rPr>
          <w:rFonts w:ascii="Times New Roman" w:hAnsi="Times New Roman"/>
          <w:sz w:val="20"/>
        </w:rPr>
      </w:pPr>
      <w:r>
        <w:rPr>
          <w:rFonts w:ascii="Times New Roman" w:hAnsi="Times New Roman"/>
          <w:sz w:val="20"/>
        </w:rPr>
        <w:t xml:space="preserve">If to Executive: </w:t>
      </w:r>
    </w:p>
    <w:p>
      <w:pPr>
        <w:pStyle w:val="TextBody"/>
        <w:spacing w:before="180" w:after="0"/>
        <w:rPr>
          <w:rFonts w:ascii="Times New Roman" w:hAnsi="Times New Roman"/>
          <w:sz w:val="20"/>
        </w:rPr>
      </w:pPr>
      <w:r>
        <w:rPr>
          <w:rFonts w:ascii="Times New Roman" w:hAnsi="Times New Roman"/>
          <w:sz w:val="20"/>
        </w:rPr>
        <w:t xml:space="preserve">To the most recent address of Executive set forth in the personnel records of the Company. </w:t>
      </w:r>
    </w:p>
    <w:p>
      <w:pPr>
        <w:pStyle w:val="TextBody"/>
        <w:spacing w:before="180" w:after="0"/>
        <w:rPr>
          <w:rFonts w:ascii="Times New Roman" w:hAnsi="Times New Roman"/>
          <w:sz w:val="20"/>
        </w:rPr>
      </w:pPr>
      <w:r>
        <w:rPr>
          <w:rFonts w:ascii="Times New Roman" w:hAnsi="Times New Roman"/>
          <w:sz w:val="20"/>
        </w:rPr>
        <w:t xml:space="preserve">k. </w:t>
      </w:r>
      <w:r>
        <w:rPr>
          <w:rFonts w:ascii="Times New Roman" w:hAnsi="Times New Roman"/>
          <w:sz w:val="20"/>
          <w:u w:val="single"/>
        </w:rPr>
        <w:t xml:space="preserve">Tax Withholding. </w:t>
      </w:r>
      <w:r>
        <w:rPr>
          <w:rFonts w:ascii="Times New Roman" w:hAnsi="Times New Roman"/>
          <w:sz w:val="20"/>
        </w:rPr>
        <w:t xml:space="preserve">All payments made pursuant to this Agreement will be subject to withholding of applicable taxes. </w:t>
      </w:r>
    </w:p>
    <w:p>
      <w:pPr>
        <w:pStyle w:val="TextBody"/>
        <w:spacing w:before="180" w:after="0"/>
        <w:rPr>
          <w:rFonts w:ascii="Times New Roman" w:hAnsi="Times New Roman"/>
          <w:sz w:val="20"/>
        </w:rPr>
      </w:pPr>
      <w:r>
        <w:rPr>
          <w:rFonts w:ascii="Times New Roman" w:hAnsi="Times New Roman"/>
          <w:sz w:val="20"/>
        </w:rPr>
        <w:t xml:space="preserve">l. </w:t>
      </w:r>
      <w:r>
        <w:rPr>
          <w:rFonts w:ascii="Times New Roman" w:hAnsi="Times New Roman"/>
          <w:sz w:val="20"/>
          <w:u w:val="single"/>
        </w:rPr>
        <w:t>Executive Representation</w:t>
      </w:r>
      <w:r>
        <w:rPr>
          <w:rFonts w:ascii="Times New Roman" w:hAnsi="Times New Roman"/>
          <w:sz w:val="20"/>
        </w:rPr>
        <w:t xml:space="preserve">. Executive hereby represents to the Company that the execution 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 </w:t>
      </w:r>
    </w:p>
    <w:p>
      <w:pPr>
        <w:pStyle w:val="TextBody"/>
        <w:spacing w:before="180" w:after="0"/>
        <w:rPr>
          <w:rFonts w:ascii="Times New Roman" w:hAnsi="Times New Roman"/>
          <w:sz w:val="20"/>
        </w:rPr>
      </w:pPr>
      <w:r>
        <w:rPr>
          <w:rFonts w:ascii="Times New Roman" w:hAnsi="Times New Roman"/>
          <w:sz w:val="20"/>
        </w:rPr>
        <w:t xml:space="preserve">m. </w:t>
      </w:r>
      <w:r>
        <w:rPr>
          <w:rFonts w:ascii="Times New Roman" w:hAnsi="Times New Roman"/>
          <w:sz w:val="20"/>
          <w:u w:val="single"/>
        </w:rPr>
        <w:t>Prior Agreements</w:t>
      </w:r>
      <w:r>
        <w:rPr>
          <w:rFonts w:ascii="Times New Roman" w:hAnsi="Times New Roman"/>
          <w:sz w:val="20"/>
        </w:rPr>
        <w:t xml:space="preserve">. This Agreement supersedes all prior agreements and understandings (including verbal agreements) between Executive and the Company and/or its affiliates regarding the terms and conditions of Executives employment with the Company and/or its affiliates.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 </w:t>
      </w:r>
      <w:r>
        <w:rPr>
          <w:rFonts w:ascii="Times New Roman" w:hAnsi="Times New Roman"/>
          <w:sz w:val="20"/>
          <w:u w:val="single"/>
        </w:rPr>
        <w:t>Cooperation</w:t>
      </w:r>
      <w:r>
        <w:rPr>
          <w:rFonts w:ascii="Times New Roman" w:hAnsi="Times New Roman"/>
          <w:sz w:val="20"/>
        </w:rPr>
        <w:t xml:space="preserve">. Executive shall provide Executives reasonable cooperation in connection with any action or proceeding (or any appeal from any action or proceeding) which relates to events occurring during Executives employment hereunder. This provision shall survive any termination of this Agreement. </w:t>
      </w:r>
    </w:p>
    <w:p>
      <w:pPr>
        <w:pStyle w:val="TextBody"/>
        <w:spacing w:before="180" w:after="0"/>
        <w:rPr>
          <w:rFonts w:ascii="Times New Roman" w:hAnsi="Times New Roman"/>
          <w:sz w:val="20"/>
        </w:rPr>
      </w:pPr>
      <w:r>
        <w:rPr>
          <w:rFonts w:ascii="Times New Roman" w:hAnsi="Times New Roman"/>
          <w:sz w:val="20"/>
        </w:rPr>
        <w:t xml:space="preserve">o. </w:t>
      </w:r>
      <w:r>
        <w:rPr>
          <w:rFonts w:ascii="Times New Roman" w:hAnsi="Times New Roman"/>
          <w:sz w:val="20"/>
          <w:u w:val="single"/>
        </w:rPr>
        <w:t>Withholding Taxes</w:t>
      </w:r>
      <w:r>
        <w:rPr>
          <w:rFonts w:ascii="Times New Roman" w:hAnsi="Times New Roman"/>
          <w:sz w:val="20"/>
        </w:rPr>
        <w:t xml:space="preserve">. The Company may withhold from any amounts payable under this Agreement such Federal, state and local taxes as may be required to be withheld pursuant to any applicable law or regulation. </w:t>
      </w:r>
    </w:p>
    <w:p>
      <w:pPr>
        <w:pStyle w:val="TextBody"/>
        <w:spacing w:before="180" w:after="0"/>
        <w:rPr>
          <w:rFonts w:ascii="Times New Roman" w:hAnsi="Times New Roman"/>
          <w:sz w:val="20"/>
        </w:rPr>
      </w:pPr>
      <w:r>
        <w:rPr>
          <w:rFonts w:ascii="Times New Roman" w:hAnsi="Times New Roman"/>
          <w:sz w:val="20"/>
        </w:rPr>
        <w:t xml:space="preserve">p. </w:t>
      </w:r>
      <w:r>
        <w:rPr>
          <w:rFonts w:ascii="Times New Roman" w:hAnsi="Times New Roman"/>
          <w:sz w:val="20"/>
          <w:u w:val="single"/>
        </w:rPr>
        <w:t>Counterparts</w:t>
      </w:r>
      <w:r>
        <w:rPr>
          <w:rFonts w:ascii="Times New Roman" w:hAnsi="Times New Roman"/>
          <w:sz w:val="20"/>
        </w:rPr>
        <w:t xml:space="preserve">. This Agreement may be signed in counterparts, each of which shall be an original, with the same effect as if the signatures thereto and hereto were upon the same instrument. </w:t>
      </w:r>
    </w:p>
    <w:p>
      <w:pPr>
        <w:pStyle w:val="TextBody"/>
        <w:spacing w:before="180" w:after="0"/>
        <w:jc w:val="center"/>
        <w:rPr>
          <w:rFonts w:ascii="Times New Roman" w:hAnsi="Times New Roman"/>
          <w:sz w:val="20"/>
        </w:rPr>
      </w:pPr>
      <w:r>
        <w:rPr>
          <w:rFonts w:ascii="Times New Roman" w:hAnsi="Times New Roman"/>
          <w:sz w:val="20"/>
        </w:rPr>
        <w:t xml:space="preserve">[signature page follows]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duly executed this Agreement as of the day and year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97"/>
        <w:gridCol w:w="101"/>
        <w:gridCol w:w="305"/>
        <w:gridCol w:w="101"/>
        <w:gridCol w:w="4901"/>
      </w:tblGrid>
      <w:tr>
        <w:trPr/>
        <w:tc>
          <w:tcPr>
            <w:tcW w:w="47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01" w:type="dxa"/>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spacing w:before="0" w:after="283"/>
              <w:rPr>
                <w:rFonts w:ascii="Times New Roman" w:hAnsi="Times New Roman"/>
                <w:b/>
                <w:sz w:val="20"/>
              </w:rPr>
            </w:pPr>
            <w:r>
              <w:rPr>
                <w:rFonts w:ascii="Times New Roman" w:hAnsi="Times New Roman"/>
                <w:b/>
                <w:sz w:val="20"/>
              </w:rPr>
              <w:t>CECO ENVIRONMENTAL CORP.</w:t>
            </w:r>
          </w:p>
        </w:tc>
        <w:tc>
          <w:tcPr>
            <w:tcW w:w="101"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EXECUTIVE</w:t>
            </w:r>
          </w:p>
        </w:tc>
      </w:tr>
      <w:tr>
        <w:trPr>
          <w:trHeight w:val="240" w:hRule="atLeast"/>
        </w:trPr>
        <w:tc>
          <w:tcPr>
            <w:tcW w:w="4797" w:type="dxa"/>
            <w:tcBorders/>
            <w:shd w:fill="auto" w:val="clear"/>
            <w:vAlign w:val="center"/>
          </w:tcPr>
          <w:p>
            <w:pPr>
              <w:pStyle w:val="TableContents"/>
              <w:spacing w:before="0" w:after="283"/>
              <w:rPr>
                <w:sz w:val="4"/>
                <w:szCs w:val="4"/>
              </w:rPr>
            </w:pPr>
            <w:r>
              <w:rPr>
                <w:sz w:val="4"/>
                <w:szCs w:val="4"/>
              </w:rPr>
            </w:r>
          </w:p>
        </w:tc>
        <w:tc>
          <w:tcPr>
            <w:tcW w:w="406" w:type="dxa"/>
            <w:gridSpan w:val="2"/>
            <w:tcBorders/>
            <w:shd w:fill="auto" w:val="clear"/>
            <w:vAlign w:val="center"/>
          </w:tcPr>
          <w:p>
            <w:pPr>
              <w:pStyle w:val="TableContents"/>
              <w:spacing w:before="0" w:after="283"/>
              <w:rPr>
                <w:sz w:val="4"/>
                <w:szCs w:val="4"/>
              </w:rPr>
            </w:pPr>
            <w:r>
              <w:rPr>
                <w:sz w:val="4"/>
                <w:szCs w:val="4"/>
              </w:rPr>
            </w:r>
          </w:p>
        </w:tc>
        <w:tc>
          <w:tcPr>
            <w:tcW w:w="5002" w:type="dxa"/>
            <w:gridSpan w:val="2"/>
            <w:tcBorders/>
            <w:shd w:fill="auto" w:val="clear"/>
            <w:vAlign w:val="center"/>
          </w:tcPr>
          <w:p>
            <w:pPr>
              <w:pStyle w:val="TableContents"/>
              <w:spacing w:before="0" w:after="283"/>
              <w:rPr>
                <w:sz w:val="4"/>
                <w:szCs w:val="4"/>
              </w:rPr>
            </w:pPr>
            <w:r>
              <w:rPr>
                <w:sz w:val="4"/>
                <w:szCs w:val="4"/>
              </w:rPr>
            </w:r>
          </w:p>
        </w:tc>
      </w:tr>
      <w:tr>
        <w:trPr/>
        <w:tc>
          <w:tcPr>
            <w:tcW w:w="479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Phillip DeZwirek</w:t>
            </w:r>
          </w:p>
        </w:tc>
        <w:tc>
          <w:tcPr>
            <w:tcW w:w="101"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Jeffrey Lang</w:t>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By: Phillip DeZwirek</w:t>
            </w:r>
          </w:p>
        </w:tc>
        <w:tc>
          <w:tcPr>
            <w:tcW w:w="101"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Jeffrey Lang</w:t>
            </w:r>
          </w:p>
        </w:tc>
      </w:tr>
      <w:tr>
        <w:trPr/>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Title: Chairman</w:t>
            </w:r>
          </w:p>
        </w:tc>
        <w:tc>
          <w:tcPr>
            <w:tcW w:w="101"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901"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TextBody"/>
        <w:spacing w:before="0" w:after="0"/>
        <w:jc w:val="right"/>
        <w:rPr>
          <w:rFonts w:ascii="Times New Roman" w:hAnsi="Times New Roman"/>
          <w:b/>
          <w:sz w:val="20"/>
        </w:rPr>
      </w:pPr>
      <w:bookmarkStart w:id="13" w:name="dex311.htm"/>
      <w:bookmarkStart w:id="14" w:name="ksdex311"/>
      <w:bookmarkEnd w:id="13"/>
      <w:bookmarkEnd w:id="14"/>
      <w:r>
        <w:rPr>
          <w:rFonts w:ascii="Times New Roman" w:hAnsi="Times New Roman"/>
          <w:b/>
          <w:sz w:val="20"/>
        </w:rPr>
        <w:t xml:space="preserve">Exhibit 31.1 </w:t>
      </w:r>
    </w:p>
    <w:p>
      <w:pPr>
        <w:pStyle w:val="TextBody"/>
        <w:spacing w:before="180" w:after="0"/>
        <w:jc w:val="center"/>
        <w:rPr>
          <w:rFonts w:ascii="Times New Roman" w:hAnsi="Times New Roman"/>
          <w:sz w:val="20"/>
        </w:rPr>
      </w:pPr>
      <w:r>
        <w:rPr>
          <w:rFonts w:ascii="Times New Roman" w:hAnsi="Times New Roman"/>
          <w:sz w:val="20"/>
        </w:rPr>
        <w:t xml:space="preserve">Certification of Chief Executive Officer </w:t>
      </w:r>
    </w:p>
    <w:p>
      <w:pPr>
        <w:pStyle w:val="TextBody"/>
        <w:spacing w:before="0" w:after="0"/>
        <w:jc w:val="center"/>
        <w:rPr>
          <w:rFonts w:ascii="Times New Roman" w:hAnsi="Times New Roman"/>
          <w:sz w:val="20"/>
        </w:rPr>
      </w:pPr>
      <w:r>
        <w:rPr>
          <w:rFonts w:ascii="Times New Roman" w:hAnsi="Times New Roman"/>
          <w:sz w:val="20"/>
        </w:rPr>
        <w:t xml:space="preserve">Pursuant to Section 302 of the Sarbanes-Oxley Act of 2002 </w:t>
      </w:r>
    </w:p>
    <w:p>
      <w:pPr>
        <w:pStyle w:val="TextBody"/>
        <w:spacing w:before="180" w:after="0"/>
        <w:rPr>
          <w:rFonts w:ascii="Times New Roman" w:hAnsi="Times New Roman"/>
          <w:sz w:val="20"/>
        </w:rPr>
      </w:pPr>
      <w:r>
        <w:rPr>
          <w:rFonts w:ascii="Times New Roman" w:hAnsi="Times New Roman"/>
          <w:sz w:val="20"/>
        </w:rPr>
        <w:t xml:space="preserve">I, Jeffrey Lang,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13a- 15(e) and 15d- 15(e)) and internal control over financial reporting (as defined in Exchange Act Rules 13a-15(f) and 15d-15(f)) for the Company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the Companys auditors and the audit committee of the Companys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Jeffrey Lang</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Jeffrey Lang</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 May 14, 2010</w:t>
            </w:r>
          </w:p>
        </w:tc>
      </w:tr>
    </w:tbl>
    <w:p>
      <w:pPr>
        <w:pStyle w:val="TextBody"/>
        <w:spacing w:before="0" w:after="0"/>
        <w:jc w:val="right"/>
        <w:rPr>
          <w:rFonts w:ascii="Times New Roman" w:hAnsi="Times New Roman"/>
          <w:b/>
          <w:sz w:val="20"/>
        </w:rPr>
      </w:pPr>
      <w:r>
        <w:br w:type="page"/>
      </w:r>
      <w:bookmarkStart w:id="15" w:name="dex312.htm"/>
      <w:bookmarkStart w:id="16" w:name="ksdex312"/>
      <w:bookmarkEnd w:id="15"/>
      <w:bookmarkEnd w:id="16"/>
      <w:r>
        <w:rPr>
          <w:rFonts w:ascii="Times New Roman" w:hAnsi="Times New Roman"/>
          <w:b/>
          <w:sz w:val="20"/>
        </w:rPr>
        <w:t xml:space="preserve">Exhibit 31.2 </w:t>
      </w:r>
    </w:p>
    <w:p>
      <w:pPr>
        <w:pStyle w:val="TextBody"/>
        <w:spacing w:before="180" w:after="0"/>
        <w:jc w:val="center"/>
        <w:rPr>
          <w:rFonts w:ascii="Times New Roman" w:hAnsi="Times New Roman"/>
          <w:sz w:val="20"/>
        </w:rPr>
      </w:pPr>
      <w:r>
        <w:rPr>
          <w:rFonts w:ascii="Times New Roman" w:hAnsi="Times New Roman"/>
          <w:sz w:val="20"/>
        </w:rPr>
        <w:t xml:space="preserve">Certification of Chief Financial Officer </w:t>
      </w:r>
    </w:p>
    <w:p>
      <w:pPr>
        <w:pStyle w:val="TextBody"/>
        <w:spacing w:before="0" w:after="0"/>
        <w:jc w:val="center"/>
        <w:rPr>
          <w:rFonts w:ascii="Times New Roman" w:hAnsi="Times New Roman"/>
          <w:sz w:val="20"/>
        </w:rPr>
      </w:pPr>
      <w:r>
        <w:rPr>
          <w:rFonts w:ascii="Times New Roman" w:hAnsi="Times New Roman"/>
          <w:sz w:val="20"/>
        </w:rPr>
        <w:t xml:space="preserve">Pursuant to Section 302 of the Sarbanes-Oxley Act of 2002 </w:t>
      </w:r>
    </w:p>
    <w:p>
      <w:pPr>
        <w:pStyle w:val="TextBody"/>
        <w:spacing w:before="180" w:after="0"/>
        <w:rPr>
          <w:rFonts w:ascii="Times New Roman" w:hAnsi="Times New Roman"/>
          <w:sz w:val="20"/>
        </w:rPr>
      </w:pPr>
      <w:r>
        <w:rPr>
          <w:rFonts w:ascii="Times New Roman" w:hAnsi="Times New Roman"/>
          <w:sz w:val="20"/>
        </w:rPr>
        <w:t xml:space="preserve">I, Dennis W. Blazer,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CECO Environmental Corp.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13a- 15(e) and 15d- 15(e)) and internal control over financial reporting (as defined in Exchange Act Rules 13a-15(f) and 15d-15(f)) for the Company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controls over financial reporting, to the Companys auditors and the audit committee of the Companys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 Chief</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Financial Officer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 May 14, 2010</w:t>
            </w:r>
          </w:p>
        </w:tc>
      </w:tr>
    </w:tbl>
    <w:p>
      <w:pPr>
        <w:pStyle w:val="TextBody"/>
        <w:spacing w:before="0" w:after="0"/>
        <w:jc w:val="right"/>
        <w:rPr>
          <w:rFonts w:ascii="Times New Roman" w:hAnsi="Times New Roman"/>
          <w:b/>
          <w:sz w:val="20"/>
        </w:rPr>
      </w:pPr>
      <w:r>
        <w:br w:type="page"/>
      </w:r>
      <w:bookmarkStart w:id="17" w:name="dex321.htm"/>
      <w:bookmarkStart w:id="18" w:name="ksdex321"/>
      <w:bookmarkEnd w:id="17"/>
      <w:bookmarkEnd w:id="18"/>
      <w:r>
        <w:rPr>
          <w:rFonts w:ascii="Times New Roman" w:hAnsi="Times New Roman"/>
          <w:b/>
          <w:sz w:val="20"/>
        </w:rPr>
        <w:t xml:space="preserve">Exhibit 32.1 </w:t>
      </w:r>
    </w:p>
    <w:p>
      <w:pPr>
        <w:pStyle w:val="TextBody"/>
        <w:spacing w:before="18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March 31, 2010 as filed with the Securities and Exchange Commission on the date hereof (the Report), I, Jeffrey Lang, Chief Executive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as amended;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Jeffrey Lang</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Executive Officer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 May 14, 2010</w:t>
            </w:r>
          </w:p>
        </w:tc>
      </w:tr>
    </w:tbl>
    <w:p>
      <w:pPr>
        <w:pStyle w:val="TextBody"/>
        <w:spacing w:before="0" w:after="0"/>
        <w:jc w:val="right"/>
        <w:rPr>
          <w:rFonts w:ascii="Times New Roman" w:hAnsi="Times New Roman"/>
          <w:b/>
          <w:sz w:val="20"/>
        </w:rPr>
      </w:pPr>
      <w:r>
        <w:br w:type="page"/>
      </w:r>
      <w:bookmarkStart w:id="19" w:name="dex322.htm"/>
      <w:bookmarkStart w:id="20" w:name="ksdex322"/>
      <w:bookmarkEnd w:id="19"/>
      <w:bookmarkEnd w:id="20"/>
      <w:r>
        <w:rPr>
          <w:rFonts w:ascii="Times New Roman" w:hAnsi="Times New Roman"/>
          <w:b/>
          <w:sz w:val="20"/>
        </w:rPr>
        <w:t xml:space="preserve">Exhibit 32.2 </w:t>
      </w:r>
    </w:p>
    <w:p>
      <w:pPr>
        <w:pStyle w:val="TextBody"/>
        <w:spacing w:before="180" w:after="0"/>
        <w:jc w:val="center"/>
        <w:rPr>
          <w:rFonts w:ascii="Times New Roman" w:hAnsi="Times New Roman"/>
          <w:sz w:val="20"/>
        </w:rPr>
      </w:pPr>
      <w:r>
        <w:rPr>
          <w:rFonts w:ascii="Times New Roman" w:hAnsi="Times New Roman"/>
          <w:sz w:val="20"/>
        </w:rPr>
        <w:t xml:space="preserve">CERTIFICATION PURSUANT TO </w:t>
      </w:r>
    </w:p>
    <w:p>
      <w:pPr>
        <w:pStyle w:val="TextBody"/>
        <w:spacing w:before="0" w:after="0"/>
        <w:jc w:val="center"/>
        <w:rPr>
          <w:rFonts w:ascii="Times New Roman" w:hAnsi="Times New Roman"/>
          <w:sz w:val="20"/>
        </w:rPr>
      </w:pPr>
      <w:r>
        <w:rPr>
          <w:rFonts w:ascii="Times New Roman" w:hAnsi="Times New Roman"/>
          <w:sz w:val="20"/>
        </w:rPr>
        <w:t xml:space="preserve">18 U.S.C. SECTION 1350, </w:t>
      </w:r>
    </w:p>
    <w:p>
      <w:pPr>
        <w:pStyle w:val="TextBody"/>
        <w:spacing w:before="0" w:after="0"/>
        <w:jc w:val="center"/>
        <w:rPr>
          <w:rFonts w:ascii="Times New Roman" w:hAnsi="Times New Roman"/>
          <w:sz w:val="20"/>
        </w:rPr>
      </w:pPr>
      <w:r>
        <w:rPr>
          <w:rFonts w:ascii="Times New Roman" w:hAnsi="Times New Roman"/>
          <w:sz w:val="20"/>
        </w:rPr>
        <w:t xml:space="preserve">AS ADOPTED PURSUANT TO </w:t>
      </w:r>
    </w:p>
    <w:p>
      <w:pPr>
        <w:pStyle w:val="TextBody"/>
        <w:spacing w:before="0" w:after="0"/>
        <w:jc w:val="center"/>
        <w:rPr>
          <w:rFonts w:ascii="Times New Roman" w:hAnsi="Times New Roman"/>
          <w:sz w:val="20"/>
        </w:rPr>
      </w:pPr>
      <w:r>
        <w:rPr>
          <w:rFonts w:ascii="Times New Roman" w:hAnsi="Times New Roman"/>
          <w:sz w:val="20"/>
        </w:rPr>
        <w:t xml:space="preserve">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In connection with the Quarterly Report of CECO Environmental Corp. (the Company) on Form 10-Q for the period ending March 31, 2010 as filed with the Securities and Exchange Commission on the date hereof (the Report), I, Dennis W. Blazer, V.P.  Finance and Administration and Chief Financial Officer of the Company, certify, pursuant to 18 U.S.C. § 1350, as adopted pursuant to § 906 of the Sarbanes-Oxley Act of 2002,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as amended;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V.P.  Finance and Administration and Chief Financial Officer</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 May 14, 2010</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44</Pages>
  <Words>20952</Words>
  <CharactersWithSpaces>131180</CharactersWithSpaces>
  <Paragraphs>2993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 906 CFO Certification</dc:title>
</cp:coreProperties>
</file>