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Nuggihalli Ramesh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CECO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63,182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Company has collected from the reporting person the profits owed by him under Section 16(b) for the short-swing liability incurred in connection with this transaction.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Ramesh Nuggihalli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19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2023-03-13T14:43:49Z</dcterms:created>
  <dcterms:modified xsi:type="dcterms:W3CDTF">2023-03-13T14:43:49Z</dcterms:modified>
</cp:coreProperties>
</file>