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w w:val="89"/>
              </w:rPr>
            </w:pPr>
            <w:hyperlink r:id="rId12">
              <w:r>
                <w:rPr>
                  <w:rFonts w:ascii="Arial" w:cs="Arial" w:eastAsia="Arial" w:hAnsi="Arial"/>
                  <w:sz w:val="22"/>
                  <w:szCs w:val="22"/>
                  <w:color w:val="0000EE"/>
                  <w:w w:val="89"/>
                </w:rPr>
                <w:t>Pollack Jonathan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CECO ENVIRONMENTAL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CECE</w:t>
            </w:r>
          </w:p>
        </w:tc>
        <w:tc>
          <w:tcPr>
            <w:tcW w:w="15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restart"/>
          </w:tcPr>
          <w:p>
            <w:pPr>
              <w:ind w:left="100"/>
              <w:spacing w:after="0" w:line="162" w:lineRule="exact"/>
              <w:rPr>
                <w:sz w:val="20"/>
                <w:szCs w:val="20"/>
                <w:color w:val="auto"/>
              </w:rPr>
            </w:pPr>
            <w:r>
              <w:rPr>
                <w:rFonts w:ascii="Arial" w:cs="Arial" w:eastAsia="Arial" w:hAnsi="Arial"/>
                <w:sz w:val="18"/>
                <w:szCs w:val="18"/>
                <w:color w:val="0000FF"/>
                <w:w w:val="99"/>
              </w:rPr>
              <w:t>X</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gridSpan w:val="3"/>
            <w:vMerge w:val="restart"/>
          </w:tcPr>
          <w:p>
            <w:pPr>
              <w:ind w:left="160"/>
              <w:spacing w:after="0" w:line="115"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gridSpan w:val="3"/>
            <w:vMerge w:val="continue"/>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13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8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200"/>
              <w:spacing w:after="0" w:line="115" w:lineRule="exact"/>
              <w:rPr>
                <w:sz w:val="20"/>
                <w:szCs w:val="20"/>
                <w:color w:val="auto"/>
              </w:rPr>
            </w:pPr>
            <w:r>
              <w:rPr>
                <w:rFonts w:ascii="Arial" w:cs="Arial" w:eastAsia="Arial" w:hAnsi="Arial"/>
                <w:sz w:val="12"/>
                <w:szCs w:val="12"/>
                <w:color w:val="auto"/>
              </w:rPr>
              <w:t>below)</w:t>
            </w:r>
          </w:p>
        </w:tc>
        <w:tc>
          <w:tcPr>
            <w:tcW w:w="1780" w:type="dxa"/>
            <w:vAlign w:val="bottom"/>
            <w:gridSpan w:val="3"/>
          </w:tcPr>
          <w:p>
            <w:pPr>
              <w:ind w:left="60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5"/>
            <w:vMerge w:val="continue"/>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2300 YONGE STREET, SUITE 1710</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12/04/2015</w:t>
            </w: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80" w:type="dxa"/>
            <w:vAlign w:val="bottom"/>
            <w:gridSpan w:val="2"/>
          </w:tcPr>
          <w:p>
            <w:pPr>
              <w:ind w:left="40"/>
              <w:spacing w:after="0"/>
              <w:rPr>
                <w:sz w:val="20"/>
                <w:szCs w:val="20"/>
                <w:color w:val="auto"/>
              </w:rPr>
            </w:pPr>
            <w:r>
              <w:rPr>
                <w:rFonts w:ascii="Arial" w:cs="Arial" w:eastAsia="Arial" w:hAnsi="Arial"/>
                <w:sz w:val="18"/>
                <w:szCs w:val="18"/>
                <w:color w:val="0000FF"/>
                <w:w w:val="99"/>
              </w:rPr>
              <w:t>A6</w:t>
            </w:r>
          </w:p>
        </w:tc>
        <w:tc>
          <w:tcPr>
            <w:tcW w:w="10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M4P 1E4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gridSpan w:val="5"/>
          </w:tcPr>
          <w:p>
            <w:pPr>
              <w:ind w:left="22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80" w:type="dxa"/>
            <w:vAlign w:val="bottom"/>
            <w:gridSpan w:val="5"/>
            <w:vMerge w:val="restart"/>
          </w:tcPr>
          <w:p>
            <w:pPr>
              <w:ind w:left="780"/>
              <w:spacing w:after="0"/>
              <w:rPr>
                <w:sz w:val="20"/>
                <w:szCs w:val="20"/>
                <w:color w:val="auto"/>
              </w:rPr>
            </w:pPr>
            <w:r>
              <w:rPr>
                <w:rFonts w:ascii="Arial" w:cs="Arial" w:eastAsia="Arial" w:hAnsi="Arial"/>
                <w:sz w:val="18"/>
                <w:szCs w:val="18"/>
                <w:color w:val="0000FF"/>
                <w:w w:val="97"/>
              </w:rPr>
              <w:t>12/04/2015</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rPr>
              <w:t>7,000</w:t>
            </w:r>
          </w:p>
        </w:tc>
        <w:tc>
          <w:tcPr>
            <w:tcW w:w="120" w:type="dxa"/>
            <w:vAlign w:val="bottom"/>
          </w:tcPr>
          <w:p>
            <w:pPr>
              <w:spacing w:after="0"/>
              <w:rPr>
                <w:sz w:val="22"/>
                <w:szCs w:val="22"/>
                <w:color w:val="auto"/>
              </w:rPr>
            </w:pPr>
          </w:p>
        </w:tc>
        <w:tc>
          <w:tcPr>
            <w:tcW w:w="40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820" w:type="dxa"/>
            <w:vAlign w:val="bottom"/>
            <w:gridSpan w:val="4"/>
            <w:vMerge w:val="restart"/>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7.7898</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49,500</w:t>
            </w:r>
          </w:p>
        </w:tc>
        <w:tc>
          <w:tcPr>
            <w:tcW w:w="94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vMerge w:val="restart"/>
          </w:tcPr>
          <w:p>
            <w:pPr>
              <w:jc w:val="center"/>
              <w:ind w:right="377"/>
              <w:spacing w:after="0"/>
              <w:rPr>
                <w:sz w:val="20"/>
                <w:szCs w:val="20"/>
                <w:color w:val="auto"/>
              </w:rPr>
            </w:pPr>
            <w:r>
              <w:rPr>
                <w:rFonts w:ascii="Arial" w:cs="Arial" w:eastAsia="Arial" w:hAnsi="Arial"/>
                <w:sz w:val="18"/>
                <w:szCs w:val="18"/>
                <w:color w:val="0000FF"/>
                <w:w w:val="88"/>
              </w:rPr>
              <w:t>2,300</w:t>
            </w:r>
          </w:p>
        </w:tc>
        <w:tc>
          <w:tcPr>
            <w:tcW w:w="94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9,676</w:t>
            </w:r>
            <w:r>
              <w:rPr>
                <w:rFonts w:ascii="Arial" w:cs="Arial" w:eastAsia="Arial" w:hAnsi="Arial"/>
                <w:sz w:val="22"/>
                <w:szCs w:val="22"/>
                <w:color w:val="008000"/>
                <w:w w:val="82"/>
                <w:vertAlign w:val="superscript"/>
              </w:rPr>
              <w:t>(2)</w:t>
            </w:r>
          </w:p>
        </w:tc>
        <w:tc>
          <w:tcPr>
            <w:tcW w:w="940" w:type="dxa"/>
            <w:vAlign w:val="bottom"/>
            <w:tcBorders>
              <w:bottom w:val="single" w:sz="8" w:color="2C2C2C"/>
            </w:tcBorders>
          </w:tcPr>
          <w:p>
            <w:pPr>
              <w:jc w:val="center"/>
              <w:ind w:right="33"/>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000" w:type="dxa"/>
            <w:vAlign w:val="bottom"/>
            <w:tcBorders>
              <w:top w:val="single" w:sz="8" w:color="2C2C2C"/>
            </w:tcBorders>
            <w:gridSpan w:val="18"/>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40" w:type="dxa"/>
            <w:vAlign w:val="bottom"/>
            <w:gridSpan w:val="15"/>
          </w:tcPr>
          <w:p>
            <w:pPr>
              <w:jc w:val="center"/>
              <w:ind w:left="3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7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Prior Section 16 reports had included 42,500 shares that were reported as being both directly and indirectly owned by Jonathan Pollack. Such shares, however, are not owned directly by Jonathan Pollack, but instead are owned only indirectly by Mr. Pollack. See Footnote (1) above.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Edward J. Prajzner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99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91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Jonathan</w:t>
      </w:r>
      <w:r>
        <w:rPr>
          <w:sz w:val="20"/>
          <w:szCs w:val="20"/>
          <w:color w:val="auto"/>
        </w:rPr>
        <w:tab/>
      </w:r>
      <w:r>
        <w:rPr>
          <w:rFonts w:ascii="Arial" w:cs="Arial" w:eastAsia="Arial" w:hAnsi="Arial"/>
          <w:sz w:val="15"/>
          <w:szCs w:val="15"/>
          <w:color w:val="0000FF"/>
        </w:rPr>
        <w:t>12/07/2015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Pollack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34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3564"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2020-01-22T11:44:00Z</dcterms:created>
  <dcterms:modified xsi:type="dcterms:W3CDTF">2020-01-22T11:44:00Z</dcterms:modified>
</cp:coreProperties>
</file>