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443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44310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5"/>
            <w:vMerge w:val="restart"/>
          </w:tcPr>
          <w:p>
            <w:pPr>
              <w:ind w:left="20"/>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Sadlowski Dennis</w:t>
              </w:r>
            </w:hyperlink>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40" w:type="dxa"/>
            <w:vAlign w:val="bottom"/>
            <w:gridSpan w:val="8"/>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CECO ENVIRONMENTAL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CECE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gridSpan w:val="5"/>
            <w:vMerge w:val="continue"/>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7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6"/>
                <w:szCs w:val="6"/>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6"/>
                <w:szCs w:val="6"/>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1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20" w:type="dxa"/>
            <w:vAlign w:val="bottom"/>
            <w:vMerge w:val="restart"/>
          </w:tcPr>
          <w:p>
            <w:pPr>
              <w:ind w:left="140"/>
              <w:spacing w:after="0" w:line="129" w:lineRule="exact"/>
              <w:rPr>
                <w:sz w:val="20"/>
                <w:szCs w:val="20"/>
                <w:color w:val="auto"/>
              </w:rPr>
            </w:pPr>
            <w:r>
              <w:rPr>
                <w:rFonts w:ascii="Arial" w:cs="Arial" w:eastAsia="Arial" w:hAnsi="Arial"/>
                <w:sz w:val="13"/>
                <w:szCs w:val="13"/>
                <w:color w:val="auto"/>
              </w:rPr>
              <w:t>below)</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vMerge w:val="restart"/>
          </w:tcPr>
          <w:p>
            <w:pPr>
              <w:ind w:left="200"/>
              <w:spacing w:after="0" w:line="129"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80" w:type="dxa"/>
            <w:vAlign w:val="bottom"/>
            <w:gridSpan w:val="7"/>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80" w:type="dxa"/>
            <w:vAlign w:val="bottom"/>
            <w:gridSpan w:val="7"/>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40" w:type="dxa"/>
            <w:vAlign w:val="bottom"/>
            <w:gridSpan w:val="4"/>
            <w:vMerge w:val="restart"/>
          </w:tcPr>
          <w:p>
            <w:pPr>
              <w:ind w:left="440"/>
              <w:spacing w:after="0"/>
              <w:rPr>
                <w:sz w:val="20"/>
                <w:szCs w:val="20"/>
                <w:color w:val="auto"/>
              </w:rPr>
            </w:pPr>
            <w:r>
              <w:rPr>
                <w:rFonts w:ascii="Arial" w:cs="Arial" w:eastAsia="Arial" w:hAnsi="Arial"/>
                <w:sz w:val="17"/>
                <w:szCs w:val="17"/>
                <w:color w:val="0000FF"/>
              </w:rPr>
              <w:t>Chief Executive Officer</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80" w:type="dxa"/>
            <w:vAlign w:val="bottom"/>
            <w:gridSpan w:val="7"/>
          </w:tcPr>
          <w:p>
            <w:pPr>
              <w:ind w:left="20"/>
              <w:spacing w:after="0"/>
              <w:rPr>
                <w:sz w:val="20"/>
                <w:szCs w:val="20"/>
                <w:color w:val="auto"/>
              </w:rPr>
            </w:pPr>
            <w:r>
              <w:rPr>
                <w:rFonts w:ascii="Arial" w:cs="Arial" w:eastAsia="Arial" w:hAnsi="Arial"/>
                <w:sz w:val="17"/>
                <w:szCs w:val="17"/>
                <w:color w:val="0000FF"/>
              </w:rPr>
              <w:t>4625 RED BANK ROAD, SUITE 200</w:t>
            </w:r>
          </w:p>
        </w:tc>
        <w:tc>
          <w:tcPr>
            <w:tcW w:w="1640" w:type="dxa"/>
            <w:vAlign w:val="bottom"/>
            <w:gridSpan w:val="5"/>
          </w:tcPr>
          <w:p>
            <w:pPr>
              <w:ind w:left="280"/>
              <w:spacing w:after="0"/>
              <w:rPr>
                <w:sz w:val="20"/>
                <w:szCs w:val="20"/>
                <w:color w:val="auto"/>
              </w:rPr>
            </w:pPr>
            <w:r>
              <w:rPr>
                <w:rFonts w:ascii="Arial" w:cs="Arial" w:eastAsia="Arial" w:hAnsi="Arial"/>
                <w:sz w:val="17"/>
                <w:szCs w:val="17"/>
                <w:color w:val="0000FF"/>
              </w:rPr>
              <w:t>06/10/2017</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40" w:type="dxa"/>
            <w:vAlign w:val="bottom"/>
            <w:gridSpan w:val="4"/>
            <w:vMerge w:val="continue"/>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4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color w:val="0000FF"/>
              </w:rPr>
              <w:t>CINCINNATI</w:t>
            </w:r>
          </w:p>
        </w:tc>
        <w:tc>
          <w:tcPr>
            <w:tcW w:w="2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3"/>
              </w:rPr>
              <w:t>OH</w:t>
            </w:r>
          </w:p>
        </w:tc>
        <w:tc>
          <w:tcPr>
            <w:tcW w:w="980" w:type="dxa"/>
            <w:vAlign w:val="bottom"/>
          </w:tcPr>
          <w:p>
            <w:pPr>
              <w:spacing w:after="0"/>
              <w:rPr>
                <w:sz w:val="6"/>
                <w:szCs w:val="6"/>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45227</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40" w:type="dxa"/>
            <w:vAlign w:val="bottom"/>
            <w:gridSpan w:val="8"/>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gridSpan w:val="6"/>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7"/>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60"/>
              <w:spacing w:after="0" w:line="127"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gridSpan w:val="5"/>
          </w:tcPr>
          <w:p>
            <w:pPr>
              <w:ind w:left="86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20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4"/>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6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900" w:type="dxa"/>
            <w:vAlign w:val="bottom"/>
            <w:gridSpan w:val="5"/>
          </w:tcPr>
          <w:p>
            <w:pPr>
              <w:ind w:left="960"/>
              <w:spacing w:after="0"/>
              <w:rPr>
                <w:sz w:val="20"/>
                <w:szCs w:val="20"/>
                <w:color w:val="auto"/>
              </w:rPr>
            </w:pPr>
            <w:r>
              <w:rPr>
                <w:rFonts w:ascii="Arial" w:cs="Arial" w:eastAsia="Arial" w:hAnsi="Arial"/>
                <w:sz w:val="17"/>
                <w:szCs w:val="17"/>
                <w:color w:val="0000FF"/>
              </w:rPr>
              <w:t>06/10/2017</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gridSpan w:val="2"/>
          </w:tcPr>
          <w:p>
            <w:pPr>
              <w:jc w:val="center"/>
              <w:spacing w:after="0"/>
              <w:rPr>
                <w:sz w:val="20"/>
                <w:szCs w:val="20"/>
                <w:color w:val="auto"/>
              </w:rPr>
            </w:pPr>
            <w:r>
              <w:rPr>
                <w:rFonts w:ascii="Arial" w:cs="Arial" w:eastAsia="Arial" w:hAnsi="Arial"/>
                <w:sz w:val="17"/>
                <w:szCs w:val="17"/>
                <w:color w:val="0000FF"/>
                <w:w w:val="88"/>
              </w:rPr>
              <w:t>23,511</w:t>
            </w:r>
          </w:p>
        </w:tc>
        <w:tc>
          <w:tcPr>
            <w:tcW w:w="660" w:type="dxa"/>
            <w:vAlign w:val="bottom"/>
          </w:tcPr>
          <w:p>
            <w:pPr>
              <w:ind w:left="280"/>
              <w:spacing w:after="0"/>
              <w:rPr>
                <w:sz w:val="20"/>
                <w:szCs w:val="20"/>
                <w:color w:val="auto"/>
              </w:rPr>
            </w:pPr>
            <w:r>
              <w:rPr>
                <w:rFonts w:ascii="Arial" w:cs="Arial" w:eastAsia="Arial" w:hAnsi="Arial"/>
                <w:sz w:val="17"/>
                <w:szCs w:val="17"/>
                <w:color w:val="0000FF"/>
              </w:rPr>
              <w:t>A</w:t>
            </w:r>
          </w:p>
        </w:tc>
        <w:tc>
          <w:tcPr>
            <w:tcW w:w="40" w:type="dxa"/>
            <w:vAlign w:val="bottom"/>
          </w:tcPr>
          <w:p>
            <w:pPr>
              <w:spacing w:after="0"/>
              <w:rPr>
                <w:sz w:val="22"/>
                <w:szCs w:val="22"/>
                <w:color w:val="auto"/>
              </w:rPr>
            </w:pPr>
          </w:p>
        </w:tc>
        <w:tc>
          <w:tcPr>
            <w:tcW w:w="52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22"/>
                <w:szCs w:val="22"/>
                <w:color w:val="auto"/>
              </w:rPr>
            </w:pP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43,981</w:t>
            </w:r>
          </w:p>
        </w:tc>
        <w:tc>
          <w:tcPr>
            <w:tcW w:w="34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13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6"/>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0" w:type="dxa"/>
            <w:vAlign w:val="bottom"/>
            <w:gridSpan w:val="15"/>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200" w:type="dxa"/>
            <w:vAlign w:val="bottom"/>
          </w:tcPr>
          <w:p>
            <w:pPr>
              <w:spacing w:after="0"/>
              <w:rPr>
                <w:sz w:val="14"/>
                <w:szCs w:val="14"/>
                <w:color w:val="auto"/>
              </w:rPr>
            </w:pP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8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5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5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Disposed of (D)</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98"/>
              </w:rPr>
              <w:t>(Instr. 3, 4 and 5)</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00" w:type="dxa"/>
            <w:vAlign w:val="bottom"/>
          </w:tcPr>
          <w:p>
            <w:pPr>
              <w:ind w:left="20"/>
              <w:spacing w:after="0"/>
              <w:rPr>
                <w:sz w:val="20"/>
                <w:szCs w:val="20"/>
                <w:color w:val="auto"/>
              </w:rPr>
            </w:pPr>
            <w:r>
              <w:rPr>
                <w:rFonts w:ascii="Arial" w:cs="Arial" w:eastAsia="Arial" w:hAnsi="Arial"/>
                <w:sz w:val="12"/>
                <w:szCs w:val="12"/>
                <w:b w:val="1"/>
                <w:bCs w:val="1"/>
                <w:color w:val="auto"/>
                <w:w w:val="95"/>
              </w:rPr>
              <w:t>(D)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4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w w:val="96"/>
              </w:rPr>
              <w:t>Performance</w:t>
            </w:r>
          </w:p>
        </w:tc>
        <w:tc>
          <w:tcPr>
            <w:tcW w:w="5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vMerge w:val="restart"/>
          </w:tcPr>
          <w:p>
            <w:pPr>
              <w:ind w:left="200"/>
              <w:spacing w:after="0"/>
              <w:rPr>
                <w:sz w:val="20"/>
                <w:szCs w:val="20"/>
                <w:color w:val="auto"/>
              </w:rPr>
            </w:pPr>
            <w:r>
              <w:rPr>
                <w:rFonts w:ascii="Arial" w:cs="Arial" w:eastAsia="Arial" w:hAnsi="Arial"/>
                <w:sz w:val="13"/>
                <w:szCs w:val="13"/>
                <w:color w:val="0000FF"/>
              </w:rPr>
              <w:t>06/10/2017</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3"/>
            <w:vMerge w:val="restart"/>
          </w:tcPr>
          <w:p>
            <w:pPr>
              <w:ind w:left="60"/>
              <w:spacing w:after="0"/>
              <w:rPr>
                <w:sz w:val="20"/>
                <w:szCs w:val="20"/>
                <w:color w:val="auto"/>
              </w:rPr>
            </w:pPr>
            <w:r>
              <w:rPr>
                <w:rFonts w:ascii="Arial" w:cs="Arial" w:eastAsia="Arial" w:hAnsi="Arial"/>
                <w:sz w:val="13"/>
                <w:szCs w:val="13"/>
                <w:color w:val="0000FF"/>
              </w:rPr>
              <w:t>A</w:t>
            </w:r>
          </w:p>
        </w:tc>
        <w:tc>
          <w:tcPr>
            <w:tcW w:w="880" w:type="dxa"/>
            <w:vAlign w:val="bottom"/>
            <w:vMerge w:val="restart"/>
          </w:tcPr>
          <w:p>
            <w:pPr>
              <w:ind w:left="140"/>
              <w:spacing w:after="0"/>
              <w:rPr>
                <w:sz w:val="20"/>
                <w:szCs w:val="20"/>
                <w:color w:val="auto"/>
              </w:rPr>
            </w:pPr>
            <w:r>
              <w:rPr>
                <w:rFonts w:ascii="Arial" w:cs="Arial" w:eastAsia="Arial" w:hAnsi="Arial"/>
                <w:sz w:val="13"/>
                <w:szCs w:val="13"/>
                <w:color w:val="0000FF"/>
                <w:w w:val="96"/>
              </w:rPr>
              <w:t>1,400,000</w:t>
            </w:r>
            <w:r>
              <w:rPr>
                <w:rFonts w:ascii="Arial" w:cs="Arial" w:eastAsia="Arial" w:hAnsi="Arial"/>
                <w:sz w:val="21"/>
                <w:szCs w:val="21"/>
                <w:color w:val="008000"/>
                <w:w w:val="96"/>
                <w:vertAlign w:val="superscript"/>
              </w:rPr>
              <w:t>(1)</w:t>
            </w:r>
          </w:p>
        </w:tc>
        <w:tc>
          <w:tcPr>
            <w:tcW w:w="20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(1)</w:t>
            </w:r>
          </w:p>
        </w:tc>
        <w:tc>
          <w:tcPr>
            <w:tcW w:w="600" w:type="dxa"/>
            <w:vAlign w:val="bottom"/>
            <w:vMerge w:val="restart"/>
          </w:tcPr>
          <w:p>
            <w:pPr>
              <w:jc w:val="center"/>
              <w:ind w:left="118"/>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40" w:type="dxa"/>
            <w:vAlign w:val="bottom"/>
          </w:tcPr>
          <w:p>
            <w:pPr>
              <w:spacing w:after="0"/>
              <w:rPr>
                <w:sz w:val="16"/>
                <w:szCs w:val="16"/>
                <w:color w:val="auto"/>
              </w:rPr>
            </w:pPr>
          </w:p>
        </w:tc>
        <w:tc>
          <w:tcPr>
            <w:tcW w:w="520" w:type="dxa"/>
            <w:vAlign w:val="bottom"/>
            <w:gridSpan w:val="2"/>
            <w:vMerge w:val="restart"/>
          </w:tcPr>
          <w:p>
            <w:pPr>
              <w:ind w:left="16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16"/>
                <w:szCs w:val="16"/>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vMerge w:val="restart"/>
          </w:tcPr>
          <w:p>
            <w:pPr>
              <w:ind w:left="80"/>
              <w:spacing w:after="0"/>
              <w:rPr>
                <w:sz w:val="20"/>
                <w:szCs w:val="20"/>
                <w:color w:val="auto"/>
              </w:rPr>
            </w:pPr>
            <w:r>
              <w:rPr>
                <w:rFonts w:ascii="Arial" w:cs="Arial" w:eastAsia="Arial" w:hAnsi="Arial"/>
                <w:sz w:val="13"/>
                <w:szCs w:val="13"/>
                <w:color w:val="0000FF"/>
              </w:rPr>
              <w:t>1,400,000</w:t>
            </w:r>
            <w:r>
              <w:rPr>
                <w:rFonts w:ascii="Arial" w:cs="Arial" w:eastAsia="Arial" w:hAnsi="Arial"/>
                <w:sz w:val="21"/>
                <w:szCs w:val="21"/>
                <w:color w:val="008000"/>
                <w:vertAlign w:val="superscript"/>
              </w:rPr>
              <w:t>(1)</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5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jc w:val="both"/>
        <w:ind w:left="40" w:right="180" w:firstLine="3"/>
        <w:spacing w:after="0" w:line="237"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maximum number of Performance Units that could be earned under this award. Each Performance Unit represents the equivalent of $1.00. In general, from 0% to 100% of the maximum award will vest on June 10, 2020, based on the extent to which stock price performance goals (based on the highest average market value per share of the Issuer's Common Stock during any period of 30 consecutive trading days) are achieved from June 10, 2018 to June 10, 2020, subject to continuous employment through the vesting date. Vested Performance Units will be paid in Issuer Common Stock based on the highest stock price performance hurdle achieved during the performance period, as set forth in the applicable award agreement.</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7" w:lineRule="auto"/>
        <w:rPr>
          <w:sz w:val="20"/>
          <w:szCs w:val="20"/>
          <w:color w:val="auto"/>
        </w:rPr>
      </w:pPr>
      <w:r>
        <w:rPr>
          <w:rFonts w:ascii="Arial" w:cs="Arial" w:eastAsia="Arial" w:hAnsi="Arial"/>
          <w:sz w:val="17"/>
          <w:szCs w:val="17"/>
          <w:color w:val="0000FF"/>
        </w:rPr>
        <w:t xml:space="preserve">/s/ Paul M. Gohr, as Attorney-in- </w:t>
      </w:r>
      <w:r>
        <w:rPr>
          <w:rFonts w:ascii="Arial" w:cs="Arial" w:eastAsia="Arial" w:hAnsi="Arial"/>
          <w:sz w:val="33"/>
          <w:szCs w:val="33"/>
          <w:color w:val="0000FF"/>
          <w:vertAlign w:val="subscript"/>
        </w:rPr>
        <w:t>06/13/2017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-27305</wp:posOffset>
            </wp:positionV>
            <wp:extent cx="1416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668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 for 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-19685</wp:posOffset>
            </wp:positionV>
            <wp:extent cx="1141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1095"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98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5027"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2020-01-16T02:58:05Z</dcterms:created>
  <dcterms:modified xsi:type="dcterms:W3CDTF">2020-01-16T02:58:05Z</dcterms:modified>
</cp:coreProperties>
</file>