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10-Q/A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QUARTERLY REPORT UNDER SECTION 13 OR 15(d) OF THE SECURITIES</w:t>
      </w:r>
    </w:p>
    <w:p>
      <w:pPr>
        <w:spacing w:after="0" w:line="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EXCHANGE ACT OF 1934</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SEPTEMBER 30, 2004</w:t>
      </w:r>
    </w:p>
    <w:p>
      <w:pPr>
        <w:spacing w:after="0" w:line="15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CECO ENVIRONMENTAL CORP.</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13-2566064</w:t>
      </w:r>
    </w:p>
    <w:p>
      <w:pPr>
        <w:spacing w:after="0" w:line="56" w:lineRule="exact"/>
        <w:rPr>
          <w:sz w:val="24"/>
          <w:szCs w:val="24"/>
          <w:color w:val="auto"/>
        </w:rPr>
      </w:pPr>
    </w:p>
    <w:p>
      <w:pPr>
        <w:sectPr>
          <w:pgSz w:w="11900" w:h="16838" w:orient="portrait"/>
          <w:cols w:equalWidth="0" w:num="2">
            <w:col w:w="7540" w:space="720"/>
            <w:col w:w="2920"/>
          </w:cols>
          <w:pgMar w:left="240" w:top="230" w:right="47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44" w:lineRule="exact"/>
        <w:rPr>
          <w:sz w:val="24"/>
          <w:szCs w:val="24"/>
          <w:color w:val="auto"/>
        </w:rPr>
      </w:pPr>
    </w:p>
    <w:p>
      <w:pPr>
        <w:sectPr>
          <w:pgSz w:w="11900" w:h="16838" w:orient="portrait"/>
          <w:cols w:equalWidth="0" w:num="2">
            <w:col w:w="7440" w:space="720"/>
            <w:col w:w="3020"/>
          </w:cols>
          <w:pgMar w:left="240" w:top="230" w:right="479" w:bottom="1440" w:gutter="0" w:footer="0" w:header="0"/>
          <w:type w:val="continuous"/>
        </w:sectPr>
      </w:pPr>
    </w:p>
    <w:p>
      <w:pPr>
        <w:jc w:val="center"/>
        <w:ind w:right="-259"/>
        <w:spacing w:after="0"/>
        <w:rPr>
          <w:sz w:val="20"/>
          <w:szCs w:val="20"/>
          <w:color w:val="auto"/>
        </w:rPr>
      </w:pPr>
      <w:r>
        <w:rPr>
          <w:rFonts w:ascii="Arial" w:cs="Arial" w:eastAsia="Arial" w:hAnsi="Arial"/>
          <w:sz w:val="16"/>
          <w:szCs w:val="16"/>
          <w:b w:val="1"/>
          <w:bCs w:val="1"/>
          <w:color w:val="auto"/>
        </w:rPr>
        <w:t>3120 Forrer Street, Cincinnati, Ohio 45209</w:t>
      </w:r>
    </w:p>
    <w:p>
      <w:pPr>
        <w:spacing w:after="0" w:line="44"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513-458-2600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170815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1" w:lineRule="exact"/>
        <w:rPr>
          <w:sz w:val="24"/>
          <w:szCs w:val="24"/>
          <w:color w:val="auto"/>
        </w:rPr>
      </w:pPr>
    </w:p>
    <w:p>
      <w:pPr>
        <w:ind w:right="1680"/>
        <w:spacing w:after="0" w:line="328"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Indicate the number of shares outstanding of each of the issuer’s classes of common stock as of latest practical date. Class: Common, par value $.01 per share outstanding at November 12, 2004 - 9,991,678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Form 10-Q/A amends our Quarterly Report on Form 10-Q, filed on November 14, 2004 (the “Original Form 10-Q”) to reflect the restatement of our consolidated financial statements for the periods ended September 30, 2004 and 2003.</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8, 2005, the Company filed a Form 8-K with the Securities and Exchange Commission disclosing that the Company’s management determined that a spreadsheet error existed affecting the manner in which revenue was calculated and subsequently recognized on small projects. While revenue recognized under the percentage of completion calculation on individual large projects was accurate, due to this spreadsheet error, the accumulation of revenue for small projects was incorrect. This error occurred from 2000 to 2003 and during the three quarters of 2004 and therefore, these periods have been restated to reflect the correction of this error.</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restatement affected the following previously reported amounts: costs and estimated earnings in excess of billings on uncompleted contracts, deferred income tax liability, and retained earnings in our consolidated balance sheets, and net sales, income tax (benefit) provision, and net loss in our consolidated statements of operations.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the Company detected an error in the classification of amortization of deferred financing costs as depreciation and amortization expense rather than interest expense. This error is also being corrected in connection with this filing.</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stated above, this Report speaks only as of the date of the Original Form 10-Q. Except as specified above, this filing does not reflect any events occurring after November 14, 2004.</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520" w:type="dxa"/>
            <w:vAlign w:val="bottom"/>
            <w:gridSpan w:val="10"/>
          </w:tcPr>
          <w:p>
            <w:pPr>
              <w:jc w:val="center"/>
              <w:ind w:right="3980"/>
              <w:spacing w:after="0"/>
              <w:rPr>
                <w:sz w:val="20"/>
                <w:szCs w:val="20"/>
                <w:color w:val="auto"/>
              </w:rPr>
            </w:pPr>
            <w:r>
              <w:rPr>
                <w:rFonts w:ascii="Arial" w:cs="Arial" w:eastAsia="Arial" w:hAnsi="Arial"/>
                <w:sz w:val="18"/>
                <w:szCs w:val="18"/>
                <w:color w:val="auto"/>
                <w:w w:val="92"/>
              </w:rPr>
              <w:t>CECO ENVIRONMENTAL CORP.</w:t>
            </w:r>
          </w:p>
        </w:tc>
        <w:tc>
          <w:tcPr>
            <w:tcW w:w="4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7"/>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20" w:type="dxa"/>
            <w:vAlign w:val="bottom"/>
            <w:gridSpan w:val="11"/>
          </w:tcPr>
          <w:p>
            <w:pPr>
              <w:jc w:val="center"/>
              <w:ind w:right="2680"/>
              <w:spacing w:after="0"/>
              <w:rPr>
                <w:sz w:val="20"/>
                <w:szCs w:val="20"/>
                <w:color w:val="auto"/>
              </w:rPr>
            </w:pPr>
            <w:r>
              <w:rPr>
                <w:rFonts w:ascii="Arial" w:cs="Arial" w:eastAsia="Arial" w:hAnsi="Arial"/>
                <w:sz w:val="18"/>
                <w:szCs w:val="18"/>
                <w:color w:val="auto"/>
                <w:w w:val="91"/>
              </w:rPr>
              <w:t>QUARTERLY REPORT UNDER SECTION 13 OR 15(d)</w:t>
            </w:r>
          </w:p>
        </w:tc>
        <w:tc>
          <w:tcPr>
            <w:tcW w:w="46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20" w:type="dxa"/>
            <w:vAlign w:val="bottom"/>
            <w:gridSpan w:val="11"/>
          </w:tcPr>
          <w:p>
            <w:pPr>
              <w:jc w:val="center"/>
              <w:ind w:right="2660"/>
              <w:spacing w:after="0"/>
              <w:rPr>
                <w:sz w:val="20"/>
                <w:szCs w:val="20"/>
                <w:color w:val="auto"/>
              </w:rPr>
            </w:pPr>
            <w:r>
              <w:rPr>
                <w:rFonts w:ascii="Arial" w:cs="Arial" w:eastAsia="Arial" w:hAnsi="Arial"/>
                <w:sz w:val="18"/>
                <w:szCs w:val="18"/>
                <w:color w:val="auto"/>
                <w:w w:val="92"/>
              </w:rPr>
              <w:t>OF THE SECURITIES EXCHANGE ACT OF 1934</w:t>
            </w:r>
          </w:p>
        </w:tc>
        <w:tc>
          <w:tcPr>
            <w:tcW w:w="460" w:type="dxa"/>
            <w:vAlign w:val="bottom"/>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40" w:type="dxa"/>
            <w:vAlign w:val="bottom"/>
            <w:gridSpan w:val="9"/>
          </w:tcPr>
          <w:p>
            <w:pPr>
              <w:jc w:val="center"/>
              <w:ind w:right="4040"/>
              <w:spacing w:after="0"/>
              <w:rPr>
                <w:sz w:val="20"/>
                <w:szCs w:val="20"/>
                <w:color w:val="auto"/>
              </w:rPr>
            </w:pPr>
            <w:r>
              <w:rPr>
                <w:rFonts w:ascii="Arial" w:cs="Arial" w:eastAsia="Arial" w:hAnsi="Arial"/>
                <w:sz w:val="18"/>
                <w:szCs w:val="18"/>
                <w:color w:val="auto"/>
                <w:w w:val="90"/>
              </w:rPr>
              <w:t>SEPTEMBER 30, 2004</w:t>
            </w:r>
          </w:p>
        </w:tc>
        <w:tc>
          <w:tcPr>
            <w:tcW w:w="460" w:type="dxa"/>
            <w:vAlign w:val="bottom"/>
          </w:tcPr>
          <w:p>
            <w:pPr>
              <w:spacing w:after="0"/>
              <w:rPr>
                <w:sz w:val="19"/>
                <w:szCs w:val="19"/>
                <w:color w:val="auto"/>
              </w:rPr>
            </w:pPr>
          </w:p>
        </w:tc>
      </w:tr>
      <w:tr>
        <w:trPr>
          <w:trHeight w:val="326"/>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20" w:type="dxa"/>
            <w:vAlign w:val="bottom"/>
            <w:gridSpan w:val="7"/>
          </w:tcPr>
          <w:p>
            <w:pPr>
              <w:jc w:val="center"/>
              <w:ind w:right="4980"/>
              <w:spacing w:after="0"/>
              <w:rPr>
                <w:sz w:val="20"/>
                <w:szCs w:val="20"/>
                <w:color w:val="auto"/>
              </w:rPr>
            </w:pPr>
            <w:r>
              <w:rPr>
                <w:rFonts w:ascii="Arial" w:cs="Arial" w:eastAsia="Arial" w:hAnsi="Arial"/>
                <w:sz w:val="18"/>
                <w:szCs w:val="18"/>
                <w:color w:val="auto"/>
                <w:w w:val="98"/>
              </w:rPr>
              <w:t>INDEX</w:t>
            </w:r>
          </w:p>
        </w:tc>
        <w:tc>
          <w:tcPr>
            <w:tcW w:w="460" w:type="dxa"/>
            <w:vAlign w:val="bottom"/>
          </w:tcPr>
          <w:p>
            <w:pPr>
              <w:spacing w:after="0"/>
              <w:rPr>
                <w:sz w:val="24"/>
                <w:szCs w:val="24"/>
                <w:color w:val="auto"/>
              </w:rPr>
            </w:pPr>
          </w:p>
        </w:tc>
      </w:tr>
      <w:tr>
        <w:trPr>
          <w:trHeight w:val="383"/>
        </w:trPr>
        <w:tc>
          <w:tcPr>
            <w:tcW w:w="5440" w:type="dxa"/>
            <w:vAlign w:val="bottom"/>
            <w:gridSpan w:val="11"/>
          </w:tcPr>
          <w:p>
            <w:pPr>
              <w:spacing w:after="0"/>
              <w:rPr>
                <w:sz w:val="20"/>
                <w:szCs w:val="20"/>
                <w:color w:val="auto"/>
              </w:rPr>
            </w:pPr>
            <w:r>
              <w:rPr>
                <w:rFonts w:ascii="Arial" w:cs="Arial" w:eastAsia="Arial" w:hAnsi="Arial"/>
                <w:sz w:val="18"/>
                <w:szCs w:val="18"/>
                <w:color w:val="auto"/>
              </w:rPr>
              <w:t>Part I - Financial Information:</w:t>
            </w:r>
          </w:p>
        </w:tc>
        <w:tc>
          <w:tcPr>
            <w:tcW w:w="540" w:type="dxa"/>
            <w:vAlign w:val="bottom"/>
            <w:tcBorders>
              <w:top w:val="single" w:sz="8" w:color="auto"/>
            </w:tcBorders>
          </w:tcPr>
          <w:p>
            <w:pPr>
              <w:spacing w:after="0"/>
              <w:rPr>
                <w:sz w:val="24"/>
                <w:szCs w:val="24"/>
                <w:color w:val="auto"/>
              </w:rPr>
            </w:pPr>
          </w:p>
        </w:tc>
        <w:tc>
          <w:tcPr>
            <w:tcW w:w="498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286"/>
        </w:trPr>
        <w:tc>
          <w:tcPr>
            <w:tcW w:w="10960" w:type="dxa"/>
            <w:vAlign w:val="bottom"/>
            <w:gridSpan w:val="18"/>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
              <w:r>
                <w:rPr>
                  <w:rFonts w:ascii="Arial" w:cs="Arial" w:eastAsia="Arial" w:hAnsi="Arial"/>
                  <w:sz w:val="18"/>
                  <w:szCs w:val="18"/>
                  <w:color w:val="0000EE"/>
                </w:rPr>
                <w:t>Condensed consolidated balance sheets as of September 30, 2004 and December 31, 2003 (restated)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three-month and nine-month periods ended September 30, 2004 and 2003 (restated)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for the nine-month periods ended September 30, 2004 and 2003 (restated)</w:t>
              </w:r>
            </w:hyperlink>
          </w:p>
        </w:tc>
        <w:tc>
          <w:tcPr>
            <w:tcW w:w="1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64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960" w:type="dxa"/>
            <w:vAlign w:val="bottom"/>
            <w:gridSpan w:val="18"/>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4">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10960" w:type="dxa"/>
            <w:vAlign w:val="bottom"/>
            <w:gridSpan w:val="18"/>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0">
              <w:r>
                <w:rPr>
                  <w:rFonts w:ascii="Arial" w:cs="Arial" w:eastAsia="Arial" w:hAnsi="Arial"/>
                  <w:sz w:val="18"/>
                  <w:szCs w:val="18"/>
                  <w:color w:val="0000EE"/>
                </w:rPr>
                <w:t>Quantitative and Qualitative Disclosure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760" w:type="dxa"/>
            <w:vAlign w:val="bottom"/>
            <w:gridSpan w:val="3"/>
          </w:tcPr>
          <w:p>
            <w:pPr>
              <w:ind w:left="160"/>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21">
              <w:r>
                <w:rPr>
                  <w:rFonts w:ascii="Arial" w:cs="Arial" w:eastAsia="Arial" w:hAnsi="Arial"/>
                  <w:sz w:val="18"/>
                  <w:szCs w:val="18"/>
                  <w:color w:val="0000EE"/>
                  <w:w w:val="86"/>
                </w:rPr>
                <w:t>Controls and Procedures</w:t>
              </w:r>
            </w:hyperlink>
          </w:p>
        </w:tc>
        <w:tc>
          <w:tcPr>
            <w:tcW w:w="2400" w:type="dxa"/>
            <w:vAlign w:val="bottom"/>
            <w:tcBorders>
              <w:top w:val="single" w:sz="8" w:color="0000EE"/>
            </w:tcBorders>
            <w:gridSpan w:val="4"/>
          </w:tcPr>
          <w:p>
            <w:pPr>
              <w:spacing w:after="0"/>
              <w:rPr>
                <w:sz w:val="24"/>
                <w:szCs w:val="24"/>
                <w:color w:val="auto"/>
              </w:rPr>
            </w:pPr>
          </w:p>
        </w:tc>
        <w:tc>
          <w:tcPr>
            <w:tcW w:w="606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96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22">
              <w:r>
                <w:rPr>
                  <w:rFonts w:ascii="Arial" w:cs="Arial" w:eastAsia="Arial" w:hAnsi="Arial"/>
                  <w:sz w:val="18"/>
                  <w:szCs w:val="18"/>
                  <w:color w:val="0000EE"/>
                </w:rPr>
                <w:t>Other Information</w:t>
              </w:r>
            </w:hyperlink>
          </w:p>
        </w:tc>
        <w:tc>
          <w:tcPr>
            <w:tcW w:w="46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2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760" w:type="dxa"/>
            <w:vAlign w:val="bottom"/>
            <w:gridSpan w:val="3"/>
          </w:tcPr>
          <w:p>
            <w:pPr>
              <w:ind w:left="160"/>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Submission of Matters to a Vote of Security Holders</w:t>
              </w:r>
            </w:hyperlink>
          </w:p>
        </w:tc>
        <w:tc>
          <w:tcPr>
            <w:tcW w:w="652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760" w:type="dxa"/>
            <w:vAlign w:val="bottom"/>
            <w:gridSpan w:val="3"/>
          </w:tcPr>
          <w:p>
            <w:pPr>
              <w:ind w:left="160"/>
              <w:spacing w:after="0"/>
              <w:rPr>
                <w:sz w:val="20"/>
                <w:szCs w:val="20"/>
                <w:color w:val="auto"/>
              </w:rPr>
            </w:pPr>
            <w:r>
              <w:rPr>
                <w:rFonts w:ascii="Arial" w:cs="Arial" w:eastAsia="Arial" w:hAnsi="Arial"/>
                <w:sz w:val="18"/>
                <w:szCs w:val="18"/>
                <w:color w:val="auto"/>
              </w:rPr>
              <w:t>Item 5.</w:t>
            </w:r>
          </w:p>
        </w:tc>
        <w:tc>
          <w:tcPr>
            <w:tcW w:w="1020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760" w:type="dxa"/>
            <w:vAlign w:val="bottom"/>
            <w:gridSpan w:val="3"/>
          </w:tcPr>
          <w:p>
            <w:pPr>
              <w:ind w:left="160"/>
              <w:spacing w:after="0"/>
              <w:rPr>
                <w:sz w:val="20"/>
                <w:szCs w:val="20"/>
                <w:color w:val="auto"/>
              </w:rPr>
            </w:pPr>
            <w:r>
              <w:rPr>
                <w:rFonts w:ascii="Arial" w:cs="Arial" w:eastAsia="Arial" w:hAnsi="Arial"/>
                <w:sz w:val="18"/>
                <w:szCs w:val="18"/>
                <w:color w:val="auto"/>
              </w:rPr>
              <w:t>Item 6.</w:t>
            </w:r>
          </w:p>
        </w:tc>
        <w:tc>
          <w:tcPr>
            <w:tcW w:w="23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Exhibits and reports on Form 8-K</w:t>
              </w:r>
            </w:hyperlink>
          </w:p>
        </w:tc>
        <w:tc>
          <w:tcPr>
            <w:tcW w:w="782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9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1028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3"/>
        </w:trPr>
        <w:tc>
          <w:tcPr>
            <w:tcW w:w="10960" w:type="dxa"/>
            <w:vAlign w:val="bottom"/>
            <w:gridSpan w:val="18"/>
          </w:tcPr>
          <w:p>
            <w:pPr>
              <w:spacing w:after="0"/>
              <w:rPr>
                <w:sz w:val="20"/>
                <w:szCs w:val="20"/>
                <w:color w:val="auto"/>
              </w:rPr>
            </w:pPr>
            <w:r>
              <w:rPr>
                <w:rFonts w:ascii="Arial" w:cs="Arial" w:eastAsia="Arial" w:hAnsi="Arial"/>
                <w:sz w:val="18"/>
                <w:szCs w:val="18"/>
                <w:color w:val="auto"/>
              </w:rPr>
              <w:t>Certifications</w:t>
            </w: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273"/>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3"/>
          </w:tcPr>
          <w:p>
            <w:pPr>
              <w:ind w:left="600"/>
              <w:spacing w:after="0"/>
              <w:rPr>
                <w:sz w:val="20"/>
                <w:szCs w:val="20"/>
                <w:color w:val="auto"/>
              </w:rPr>
            </w:pPr>
            <w:r>
              <w:rPr>
                <w:rFonts w:ascii="Arial" w:cs="Arial" w:eastAsia="Arial" w:hAnsi="Arial"/>
                <w:sz w:val="14"/>
                <w:szCs w:val="14"/>
                <w:b w:val="1"/>
                <w:bCs w:val="1"/>
                <w:color w:val="auto"/>
                <w:w w:val="86"/>
              </w:rPr>
              <w:t>As restated – see note 9</w:t>
            </w: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1"/>
              </w:rPr>
              <w:t>(unaudited)</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5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13,027</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2,025</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5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9,467</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Intangible assets – finite life,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indefinite life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44,508</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13,449</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20,715</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5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2,192</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Debt, less current portion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2,542</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(including, related party - $5,287 and $5,093, respectively)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36,886</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w w:val="97"/>
              </w:rPr>
              <w:t>Common stock, $0.01 par value; 100,000,000 shares authorized, 10,792,898 shares issued at September 30,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2004 and 10,786,194 shares issued at December 31, 2003</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(6,127)</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(894)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Less treasury stock, at cost, 801,220 shares in 2004 and 2003</w:t>
            </w:r>
          </w:p>
        </w:tc>
        <w:tc>
          <w:tcPr>
            <w:tcW w:w="140" w:type="dxa"/>
            <w:vAlign w:val="bottom"/>
          </w:tcPr>
          <w:p>
            <w:pPr>
              <w:spacing w:after="0"/>
              <w:rPr>
                <w:sz w:val="19"/>
                <w:szCs w:val="19"/>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(1,804)</w:t>
            </w:r>
          </w:p>
        </w:tc>
        <w:tc>
          <w:tcPr>
            <w:tcW w:w="3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44,508</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8520" w:type="dxa"/>
            <w:vAlign w:val="bottom"/>
          </w:tcPr>
          <w:p>
            <w:pPr>
              <w:ind w:left="3680"/>
              <w:spacing w:after="0"/>
              <w:rPr>
                <w:sz w:val="20"/>
                <w:szCs w:val="20"/>
                <w:color w:val="auto"/>
              </w:rPr>
            </w:pPr>
            <w:r>
              <w:rPr>
                <w:rFonts w:ascii="Arial" w:cs="Arial" w:eastAsia="Arial" w:hAnsi="Arial"/>
                <w:sz w:val="18"/>
                <w:szCs w:val="18"/>
                <w:color w:val="auto"/>
              </w:rPr>
              <w:t>The notes to condensed consolidated 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160"/>
              <w:spacing w:after="0"/>
              <w:rPr>
                <w:sz w:val="20"/>
                <w:szCs w:val="20"/>
                <w:color w:val="auto"/>
              </w:rPr>
            </w:pPr>
            <w:r>
              <w:rPr>
                <w:rFonts w:ascii="Arial" w:cs="Arial" w:eastAsia="Arial" w:hAnsi="Arial"/>
                <w:sz w:val="18"/>
                <w:szCs w:val="18"/>
                <w:color w:val="auto"/>
              </w:rPr>
              <w:t>are an integral part of the above statements.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-4450715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-4450715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-4450715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-4450715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-4450715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-4450715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-463550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-463550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-463550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-463550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-463550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-463550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7"/>
          </w:tcPr>
          <w:p>
            <w:pPr>
              <w:ind w:left="5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w w:val="97"/>
              </w:rPr>
              <w:t>As restated – see note 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Cost of sales, exclusive of items shown separately below</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38,248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administration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4"/>
              </w:rPr>
              <w:t>Interest expense (including related party interest of $219 and $199, and $654 and $597,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Basic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9,991,678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9,978,835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9,988,840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9,808,574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10,015,537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10,021,741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9,988,840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9,808,574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-1504315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-1504315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-1504315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-1504315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-1504315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-1504315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-1504315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-1504315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-1504315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-1504315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-1504315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-1504315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-1066800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-1066800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-1066800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-1066800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-1066800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-1066800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-1066800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-1066800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-1066800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-1066800</wp:posOffset>
            </wp:positionV>
            <wp:extent cx="53594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-766445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-766445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-766445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-766445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-766445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-766445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-766445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-766445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-766445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-766445</wp:posOffset>
            </wp:positionV>
            <wp:extent cx="53594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-329565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-329565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-329565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-329565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-329565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-329565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-329565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-329565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-329565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condensed consolidated financial statements 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 integral part of the above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3"/>
              </w:rPr>
              <w:t>As restated – see note 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 cash gains included in net loss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Acquisitions of equipment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subordinated debt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Net borrowings (repayments) on revolving credit line and (repayments) of debt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60" w:type="dxa"/>
            <w:vAlign w:val="bottom"/>
            <w:vMerge w:val="restart"/>
          </w:tcPr>
          <w:p>
            <w:pPr>
              <w:ind w:left="3080"/>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9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during the period for: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906</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60" w:type="dxa"/>
            <w:vAlign w:val="bottom"/>
            <w:vMerge w:val="restart"/>
          </w:tcPr>
          <w:p>
            <w:pPr>
              <w:ind w:left="3560"/>
              <w:spacing w:after="0"/>
              <w:rPr>
                <w:sz w:val="20"/>
                <w:szCs w:val="20"/>
                <w:color w:val="auto"/>
              </w:rPr>
            </w:pPr>
            <w:r>
              <w:rPr>
                <w:rFonts w:ascii="Arial" w:cs="Arial" w:eastAsia="Arial" w:hAnsi="Arial"/>
                <w:sz w:val="18"/>
                <w:szCs w:val="18"/>
                <w:color w:val="auto"/>
              </w:rPr>
              <w:t>The notes to condensed consolidated financial statements are</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ind w:left="4300"/>
              <w:spacing w:after="0"/>
              <w:rPr>
                <w:sz w:val="20"/>
                <w:szCs w:val="20"/>
                <w:color w:val="auto"/>
              </w:rPr>
            </w:pPr>
            <w:r>
              <w:rPr>
                <w:rFonts w:ascii="Arial" w:cs="Arial" w:eastAsia="Arial" w:hAnsi="Arial"/>
                <w:sz w:val="18"/>
                <w:szCs w:val="18"/>
                <w:color w:val="auto"/>
              </w:rPr>
              <w:t>an integral part of the above statements.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-1612265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-1612265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-1612265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-1612265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-1612265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-1612265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-763270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-763270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-763270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-763270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-763270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-763270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-463550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-463550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-463550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-463550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-463550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-463550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15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reporting for condensed consolidated financial statements and significant accounting policies.</w:t>
      </w:r>
    </w:p>
    <w:p>
      <w:pPr>
        <w:spacing w:after="0" w:line="76" w:lineRule="exact"/>
        <w:rPr>
          <w:rFonts w:ascii="Arial" w:cs="Arial" w:eastAsia="Arial" w:hAnsi="Arial"/>
          <w:sz w:val="18"/>
          <w:szCs w:val="18"/>
          <w:color w:val="auto"/>
        </w:rPr>
      </w:pPr>
    </w:p>
    <w:p>
      <w:pPr>
        <w:ind w:left="460"/>
        <w:spacing w:after="0" w:line="290" w:lineRule="auto"/>
        <w:rPr>
          <w:rFonts w:ascii="Arial" w:cs="Arial" w:eastAsia="Arial" w:hAnsi="Arial"/>
          <w:sz w:val="18"/>
          <w:szCs w:val="18"/>
          <w:color w:val="auto"/>
        </w:rPr>
      </w:pPr>
      <w:r>
        <w:rPr>
          <w:rFonts w:ascii="Arial" w:cs="Arial" w:eastAsia="Arial" w:hAnsi="Arial"/>
          <w:sz w:val="16"/>
          <w:szCs w:val="16"/>
          <w:color w:val="auto"/>
        </w:rPr>
        <w:t>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September 30, 2004 and December 31, 2003 and the results of operations for the three-month and nine-month periods ended September 30, 2004 and 2003 and of cash flows for the nine-month periods ended September 30, 2004 and 2003. The results of operations for the three-month period and nine-month period ended September 30, 2004 are not necessarily indicative of the results to be expected for the full year.</w:t>
      </w:r>
    </w:p>
    <w:p>
      <w:pPr>
        <w:spacing w:after="0" w:line="23"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These financial statements should be read in conjunction with the audited financial statements and notes thereto in our 2003 Annual Report on Form 10-K/A filed with the Securities and Exchange Commission.</w:t>
      </w:r>
    </w:p>
    <w:p>
      <w:pPr>
        <w:spacing w:after="0" w:line="37" w:lineRule="exact"/>
        <w:rPr>
          <w:rFonts w:ascii="Arial" w:cs="Arial" w:eastAsia="Arial" w:hAnsi="Arial"/>
          <w:sz w:val="18"/>
          <w:szCs w:val="18"/>
          <w:color w:val="auto"/>
        </w:rPr>
      </w:pPr>
    </w:p>
    <w:p>
      <w:pPr>
        <w:ind w:left="460" w:right="60"/>
        <w:spacing w:after="0" w:line="294" w:lineRule="auto"/>
        <w:rPr>
          <w:rFonts w:ascii="Arial" w:cs="Arial" w:eastAsia="Arial" w:hAnsi="Arial"/>
          <w:sz w:val="18"/>
          <w:szCs w:val="18"/>
          <w:color w:val="auto"/>
        </w:rPr>
      </w:pPr>
      <w:r>
        <w:rPr>
          <w:rFonts w:ascii="Arial" w:cs="Arial" w:eastAsia="Arial" w:hAnsi="Arial"/>
          <w:sz w:val="16"/>
          <w:szCs w:val="16"/>
          <w:color w:val="auto"/>
        </w:rPr>
        <w:t>Stock Based Compensation—We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2004 or 2003 related to our stock option plans. We adopted the disclosure-only provisions of SFAS No. 123, “Accounting for Stock-Based Compensation” and related pronouncements.</w:t>
      </w:r>
    </w:p>
    <w:p>
      <w:pPr>
        <w:spacing w:after="0" w:line="21" w:lineRule="exact"/>
        <w:rPr>
          <w:rFonts w:ascii="Arial" w:cs="Arial" w:eastAsia="Arial" w:hAnsi="Arial"/>
          <w:sz w:val="18"/>
          <w:szCs w:val="18"/>
          <w:color w:val="auto"/>
        </w:rPr>
      </w:pPr>
    </w:p>
    <w:p>
      <w:pPr>
        <w:ind w:left="460" w:right="12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compares 2004 and 2003 as reported to the pro forma results, considering both options and warrants discussed in Note 11 in our 2003 Annual Report filed on Form 10-K/A, had we adopted the expense recognition provision of SFAS No. 123:</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0"/>
              </w:rPr>
              <w:t>Three Months Ended</w:t>
            </w:r>
          </w:p>
        </w:tc>
        <w:tc>
          <w:tcPr>
            <w:tcW w:w="14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8"/>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0"/>
              </w:rPr>
              <w:t>Deduct: compensation cost based on fair value recognition, net of tax</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(82)</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under SFAS No. 123</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$(436)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loss per share: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 (.04)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pro forma under SFAS No. 123</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 (.04)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Diluted as reported</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 (.04)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 under SFAS No. 123</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 (.04)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980" w:type="dxa"/>
            <w:vAlign w:val="bottom"/>
          </w:tcPr>
          <w:p>
            <w:pPr>
              <w:jc w:val="right"/>
              <w:ind w:right="16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-1012190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-1012190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-1012190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-1012190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-1012190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-1012190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-1012190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-1012190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-1012190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-1012190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-1012190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-1012190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Accounting Standards</w:t>
      </w:r>
    </w:p>
    <w:p>
      <w:pPr>
        <w:spacing w:after="0" w:line="76"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In December 2002, the FASB issued Statement No. 148, “Accounting for Stock-Based Compensation - Transition and Disclosure” which we adopted in 2003. The Statement provides alternative methods of transition for a voluntary change to the fair value method of accounting for stock options. We did not make any voluntary changes to our method of accounting for stock options.</w:t>
      </w:r>
    </w:p>
    <w:p>
      <w:pPr>
        <w:spacing w:after="0" w:line="45"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w:t>
      </w:r>
    </w:p>
    <w:p>
      <w:pPr>
        <w:spacing w:after="0" w:line="21" w:lineRule="exact"/>
        <w:rPr>
          <w:rFonts w:ascii="Arial" w:cs="Arial" w:eastAsia="Arial" w:hAnsi="Arial"/>
          <w:sz w:val="18"/>
          <w:szCs w:val="18"/>
          <w:color w:val="auto"/>
        </w:rPr>
      </w:pPr>
    </w:p>
    <w:p>
      <w:pPr>
        <w:ind w:left="460" w:right="120"/>
        <w:spacing w:after="0" w:line="290" w:lineRule="auto"/>
        <w:rPr>
          <w:rFonts w:ascii="Arial" w:cs="Arial" w:eastAsia="Arial" w:hAnsi="Arial"/>
          <w:sz w:val="18"/>
          <w:szCs w:val="18"/>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was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nor do we have any mandatorily redeemable financial instruments. The adoption of this statement did not have a material impact on our financial condition or results of operations.</w:t>
      </w:r>
    </w:p>
    <w:p>
      <w:pPr>
        <w:spacing w:after="0" w:line="23" w:lineRule="exact"/>
        <w:rPr>
          <w:rFonts w:ascii="Arial" w:cs="Arial" w:eastAsia="Arial" w:hAnsi="Arial"/>
          <w:sz w:val="18"/>
          <w:szCs w:val="18"/>
          <w:color w:val="auto"/>
        </w:rPr>
      </w:pPr>
    </w:p>
    <w:p>
      <w:pPr>
        <w:ind w:left="460" w:right="260"/>
        <w:spacing w:after="0" w:line="256" w:lineRule="auto"/>
        <w:rPr>
          <w:rFonts w:ascii="Arial" w:cs="Arial" w:eastAsia="Arial" w:hAnsi="Arial"/>
          <w:sz w:val="18"/>
          <w:szCs w:val="18"/>
          <w:color w:val="auto"/>
        </w:rPr>
      </w:pPr>
      <w:r>
        <w:rPr>
          <w:rFonts w:ascii="Arial" w:cs="Arial" w:eastAsia="Arial" w:hAnsi="Arial"/>
          <w:sz w:val="18"/>
          <w:szCs w:val="18"/>
          <w:color w:val="auto"/>
        </w:rPr>
        <w:t>In December 2003, the FASB issued a revised FASB Interpretation No. 46 entitled “Consolidation of Variable Interest Entities”. As revised, the new interpretation requires that the Company consolidate all variable interest entities in its financial statements under certain circumstances. We adopted the revised interpretation as of March 31, 2004 as required; however, the adoption of this interpretation did not affect our financial condition or results of operations, as we do not have any interests in variable interest entities.</w:t>
      </w:r>
    </w:p>
    <w:p>
      <w:pPr>
        <w:spacing w:after="0" w:line="48" w:lineRule="exact"/>
        <w:rPr>
          <w:rFonts w:ascii="Arial" w:cs="Arial" w:eastAsia="Arial" w:hAnsi="Arial"/>
          <w:sz w:val="18"/>
          <w:szCs w:val="18"/>
          <w:color w:val="auto"/>
        </w:rPr>
      </w:pPr>
    </w:p>
    <w:p>
      <w:pPr>
        <w:ind w:left="460" w:right="140"/>
        <w:spacing w:after="0" w:line="255" w:lineRule="auto"/>
        <w:rPr>
          <w:rFonts w:ascii="Arial" w:cs="Arial" w:eastAsia="Arial" w:hAnsi="Arial"/>
          <w:sz w:val="18"/>
          <w:szCs w:val="18"/>
          <w:color w:val="auto"/>
        </w:rPr>
      </w:pPr>
      <w:r>
        <w:rPr>
          <w:rFonts w:ascii="Arial" w:cs="Arial" w:eastAsia="Arial" w:hAnsi="Arial"/>
          <w:sz w:val="18"/>
          <w:szCs w:val="18"/>
          <w:color w:val="auto"/>
        </w:rPr>
        <w:t>In November 2002, the FASB’s Emerging Issues Task Force (“EITF”) reached a consensus on EITF Issue No. 00-21, “Revenue Arrangements with Multiple Deliverables”. EITF No. 00-21 provides guidance for revenue arrangements that involve the delivery or performance of multiple products or services where performance may occur at different points or over different periods of time. EITF No. 00-21 is effective for revenue arrangements entered into in fiscal periods beginning after June 15, 2003 (i.e., our fiscal 2004). The adoption of this interpretation on January 1, 2004 did not have a material affect on our financial condition or results of operations.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In December 2003, the FASB issued FASB Statement No. 132 (Revised 2003), “Employers’ Disclosures about Pensions and Other Postretirement Benefits”. The statement increases the existing disclosure requirements by requiring more details about pension plan assets, benefit obligations, cash flows, benefit costs and related information. We are required to segregate plan assets by category, such as debt, equity and real estate, and to provide certain expected rates of return and other informational disclosures. We have adopted the disclosure requirement of SFAS No. 132-R for our December 31, 2003 financial statements, as well as disclosure requirements for various elements of pension and postretirement benefit costs in interim period financial statements beginning with our first quarter ended March 31, 2004.</w:t>
      </w:r>
    </w:p>
    <w:p>
      <w:pPr>
        <w:spacing w:after="0" w:line="10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Inventories consist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3"/>
              </w:rPr>
              <w:t>September 30,</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subassemblies</w:t>
            </w:r>
          </w:p>
        </w:tc>
        <w:tc>
          <w:tcPr>
            <w:tcW w:w="27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92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Parts for resale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7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92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4.</w:t>
            </w:r>
          </w:p>
        </w:tc>
        <w:tc>
          <w:tcPr>
            <w:tcW w:w="8140" w:type="dxa"/>
            <w:vAlign w:val="bottom"/>
            <w:gridSpan w:val="2"/>
            <w:vMerge w:val="restart"/>
          </w:tcPr>
          <w:p>
            <w:pPr>
              <w:ind w:left="160"/>
              <w:spacing w:after="0"/>
              <w:rPr>
                <w:sz w:val="20"/>
                <w:szCs w:val="20"/>
                <w:color w:val="auto"/>
              </w:rPr>
            </w:pPr>
            <w:r>
              <w:rPr>
                <w:rFonts w:ascii="Arial" w:cs="Arial" w:eastAsia="Arial" w:hAnsi="Arial"/>
                <w:sz w:val="18"/>
                <w:szCs w:val="18"/>
                <w:color w:val="auto"/>
              </w:rPr>
              <w:t>Goodwill and Intangible Assets</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00" w:type="dxa"/>
            <w:vAlign w:val="bottom"/>
            <w:vMerge w:val="continue"/>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960" w:type="dxa"/>
            <w:vAlign w:val="bottom"/>
            <w:gridSpan w:val="6"/>
          </w:tcPr>
          <w:p>
            <w:pPr>
              <w:spacing w:after="0"/>
              <w:rPr>
                <w:sz w:val="20"/>
                <w:szCs w:val="20"/>
                <w:color w:val="auto"/>
              </w:rPr>
            </w:pPr>
            <w:r>
              <w:rPr>
                <w:rFonts w:ascii="Arial" w:cs="Arial" w:eastAsia="Arial" w:hAnsi="Arial"/>
                <w:sz w:val="14"/>
                <w:szCs w:val="14"/>
                <w:b w:val="1"/>
                <w:bCs w:val="1"/>
                <w:color w:val="auto"/>
                <w:w w:val="98"/>
              </w:rPr>
              <w:t>September 30,</w:t>
            </w:r>
          </w:p>
        </w:tc>
        <w:tc>
          <w:tcPr>
            <w:tcW w:w="70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jc w:val="right"/>
              <w:ind w:right="196"/>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236"/>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finite life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indefinite life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-2010410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-2010410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-2010410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-2010410</wp:posOffset>
            </wp:positionV>
            <wp:extent cx="50990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-1049655</wp:posOffset>
            </wp:positionV>
            <wp:extent cx="55308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-1049655</wp:posOffset>
            </wp:positionV>
            <wp:extent cx="53594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-329565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-329565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-329565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-329565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55308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was $20 for the third quarters of 2004 and 2003, and $60 and $59 for the first nine months of 2004 and 2003,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finite life intangible assets over the next five years is $79 for 2005, $78 in 2006 and 2007, and $77 in 2008 and 2009.</w:t>
      </w:r>
    </w:p>
    <w:p>
      <w:pPr>
        <w:spacing w:after="0" w:line="15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Segment Information</w:t>
      </w:r>
    </w:p>
    <w:p>
      <w:pPr>
        <w:spacing w:after="0" w:line="76"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76" w:lineRule="exact"/>
        <w:rPr>
          <w:rFonts w:ascii="Arial" w:cs="Arial" w:eastAsia="Arial" w:hAnsi="Arial"/>
          <w:sz w:val="18"/>
          <w:szCs w:val="18"/>
          <w:color w:val="auto"/>
        </w:rPr>
      </w:pPr>
    </w:p>
    <w:p>
      <w:pPr>
        <w:ind w:left="460" w:right="460"/>
        <w:spacing w:after="0" w:line="332" w:lineRule="auto"/>
        <w:rPr>
          <w:rFonts w:ascii="Arial" w:cs="Arial" w:eastAsia="Arial" w:hAnsi="Arial"/>
          <w:sz w:val="18"/>
          <w:szCs w:val="18"/>
          <w:color w:val="auto"/>
        </w:rPr>
      </w:pPr>
      <w:r>
        <w:rPr>
          <w:rFonts w:ascii="Arial" w:cs="Arial" w:eastAsia="Arial" w:hAnsi="Arial"/>
          <w:sz w:val="16"/>
          <w:szCs w:val="16"/>
          <w:color w:val="auto"/>
        </w:rPr>
        <w:t>The following table reconciles basic weighted average shares outstanding to diluted weighted average shares outstanding for the three months ended September 30, 2004 and 2003. There were no adjustments to net income for the basic or diluted earnings per share (EPS) computations.</w:t>
      </w:r>
    </w:p>
    <w:p>
      <w:pPr>
        <w:spacing w:after="0" w:line="67"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60325</wp:posOffset>
            </wp:positionV>
            <wp:extent cx="13379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96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common shares outstanding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9,991,678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9,978,835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23,859</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10,015,537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For the nine months ended September 30, both basic and diluted weighted average common shares outstanding were 9,988,840 in 2004 and 9,808,574 in 2003. We consider outstanding options and warrants in computing diluted net loss per share only when they are dilutive. Options and warrants to purchase 3,503,700 and 3,446,000 shares for the nine-month periods ended September 30, 2004 and 2003, respectively, were not included in the computation of diluted earnings per share due to their having an anti-dilutive effect. Options and warrants to purchase 2,453,700 and 2,446,000 shares for the three-month periods ended September 30, 2004 and 2003, respectively, were not included in the computation of diluted earnings per share because their exercise prices were greater than the average market price of the common shares and therefore were anti-dilutive. There were no adjustments to net loss for the basic or diluted earnings per share computations.</w:t>
      </w:r>
    </w:p>
    <w:p>
      <w:pPr>
        <w:spacing w:after="0" w:line="10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w:t>
      </w:r>
    </w:p>
    <w:p>
      <w:pPr>
        <w:spacing w:after="0" w:line="76" w:lineRule="exact"/>
        <w:rPr>
          <w:rFonts w:ascii="Arial" w:cs="Arial" w:eastAsia="Arial" w:hAnsi="Arial"/>
          <w:sz w:val="18"/>
          <w:szCs w:val="18"/>
          <w:color w:val="auto"/>
        </w:rPr>
      </w:pPr>
    </w:p>
    <w:p>
      <w:pPr>
        <w:ind w:left="460" w:right="620"/>
        <w:spacing w:after="0" w:line="268" w:lineRule="auto"/>
        <w:rPr>
          <w:rFonts w:ascii="Arial" w:cs="Arial" w:eastAsia="Arial" w:hAnsi="Arial"/>
          <w:sz w:val="18"/>
          <w:szCs w:val="18"/>
          <w:color w:val="auto"/>
        </w:rPr>
      </w:pPr>
      <w:r>
        <w:rPr>
          <w:rFonts w:ascii="Arial" w:cs="Arial" w:eastAsia="Arial" w:hAnsi="Arial"/>
          <w:sz w:val="18"/>
          <w:szCs w:val="18"/>
          <w:color w:val="auto"/>
        </w:rPr>
        <w:t>Total bank and related debt was $10,408 at September 30, 2004 and $9,957 at December 31, 2003. Unused credit availability under our $8 million revolving line of credit at September 30, 2004 was $2,304.</w:t>
      </w:r>
    </w:p>
    <w:p>
      <w:pPr>
        <w:spacing w:after="0" w:line="37" w:lineRule="exact"/>
        <w:rPr>
          <w:rFonts w:ascii="Arial" w:cs="Arial" w:eastAsia="Arial" w:hAnsi="Arial"/>
          <w:sz w:val="18"/>
          <w:szCs w:val="18"/>
          <w:color w:val="auto"/>
        </w:rPr>
      </w:pPr>
    </w:p>
    <w:p>
      <w:pPr>
        <w:ind w:left="460"/>
        <w:spacing w:after="0" w:line="290" w:lineRule="auto"/>
        <w:rPr>
          <w:rFonts w:ascii="Arial" w:cs="Arial" w:eastAsia="Arial" w:hAnsi="Arial"/>
          <w:sz w:val="18"/>
          <w:szCs w:val="18"/>
          <w:color w:val="auto"/>
        </w:rPr>
      </w:pPr>
      <w:r>
        <w:rPr>
          <w:rFonts w:ascii="Arial" w:cs="Arial" w:eastAsia="Arial" w:hAnsi="Arial"/>
          <w:sz w:val="16"/>
          <w:szCs w:val="16"/>
          <w:color w:val="auto"/>
        </w:rPr>
        <w:t>During November 2004, the revolving line of credit portion of the bank credit facility was amended by extending the termination date to January 2006. As a result, the amount outstanding under this line of $5,696 as of September 30, 2004 was reported as long-term debt in the accompanying balance sheet. In addition, the revolving line of credit was amended whereby the maximum amount available that could be borrowed under the line was increased by $2,000 to $10,000 as of November 2004 subject to the borrowing base formula contained in the credit agreement. No extinguishment loss was recognized as a result of this amendment. The amendment also waived minimum coverage requirements under several financial covenants as of September 30, 2004. The bank credit facility was also amended during August 2004 by extending the term loan to July 2005 and by waiving the leverage financial covenant as of June 30, 2004.</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We are continuing to evaluate, in light of the current market conditions and company performance, our options and alternative financing. Our refinancing strategy for bank credit facility was to extend the maturities and increase our cash flow by lengthening the scheduled principal amortization on term debt for our machinery, equipment and real estate, and reducing interest cost. We have extended the maturity on the term loan through July 2005 and the revolving line of credit to January 2006. While we have not yet lengthened the scheduled amortization on term debt, we will continue to evaluate our options in this regard. However, there can be no assurance that we will be able to do so.</w:t>
      </w:r>
    </w:p>
    <w:p>
      <w:pPr>
        <w:spacing w:after="0" w:line="2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In November 2003, we accepted an offer to sell our Cincinnati property with a contemplated closing date of May 1, 2004 subject to various contingencies. The agreement was terminated due to the purchaser failing to close in accordance with the terms of the agreement. In August 2004, the agreement was amended providing an opportunity to the potential purchaser to acquire the property until the end of November 2004 in exchange for which an escrow deposit of $100 was made. In accordance with the amended agreement, the escrow deposit was released to us without any further obligation as of September 30, 2004 once certain conditions were met. The escrow was recognized in selling and administration expense as an offset to various costs incurred in connection with the proposed transaction.</w:t>
      </w:r>
    </w:p>
    <w:p>
      <w:pPr>
        <w:spacing w:after="0" w:line="10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76" w:lineRule="exact"/>
        <w:rPr>
          <w:rFonts w:ascii="Arial" w:cs="Arial" w:eastAsia="Arial" w:hAnsi="Arial"/>
          <w:sz w:val="18"/>
          <w:szCs w:val="18"/>
          <w:color w:val="auto"/>
        </w:rPr>
      </w:pPr>
    </w:p>
    <w:p>
      <w:pPr>
        <w:jc w:val="both"/>
        <w:ind w:left="460" w:right="20"/>
        <w:spacing w:after="0" w:line="306" w:lineRule="auto"/>
        <w:rPr>
          <w:rFonts w:ascii="Arial" w:cs="Arial" w:eastAsia="Arial" w:hAnsi="Arial"/>
          <w:sz w:val="18"/>
          <w:szCs w:val="18"/>
          <w:color w:val="auto"/>
        </w:rPr>
      </w:pPr>
      <w:r>
        <w:rPr>
          <w:rFonts w:ascii="Arial" w:cs="Arial" w:eastAsia="Arial" w:hAnsi="Arial"/>
          <w:sz w:val="16"/>
          <w:szCs w:val="16"/>
          <w:color w:val="auto"/>
        </w:rPr>
        <w:t>We sponsor a non-contributory defined benefit pension plan for certain union employees. The plan is funded in accordance with the funding requirements of the Employee Retirement Income Security Act of 1974. We also sponsor a post-retirement health care plan for office employees retiring before January 1, 1990. The plan allows retirees who have attained the age of 65 to elect the type of coverage desired.</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1" w:name="page12"/>
    <w:bookmarkEnd w:id="1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5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Health care plan: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-466725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-466725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-466725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-466725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-466725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-466725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-466725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-466725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-466725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-466725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-466725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-466725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3556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3816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We previously disclosed in our financial statements for the year ended December 31, 2003 that we expected to make $854 in contributions to the Pension Plan during the year ending December 31, 2004. As of September 30, 2004, $522 has been contributed to the Pension Plan and we anticipate making an additional $58 during the remainder of Fiscal Year 2004 for a revised total of $580. Legislation enacted in 2004 resulted in our total contribution for the year being less than we previously anticipated.</w:t>
      </w:r>
    </w:p>
    <w:p>
      <w:pPr>
        <w:spacing w:after="0" w:line="13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Restatement</w:t>
      </w:r>
    </w:p>
    <w:p>
      <w:pPr>
        <w:spacing w:after="0" w:line="76" w:lineRule="exact"/>
        <w:rPr>
          <w:rFonts w:ascii="Arial" w:cs="Arial" w:eastAsia="Arial" w:hAnsi="Arial"/>
          <w:sz w:val="18"/>
          <w:szCs w:val="18"/>
          <w:color w:val="auto"/>
        </w:rPr>
      </w:pPr>
    </w:p>
    <w:p>
      <w:pPr>
        <w:ind w:left="460" w:right="360"/>
        <w:spacing w:after="0" w:line="318" w:lineRule="auto"/>
        <w:rPr>
          <w:rFonts w:ascii="Arial" w:cs="Arial" w:eastAsia="Arial" w:hAnsi="Arial"/>
          <w:sz w:val="18"/>
          <w:szCs w:val="18"/>
          <w:color w:val="auto"/>
        </w:rPr>
      </w:pPr>
      <w:r>
        <w:rPr>
          <w:rFonts w:ascii="Arial" w:cs="Arial" w:eastAsia="Arial" w:hAnsi="Arial"/>
          <w:sz w:val="15"/>
          <w:szCs w:val="15"/>
          <w:color w:val="auto"/>
        </w:rPr>
        <w:t>Subsequent to the issuance of the financial statements for the fiscal year ended December 31, 2003, the Company’s management determined that a spreadsheet error existed affecting the manner in which revenue was calculated and subsequently recognized on small projects. As such, the financial statements for the three years ended December 31, 2003 and for the three quarters in the period ended December 31, 2004 have been restated. While revenue recognized under the percentage of completion calculation on individual large projects was accurate, due to this spreadsheet error, the accumulation of revenue for small projects was incorrect. This error occurred from 2000 to 2003 and the three quarters reported during 2004.</w:t>
      </w:r>
    </w:p>
    <w:p>
      <w:pPr>
        <w:spacing w:after="0" w:line="8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In addition, the Company detected an error in the classification of amortization of deferred financing costs as depreciation and amortization expense rather than interest expense. This error is also being corrected with this filing.</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chart summarizes the significant effects of these restatements: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Sales—as originally reported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18,378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17,039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47,530</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Sales—as restated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18,566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17,054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47,711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7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expense—as originally reported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1,256</w:t>
            </w:r>
          </w:p>
        </w:tc>
        <w:tc>
          <w:tcPr>
            <w:tcW w:w="3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expense—as restated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720" w:type="dxa"/>
            <w:vAlign w:val="bottom"/>
            <w:gridSpan w:val="2"/>
          </w:tcPr>
          <w:p>
            <w:pPr>
              <w:spacing w:after="0"/>
              <w:rPr>
                <w:sz w:val="20"/>
                <w:szCs w:val="20"/>
                <w:color w:val="auto"/>
              </w:rPr>
            </w:pPr>
            <w:r>
              <w:rPr>
                <w:rFonts w:ascii="Arial" w:cs="Arial" w:eastAsia="Arial" w:hAnsi="Arial"/>
                <w:sz w:val="18"/>
                <w:szCs w:val="18"/>
                <w:color w:val="auto"/>
              </w:rPr>
              <w:t>Income from operations as—originally reported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3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operations—as restated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720" w:type="dxa"/>
            <w:vAlign w:val="bottom"/>
            <w:gridSpan w:val="2"/>
          </w:tcPr>
          <w:p>
            <w:pPr>
              <w:spacing w:after="0"/>
              <w:rPr>
                <w:sz w:val="20"/>
                <w:szCs w:val="20"/>
                <w:color w:val="auto"/>
              </w:rPr>
            </w:pPr>
            <w:r>
              <w:rPr>
                <w:rFonts w:ascii="Arial" w:cs="Arial" w:eastAsia="Arial" w:hAnsi="Arial"/>
                <w:sz w:val="18"/>
                <w:szCs w:val="18"/>
                <w:color w:val="auto"/>
              </w:rPr>
              <w:t>Interest expense—as originally reported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(1,622)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(1,742)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expense—as restated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(1,908)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(1,994)</w:t>
            </w:r>
          </w:p>
        </w:tc>
        <w:tc>
          <w:tcPr>
            <w:tcW w:w="0" w:type="dxa"/>
            <w:vAlign w:val="bottom"/>
          </w:tcPr>
          <w:p>
            <w:pPr>
              <w:spacing w:after="0"/>
              <w:rPr>
                <w:sz w:val="1"/>
                <w:szCs w:val="1"/>
                <w:color w:val="auto"/>
              </w:rPr>
            </w:pPr>
          </w:p>
        </w:tc>
      </w:tr>
      <w:tr>
        <w:trPr>
          <w:trHeight w:val="390"/>
        </w:trPr>
        <w:tc>
          <w:tcPr>
            <w:tcW w:w="5720" w:type="dxa"/>
            <w:vAlign w:val="bottom"/>
            <w:gridSpan w:val="2"/>
          </w:tcPr>
          <w:p>
            <w:pPr>
              <w:spacing w:after="0"/>
              <w:rPr>
                <w:sz w:val="20"/>
                <w:szCs w:val="20"/>
                <w:color w:val="auto"/>
              </w:rPr>
            </w:pPr>
            <w:r>
              <w:rPr>
                <w:rFonts w:ascii="Arial" w:cs="Arial" w:eastAsia="Arial" w:hAnsi="Arial"/>
                <w:sz w:val="18"/>
                <w:szCs w:val="18"/>
                <w:color w:val="auto"/>
              </w:rPr>
              <w:t>Income (loss) before tax—as originally reported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(1,374)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tax—as restated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(1,193)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(1,201)</w:t>
            </w:r>
          </w:p>
        </w:tc>
        <w:tc>
          <w:tcPr>
            <w:tcW w:w="0" w:type="dxa"/>
            <w:vAlign w:val="bottom"/>
          </w:tcPr>
          <w:p>
            <w:pPr>
              <w:spacing w:after="0"/>
              <w:rPr>
                <w:sz w:val="1"/>
                <w:szCs w:val="1"/>
                <w:color w:val="auto"/>
              </w:rPr>
            </w:pPr>
          </w:p>
        </w:tc>
      </w:tr>
      <w:tr>
        <w:trPr>
          <w:trHeight w:val="390"/>
        </w:trPr>
        <w:tc>
          <w:tcPr>
            <w:tcW w:w="5720" w:type="dxa"/>
            <w:vAlign w:val="bottom"/>
            <w:gridSpan w:val="2"/>
          </w:tcPr>
          <w:p>
            <w:pPr>
              <w:spacing w:after="0"/>
              <w:rPr>
                <w:sz w:val="20"/>
                <w:szCs w:val="20"/>
                <w:color w:val="auto"/>
              </w:rPr>
            </w:pPr>
            <w:r>
              <w:rPr>
                <w:rFonts w:ascii="Arial" w:cs="Arial" w:eastAsia="Arial" w:hAnsi="Arial"/>
                <w:sz w:val="18"/>
                <w:szCs w:val="18"/>
                <w:color w:val="auto"/>
              </w:rPr>
              <w:t>Income tax (benefit) provision—as originally reported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70" w:orient="portrait"/>
          <w:cols w:equalWidth="0" w:num="1">
            <w:col w:w="11320"/>
          </w:cols>
          <w:pgMar w:left="240" w:top="459"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provision—as restated</w:t>
            </w: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390"/>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 (loss)—as originally reported</w:t>
            </w:r>
          </w:p>
        </w:tc>
        <w:tc>
          <w:tcPr>
            <w:tcW w:w="2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(loss)—as restated</w:t>
            </w: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390"/>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 (loss) per share—as originally reported</w:t>
            </w:r>
          </w:p>
        </w:tc>
        <w:tc>
          <w:tcPr>
            <w:tcW w:w="2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(0.05)</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share—as restated</w:t>
            </w: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5"/>
              </w:rPr>
              <w:t>Costs and earnings in excess of billings—as originally reported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billings—as restated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820" w:type="dxa"/>
            <w:vAlign w:val="bottom"/>
            <w:gridSpan w:val="2"/>
          </w:tcPr>
          <w:p>
            <w:pPr>
              <w:spacing w:after="0"/>
              <w:rPr>
                <w:sz w:val="20"/>
                <w:szCs w:val="20"/>
                <w:color w:val="auto"/>
              </w:rPr>
            </w:pPr>
            <w:r>
              <w:rPr>
                <w:rFonts w:ascii="Arial" w:cs="Arial" w:eastAsia="Arial" w:hAnsi="Arial"/>
                <w:sz w:val="18"/>
                <w:szCs w:val="18"/>
                <w:color w:val="auto"/>
              </w:rPr>
              <w:t>Total assets—as originally reported</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46,296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assets—as restated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820" w:type="dxa"/>
            <w:vAlign w:val="bottom"/>
            <w:gridSpan w:val="2"/>
          </w:tcPr>
          <w:p>
            <w:pPr>
              <w:spacing w:after="0"/>
              <w:rPr>
                <w:sz w:val="20"/>
                <w:szCs w:val="20"/>
                <w:color w:val="auto"/>
              </w:rPr>
            </w:pPr>
            <w:r>
              <w:rPr>
                <w:rFonts w:ascii="Arial" w:cs="Arial" w:eastAsia="Arial" w:hAnsi="Arial"/>
                <w:sz w:val="18"/>
                <w:szCs w:val="18"/>
                <w:color w:val="auto"/>
              </w:rPr>
              <w:t>Deferred Income tax liability—as originally reported</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liability—as restated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820" w:type="dxa"/>
            <w:vAlign w:val="bottom"/>
            <w:gridSpan w:val="2"/>
          </w:tcPr>
          <w:p>
            <w:pPr>
              <w:spacing w:after="0"/>
              <w:rPr>
                <w:sz w:val="20"/>
                <w:szCs w:val="20"/>
                <w:color w:val="auto"/>
              </w:rPr>
            </w:pPr>
            <w:r>
              <w:rPr>
                <w:rFonts w:ascii="Arial" w:cs="Arial" w:eastAsia="Arial" w:hAnsi="Arial"/>
                <w:sz w:val="18"/>
                <w:szCs w:val="18"/>
                <w:color w:val="auto"/>
              </w:rPr>
              <w:t>Total liabilities—as originally reported</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37,529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liabilities—as restated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820" w:type="dxa"/>
            <w:vAlign w:val="bottom"/>
            <w:gridSpan w:val="2"/>
          </w:tcPr>
          <w:p>
            <w:pPr>
              <w:spacing w:after="0"/>
              <w:rPr>
                <w:sz w:val="20"/>
                <w:szCs w:val="20"/>
                <w:color w:val="auto"/>
              </w:rPr>
            </w:pPr>
            <w:r>
              <w:rPr>
                <w:rFonts w:ascii="Arial" w:cs="Arial" w:eastAsia="Arial" w:hAnsi="Arial"/>
                <w:sz w:val="18"/>
                <w:szCs w:val="18"/>
                <w:color w:val="auto"/>
              </w:rPr>
              <w:t>Accumulated deficit—as originally reported</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(4,982)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Adjustment—cumulative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deficit—as restated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(6,127)</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0" w:type="dxa"/>
            <w:vAlign w:val="bottom"/>
          </w:tcPr>
          <w:p>
            <w:pPr>
              <w:jc w:val="right"/>
              <w:ind w:right="1592"/>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07"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following MD&amp;A gives effect to the restatement discussed in Note 9 to the Condensed Consolidated Financial Statements. Our Critical Accounting Policies are discussed in Item 7. Management’s Discussion and Analysis of Financial Condition and Results of Operations to our Annual Report on Form 10-K/A for the year ended December 31, 2003.</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Results of Operations</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condensed consolidated statements of operations for the three-month and nine-month periods ended September 30, 2004 and 2003 reflect our operations consolidated with the operations of our subsidiaries.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1020" w:type="dxa"/>
            <w:vAlign w:val="bottom"/>
            <w:gridSpan w:val="2"/>
          </w:tcPr>
          <w:p>
            <w:pPr>
              <w:spacing w:after="0"/>
              <w:rPr>
                <w:sz w:val="8"/>
                <w:szCs w:val="8"/>
                <w:color w:val="auto"/>
              </w:rPr>
            </w:pPr>
          </w:p>
        </w:tc>
        <w:tc>
          <w:tcPr>
            <w:tcW w:w="4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($’s in millions)</w:t>
            </w: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8"/>
              <w:spacing w:after="0"/>
              <w:rPr>
                <w:sz w:val="20"/>
                <w:szCs w:val="20"/>
                <w:color w:val="auto"/>
              </w:rPr>
            </w:pPr>
            <w:r>
              <w:rPr>
                <w:rFonts w:ascii="Arial" w:cs="Arial" w:eastAsia="Arial" w:hAnsi="Arial"/>
                <w:sz w:val="14"/>
                <w:szCs w:val="14"/>
                <w:b w:val="1"/>
                <w:bCs w:val="1"/>
                <w:color w:val="auto"/>
                <w:w w:val="83"/>
              </w:rPr>
              <w:t>2004</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47.7</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38.2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(excluding depreciation)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Consolidated net sales for the third quarter were $18,566,000, an increase of $1,512,000 compared to the same quarter in 2003. Consolidated net sales for the first nine months of 2004 were $47,711,000, a decrease of $1,580,000, compared to the same period in 2003. For the quarter, we reported sales increases from our component parts and duct product lines as well as higher construction revenue (principally from automotive and steel related projects which began in 2004) offset by lower Busch revenue. Nine-month revenue declined due to lower construction revenue during the first half and lower Busch revenue offset by increased sales of our component parts and duct product lines. The completion of two steel rolling mill projects in 2003 was the primary reason for lower revenue from Busch.</w:t>
      </w:r>
    </w:p>
    <w:p>
      <w:pPr>
        <w:spacing w:after="0" w:line="8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Bookings during the third quarter of 2004 and for the first nine months of 2004 increased substantially as third quarter orders were $26,884,000, a $10,400,000 or 63% increase over the same period in 2003 while nine month orders totaled $57,785,000, a 21% increase over the comparable period in 2003. Orders booked for large projects during the quarter covered a diverse industry group (including automotive, ethanol, foundry and steel). A significant portion of the project revenue should be recognized in the fourth quarter of 2004. Smaller orders booked during the quarter and nine-months continued to be strong relative to 2003.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Third quarter 2004 gross profit was $3,531,000 (19.0%). This compares to gross profit of $3,511,000 (20.6%) during the same period in 2003. Gross margin was lower by 1.6 percentage points principally due to decreased construction margins slightly offset by reduced factory overhead spending. Gross profit was $9,463,000 for the first nine months of 2004, an increase of $439,000 compared to the same period in 2003.</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Selling and administrative expenses increased by $30,000 or 1.2% to $2,473,000 during the third quarter of 2004 from $2,443,000 in the same period of 2003. Selling and administrative expenses increased by $302,000 or 4.0% to $7,833,000 during the first nine months of 2004 from $7,531,000 in the same period of 2003. Cost reduction initiatives in 2003 were offset by increased healthcare and compensation costs in the third quarter and first nine months of 2004. In light of the current level of revenue, during 2004, we implemented additional cost reduction initiatives, which are expected to provide annualized savings of $1.3 million, beginning in the third quarter of 2004. As discussed in our Overview of Cash Flows and Liquidity section, we received $100,000 from an escrow deposit, which was released to us without any further obligation as of September 30, 2004. The escrow was recognized in selling and administration expense as an offset to various costs incurred in connection with the proposed transaction.</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Depreciation and amortization increased by $14,000 to $322,000 during the third quarter of 2004 from $308,000 in the same period of 2003. Depreciation and amortization increased by $31,000 to $970,000 in the first nine months of 2004 from $939,000 in the same period of 2003.</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Operating income was $736,000 in the third quarter of 2004 compared to operating income of $760,000 during the same quarter of 2003. Operating income for the first nine months of 2004 was $660,000 compared to operating income of $554,000 during the same period of 2003. The impact of reduced margins along with increases in selling and administrative expenses and depreciation and amortization, only partially offset by reduced factory overhead spending, were the primary factors for the decrease in operating income.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Other income was $19,000 in the third quarter of 2004 compared to $17,000 in the third quarter of 2003. Other income for the first nine months of 2004 was</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$55,000 compared to $239,000 during the same period in 2003. The other income during 2004 is the amortization of the deferred gain recognized from the sale and leaseback of our Conshohocken, Pennsylvania property. The other income during 2003 is the result of the gain recognized from the sale and leaseback of this property during the second quarter of 2003 of $222,000. A deferred gain of $218,000 is being recognized over the ensuing three-year leaseback period.</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Interest expense increased by $31,000 to $669,000 from $638,000 during the third quarter of 2004. Interest expense decreased by $86,000 to $1,908,000 from $1,994,000 during the first nine months of 2004. The year-to-date decrease was due to lower debt balances during the nine months that was partially offset by higher interest rates during the third quarter.</w:t>
      </w:r>
    </w:p>
    <w:p>
      <w:pPr>
        <w:spacing w:after="0" w:line="12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Federal and state income tax benefit was $199,000 during the third quarter of 2004 compared to ($49,000) during the third quarter of 2003. Federal and state income tax benefit was $775,000 for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first nine months of 2004, an increase of $349,000 from the comparable period in 2003. The federal and state income tax benefit for the first nine months of 2004 was 65%, which reflects the estimated effective tax rate for 2004. Our effective income tax rate was adjusted in the third quarter from 45% to 65% to reflect the reduction in our estimated pretax income for the year. This adjustment had the affect of decreasing the effective income tax rate for the 2004 third quarter to (231%). Our effective income tax rate is affected by certain permanent differences including non-deductible interest expense.</w:t>
      </w:r>
    </w:p>
    <w:p>
      <w:pPr>
        <w:spacing w:after="0" w:line="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Net income for the quarter ended September 30, 2004 was $285,000 compared with net income of $90,000 for the same period in 2003. Net loss for the nine months ended September 30, 2004 was $418,000 compared with a net loss of $775,000 for the same period in 2003.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Backlog</w:t>
      </w:r>
    </w:p>
    <w:p>
      <w:pPr>
        <w:spacing w:after="0" w:line="7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backlog consists of orders we have received for products and services we expect to ship and deliver within the next 12 months. Our backlog, as of September 30, 2004 was $17.5 million compared to $7.3 million as of December 31, 2003. There can be no assurances that backlog will be replicated or increased or translated into higher revenues in the future. The success of our business depends on a multitude of factors that are out of our control. Our operating results can be affected by the introduction of new products, new manufacturing technologies, rapid change of the demand for our products, decrease in average selling prices over the life of the product as competition increases and our dependence to some degree on efforts of intermediaries to sell a portion of our product.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Condition, Liquidity and Capital Resources</w:t>
      </w:r>
    </w:p>
    <w:p>
      <w:pPr>
        <w:spacing w:after="0" w:line="7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Our principal sources of liquidity are cash flow from operations and available borrowings under our revolving credit facility. Our principal uses of cash are operating costs, debt service, payment of interest on our outstanding senior debt, working capital and other general corporate requirements.</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At September 30, 2004 and December 31, 2003, cash and cash equivalents totaled $204,000 and $136,000, respectively. Generally, we do not carry significant cash and cash equivalent balances because excess amounts are used to pay down our revolving line of credit.</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Total bank and related debt as of September 30, 2004 was $10,408,000 and $9,957,000 at December 31, 2003. Unused credit availability under our $8.0 million revolving line of credit at September 30, 2004 was $2,304,000.</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November 2004, the revolving line of credit portion of the bank credit facility was amended by extending the termination date to January 2006. As a result, the amount outstanding under this line of $5,696,000 as of September 30, 2004 was reported as long-term debt in the accompanying balance sheet. In addition, the revolving line of credit was amended whereby the maximum amount available that could be borrowed under the line was increased by $2,000,000 to $10,000,000 as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November 2004 subject to the borrowing base formula contained in the credit agreement. No extinguishment loss was recognized as a result of this amendment. The amendment also waived minimum coverage requirements under several financial covenants as of September 30, 2004. The bank credit facility was also amended during August 2004 by extending the term loan to July 2005 and by waiving the leverage financial covenant as of June 30, 2004.</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continuing to evaluate, in light of the current market conditions and company performance, our options and alternative financing. Our refinancing strategy for bank credit facility was to extend the maturities and increase our cash flow by lengthening the scheduled principal amortization on term debt for our machinery, equipment and real estate, and reducing interest cost. We have extended the maturity on the term loan through July 2005 and the revolving line of credit to January 2006. While we have not yet lengthened the scheduled amortization on term debt, we will continue to evaluate our options in this regard. However, there can be no assurance that we will be able to do so.</w:t>
      </w:r>
    </w:p>
    <w:p>
      <w:pPr>
        <w:spacing w:after="0" w:line="1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to pursuing opportunities where we have been historically successful, we are evaluating new markets and exploring opportunities internationally. We have also identified and implemented various cost containment and reduction initiatives through better utilization of our manufacturing capacity, utilizing lower labor costs and making more efficient use of our central services and design/drafting staff. These efforts are expected to provide approximately $1.3 million in annualized savings, which began during the third quarter of 2004. We expect to be able to achieve these initiatives without disrupting services to current customers. We believe that the successful achievement of the refinancing and cost reduction initiatives should provide us with sufficient resources to meet our near term cash requirements.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Overview of Cash Flows and Liquidity</w:t>
      </w:r>
    </w:p>
    <w:p>
      <w:pPr>
        <w:spacing w:after="0" w:line="153"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For the nine months</w:t>
      </w:r>
    </w:p>
    <w:p>
      <w:pPr>
        <w:spacing w:after="0" w:line="1"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60325</wp:posOffset>
            </wp:positionV>
            <wp:extent cx="9861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100" w:type="dxa"/>
            <w:vAlign w:val="bottom"/>
            <w:gridSpan w:val="3"/>
          </w:tcPr>
          <w:p>
            <w:pPr>
              <w:spacing w:after="0"/>
              <w:rPr>
                <w:sz w:val="20"/>
                <w:szCs w:val="20"/>
                <w:color w:val="auto"/>
              </w:rPr>
            </w:pPr>
            <w:r>
              <w:rPr>
                <w:rFonts w:ascii="Arial" w:cs="Arial" w:eastAsia="Arial" w:hAnsi="Arial"/>
                <w:sz w:val="14"/>
                <w:szCs w:val="14"/>
                <w:b w:val="1"/>
                <w:bCs w:val="1"/>
                <w:color w:val="auto"/>
              </w:rPr>
              <w:t>($’s in thousands)</w:t>
            </w:r>
          </w:p>
        </w:tc>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w w:val="76"/>
              </w:rPr>
              <w:t>2004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operations</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44132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provided by operating activities decreased in 2004 compared to 2003. Cash used in operating activities for the first nine months of 2004 was the result of an increase in the number of projects in process at quarter end and their relative early stage of completion. As a result, our investment in accounts receivable, costs and estimated earnings in excess of billings on uncompleted contracts and inventories increased $1,629,000, $1,385,000 and $450,000, respectively. We were able to partially offset these uses of cash by increasing our accounts payable and billings in excess of costs and estimated earnings on uncompleted contracts by $2,260,000 and $1,234,000,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net investment in working capital (excluding cash and cash equivalents and current portion of debt) at September 30, 2004 and December 31, 2003 was $6,450,000 and $5,667,000, respectively.</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Net cash used in investing activities related to the acquisition of property and equipment was $281,000 for the first nine months of 2004 compared with $88,000 for the same period in 2003. We are managing our capital expenditure spending in light of the current level of sales. Should sales increase in 2004, we would anticipate increased capital spending. Additionally, capital expenditures may be incurred depending on the ultimate disposition of our Cincinnati property. Cash provided by investing activities of $1,568,000 for the first nine months of 2003 relates to cash proceeds from the sale and leaseback of our Conshohocken, Pennsylvania property. A $222,000 gain was recognized during the second quarter of 2003 from the sale of the Conshohocken property and a gain of $218,000 was deferred, which will be recognized over the ensuing three-year leaseback period. Approximately $700,000 of the proceeds were used to reduce the revolving line of credit and the balance was used to reduce term debt.</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Financing activities provided cash of $461,000 during the first nine months of 2004 compared with cash used in financing activities of $1,967,000 during the same period of 2003. Current year financing activities included net borrowings and issuance of common stock under our employee stock purchase plan, and 2003 financing activities included proceeds from issuance of subordinated debt totaling $1,200,000 to our principle shareholder. These proceeds and those from the sale of our Conshohocken property were used to pay down amounts outstanding under our credit agreement. In November 2003, we accepted an offer to sell our Cincinnati property with a contemplated closing date of May 1, 2004 subject to various contingencies. The agreement was terminated due to the purchaser failing to close in accordance with the terms of the agreement. In August 2004, the agreement was amended providing an opportunity to the potential purchaser to acquire the property until the end of November 2004 in exchange for which an escrow deposit of $100,000 was made. In accordance with the amended agreement, the escrow deposit was released to us without any further obligation as of September 30, 2004 once certain conditions were met. The escrow was recognized in selling and administration expense as an offset to various costs incurred in connection with the proposed transaction.</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Forward-Looking Statements</w:t>
      </w:r>
    </w:p>
    <w:p>
      <w:pPr>
        <w:spacing w:after="0" w:line="7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desire to take advantage of the “safe harbor” provisions of the Private Securities Litigation Reform Act of 1995 and are making this cautionary statement in connection with such safe harbor legislation. This Form 10-Q/A, the Annual Report to Shareholders, Form 10-K/A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10-Q/A are “forward-looking statements,” and are based on management’s current expectations of our near-term results, based on current information available pertaining to 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w:t>
      </w:r>
    </w:p>
    <w:p>
      <w:pPr>
        <w:spacing w:after="0" w:line="12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Management Activities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Management</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may use interest rate swap contracts to adjust the proportion of our total debt that is subject to variable interest rates. Our interest rate swap contract matured in 2002 and was not renewed.</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remaining amount of loans outstanding under the Credit Agreement bear interest at the floating rates as described in Note 9 to the consolidated statements contained in the Company’s 2003 Annual Report on Form 10-K/A filed with the Securities and Exchange Commission.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Risk</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September 30, 2004.</w:t>
      </w:r>
    </w:p>
    <w:p>
      <w:pPr>
        <w:spacing w:after="0" w:line="12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Company’s 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that evaluation, the Chief Executive Officer and Chief Financial Officer concluded that the Company’s disclosure controls and procedures were not effective as of September 30, 2004 for the reasons described below.</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8, 2005, the Company, in consultation with its Audit Committee, concluded that it must correct its previously issued financial statements to properly account for revenue recognized under the percentage of completion method of accounting. The Company’s management determined that a spreadsheet error existed affecting the manner in which revenue was calculated and recognized on small projects. While revenue recognized under the percentage of completion calculation on individual large projects was accurate, due to this spreadsheet error, the accumulation of revenue for small projects was incorrect. This error was material and occurred from 2000 to 2003 and the three quarters reported during 2004. This correction resulted in the restatement of the Company’s consolidated financial statements for the fiscal years 2001 through 2003, which is reflected in the Annual Report on Form 10-K/A for the year ended December 31, 2003, and for the three quarters of 2004, which are reflected in Quarterly Reports on Form 10-Q/A for the relevant periods.</w:t>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After evaluating the nature of the deficiency and the resulting restatement, the Company’s Chief Executive Officer and Chief Financial Officer concluded that a material weakness existed in the Company’s internal control over financial reporting at September 30,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third quarter of fiscal 2004, there were no significant changes in the Company’s internal control over financial reporting that materially affected or were reasonably likely to materially affect internal control over financial reporting.</w:t>
      </w:r>
    </w:p>
    <w:p>
      <w:pPr>
        <w:spacing w:after="0" w:line="11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Management detected the error noted above as a result of additional monitoring processes and procedures that were implemented during the fourth quarter of 2004 to review revenue recognized under the percentage of completion method of accounting. The additional procedures were implemented by an individual hired by the Company in its efforts to expand the internal control structure in connection with its planning and execution under the internal control standards of Section 404 of the Sarbanes-Oxley Act of 2002. This person was hired in August 2004 to initiate the Company’s documentation and testing of its internal controls. This individual’s responsibilities included performing certain monitoring activities which detected the material misstatement.</w:t>
      </w:r>
    </w:p>
    <w:p>
      <w:pPr>
        <w:spacing w:after="0" w:line="1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Management has evaluated this matter relative to its current and prior internal control environment and disclosure controls and procedures. It has concluded that the material weakness that led to this error not being detected timely has been mitigated as of December 31, 2004 as a result of the additional monitoring controls that were in place as of that date, which enabled the Company to detect this error.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 II -OTHER INFORMATION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its Annual Meeting on October 14, 2004, the shareholders of CECO Environmental Corp. took the following actions:</w:t>
      </w:r>
    </w:p>
    <w:p>
      <w:pPr>
        <w:spacing w:after="0" w:line="77" w:lineRule="exact"/>
        <w:rPr>
          <w:sz w:val="20"/>
          <w:szCs w:val="20"/>
          <w:color w:val="auto"/>
        </w:rPr>
      </w:pPr>
    </w:p>
    <w:p>
      <w:pPr>
        <w:ind w:left="1480" w:right="300" w:hanging="567"/>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Elected the following six directors for terms to expire at the 2004 Annual Meeting of Shareholders, with votes as indicated opposite each director’s name:</w:t>
      </w:r>
    </w:p>
    <w:p>
      <w:pPr>
        <w:spacing w:after="0" w:line="114"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6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Arial" w:cs="Arial" w:eastAsia="Arial" w:hAnsi="Arial"/>
                <w:sz w:val="14"/>
                <w:szCs w:val="14"/>
                <w:b w:val="1"/>
                <w:bCs w:val="1"/>
                <w:color w:val="auto"/>
              </w:rPr>
              <w:t>Number of Shares</w:t>
            </w:r>
          </w:p>
        </w:tc>
      </w:tr>
      <w:tr>
        <w:trPr>
          <w:trHeight w:val="95"/>
        </w:trPr>
        <w:tc>
          <w:tcPr>
            <w:tcW w:w="6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63"/>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r>
      <w:tr>
        <w:trPr>
          <w:trHeight w:val="95"/>
        </w:trPr>
        <w:tc>
          <w:tcPr>
            <w:tcW w:w="62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309"/>
        </w:trPr>
        <w:tc>
          <w:tcPr>
            <w:tcW w:w="6900" w:type="dxa"/>
            <w:vAlign w:val="bottom"/>
            <w:gridSpan w:val="2"/>
          </w:tcPr>
          <w:p>
            <w:pPr>
              <w:spacing w:after="0"/>
              <w:rPr>
                <w:sz w:val="20"/>
                <w:szCs w:val="20"/>
                <w:color w:val="auto"/>
              </w:rPr>
            </w:pPr>
            <w:r>
              <w:rPr>
                <w:rFonts w:ascii="Arial" w:cs="Arial" w:eastAsia="Arial" w:hAnsi="Arial"/>
                <w:sz w:val="18"/>
                <w:szCs w:val="18"/>
                <w:color w:val="auto"/>
              </w:rPr>
              <w:t>Richard J. Blum</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6,665,497</w:t>
            </w:r>
          </w:p>
        </w:tc>
        <w:tc>
          <w:tcPr>
            <w:tcW w:w="84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122,617</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Phillip DeZwirek</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6,665,229</w:t>
            </w:r>
          </w:p>
        </w:tc>
        <w:tc>
          <w:tcPr>
            <w:tcW w:w="84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122,885</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Jason Louis DeZwirek</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6,663,697</w:t>
            </w:r>
          </w:p>
        </w:tc>
        <w:tc>
          <w:tcPr>
            <w:tcW w:w="84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124,417</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Thomas J. Flaherty</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6,664,797</w:t>
            </w:r>
          </w:p>
        </w:tc>
        <w:tc>
          <w:tcPr>
            <w:tcW w:w="84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123,317</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Josephine Grivas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6,664,897</w:t>
            </w:r>
          </w:p>
        </w:tc>
        <w:tc>
          <w:tcPr>
            <w:tcW w:w="84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123,217</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Melvin F. Lazar</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6,665,529</w:t>
            </w:r>
          </w:p>
        </w:tc>
        <w:tc>
          <w:tcPr>
            <w:tcW w:w="84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122,585</w:t>
            </w: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Donald A. Wright</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6,665,997</w:t>
            </w:r>
          </w:p>
        </w:tc>
        <w:tc>
          <w:tcPr>
            <w:tcW w:w="84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122,117</w:t>
            </w:r>
          </w:p>
        </w:tc>
      </w:tr>
    </w:tbl>
    <w:p>
      <w:pPr>
        <w:spacing w:after="0" w:line="142" w:lineRule="exact"/>
        <w:rPr>
          <w:sz w:val="20"/>
          <w:szCs w:val="20"/>
          <w:color w:val="auto"/>
        </w:rPr>
      </w:pPr>
    </w:p>
    <w:p>
      <w:pPr>
        <w:ind w:left="1480" w:right="2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Shareholders ratified the appointment of Deloitte &amp; Touche LLP as the Company’s independent auditors for the fiscal year ending December 31, 2004 as follows:</w:t>
      </w:r>
    </w:p>
    <w:p>
      <w:pPr>
        <w:spacing w:after="0" w:line="11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Votes For:</w:t>
            </w:r>
          </w:p>
        </w:tc>
        <w:tc>
          <w:tcPr>
            <w:tcW w:w="3180" w:type="dxa"/>
            <w:vAlign w:val="bottom"/>
          </w:tcPr>
          <w:p>
            <w:pPr>
              <w:jc w:val="right"/>
              <w:spacing w:after="0"/>
              <w:rPr>
                <w:sz w:val="20"/>
                <w:szCs w:val="20"/>
                <w:color w:val="auto"/>
              </w:rPr>
            </w:pPr>
            <w:r>
              <w:rPr>
                <w:rFonts w:ascii="Arial" w:cs="Arial" w:eastAsia="Arial" w:hAnsi="Arial"/>
                <w:sz w:val="18"/>
                <w:szCs w:val="18"/>
                <w:color w:val="auto"/>
              </w:rPr>
              <w:t>6,781,678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Votes Against:</w:t>
            </w:r>
          </w:p>
        </w:tc>
        <w:tc>
          <w:tcPr>
            <w:tcW w:w="3180" w:type="dxa"/>
            <w:vAlign w:val="bottom"/>
          </w:tcPr>
          <w:p>
            <w:pPr>
              <w:jc w:val="right"/>
              <w:spacing w:after="0"/>
              <w:rPr>
                <w:sz w:val="20"/>
                <w:szCs w:val="20"/>
                <w:color w:val="auto"/>
              </w:rPr>
            </w:pPr>
            <w:r>
              <w:rPr>
                <w:rFonts w:ascii="Arial" w:cs="Arial" w:eastAsia="Arial" w:hAnsi="Arial"/>
                <w:sz w:val="18"/>
                <w:szCs w:val="18"/>
                <w:color w:val="auto"/>
              </w:rPr>
              <w:t>3,832</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Votes Abstained:</w:t>
            </w:r>
          </w:p>
        </w:tc>
        <w:tc>
          <w:tcPr>
            <w:tcW w:w="3180" w:type="dxa"/>
            <w:vAlign w:val="bottom"/>
          </w:tcPr>
          <w:p>
            <w:pPr>
              <w:jc w:val="right"/>
              <w:spacing w:after="0"/>
              <w:rPr>
                <w:sz w:val="20"/>
                <w:szCs w:val="20"/>
                <w:color w:val="auto"/>
              </w:rPr>
            </w:pPr>
            <w:r>
              <w:rPr>
                <w:rFonts w:ascii="Arial" w:cs="Arial" w:eastAsia="Arial" w:hAnsi="Arial"/>
                <w:sz w:val="18"/>
                <w:szCs w:val="18"/>
                <w:color w:val="auto"/>
              </w:rPr>
              <w:t>2,601</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5.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adopted on September 28, 2004 the following procedures by which security holders may recommend nominees to the Board of Directors: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independent Directors will consider director candidates recommended by stockholders for inclusion on the slate of directors recommended to the Board. Any stockholder may submit one candidate for consideration at each stockholder meeting at which directors are to be elected. Stockholders wishing to recommend a candidate must submit the recommendation no later than one hundred and twenty (120) days before the date of the Company’s proxy statement released to stockholders in connection with the previous year’s annual meeting of stockholders, provided, that if the Company did not hold any annual meeting in the previous year, or if the date of the next annual meeting has been changed by more than thirty (30) days from the date of the previous year’s meeting, then the deadline will be a date that is a reasonable time before the Company begins to print and mail its proxy materials, but in no event less than ninety (90) days prior to such mailing.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Recommendations must be sent to the following address: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3120 Forrer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 45209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At the time the stockholder submits the recommendation for a director candidate, the stockholder must provide the following:</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information about the candidate that the Company would be required to disclose in a proxy statement in accordance with Exchange Act rules.</w:t>
      </w:r>
    </w:p>
    <w:p>
      <w:pPr>
        <w:spacing w:after="0" w:line="100"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Certification from the candidate that he or she meets the requirements to be (a) independent under the Nasdaq standards, and (b) a non-management director under the Exchange Act.</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Consent of the candidate to serve on the Board, if nominated and elected.</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Agreement of the candidate to complete, upon request, questionnaire(s) customary for directors of the Company.</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independent Directors will first evaluate candidates recommended by stockholders on the same basis as candidates recommended by other sources, including evaluating the candidate against the standards and qualifications set out in the Director Nomination Policy of the Company as well as any other criteria approved by the Board from time to time. The independent Directors will determine whether to interview any candidate.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 EXHIBITS AND REPORTS ON FORM 8-K</w:t>
      </w:r>
    </w:p>
    <w:p>
      <w:pPr>
        <w:spacing w:after="0" w:line="77"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1500" w:right="4200"/>
        <w:spacing w:after="0" w:line="379" w:lineRule="auto"/>
        <w:rPr>
          <w:rFonts w:ascii="Arial" w:cs="Arial" w:eastAsia="Arial" w:hAnsi="Arial"/>
          <w:sz w:val="18"/>
          <w:szCs w:val="18"/>
          <w:color w:val="auto"/>
        </w:rPr>
      </w:pPr>
      <w:r>
        <w:rPr>
          <w:rFonts w:ascii="Arial" w:cs="Arial" w:eastAsia="Arial" w:hAnsi="Arial"/>
          <w:sz w:val="16"/>
          <w:szCs w:val="16"/>
          <w:color w:val="auto"/>
        </w:rPr>
        <w:t>Exhibit 10.52 Ninth Amendment to Credit Agreement dated August 12, 2004 Exhibit 10.53 Tenth Amendment to Credit Agreement dated November 10, 2004 Exhibit 31.1 Rule 13(a)/15d-14(a) Certification by Chief Executive Officer Exhibit 31.2 Rule 13(a)/15d-14(a) Certification by Chief Financial Officer Exhibit 32.1 Certification of Chief Executive Officer (18 U.S.C. Section 1350) Exhibit 32.2 Certification of Chief Financial Officer (18 U.S.C. Section 1350)</w:t>
      </w:r>
    </w:p>
    <w:p>
      <w:pPr>
        <w:spacing w:after="0" w:line="39" w:lineRule="exact"/>
        <w:rPr>
          <w:rFonts w:ascii="Arial" w:cs="Arial" w:eastAsia="Arial" w:hAnsi="Arial"/>
          <w:sz w:val="18"/>
          <w:szCs w:val="18"/>
          <w:color w:val="auto"/>
        </w:rPr>
      </w:pPr>
    </w:p>
    <w:p>
      <w:pPr>
        <w:ind w:left="1480" w:hanging="567"/>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Company did not file any Form 8-K during the third quarter of 2004.</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V.P. - Finance and Administration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2005</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240" w:top="459" w:right="7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Phillip DeZwirek, certify that:</w:t>
      </w:r>
    </w:p>
    <w:p>
      <w:pPr>
        <w:spacing w:after="0" w:line="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April 14, 2005</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Dennis W. Blazer, certify that:</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April 14, 2005</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Quarterly Report of CECO Environmental Corp. (the “Company”) on Form 10-Q/A for the period ending September 30, 2004 as filed with the Securities and Exchange Commission on the date hereof (the “Report”), I, Phillip DeZwirek, Chairman of the Board and Chief Executive Officer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April 14, 2005</w:t>
      </w:r>
    </w:p>
    <w:p>
      <w:pPr>
        <w:spacing w:after="0" w:line="158"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Quarterly Report of CECO Environmental Corp. (the “Company”) on Form 10-Q/A for the period ending September 30, 2004 as filed with the Securities and Exchange Commission on the date hereof (the “Report”), I, Dennis W. Blazer, V.P. – Finance and Administration and Chief Financial Officer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April 14, 2005</w:t>
      </w:r>
    </w:p>
    <w:p>
      <w:pPr>
        <w:spacing w:after="0" w:line="158"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1."/>
      <w:numFmt w:val="decimal"/>
      <w:start w:val="8"/>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2020-02-14T19:33:38Z</dcterms:created>
  <dcterms:modified xsi:type="dcterms:W3CDTF">2020-02-14T19:33:38Z</dcterms:modified>
</cp:coreProperties>
</file>