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149860</wp:posOffset>
            </wp:positionV>
            <wp:extent cx="2383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5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172720</wp:posOffset>
            </wp:positionV>
            <wp:extent cx="2383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96"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167640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7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150495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980" w:type="dxa"/>
        <w:tblCellMar>
          <w:top w:w="0" w:type="dxa"/>
          <w:left w:w="0" w:type="dxa"/>
          <w:bottom w:w="0" w:type="dxa"/>
          <w:right w:w="0" w:type="dxa"/>
        </w:tblCellMar>
      </w:tblPr>
      <w:tr>
        <w:trPr>
          <w:trHeight w:val="227"/>
        </w:trPr>
        <w:tc>
          <w:tcPr>
            <w:tcW w:w="3600" w:type="dxa"/>
            <w:vAlign w:val="bottom"/>
          </w:tcPr>
          <w:p>
            <w:pPr>
              <w:jc w:val="center"/>
              <w:ind w:right="1858"/>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520" w:type="dxa"/>
            <w:vAlign w:val="bottom"/>
          </w:tcPr>
          <w:p>
            <w:pPr>
              <w:jc w:val="center"/>
              <w:ind w:right="322"/>
              <w:spacing w:after="0"/>
              <w:rPr>
                <w:sz w:val="20"/>
                <w:szCs w:val="20"/>
                <w:color w:val="auto"/>
              </w:rPr>
            </w:pPr>
            <w:r>
              <w:rPr>
                <w:rFonts w:ascii="Times New Roman" w:cs="Times New Roman" w:eastAsia="Times New Roman" w:hAnsi="Times New Roman"/>
                <w:sz w:val="18"/>
                <w:szCs w:val="18"/>
                <w:b w:val="1"/>
                <w:bCs w:val="1"/>
                <w:color w:val="auto"/>
                <w:w w:val="98"/>
              </w:rPr>
              <w:t>000-7099</w:t>
            </w:r>
          </w:p>
        </w:tc>
        <w:tc>
          <w:tcPr>
            <w:tcW w:w="2900" w:type="dxa"/>
            <w:vAlign w:val="bottom"/>
          </w:tcPr>
          <w:p>
            <w:pPr>
              <w:jc w:val="center"/>
              <w:ind w:left="1701"/>
              <w:spacing w:after="0"/>
              <w:rPr>
                <w:sz w:val="20"/>
                <w:szCs w:val="20"/>
                <w:color w:val="auto"/>
              </w:rPr>
            </w:pPr>
            <w:r>
              <w:rPr>
                <w:rFonts w:ascii="Times New Roman" w:cs="Times New Roman" w:eastAsia="Times New Roman" w:hAnsi="Times New Roman"/>
                <w:sz w:val="18"/>
                <w:szCs w:val="18"/>
                <w:b w:val="1"/>
                <w:bCs w:val="1"/>
                <w:color w:val="auto"/>
              </w:rPr>
              <w:t>13-2566064</w:t>
            </w:r>
          </w:p>
        </w:tc>
      </w:tr>
      <w:tr>
        <w:trPr>
          <w:trHeight w:val="149"/>
        </w:trPr>
        <w:tc>
          <w:tcPr>
            <w:tcW w:w="3600" w:type="dxa"/>
            <w:vAlign w:val="bottom"/>
          </w:tcPr>
          <w:p>
            <w:pPr>
              <w:jc w:val="center"/>
              <w:ind w:right="185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jc w:val="center"/>
              <w:ind w:right="32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900" w:type="dxa"/>
            <w:vAlign w:val="bottom"/>
          </w:tcPr>
          <w:p>
            <w:pPr>
              <w:jc w:val="center"/>
              <w:ind w:left="17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00" w:type="dxa"/>
            <w:vAlign w:val="bottom"/>
          </w:tcPr>
          <w:p>
            <w:pPr>
              <w:jc w:val="center"/>
              <w:ind w:right="185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00" w:type="dxa"/>
            <w:vAlign w:val="bottom"/>
          </w:tcPr>
          <w:p>
            <w:pPr>
              <w:jc w:val="center"/>
              <w:ind w:left="17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14651 North Dallas Parkway</w:t>
            </w:r>
          </w:p>
        </w:tc>
        <w:tc>
          <w:tcPr>
            <w:tcW w:w="25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3"/>
        </w:trPr>
        <w:tc>
          <w:tcPr>
            <w:tcW w:w="36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Suite 500</w:t>
            </w:r>
          </w:p>
        </w:tc>
        <w:tc>
          <w:tcPr>
            <w:tcW w:w="25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41"/>
        </w:trPr>
        <w:tc>
          <w:tcPr>
            <w:tcW w:w="360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Dallas, TX</w:t>
            </w:r>
          </w:p>
        </w:tc>
        <w:tc>
          <w:tcPr>
            <w:tcW w:w="2520" w:type="dxa"/>
            <w:vAlign w:val="bottom"/>
          </w:tcPr>
          <w:p>
            <w:pPr>
              <w:spacing w:after="0"/>
              <w:rPr>
                <w:sz w:val="20"/>
                <w:szCs w:val="20"/>
                <w:color w:val="auto"/>
              </w:rPr>
            </w:pPr>
          </w:p>
        </w:tc>
        <w:tc>
          <w:tcPr>
            <w:tcW w:w="2900" w:type="dxa"/>
            <w:vAlign w:val="bottom"/>
          </w:tcPr>
          <w:p>
            <w:pPr>
              <w:jc w:val="right"/>
              <w:ind w:right="1201"/>
              <w:spacing w:after="0"/>
              <w:rPr>
                <w:sz w:val="20"/>
                <w:szCs w:val="20"/>
                <w:color w:val="auto"/>
              </w:rPr>
            </w:pPr>
            <w:r>
              <w:rPr>
                <w:rFonts w:ascii="Times New Roman" w:cs="Times New Roman" w:eastAsia="Times New Roman" w:hAnsi="Times New Roman"/>
                <w:sz w:val="18"/>
                <w:szCs w:val="18"/>
                <w:b w:val="1"/>
                <w:bCs w:val="1"/>
                <w:color w:val="auto"/>
              </w:rPr>
              <w:t>75254</w:t>
            </w:r>
          </w:p>
        </w:tc>
      </w:tr>
      <w:tr>
        <w:trPr>
          <w:trHeight w:val="190"/>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6"/>
                <w:szCs w:val="16"/>
                <w:color w:val="auto"/>
              </w:rPr>
            </w:pPr>
          </w:p>
        </w:tc>
        <w:tc>
          <w:tcPr>
            <w:tcW w:w="29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62" w:lineRule="exact"/>
        <w:rPr>
          <w:sz w:val="24"/>
          <w:szCs w:val="24"/>
          <w:color w:val="auto"/>
        </w:rPr>
      </w:pPr>
    </w:p>
    <w:p>
      <w:pPr>
        <w:ind w:right="52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350" w:type="dxa"/>
        <w:tblCellMar>
          <w:top w:w="0" w:type="dxa"/>
          <w:left w:w="0" w:type="dxa"/>
          <w:bottom w:w="0" w:type="dxa"/>
          <w:right w:w="0" w:type="dxa"/>
        </w:tblCellMar>
      </w:tblPr>
      <w:tr>
        <w:trPr>
          <w:trHeight w:val="209"/>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4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4520" w:type="dxa"/>
            <w:vAlign w:val="bottom"/>
            <w:tcBorders>
              <w:bottom w:val="single" w:sz="8" w:color="auto"/>
              <w:right w:val="single" w:sz="8" w:color="auto"/>
            </w:tcBorders>
          </w:tcPr>
          <w:p>
            <w:pPr>
              <w:spacing w:after="0"/>
              <w:rPr>
                <w:sz w:val="4"/>
                <w:szCs w:val="4"/>
                <w:color w:val="auto"/>
              </w:rPr>
            </w:pPr>
          </w:p>
        </w:tc>
      </w:tr>
      <w:tr>
        <w:trPr>
          <w:trHeight w:val="168"/>
        </w:trPr>
        <w:tc>
          <w:tcPr>
            <w:tcW w:w="3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CECE</w:t>
            </w:r>
          </w:p>
        </w:tc>
        <w:tc>
          <w:tcPr>
            <w:tcW w:w="4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5"/>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144"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spacing w:after="0" w:line="236"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47"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5.07 Submission of Matters to a Vote of Security Holders.</w:t>
      </w:r>
    </w:p>
    <w:p>
      <w:pPr>
        <w:spacing w:after="0" w:line="21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On June 8, 2022, CECO Environmental Corp. (the "Company") held its 2022 annual meeting of stockholders (the "Annual Meeting"). At the Annual Meeting, the Company's stockholders: 1) elected each of the seven director nominees listed below to serve as a director of the Company for a term that will continue until the next annual meeting of stockholders and until his or her successor is elected and duly qualified; 2) approved, on an advisory basis, the Company’s named executive officer compensation; and 3) ratified the appointment of BDO USA, LLP as the Company’s independent registered public accounting firm for fiscal 2022. The voting results at the Annual Meeting with respect to each of the matters described above were as follows:</w:t>
      </w:r>
    </w:p>
    <w:p>
      <w:pPr>
        <w:spacing w:after="0" w:line="177"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seven director nominees named in the proxy statement and standing for election were elected based upon the following votes: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DIRECTOR NOMINEE</w:t>
            </w:r>
          </w:p>
        </w:tc>
        <w:tc>
          <w:tcPr>
            <w:tcW w:w="500" w:type="dxa"/>
            <w:vAlign w:val="bottom"/>
          </w:tcPr>
          <w:p>
            <w:pPr>
              <w:spacing w:after="0"/>
              <w:rPr>
                <w:sz w:val="16"/>
                <w:szCs w:val="16"/>
                <w:color w:val="auto"/>
              </w:rPr>
            </w:pPr>
          </w:p>
        </w:tc>
        <w:tc>
          <w:tcPr>
            <w:tcW w:w="212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FOR</w:t>
            </w:r>
          </w:p>
        </w:tc>
        <w:tc>
          <w:tcPr>
            <w:tcW w:w="620" w:type="dxa"/>
            <w:vAlign w:val="bottom"/>
          </w:tcPr>
          <w:p>
            <w:pPr>
              <w:spacing w:after="0"/>
              <w:rPr>
                <w:sz w:val="16"/>
                <w:szCs w:val="16"/>
                <w:color w:val="auto"/>
              </w:rPr>
            </w:pPr>
          </w:p>
        </w:tc>
        <w:tc>
          <w:tcPr>
            <w:tcW w:w="20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WITHELD</w:t>
            </w:r>
          </w:p>
        </w:tc>
        <w:tc>
          <w:tcPr>
            <w:tcW w:w="600" w:type="dxa"/>
            <w:vAlign w:val="bottom"/>
          </w:tcPr>
          <w:p>
            <w:pPr>
              <w:spacing w:after="0"/>
              <w:rPr>
                <w:sz w:val="16"/>
                <w:szCs w:val="16"/>
                <w:color w:val="auto"/>
              </w:rPr>
            </w:pPr>
          </w:p>
        </w:tc>
        <w:tc>
          <w:tcPr>
            <w:tcW w:w="21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100" w:type="dxa"/>
            <w:vAlign w:val="bottom"/>
          </w:tcPr>
          <w:p>
            <w:pPr>
              <w:spacing w:after="0"/>
              <w:rPr>
                <w:sz w:val="16"/>
                <w:szCs w:val="16"/>
                <w:color w:val="auto"/>
              </w:rPr>
            </w:pPr>
          </w:p>
        </w:tc>
      </w:tr>
      <w:tr>
        <w:trPr>
          <w:trHeight w:val="209"/>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Jason DeZwirek</w:t>
            </w:r>
          </w:p>
        </w:tc>
        <w:tc>
          <w:tcPr>
            <w:tcW w:w="5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25,785,886</w:t>
            </w:r>
          </w:p>
        </w:tc>
        <w:tc>
          <w:tcPr>
            <w:tcW w:w="620" w:type="dxa"/>
            <w:vAlign w:val="bottom"/>
            <w:shd w:val="clear" w:color="auto" w:fill="CFF0FC"/>
          </w:tcPr>
          <w:p>
            <w:pPr>
              <w:spacing w:after="0"/>
              <w:rPr>
                <w:sz w:val="18"/>
                <w:szCs w:val="18"/>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1,709,433</w:t>
            </w:r>
          </w:p>
        </w:tc>
        <w:tc>
          <w:tcPr>
            <w:tcW w:w="600" w:type="dxa"/>
            <w:vAlign w:val="bottom"/>
            <w:shd w:val="clear" w:color="auto" w:fill="CFF0FC"/>
          </w:tcPr>
          <w:p>
            <w:pPr>
              <w:spacing w:after="0"/>
              <w:rPr>
                <w:sz w:val="18"/>
                <w:szCs w:val="18"/>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3,571,396</w:t>
            </w:r>
          </w:p>
        </w:tc>
        <w:tc>
          <w:tcPr>
            <w:tcW w:w="100" w:type="dxa"/>
            <w:vAlign w:val="bottom"/>
            <w:shd w:val="clear" w:color="auto" w:fill="CFF0FC"/>
          </w:tcPr>
          <w:p>
            <w:pPr>
              <w:spacing w:after="0"/>
              <w:rPr>
                <w:sz w:val="18"/>
                <w:szCs w:val="18"/>
                <w:color w:val="auto"/>
              </w:rPr>
            </w:pPr>
          </w:p>
        </w:tc>
      </w:tr>
      <w:tr>
        <w:trPr>
          <w:trHeight w:val="216"/>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Todd Gleason</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26,964,336</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530,983</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3,571,396</w:t>
            </w:r>
          </w:p>
        </w:tc>
        <w:tc>
          <w:tcPr>
            <w:tcW w:w="100" w:type="dxa"/>
            <w:vAlign w:val="bottom"/>
          </w:tcPr>
          <w:p>
            <w:pPr>
              <w:spacing w:after="0"/>
              <w:rPr>
                <w:sz w:val="18"/>
                <w:szCs w:val="18"/>
                <w:color w:val="auto"/>
              </w:rPr>
            </w:pPr>
          </w:p>
        </w:tc>
      </w:tr>
      <w:tr>
        <w:trPr>
          <w:trHeight w:val="216"/>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David B. Liner</w:t>
            </w:r>
          </w:p>
        </w:tc>
        <w:tc>
          <w:tcPr>
            <w:tcW w:w="2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24,062,131</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3,433,188</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3,571,396</w:t>
            </w:r>
          </w:p>
        </w:tc>
        <w:tc>
          <w:tcPr>
            <w:tcW w:w="100" w:type="dxa"/>
            <w:vAlign w:val="bottom"/>
            <w:shd w:val="clear" w:color="auto" w:fill="CFF0FC"/>
          </w:tcPr>
          <w:p>
            <w:pPr>
              <w:spacing w:after="0"/>
              <w:rPr>
                <w:sz w:val="18"/>
                <w:szCs w:val="18"/>
                <w:color w:val="auto"/>
              </w:rPr>
            </w:pPr>
          </w:p>
        </w:tc>
      </w:tr>
      <w:tr>
        <w:trPr>
          <w:trHeight w:val="216"/>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Claudio A. Mannarino</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24,827,567</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2,667,752</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3,571,396</w:t>
            </w:r>
          </w:p>
        </w:tc>
        <w:tc>
          <w:tcPr>
            <w:tcW w:w="100" w:type="dxa"/>
            <w:vAlign w:val="bottom"/>
          </w:tcPr>
          <w:p>
            <w:pPr>
              <w:spacing w:after="0"/>
              <w:rPr>
                <w:sz w:val="18"/>
                <w:szCs w:val="18"/>
                <w:color w:val="auto"/>
              </w:rPr>
            </w:pPr>
          </w:p>
        </w:tc>
      </w:tr>
      <w:tr>
        <w:trPr>
          <w:trHeight w:val="216"/>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Munish Nanda</w:t>
            </w:r>
          </w:p>
        </w:tc>
        <w:tc>
          <w:tcPr>
            <w:tcW w:w="2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26,965,067</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530,252</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3,571,396</w:t>
            </w:r>
          </w:p>
        </w:tc>
        <w:tc>
          <w:tcPr>
            <w:tcW w:w="100" w:type="dxa"/>
            <w:vAlign w:val="bottom"/>
            <w:shd w:val="clear" w:color="auto" w:fill="CFF0FC"/>
          </w:tcPr>
          <w:p>
            <w:pPr>
              <w:spacing w:after="0"/>
              <w:rPr>
                <w:sz w:val="18"/>
                <w:szCs w:val="18"/>
                <w:color w:val="auto"/>
              </w:rPr>
            </w:pPr>
          </w:p>
        </w:tc>
      </w:tr>
      <w:tr>
        <w:trPr>
          <w:trHeight w:val="216"/>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Valerie Gentile Sachs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26,635,849</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859,470</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3,571,396</w:t>
            </w:r>
          </w:p>
        </w:tc>
        <w:tc>
          <w:tcPr>
            <w:tcW w:w="100" w:type="dxa"/>
            <w:vAlign w:val="bottom"/>
          </w:tcPr>
          <w:p>
            <w:pPr>
              <w:spacing w:after="0"/>
              <w:rPr>
                <w:sz w:val="18"/>
                <w:szCs w:val="18"/>
                <w:color w:val="auto"/>
              </w:rPr>
            </w:pPr>
          </w:p>
        </w:tc>
      </w:tr>
      <w:tr>
        <w:trPr>
          <w:trHeight w:val="216"/>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Richard F. Wallman</w:t>
            </w:r>
          </w:p>
        </w:tc>
        <w:tc>
          <w:tcPr>
            <w:tcW w:w="2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27,142,987</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352,332</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3,571,396</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named executive officer compensation was approved on an advisory basis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FOR</w:t>
            </w:r>
          </w:p>
        </w:tc>
        <w:tc>
          <w:tcPr>
            <w:tcW w:w="680" w:type="dxa"/>
            <w:vAlign w:val="bottom"/>
          </w:tcPr>
          <w:p>
            <w:pPr>
              <w:spacing w:after="0"/>
              <w:rPr>
                <w:sz w:val="16"/>
                <w:szCs w:val="16"/>
                <w:color w:val="auto"/>
              </w:rPr>
            </w:pPr>
          </w:p>
        </w:tc>
        <w:tc>
          <w:tcPr>
            <w:tcW w:w="232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640" w:type="dxa"/>
            <w:vAlign w:val="bottom"/>
          </w:tcPr>
          <w:p>
            <w:pPr>
              <w:spacing w:after="0"/>
              <w:rPr>
                <w:sz w:val="16"/>
                <w:szCs w:val="16"/>
                <w:color w:val="auto"/>
              </w:rPr>
            </w:pPr>
          </w:p>
        </w:tc>
        <w:tc>
          <w:tcPr>
            <w:tcW w:w="230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640" w:type="dxa"/>
            <w:vAlign w:val="bottom"/>
          </w:tcPr>
          <w:p>
            <w:pPr>
              <w:spacing w:after="0"/>
              <w:rPr>
                <w:sz w:val="16"/>
                <w:szCs w:val="16"/>
                <w:color w:val="auto"/>
              </w:rPr>
            </w:pPr>
          </w:p>
        </w:tc>
        <w:tc>
          <w:tcPr>
            <w:tcW w:w="22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100" w:type="dxa"/>
            <w:vAlign w:val="bottom"/>
          </w:tcPr>
          <w:p>
            <w:pPr>
              <w:spacing w:after="0"/>
              <w:rPr>
                <w:sz w:val="16"/>
                <w:szCs w:val="16"/>
                <w:color w:val="auto"/>
              </w:rPr>
            </w:pPr>
          </w:p>
        </w:tc>
      </w:tr>
      <w:tr>
        <w:trPr>
          <w:trHeight w:val="209"/>
        </w:trPr>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26,980,761</w:t>
            </w:r>
          </w:p>
        </w:tc>
        <w:tc>
          <w:tcPr>
            <w:tcW w:w="680" w:type="dxa"/>
            <w:vAlign w:val="bottom"/>
            <w:shd w:val="clear" w:color="auto" w:fill="CFF0FC"/>
          </w:tcPr>
          <w:p>
            <w:pPr>
              <w:spacing w:after="0"/>
              <w:rPr>
                <w:sz w:val="18"/>
                <w:szCs w:val="18"/>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464,369</w:t>
            </w:r>
          </w:p>
        </w:tc>
        <w:tc>
          <w:tcPr>
            <w:tcW w:w="640" w:type="dxa"/>
            <w:vAlign w:val="bottom"/>
            <w:shd w:val="clear" w:color="auto" w:fill="CFF0FC"/>
          </w:tcPr>
          <w:p>
            <w:pPr>
              <w:spacing w:after="0"/>
              <w:rPr>
                <w:sz w:val="18"/>
                <w:szCs w:val="18"/>
                <w:color w:val="auto"/>
              </w:rPr>
            </w:pP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50,189</w:t>
            </w:r>
          </w:p>
        </w:tc>
        <w:tc>
          <w:tcPr>
            <w:tcW w:w="640" w:type="dxa"/>
            <w:vAlign w:val="bottom"/>
            <w:shd w:val="clear" w:color="auto" w:fill="CFF0FC"/>
          </w:tcPr>
          <w:p>
            <w:pPr>
              <w:spacing w:after="0"/>
              <w:rPr>
                <w:sz w:val="18"/>
                <w:szCs w:val="18"/>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3,571,396</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BDO USA, LLP as the Company’s independent registered public accounting firm for fiscal 2022 was ratified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60" w:type="dxa"/>
            <w:vAlign w:val="bottom"/>
            <w:gridSpan w:val="2"/>
          </w:tcPr>
          <w:p>
            <w:pPr>
              <w:jc w:val="right"/>
              <w:ind w:right="1350"/>
              <w:spacing w:after="0"/>
              <w:rPr>
                <w:sz w:val="20"/>
                <w:szCs w:val="20"/>
                <w:color w:val="auto"/>
              </w:rPr>
            </w:pPr>
            <w:r>
              <w:rPr>
                <w:rFonts w:ascii="Times New Roman" w:cs="Times New Roman" w:eastAsia="Times New Roman" w:hAnsi="Times New Roman"/>
                <w:sz w:val="14"/>
                <w:szCs w:val="14"/>
                <w:b w:val="1"/>
                <w:bCs w:val="1"/>
                <w:color w:val="auto"/>
              </w:rPr>
              <w:t>FOR</w:t>
            </w:r>
          </w:p>
        </w:tc>
        <w:tc>
          <w:tcPr>
            <w:tcW w:w="740" w:type="dxa"/>
            <w:vAlign w:val="bottom"/>
          </w:tcPr>
          <w:p>
            <w:pPr>
              <w:spacing w:after="0"/>
              <w:rPr>
                <w:sz w:val="16"/>
                <w:szCs w:val="16"/>
                <w:color w:val="auto"/>
              </w:rPr>
            </w:pPr>
          </w:p>
        </w:tc>
        <w:tc>
          <w:tcPr>
            <w:tcW w:w="3960" w:type="dxa"/>
            <w:vAlign w:val="bottom"/>
            <w:gridSpan w:val="2"/>
          </w:tcPr>
          <w:p>
            <w:pPr>
              <w:ind w:left="13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3240" w:type="dxa"/>
            <w:vAlign w:val="bottom"/>
          </w:tcPr>
          <w:p>
            <w:pPr>
              <w:jc w:val="right"/>
              <w:ind w:right="1219"/>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00" w:type="dxa"/>
            <w:vAlign w:val="bottom"/>
          </w:tcPr>
          <w:p>
            <w:pPr>
              <w:spacing w:after="0"/>
              <w:rPr>
                <w:sz w:val="16"/>
                <w:szCs w:val="16"/>
                <w:color w:val="auto"/>
              </w:rPr>
            </w:pPr>
          </w:p>
        </w:tc>
      </w:tr>
      <w:tr>
        <w:trPr>
          <w:trHeight w:val="209"/>
        </w:trPr>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8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30,855,469</w:t>
            </w:r>
          </w:p>
        </w:tc>
        <w:tc>
          <w:tcPr>
            <w:tcW w:w="740" w:type="dxa"/>
            <w:vAlign w:val="bottom"/>
            <w:shd w:val="clear" w:color="auto" w:fill="CFF0FC"/>
          </w:tcPr>
          <w:p>
            <w:pPr>
              <w:spacing w:after="0"/>
              <w:rPr>
                <w:sz w:val="18"/>
                <w:szCs w:val="18"/>
                <w:color w:val="auto"/>
              </w:rPr>
            </w:pPr>
          </w:p>
        </w:tc>
        <w:tc>
          <w:tcPr>
            <w:tcW w:w="3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179,383</w:t>
            </w:r>
          </w:p>
        </w:tc>
        <w:tc>
          <w:tcPr>
            <w:tcW w:w="720" w:type="dxa"/>
            <w:vAlign w:val="bottom"/>
            <w:shd w:val="clear" w:color="auto" w:fill="CFF0FC"/>
          </w:tcPr>
          <w:p>
            <w:pPr>
              <w:spacing w:after="0"/>
              <w:rPr>
                <w:sz w:val="18"/>
                <w:szCs w:val="18"/>
                <w:color w:val="auto"/>
              </w:rPr>
            </w:pPr>
          </w:p>
        </w:tc>
        <w:tc>
          <w:tcPr>
            <w:tcW w:w="3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31,863</w:t>
            </w:r>
          </w:p>
        </w:tc>
        <w:tc>
          <w:tcPr>
            <w:tcW w:w="100" w:type="dxa"/>
            <w:vAlign w:val="bottom"/>
            <w:shd w:val="clear" w:color="auto" w:fill="CFF0FC"/>
          </w:tcPr>
          <w:p>
            <w:pPr>
              <w:spacing w:after="0"/>
              <w:rPr>
                <w:sz w:val="18"/>
                <w:szCs w:val="18"/>
                <w:color w:val="auto"/>
              </w:rPr>
            </w:pPr>
          </w:p>
        </w:tc>
      </w:tr>
      <w:tr>
        <w:trPr>
          <w:trHeight w:val="635"/>
        </w:trPr>
        <w:tc>
          <w:tcPr>
            <w:tcW w:w="32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9.01. Financial Statements and Exhibits.</w:t>
            </w:r>
          </w:p>
        </w:tc>
        <w:tc>
          <w:tcPr>
            <w:tcW w:w="7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100" w:type="dxa"/>
            <w:vAlign w:val="bottom"/>
          </w:tcPr>
          <w:p>
            <w:pPr>
              <w:spacing w:after="0"/>
              <w:rPr>
                <w:sz w:val="24"/>
                <w:szCs w:val="24"/>
                <w:color w:val="auto"/>
              </w:rPr>
            </w:pPr>
          </w:p>
        </w:tc>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80" w:type="dxa"/>
            <w:vAlign w:val="bottom"/>
          </w:tcPr>
          <w:p>
            <w:pPr>
              <w:spacing w:after="0"/>
              <w:rPr>
                <w:sz w:val="24"/>
                <w:szCs w:val="24"/>
                <w:color w:val="auto"/>
              </w:rPr>
            </w:pP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22"/>
        </w:trPr>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3"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Date: June 10, 2022</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00" w:lineRule="exact"/>
        <w:rPr>
          <w:sz w:val="20"/>
          <w:szCs w:val="20"/>
          <w:color w:val="auto"/>
        </w:rPr>
      </w:pPr>
    </w:p>
    <w:p>
      <w:pPr>
        <w:spacing w:after="0" w:line="214" w:lineRule="exact"/>
        <w:rPr>
          <w:sz w:val="20"/>
          <w:szCs w:val="20"/>
          <w:color w:val="auto"/>
        </w:rPr>
      </w:pPr>
    </w:p>
    <w:p>
      <w:pPr>
        <w:ind w:left="678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128905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6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Matthew Eckl</w:t>
      </w:r>
    </w:p>
    <w:p>
      <w:pPr>
        <w:spacing w:after="0" w:line="198"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2022-06-10T15:29:16Z</dcterms:created>
  <dcterms:modified xsi:type="dcterms:W3CDTF">2022-06-10T15:29:16Z</dcterms:modified>
</cp:coreProperties>
</file>