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152400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139700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382"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382"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382"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382"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On May 10, 2018, CECO Environmental Corp., a Delaware corporation, issued a press release announcing its financial results for the three months ended March 31, 2018. A copy of the press release is furnished as Exhibit 99.1 to this report and is incorporated herein by reference.</w:t>
      </w:r>
    </w:p>
    <w:p>
      <w:pPr>
        <w:spacing w:after="0" w:line="14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10, 2018</w:t>
              </w:r>
            </w:hyperlink>
            <w:r>
              <w:rPr>
                <w:rFonts w:ascii="Arial" w:cs="Arial" w:eastAsia="Arial" w:hAnsi="Arial"/>
                <w:sz w:val="18"/>
                <w:szCs w:val="18"/>
                <w:color w:val="000000"/>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20" w:type="dxa"/>
            <w:vAlign w:val="bottom"/>
            <w:tcBorders>
              <w:top w:val="single" w:sz="8" w:color="0000EE"/>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Eckl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240" w:top="12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74930</wp:posOffset>
            </wp:positionV>
            <wp:extent cx="109791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First Quarter 2018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Continued Increases in Bookings and Backlog Produce Positive Start to 2018</w:t>
      </w:r>
    </w:p>
    <w:p>
      <w:pPr>
        <w:spacing w:after="0" w:line="246" w:lineRule="exact"/>
        <w:rPr>
          <w:sz w:val="20"/>
          <w:szCs w:val="20"/>
          <w:color w:val="auto"/>
        </w:rPr>
      </w:pPr>
    </w:p>
    <w:p>
      <w:pPr>
        <w:ind w:left="120" w:right="80"/>
        <w:spacing w:after="0" w:line="284" w:lineRule="auto"/>
        <w:rPr>
          <w:sz w:val="20"/>
          <w:szCs w:val="20"/>
          <w:color w:val="auto"/>
        </w:rPr>
      </w:pPr>
      <w:r>
        <w:rPr>
          <w:rFonts w:ascii="Arial" w:cs="Arial" w:eastAsia="Arial" w:hAnsi="Arial"/>
          <w:sz w:val="19"/>
          <w:szCs w:val="19"/>
          <w:b w:val="1"/>
          <w:bCs w:val="1"/>
          <w:color w:val="auto"/>
        </w:rPr>
        <w:t xml:space="preserve">DALLAS, Texas, May 10, 2018 -- CECO Environmental Corp. (Nasdaq: CECE), </w:t>
      </w:r>
      <w:r>
        <w:rPr>
          <w:rFonts w:ascii="Arial" w:cs="Arial" w:eastAsia="Arial" w:hAnsi="Arial"/>
          <w:sz w:val="19"/>
          <w:szCs w:val="19"/>
          <w:color w:val="auto"/>
        </w:rPr>
        <w:t>a leading global air quality and fluid handling</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serving the energy, industrial and other niche markets, today reported its financial results for the first quarter of 2018.</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Highlights of the First Quarter 2018*</w:t>
      </w:r>
    </w:p>
    <w:p>
      <w:pPr>
        <w:spacing w:after="0" w:line="9" w:lineRule="exact"/>
        <w:rPr>
          <w:sz w:val="20"/>
          <w:szCs w:val="20"/>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Revenue of $74.1 million, compared with $92.7 million</w:t>
      </w: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Gross profit of $25.6 million (34.5% margin), compared with $32.0 million (34.5% margin)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Operating income of $12.2 million, compared with $1.4 million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Non-GAAP operating income of $4.0 million, compared with $10.2 million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Net income was $5.8 million, compared with break even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Non-GAAP net income of $1.7 million, compared with $7.0 million</w:t>
      </w:r>
    </w:p>
    <w:p>
      <w:pPr>
        <w:spacing w:after="0" w:line="8"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Net income per diluted share was $0.17, compared with break even</w:t>
      </w:r>
    </w:p>
    <w:p>
      <w:pPr>
        <w:ind w:left="760" w:hanging="374"/>
        <w:spacing w:after="0" w:line="237" w:lineRule="auto"/>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Non-GAAP net income per diluted share of $0.05, compared with $0.20</w:t>
      </w:r>
    </w:p>
    <w:p>
      <w:pPr>
        <w:ind w:left="760" w:hanging="374"/>
        <w:spacing w:after="0" w:line="237" w:lineRule="auto"/>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Adjusted EBITDA of $5.6 million, compared with $11.7 million</w:t>
      </w:r>
    </w:p>
    <w:p>
      <w:pPr>
        <w:ind w:left="760" w:hanging="374"/>
        <w:spacing w:after="0" w:line="237" w:lineRule="auto"/>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Bookings of $95.0 million, compared with $84.0 million</w:t>
      </w:r>
    </w:p>
    <w:p>
      <w:pPr>
        <w:ind w:left="760" w:hanging="374"/>
        <w:spacing w:after="0" w:line="237" w:lineRule="auto"/>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Backlog of $182.1 million, compared with $168.9 as of December 31, 2017</w:t>
      </w: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Repaid $30.5 million in bank debt</w:t>
      </w:r>
    </w:p>
    <w:p>
      <w:pPr>
        <w:spacing w:after="0" w:line="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6"/>
          <w:szCs w:val="16"/>
          <w:color w:val="auto"/>
        </w:rPr>
        <w:t>* All comparisons are versus the comparable prior-year period unless otherwise stated.</w:t>
      </w:r>
    </w:p>
    <w:p>
      <w:pPr>
        <w:spacing w:after="0" w:line="229"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CECO’s Chief Executive Officer Dennis Sadlowski commented, “In the first quarter of 2018, we took several positive steps in executing our strategy, including the successful sale of two non- core assets and the repayment of approximately 25% of our outstanding debt which will provide significant financial flexibility to invest in our future growth. We are also very pleased to have delivered a second successive quarter of increasing bookings along with a strong book to bill ratio on solid new orders coming from our growth platforms. Revenue was down reflecting the reduced activity and backlog from soft end markets in 2017. Aided by the benefit of our Q4 restructuring and solid gross margins, operating income and EBITDA margins expanded modestly from Q4.”</w:t>
      </w:r>
    </w:p>
    <w:p>
      <w:pPr>
        <w:spacing w:after="0" w:line="213" w:lineRule="exact"/>
        <w:rPr>
          <w:sz w:val="20"/>
          <w:szCs w:val="20"/>
          <w:color w:val="auto"/>
        </w:rPr>
      </w:pPr>
    </w:p>
    <w:p>
      <w:pPr>
        <w:jc w:val="both"/>
        <w:ind w:left="120" w:right="80"/>
        <w:spacing w:after="0" w:line="229" w:lineRule="auto"/>
        <w:rPr>
          <w:sz w:val="20"/>
          <w:szCs w:val="20"/>
          <w:color w:val="auto"/>
        </w:rPr>
      </w:pPr>
      <w:r>
        <w:rPr>
          <w:rFonts w:ascii="Arial" w:cs="Arial" w:eastAsia="Arial" w:hAnsi="Arial"/>
          <w:sz w:val="20"/>
          <w:szCs w:val="20"/>
          <w:color w:val="auto"/>
        </w:rPr>
        <w:t>Mr. Sadlowski added, “Our 4-3-3 operating strategy is helping build positive momentum across the business. In 2018, we are investing in targeted growth opportunities and major account relationships with key industrials around the world. We will continue to focus on driving preference for our leading brands by strengthening sales and marketing tools, providing essential resources and training, and optimizing operations to ensure the company is best-positioned to maximize our market opportunities in all segments. Our management team is energized and determined to drive organic growth.”</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first quarter of 2018 was $74.1 million, down 20.0% from $92.7 million in the prior-year period.</w:t>
      </w:r>
    </w:p>
    <w:p>
      <w:pPr>
        <w:spacing w:after="0" w:line="216"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Operating income was $12.2 million for the first quarter of 2018 (16.5% margin), compared with $1.4 million in the prior-year period (1.5% margin). Operating income on a non-GAAP basis was $4.0 million for the first quarter of 2018 (5.4% margin), compared with $10.2 million in the prior-year period (11.0%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Net income was $5.8 million for the first quarter of 2018, compared with break even in the prior-year period. Net income on a non-GAAP basis was $1.7 million for the first quarter of 2018, compared with $7.0 million in the prior-year period.</w:t>
      </w:r>
    </w:p>
    <w:p>
      <w:pPr>
        <w:spacing w:after="0" w:line="209" w:lineRule="exact"/>
        <w:rPr>
          <w:sz w:val="20"/>
          <w:szCs w:val="20"/>
          <w:color w:val="auto"/>
        </w:rPr>
      </w:pPr>
    </w:p>
    <w:p>
      <w:pPr>
        <w:jc w:val="both"/>
        <w:ind w:left="120" w:right="100"/>
        <w:spacing w:after="0" w:line="232" w:lineRule="auto"/>
        <w:rPr>
          <w:sz w:val="20"/>
          <w:szCs w:val="20"/>
          <w:color w:val="auto"/>
        </w:rPr>
      </w:pPr>
      <w:r>
        <w:rPr>
          <w:rFonts w:ascii="Arial" w:cs="Arial" w:eastAsia="Arial" w:hAnsi="Arial"/>
          <w:sz w:val="20"/>
          <w:szCs w:val="20"/>
          <w:color w:val="auto"/>
        </w:rPr>
        <w:t>Net income per diluted share was $0.17 for the first quarter of 2018, compared with net income per diluted share of break even in the prior-year period. Non-GAAP net income per diluted share was $0.05 for the first quarter of 2018, compared with $0.20 for the prior-year period.</w:t>
      </w:r>
    </w:p>
    <w:p>
      <w:pPr>
        <w:spacing w:after="0" w:line="197"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Cash and cash equivalents were $33.1 million and bank debt was $87.2 million, as of March 31, 2018, compared with $29.9 million and $117.7 million, respectively, as of December 31, 2017.</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10"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Total backlog at March 31, 2018 was $182.1 million as compared with $168.9 million on December 31, 2017, and $184.2 million on March 31, 2017.</w:t>
      </w:r>
    </w:p>
    <w:p>
      <w:pPr>
        <w:spacing w:after="0" w:line="209"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Bookings were $95.0 million for the first quarter of 2018, compared with $84.0 million in the prior-year period and $91.4 million in the fourth quarter of 2017.</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10" w:lineRule="exact"/>
        <w:rPr>
          <w:sz w:val="20"/>
          <w:szCs w:val="20"/>
          <w:color w:val="auto"/>
        </w:rPr>
      </w:pPr>
    </w:p>
    <w:p>
      <w:pPr>
        <w:ind w:left="120" w:right="2060"/>
        <w:spacing w:after="0" w:line="237" w:lineRule="auto"/>
        <w:rPr>
          <w:sz w:val="20"/>
          <w:szCs w:val="20"/>
          <w:color w:val="auto"/>
        </w:rPr>
      </w:pPr>
      <w:r>
        <w:rPr>
          <w:rFonts w:ascii="Arial" w:cs="Arial" w:eastAsia="Arial" w:hAnsi="Arial"/>
          <w:sz w:val="19"/>
          <w:szCs w:val="19"/>
          <w:color w:val="auto"/>
        </w:rPr>
        <w:t>A conference call is scheduled for today at 7:30 a.m. CT to discuss the first quarter 2018 financial results. The conference call may be accessed by dialing (877) 870-4263 (Toll Free) within North America, Canada</w:t>
      </w:r>
    </w:p>
    <w:p>
      <w:pPr>
        <w:spacing w:after="0" w:line="1"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Canada (855) 669-9657 (Toll Free) or Toll/International (412) 317-0790. A replay of the conference call will be available on the Company's website for 14 days. The replay may be accessed by dialing (877) 344-7529 (Toll-Free) within North America or Toll/International (412) 317-0088 and entering passcode 10119907.</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xml:space="preserve">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t>
      </w:r>
      <w:r>
        <w:rPr>
          <w:rFonts w:ascii="Arial" w:cs="Arial" w:eastAsia="Arial" w:hAnsi="Arial"/>
          <w:sz w:val="19"/>
          <w:szCs w:val="19"/>
          <w:u w:val="single" w:color="auto"/>
          <w:color w:val="auto"/>
        </w:rPr>
        <w:t>www.cecoenviro.com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540" w:firstLine="8"/>
        <w:spacing w:after="0" w:line="257"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16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CECO ENVIRONMENTAL CORP. AND SUBSIDIARIES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8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60" w:type="dxa"/>
            <w:vAlign w:val="bottom"/>
          </w:tcPr>
          <w:p>
            <w:pPr>
              <w:ind w:left="3560"/>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8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1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2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2018</w:t>
            </w:r>
          </w:p>
        </w:tc>
        <w:tc>
          <w:tcPr>
            <w:tcW w:w="20" w:type="dxa"/>
            <w:vAlign w:val="bottom"/>
          </w:tcPr>
          <w:p>
            <w:pPr>
              <w:spacing w:after="0"/>
              <w:rPr>
                <w:sz w:val="14"/>
                <w:szCs w:val="14"/>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DECEMBER 31, 2017</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ind w:left="36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33,089</w:t>
            </w:r>
          </w:p>
        </w:tc>
        <w:tc>
          <w:tcPr>
            <w:tcW w:w="2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36,214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indefinite life</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charges and other assets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422,119</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77,367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103,955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liability,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2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34,740,933 and</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34,707,924 shares issued and outstanding at March 31, 2018 and December 31, 2017,</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248,860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(46,495)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(52,673)</w:t>
            </w: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(7,783)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194,929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186,925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March 31, 2018 and December 31, 2017</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8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194,573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422,119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1320" w:type="dxa"/>
            <w:vAlign w:val="bottom"/>
            <w:tcBorders>
              <w:bottom w:val="single" w:sz="8" w:color="D9D9D9"/>
            </w:tcBorders>
          </w:tcPr>
          <w:p>
            <w:pPr>
              <w:spacing w:after="0"/>
              <w:rPr>
                <w:sz w:val="17"/>
                <w:szCs w:val="17"/>
                <w:color w:val="auto"/>
              </w:rPr>
            </w:pPr>
          </w:p>
        </w:tc>
        <w:tc>
          <w:tcPr>
            <w:tcW w:w="26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360" w:type="dxa"/>
            <w:vAlign w:val="bottom"/>
            <w:tcBorders>
              <w:bottom w:val="single" w:sz="8" w:color="D9D9D9"/>
            </w:tcBorders>
          </w:tcPr>
          <w:p>
            <w:pPr>
              <w:spacing w:after="0"/>
              <w:rPr>
                <w:sz w:val="17"/>
                <w:szCs w:val="17"/>
                <w:color w:val="auto"/>
              </w:rPr>
            </w:pPr>
          </w:p>
        </w:tc>
        <w:tc>
          <w:tcPr>
            <w:tcW w:w="1060" w:type="dxa"/>
            <w:vAlign w:val="bottom"/>
            <w:tcBorders>
              <w:bottom w:val="single" w:sz="8" w:color="D9D9D9"/>
            </w:tcBorders>
          </w:tcPr>
          <w:p>
            <w:pPr>
              <w:spacing w:after="0"/>
              <w:rPr>
                <w:sz w:val="17"/>
                <w:szCs w:val="17"/>
                <w:color w:val="auto"/>
              </w:rPr>
            </w:pPr>
          </w:p>
        </w:tc>
        <w:tc>
          <w:tcPr>
            <w:tcW w:w="12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132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360" w:type="dxa"/>
            <w:vAlign w:val="bottom"/>
            <w:tcBorders>
              <w:bottom w:val="single" w:sz="8" w:color="D9D9D9"/>
            </w:tcBorders>
          </w:tcPr>
          <w:p>
            <w:pPr>
              <w:spacing w:after="0"/>
              <w:rPr>
                <w:sz w:val="19"/>
                <w:szCs w:val="19"/>
                <w:color w:val="auto"/>
              </w:rPr>
            </w:pPr>
          </w:p>
        </w:tc>
        <w:tc>
          <w:tcPr>
            <w:tcW w:w="10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200" w:type="dxa"/>
            <w:vAlign w:val="bottom"/>
            <w:gridSpan w:val="2"/>
            <w:vMerge w:val="restart"/>
          </w:tcPr>
          <w:p>
            <w:pPr>
              <w:jc w:val="right"/>
              <w:ind w:right="90"/>
              <w:spacing w:after="0"/>
              <w:rPr>
                <w:sz w:val="20"/>
                <w:szCs w:val="20"/>
                <w:color w:val="auto"/>
              </w:rPr>
            </w:pPr>
            <w:r>
              <w:rPr>
                <w:rFonts w:ascii="Arial" w:cs="Arial" w:eastAsia="Arial" w:hAnsi="Arial"/>
                <w:sz w:val="18"/>
                <w:szCs w:val="18"/>
                <w:b w:val="1"/>
                <w:bCs w:val="1"/>
                <w:color w:val="auto"/>
              </w:rPr>
              <w:t>CECO ENVIRONMENTAL CORP. AND SUBSIDIARIES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520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660" w:type="dxa"/>
            <w:vAlign w:val="bottom"/>
            <w:gridSpan w:val="4"/>
          </w:tcPr>
          <w:p>
            <w:pPr>
              <w:jc w:val="right"/>
              <w:ind w:right="1220"/>
              <w:spacing w:after="0"/>
              <w:rPr>
                <w:sz w:val="20"/>
                <w:szCs w:val="20"/>
                <w:color w:val="auto"/>
              </w:rPr>
            </w:pPr>
            <w:r>
              <w:rPr>
                <w:rFonts w:ascii="Arial" w:cs="Arial" w:eastAsia="Arial" w:hAnsi="Arial"/>
                <w:sz w:val="18"/>
                <w:szCs w:val="18"/>
                <w:b w:val="1"/>
                <w:bCs w:val="1"/>
                <w:color w:val="auto"/>
                <w:w w:val="99"/>
              </w:rPr>
              <w:t>CONDENSED CONSOLIDATED STATEMENTS OF OPERATIONS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5200" w:type="dxa"/>
            <w:vAlign w:val="bottom"/>
            <w:gridSpan w:val="2"/>
          </w:tcPr>
          <w:p>
            <w:pPr>
              <w:jc w:val="right"/>
              <w:ind w:right="1910"/>
              <w:spacing w:after="0"/>
              <w:rPr>
                <w:sz w:val="20"/>
                <w:szCs w:val="20"/>
                <w:color w:val="auto"/>
              </w:rPr>
            </w:pPr>
            <w:r>
              <w:rPr>
                <w:rFonts w:ascii="Arial" w:cs="Arial" w:eastAsia="Arial" w:hAnsi="Arial"/>
                <w:sz w:val="18"/>
                <w:szCs w:val="18"/>
                <w:b w:val="1"/>
                <w:bCs w:val="1"/>
                <w:color w:val="auto"/>
              </w:rPr>
              <w:t>(unaudited)</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CFF0FC"/>
            </w:tcBorders>
            <w:vMerge w:val="continue"/>
          </w:tcPr>
          <w:p>
            <w:pPr>
              <w:spacing w:after="0"/>
              <w:rPr>
                <w:sz w:val="13"/>
                <w:szCs w:val="13"/>
                <w:color w:val="auto"/>
              </w:rPr>
            </w:pPr>
          </w:p>
        </w:tc>
        <w:tc>
          <w:tcPr>
            <w:tcW w:w="49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9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49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4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4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w w:val="92"/>
              </w:rPr>
              <w:t>Gain on divestitures, net of selling costs</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(11,177)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4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6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49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Interest expense</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3"/>
        </w:trPr>
        <w:tc>
          <w:tcPr>
            <w:tcW w:w="2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97"/>
              </w:rPr>
              <w:t>Income (loss) before income taxes</w:t>
            </w:r>
          </w:p>
        </w:tc>
        <w:tc>
          <w:tcPr>
            <w:tcW w:w="49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2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49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Earnings per share:</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9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4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FF0FC"/>
            </w:tcBorders>
            <w:vMerge w:val="continue"/>
          </w:tcPr>
          <w:p>
            <w:pPr>
              <w:spacing w:after="0"/>
              <w:rPr>
                <w:sz w:val="21"/>
                <w:szCs w:val="21"/>
                <w:color w:val="auto"/>
              </w:rPr>
            </w:pPr>
          </w:p>
        </w:tc>
        <w:tc>
          <w:tcPr>
            <w:tcW w:w="49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60"/>
              <w:spacing w:after="0"/>
              <w:rPr>
                <w:sz w:val="20"/>
                <w:szCs w:val="20"/>
                <w:color w:val="auto"/>
              </w:rPr>
            </w:pPr>
            <w:r>
              <w:rPr>
                <w:rFonts w:ascii="Arial" w:cs="Arial" w:eastAsia="Arial" w:hAnsi="Arial"/>
                <w:sz w:val="18"/>
                <w:szCs w:val="18"/>
                <w:color w:val="auto"/>
              </w:rPr>
              <w:t>Basic</w:t>
            </w:r>
          </w:p>
        </w:tc>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34,592,803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34,215,519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4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34,641,390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D9D9D9"/>
            </w:tcBorders>
          </w:tcPr>
          <w:p>
            <w:pPr>
              <w:spacing w:after="0"/>
              <w:rPr>
                <w:sz w:val="18"/>
                <w:szCs w:val="18"/>
                <w:color w:val="auto"/>
              </w:rPr>
            </w:pPr>
          </w:p>
        </w:tc>
        <w:tc>
          <w:tcPr>
            <w:tcW w:w="4920" w:type="dxa"/>
            <w:vAlign w:val="bottom"/>
            <w:tcBorders>
              <w:bottom w:val="single" w:sz="8" w:color="D9D9D9"/>
            </w:tcBorders>
          </w:tcPr>
          <w:p>
            <w:pPr>
              <w:spacing w:after="0"/>
              <w:rPr>
                <w:sz w:val="18"/>
                <w:szCs w:val="18"/>
                <w:color w:val="auto"/>
              </w:rPr>
            </w:pPr>
          </w:p>
        </w:tc>
        <w:tc>
          <w:tcPr>
            <w:tcW w:w="280" w:type="dxa"/>
            <w:vAlign w:val="bottom"/>
            <w:tcBorders>
              <w:bottom w:val="single" w:sz="8" w:color="D9D9D9"/>
            </w:tcBorders>
          </w:tcPr>
          <w:p>
            <w:pPr>
              <w:spacing w:after="0"/>
              <w:rPr>
                <w:sz w:val="18"/>
                <w:szCs w:val="18"/>
                <w:color w:val="auto"/>
              </w:rPr>
            </w:pPr>
          </w:p>
        </w:tc>
        <w:tc>
          <w:tcPr>
            <w:tcW w:w="1280" w:type="dxa"/>
            <w:vAlign w:val="bottom"/>
            <w:tcBorders>
              <w:bottom w:val="single" w:sz="8" w:color="D9D9D9"/>
            </w:tcBorders>
          </w:tcPr>
          <w:p>
            <w:pPr>
              <w:spacing w:after="0"/>
              <w:rPr>
                <w:sz w:val="18"/>
                <w:szCs w:val="18"/>
                <w:color w:val="auto"/>
              </w:rPr>
            </w:pPr>
          </w:p>
        </w:tc>
        <w:tc>
          <w:tcPr>
            <w:tcW w:w="18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360" w:type="dxa"/>
            <w:vAlign w:val="bottom"/>
            <w:tcBorders>
              <w:bottom w:val="single" w:sz="8" w:color="D9D9D9"/>
            </w:tcBorders>
          </w:tcPr>
          <w:p>
            <w:pPr>
              <w:spacing w:after="0"/>
              <w:rPr>
                <w:sz w:val="18"/>
                <w:szCs w:val="18"/>
                <w:color w:val="auto"/>
              </w:rPr>
            </w:pPr>
          </w:p>
        </w:tc>
        <w:tc>
          <w:tcPr>
            <w:tcW w:w="122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D9D9D9"/>
            </w:tcBorders>
          </w:tcPr>
          <w:p>
            <w:pPr>
              <w:spacing w:after="0"/>
              <w:rPr>
                <w:sz w:val="19"/>
                <w:szCs w:val="19"/>
                <w:color w:val="auto"/>
              </w:rPr>
            </w:pPr>
          </w:p>
        </w:tc>
        <w:tc>
          <w:tcPr>
            <w:tcW w:w="492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1280" w:type="dxa"/>
            <w:vAlign w:val="bottom"/>
            <w:tcBorders>
              <w:bottom w:val="single" w:sz="8" w:color="D9D9D9"/>
            </w:tcBorders>
          </w:tcPr>
          <w:p>
            <w:pPr>
              <w:spacing w:after="0"/>
              <w:rPr>
                <w:sz w:val="19"/>
                <w:szCs w:val="19"/>
                <w:color w:val="auto"/>
              </w:rPr>
            </w:pPr>
          </w:p>
        </w:tc>
        <w:tc>
          <w:tcPr>
            <w:tcW w:w="18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360" w:type="dxa"/>
            <w:vAlign w:val="bottom"/>
            <w:tcBorders>
              <w:bottom w:val="single" w:sz="8" w:color="D9D9D9"/>
            </w:tcBorders>
          </w:tcPr>
          <w:p>
            <w:pPr>
              <w:spacing w:after="0"/>
              <w:rPr>
                <w:sz w:val="19"/>
                <w:szCs w:val="19"/>
                <w:color w:val="auto"/>
              </w:rPr>
            </w:pPr>
          </w:p>
        </w:tc>
        <w:tc>
          <w:tcPr>
            <w:tcW w:w="122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CECO ENVIRONMENTAL CORP. AND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9"/>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2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5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240"/>
              <w:spacing w:after="0"/>
              <w:rPr>
                <w:sz w:val="20"/>
                <w:szCs w:val="20"/>
                <w:color w:val="auto"/>
              </w:rPr>
            </w:pPr>
            <w:r>
              <w:rPr>
                <w:rFonts w:ascii="Arial" w:cs="Arial" w:eastAsia="Arial" w:hAnsi="Arial"/>
                <w:sz w:val="18"/>
                <w:szCs w:val="18"/>
                <w:i w:val="1"/>
                <w:iCs w:val="1"/>
                <w:color w:val="auto"/>
              </w:rPr>
              <w:t>Operating margin in accordance with GAAP</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5"/>
          </w:tcPr>
          <w:p>
            <w:pPr>
              <w:jc w:val="right"/>
              <w:ind w:right="110"/>
              <w:spacing w:after="0"/>
              <w:rPr>
                <w:sz w:val="20"/>
                <w:szCs w:val="20"/>
                <w:color w:val="auto"/>
              </w:rPr>
            </w:pPr>
            <w:r>
              <w:rPr>
                <w:rFonts w:ascii="Arial" w:cs="Arial" w:eastAsia="Arial" w:hAnsi="Arial"/>
                <w:sz w:val="18"/>
                <w:szCs w:val="18"/>
                <w:i w:val="1"/>
                <w:iCs w:val="1"/>
                <w:color w:val="auto"/>
              </w:rPr>
              <w:t>16.5%</w:t>
            </w:r>
          </w:p>
        </w:tc>
        <w:tc>
          <w:tcPr>
            <w:tcW w:w="32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Legacy design repairs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Plant, property and equipment valuation adjustment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earnout expenses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Gain on divestitures, net of selling costs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5"/>
          </w:tcPr>
          <w:p>
            <w:pPr>
              <w:jc w:val="right"/>
              <w:ind w:right="21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expenses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Executive transition expenses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Facility exit expenses</w:t>
            </w:r>
          </w:p>
        </w:tc>
        <w:tc>
          <w:tcPr>
            <w:tcW w:w="5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5"/>
            <w:shd w:val="clear" w:color="auto" w:fill="CFF0FC"/>
          </w:tcPr>
          <w:p>
            <w:pPr>
              <w:jc w:val="right"/>
              <w:ind w:right="110"/>
              <w:spacing w:after="0"/>
              <w:rPr>
                <w:sz w:val="20"/>
                <w:szCs w:val="20"/>
                <w:color w:val="auto"/>
              </w:rPr>
            </w:pPr>
            <w:r>
              <w:rPr>
                <w:rFonts w:ascii="Arial" w:cs="Arial" w:eastAsia="Arial" w:hAnsi="Arial"/>
                <w:sz w:val="18"/>
                <w:szCs w:val="18"/>
                <w:i w:val="1"/>
                <w:iCs w:val="1"/>
                <w:color w:val="auto"/>
              </w:rPr>
              <w:t>5.4%</w:t>
            </w:r>
          </w:p>
        </w:tc>
        <w:tc>
          <w:tcPr>
            <w:tcW w:w="32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11.0%</w:t>
            </w:r>
          </w:p>
        </w:tc>
        <w:tc>
          <w:tcPr>
            <w:tcW w:w="0" w:type="dxa"/>
            <w:vAlign w:val="bottom"/>
          </w:tcPr>
          <w:p>
            <w:pPr>
              <w:spacing w:after="0"/>
              <w:rPr>
                <w:sz w:val="1"/>
                <w:szCs w:val="1"/>
                <w:color w:val="auto"/>
              </w:rPr>
            </w:pPr>
          </w:p>
        </w:tc>
      </w:tr>
      <w:tr>
        <w:trPr>
          <w:trHeight w:val="567"/>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9"/>
          </w:tcPr>
          <w:p>
            <w:pPr>
              <w:jc w:val="right"/>
              <w:ind w:right="1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240" w:type="dxa"/>
            <w:vAlign w:val="bottom"/>
            <w:gridSpan w:val="2"/>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as reported in accordance with GAAP</w:t>
            </w: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Legacy design repairs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Plant, property and equipment valuation adjustment</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Amortization and earnout expenses, net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 on divestiture, net of selling costs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Restructuring expense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Executive transition expenses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Facility exit expenses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Foreign currency remeasurement</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Tax expense (benefit) of adjustments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Non-cash stock compensation (excluding executive transition costs)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Adjusted EBITDA</w:t>
            </w: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 per share:</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tcPr>
          <w:p>
            <w:pPr>
              <w:ind w:left="4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D9D9D9"/>
            </w:tcBorders>
          </w:tcPr>
          <w:p>
            <w:pPr>
              <w:spacing w:after="0"/>
              <w:rPr>
                <w:sz w:val="18"/>
                <w:szCs w:val="18"/>
                <w:color w:val="auto"/>
              </w:rPr>
            </w:pPr>
          </w:p>
        </w:tc>
        <w:tc>
          <w:tcPr>
            <w:tcW w:w="52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04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8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320" w:type="dxa"/>
            <w:vAlign w:val="bottom"/>
            <w:tcBorders>
              <w:bottom w:val="single" w:sz="8" w:color="D9D9D9"/>
            </w:tcBorders>
          </w:tcPr>
          <w:p>
            <w:pPr>
              <w:spacing w:after="0"/>
              <w:rPr>
                <w:sz w:val="18"/>
                <w:szCs w:val="18"/>
                <w:color w:val="auto"/>
              </w:rPr>
            </w:pPr>
          </w:p>
        </w:tc>
        <w:tc>
          <w:tcPr>
            <w:tcW w:w="320" w:type="dxa"/>
            <w:vAlign w:val="bottom"/>
            <w:tcBorders>
              <w:bottom w:val="single" w:sz="8" w:color="D9D9D9"/>
            </w:tcBorders>
          </w:tcPr>
          <w:p>
            <w:pPr>
              <w:spacing w:after="0"/>
              <w:rPr>
                <w:sz w:val="18"/>
                <w:szCs w:val="18"/>
                <w:color w:val="auto"/>
              </w:rPr>
            </w:pPr>
          </w:p>
        </w:tc>
        <w:tc>
          <w:tcPr>
            <w:tcW w:w="124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D9D9D9"/>
            </w:tcBorders>
          </w:tcPr>
          <w:p>
            <w:pPr>
              <w:spacing w:after="0"/>
              <w:rPr>
                <w:sz w:val="19"/>
                <w:szCs w:val="19"/>
                <w:color w:val="auto"/>
              </w:rPr>
            </w:pPr>
          </w:p>
        </w:tc>
        <w:tc>
          <w:tcPr>
            <w:tcW w:w="52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0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320" w:type="dxa"/>
            <w:vAlign w:val="bottom"/>
            <w:tcBorders>
              <w:bottom w:val="single" w:sz="8" w:color="D9D9D9"/>
            </w:tcBorders>
          </w:tcPr>
          <w:p>
            <w:pPr>
              <w:spacing w:after="0"/>
              <w:rPr>
                <w:sz w:val="19"/>
                <w:szCs w:val="19"/>
                <w:color w:val="auto"/>
              </w:rPr>
            </w:pPr>
          </w:p>
        </w:tc>
        <w:tc>
          <w:tcPr>
            <w:tcW w:w="320" w:type="dxa"/>
            <w:vAlign w:val="bottom"/>
            <w:tcBorders>
              <w:bottom w:val="single" w:sz="8" w:color="D9D9D9"/>
            </w:tcBorders>
          </w:tcPr>
          <w:p>
            <w:pPr>
              <w:spacing w:after="0"/>
              <w:rPr>
                <w:sz w:val="19"/>
                <w:szCs w:val="19"/>
                <w:color w:val="auto"/>
              </w:rPr>
            </w:pPr>
          </w:p>
        </w:tc>
        <w:tc>
          <w:tcPr>
            <w:tcW w:w="124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9"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09"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gain on divestitures, net of selling costs, legacy design repairs, property, plant and equipment valuation adjustments, acquisition and integration expense activities including retention, legal, accounting, banking, amortization and contingent earn-out expenses, foreign currency re-measurement, executive transition expenses, facility exit expenses, restructuring expense,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4"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3"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2715895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2879090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39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2017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2020-01-15T10:36:40Z</dcterms:created>
  <dcterms:modified xsi:type="dcterms:W3CDTF">2020-01-15T10:36:40Z</dcterms:modified>
</cp:coreProperties>
</file>