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50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50201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460" w:type="dxa"/>
            <w:vAlign w:val="bottom"/>
            <w:gridSpan w:val="4"/>
          </w:tcPr>
          <w:p>
            <w:pPr>
              <w:ind w:left="13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Gleason Todd 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CECO</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vMerge w:val="restart"/>
          </w:tcPr>
          <w:p>
            <w:pPr>
              <w:spacing w:after="0"/>
              <w:rPr>
                <w:sz w:val="4"/>
                <w:szCs w:val="4"/>
                <w:color w:val="auto"/>
              </w:rPr>
            </w:pPr>
          </w:p>
        </w:tc>
        <w:tc>
          <w:tcPr>
            <w:tcW w:w="160" w:type="dxa"/>
            <w:vAlign w:val="bottom"/>
            <w:gridSpan w:val="2"/>
            <w:vMerge w:val="restart"/>
          </w:tcPr>
          <w:p>
            <w:pPr>
              <w:spacing w:after="0"/>
              <w:rPr>
                <w:sz w:val="4"/>
                <w:szCs w:val="4"/>
                <w:color w:val="auto"/>
              </w:rPr>
            </w:pPr>
          </w:p>
        </w:tc>
        <w:tc>
          <w:tcPr>
            <w:tcW w:w="120" w:type="dxa"/>
            <w:vAlign w:val="bottom"/>
            <w:tcBorders>
              <w:top w:val="single" w:sz="8" w:color="0000EE"/>
            </w:tcBorders>
            <w:vMerge w:val="restart"/>
          </w:tcPr>
          <w:p>
            <w:pPr>
              <w:spacing w:after="0" w:line="238" w:lineRule="exact"/>
              <w:rPr>
                <w:sz w:val="20"/>
                <w:szCs w:val="20"/>
                <w:color w:val="auto"/>
              </w:rPr>
            </w:pPr>
            <w:r>
              <w:rPr>
                <w:rFonts w:ascii="Times New Roman" w:cs="Times New Roman" w:eastAsia="Times New Roman" w:hAnsi="Times New Roman"/>
                <w:sz w:val="21"/>
                <w:szCs w:val="21"/>
                <w:color w:val="auto"/>
              </w:rPr>
              <w:t>]</w:t>
            </w:r>
          </w:p>
        </w:tc>
        <w:tc>
          <w:tcPr>
            <w:tcW w:w="28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20" w:type="dxa"/>
            <w:vAlign w:val="bottom"/>
            <w:tcBorders>
              <w:top w:val="single" w:sz="8" w:color="0000EE"/>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460" w:type="dxa"/>
            <w:vAlign w:val="bottom"/>
            <w:gridSpan w:val="4"/>
          </w:tcPr>
          <w:p>
            <w:pPr>
              <w:ind w:left="1340"/>
              <w:spacing w:after="0" w:line="143"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4300" w:type="dxa"/>
            <w:vAlign w:val="bottom"/>
            <w:gridSpan w:val="5"/>
            <w:vMerge w:val="restart"/>
          </w:tcPr>
          <w:p>
            <w:pPr>
              <w:ind w:left="1340"/>
              <w:spacing w:after="0"/>
              <w:rPr>
                <w:sz w:val="20"/>
                <w:szCs w:val="20"/>
                <w:color w:val="auto"/>
              </w:rPr>
            </w:pPr>
            <w:r>
              <w:rPr>
                <w:rFonts w:ascii="Times New Roman" w:cs="Times New Roman" w:eastAsia="Times New Roman" w:hAnsi="Times New Roman"/>
                <w:sz w:val="17"/>
                <w:szCs w:val="17"/>
                <w:color w:val="0000FF"/>
              </w:rPr>
              <w:t>03/07/2026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30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80" w:type="dxa"/>
            <w:vAlign w:val="bottom"/>
          </w:tcPr>
          <w:p>
            <w:pPr>
              <w:jc w:val="center"/>
              <w:ind w:right="204"/>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4"/>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03/07/2026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9"/>
              </w:rPr>
              <w:t>3,557</w:t>
            </w:r>
          </w:p>
        </w:tc>
        <w:tc>
          <w:tcPr>
            <w:tcW w:w="5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52.53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407,278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316,902</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316,902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12.72</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598,204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598,204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25,446</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4"/>
              </w:rPr>
              <w:t>25,446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(4)</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67,347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4"/>
              </w:rPr>
              <w:t>67,347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(6)</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225,000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225,000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(7)</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150,000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150,000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-4135755</wp:posOffset>
            </wp:positionV>
            <wp:extent cx="29210" cy="4140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41408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in four installments beginning on June 6, 2021, and expires on June 6, 2027.</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on March 15, 2034.</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17, 2026, and expires on March 17, 2035.</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4" w:lineRule="exact"/>
        <w:rPr>
          <w:rFonts w:ascii="Times New Roman" w:cs="Times New Roman" w:eastAsia="Times New Roman" w:hAnsi="Times New Roman"/>
          <w:sz w:val="13"/>
          <w:szCs w:val="13"/>
          <w:color w:val="008000"/>
        </w:rPr>
      </w:pPr>
    </w:p>
    <w:p>
      <w:pPr>
        <w:ind w:right="2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June 4, 2029 assuming the reporting person is still employed by the Company and if the shares of the Company's common stock have achieved certain stock price targets over the course of the performance period.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24: Power of Attorney</w:t>
      </w:r>
    </w:p>
    <w:p>
      <w:pPr>
        <w:ind w:left="6560"/>
        <w:spacing w:after="0" w:line="186"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03/09/2026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072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28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40"/>
          </w:cols>
          <w:pgMar w:left="500" w:top="127"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CECO ENVIRONMENTAL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LIMITED POWER OF ATTORNEY FOR SECTION 16 REPORTING OBLIGATIONS</w:t>
      </w:r>
    </w:p>
    <w:p>
      <w:pPr>
        <w:spacing w:after="0" w:line="112" w:lineRule="exact"/>
        <w:rPr>
          <w:sz w:val="20"/>
          <w:szCs w:val="20"/>
          <w:color w:val="auto"/>
        </w:rPr>
      </w:pPr>
    </w:p>
    <w:p>
      <w:pPr>
        <w:ind w:right="400" w:firstLine="421"/>
        <w:spacing w:after="0" w:line="243" w:lineRule="auto"/>
        <w:rPr>
          <w:sz w:val="20"/>
          <w:szCs w:val="20"/>
          <w:color w:val="auto"/>
        </w:rPr>
      </w:pPr>
      <w:r>
        <w:rPr>
          <w:rFonts w:ascii="Arial" w:cs="Arial" w:eastAsia="Arial" w:hAnsi="Arial"/>
          <w:sz w:val="19"/>
          <w:szCs w:val="19"/>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85" w:lineRule="exact"/>
        <w:rPr>
          <w:sz w:val="20"/>
          <w:szCs w:val="20"/>
          <w:color w:val="auto"/>
        </w:rPr>
      </w:pPr>
    </w:p>
    <w:p>
      <w:pPr>
        <w:jc w:val="both"/>
        <w:ind w:right="40" w:firstLine="3"/>
        <w:spacing w:after="0" w:line="243" w:lineRule="auto"/>
        <w:tabs>
          <w:tab w:leader="none" w:pos="421"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 director of CECO Environmental Corp., a Delaware corporation (the "Company"), Forms 3, 4 and 5 (and any amendments thereto) in accordance with Section 16(a) of the Securities Exchange Act of 1934, as amended (the "Exchange Act"), and the rules thereunder;</w:t>
      </w:r>
    </w:p>
    <w:p>
      <w:pPr>
        <w:spacing w:after="0" w:line="98" w:lineRule="exact"/>
        <w:rPr>
          <w:rFonts w:ascii="Arial" w:cs="Arial" w:eastAsia="Arial" w:hAnsi="Arial"/>
          <w:sz w:val="19"/>
          <w:szCs w:val="19"/>
          <w:color w:val="auto"/>
        </w:rPr>
      </w:pPr>
    </w:p>
    <w:p>
      <w:pPr>
        <w:ind w:firstLine="3"/>
        <w:spacing w:after="0" w:line="243" w:lineRule="auto"/>
        <w:tabs>
          <w:tab w:leader="none" w:pos="421"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98" w:lineRule="exact"/>
        <w:rPr>
          <w:rFonts w:ascii="Arial" w:cs="Arial" w:eastAsia="Arial" w:hAnsi="Arial"/>
          <w:sz w:val="19"/>
          <w:szCs w:val="19"/>
          <w:color w:val="auto"/>
        </w:rPr>
      </w:pPr>
    </w:p>
    <w:p>
      <w:pPr>
        <w:ind w:right="240" w:firstLine="3"/>
        <w:spacing w:after="0" w:line="243" w:lineRule="auto"/>
        <w:tabs>
          <w:tab w:leader="none" w:pos="421"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85" w:lineRule="exact"/>
        <w:rPr>
          <w:rFonts w:ascii="Arial" w:cs="Arial" w:eastAsia="Arial" w:hAnsi="Arial"/>
          <w:sz w:val="19"/>
          <w:szCs w:val="19"/>
          <w:color w:val="auto"/>
        </w:rPr>
      </w:pPr>
    </w:p>
    <w:p>
      <w:pPr>
        <w:ind w:right="240" w:firstLine="3"/>
        <w:spacing w:after="0" w:line="238" w:lineRule="auto"/>
        <w:tabs>
          <w:tab w:leader="none" w:pos="494"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2" w:lineRule="exact"/>
        <w:rPr>
          <w:sz w:val="20"/>
          <w:szCs w:val="20"/>
          <w:color w:val="auto"/>
        </w:rPr>
      </w:pPr>
    </w:p>
    <w:p>
      <w:pPr>
        <w:ind w:right="80" w:firstLine="732"/>
        <w:spacing w:after="0" w:line="236"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1" w:lineRule="exact"/>
        <w:rPr>
          <w:sz w:val="20"/>
          <w:szCs w:val="20"/>
          <w:color w:val="auto"/>
        </w:rPr>
      </w:pPr>
    </w:p>
    <w:p>
      <w:pPr>
        <w:jc w:val="both"/>
        <w:ind w:right="260" w:firstLine="631"/>
        <w:spacing w:after="0" w:line="243"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Limited Power of Attorney shall be governed by and construed in accordance with the laws of the State of Delaware.</w:t>
      </w:r>
    </w:p>
    <w:p>
      <w:pPr>
        <w:spacing w:after="0" w:line="130" w:lineRule="exact"/>
        <w:rPr>
          <w:sz w:val="20"/>
          <w:szCs w:val="20"/>
          <w:color w:val="auto"/>
        </w:rPr>
      </w:pPr>
    </w:p>
    <w:p>
      <w:pPr>
        <w:ind w:right="20" w:firstLine="631"/>
        <w:spacing w:after="0" w:line="243" w:lineRule="auto"/>
        <w:rPr>
          <w:sz w:val="20"/>
          <w:szCs w:val="20"/>
          <w:color w:val="auto"/>
        </w:rPr>
      </w:pPr>
      <w:r>
        <w:rPr>
          <w:rFonts w:ascii="Arial" w:cs="Arial" w:eastAsia="Arial" w:hAnsi="Arial"/>
          <w:sz w:val="19"/>
          <w:szCs w:val="19"/>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915670</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1357" w:right="459" w:bottom="1440" w:gutter="0" w:footer="0" w:header="0"/>
        </w:sectPr>
      </w:pPr>
    </w:p>
    <w:bookmarkStart w:id="3" w:name="page4"/>
    <w:bookmarkEnd w:id="3"/>
    <w:p>
      <w:pPr>
        <w:ind w:left="640"/>
        <w:spacing w:after="0"/>
        <w:rPr>
          <w:sz w:val="20"/>
          <w:szCs w:val="20"/>
          <w:color w:val="auto"/>
        </w:rPr>
      </w:pPr>
      <w:r>
        <w:rPr>
          <w:rFonts w:ascii="Arial" w:cs="Arial" w:eastAsia="Arial" w:hAnsi="Arial"/>
          <w:sz w:val="18"/>
          <w:szCs w:val="18"/>
          <w:color w:val="auto"/>
        </w:rPr>
        <w:t>This Limited Power of Attorney may be executed by electronic signature, which shall be deemed an original.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Date: January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Signature: _</w:t>
      </w:r>
      <w:r>
        <w:rPr>
          <w:rFonts w:ascii="Arial" w:cs="Arial" w:eastAsia="Arial" w:hAnsi="Arial"/>
          <w:sz w:val="19"/>
          <w:szCs w:val="19"/>
          <w:u w:val="single" w:color="auto"/>
          <w:color w:val="auto"/>
        </w:rPr>
        <w:t>/s/ Todd Gleason</w:t>
      </w:r>
      <w:r>
        <w:rPr>
          <w:rFonts w:ascii="Arial" w:cs="Arial" w:eastAsia="Arial" w:hAnsi="Arial"/>
          <w:sz w:val="19"/>
          <w:szCs w:val="19"/>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Name: _</w:t>
      </w:r>
      <w:r>
        <w:rPr>
          <w:rFonts w:ascii="Arial" w:cs="Arial" w:eastAsia="Arial" w:hAnsi="Arial"/>
          <w:sz w:val="19"/>
          <w:szCs w:val="19"/>
          <w:u w:val="single" w:color="auto"/>
          <w:color w:val="auto"/>
        </w:rPr>
        <w:t>Todd Gleason</w:t>
      </w:r>
      <w:r>
        <w:rPr>
          <w:rFonts w:ascii="Arial" w:cs="Arial" w:eastAsia="Arial" w:hAnsi="Arial"/>
          <w:sz w:val="19"/>
          <w:szCs w:val="19"/>
          <w:color w:val="auto"/>
        </w:rPr>
        <w:t>_________________________</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927735</wp:posOffset>
            </wp:positionV>
            <wp:extent cx="69932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999"/>
      </w:cols>
      <w:pgMar w:left="460" w:top="13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2026-03-09T12:07:38Z</dcterms:created>
  <dcterms:modified xsi:type="dcterms:W3CDTF">2026-03-09T12:07:38Z</dcterms:modified>
</cp:coreProperties>
</file>