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8677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867791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460" w:type="dxa"/>
            <w:vAlign w:val="bottom"/>
            <w:gridSpan w:val="4"/>
          </w:tcPr>
          <w:p>
            <w:pPr>
              <w:ind w:left="134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Gleason Todd R</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3"/>
          </w:tcPr>
          <w:p>
            <w:pPr>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CECO ENVIRONMENTAL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CECO</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80" w:type="dxa"/>
            <w:vAlign w:val="bottom"/>
            <w:vMerge w:val="restart"/>
          </w:tcPr>
          <w:p>
            <w:pPr>
              <w:spacing w:after="0"/>
              <w:rPr>
                <w:sz w:val="4"/>
                <w:szCs w:val="4"/>
                <w:color w:val="auto"/>
              </w:rPr>
            </w:pPr>
          </w:p>
        </w:tc>
        <w:tc>
          <w:tcPr>
            <w:tcW w:w="160" w:type="dxa"/>
            <w:vAlign w:val="bottom"/>
            <w:gridSpan w:val="2"/>
            <w:vMerge w:val="restart"/>
          </w:tcPr>
          <w:p>
            <w:pPr>
              <w:spacing w:after="0"/>
              <w:rPr>
                <w:sz w:val="4"/>
                <w:szCs w:val="4"/>
                <w:color w:val="auto"/>
              </w:rPr>
            </w:pPr>
          </w:p>
        </w:tc>
        <w:tc>
          <w:tcPr>
            <w:tcW w:w="120" w:type="dxa"/>
            <w:vAlign w:val="bottom"/>
            <w:tcBorders>
              <w:top w:val="single" w:sz="8" w:color="0000EE"/>
            </w:tcBorders>
            <w:vMerge w:val="restart"/>
          </w:tcPr>
          <w:p>
            <w:pPr>
              <w:spacing w:after="0" w:line="238" w:lineRule="exact"/>
              <w:rPr>
                <w:sz w:val="20"/>
                <w:szCs w:val="20"/>
                <w:color w:val="auto"/>
              </w:rPr>
            </w:pPr>
            <w:r>
              <w:rPr>
                <w:rFonts w:ascii="Times New Roman" w:cs="Times New Roman" w:eastAsia="Times New Roman" w:hAnsi="Times New Roman"/>
                <w:sz w:val="21"/>
                <w:szCs w:val="21"/>
                <w:color w:val="auto"/>
              </w:rPr>
              <w:t>]</w:t>
            </w:r>
          </w:p>
        </w:tc>
        <w:tc>
          <w:tcPr>
            <w:tcW w:w="2840" w:type="dxa"/>
            <w:vAlign w:val="bottom"/>
            <w:tcBorders>
              <w:top w:val="single" w:sz="8" w:color="0000EE"/>
            </w:tcBorders>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120" w:type="dxa"/>
            <w:vAlign w:val="bottom"/>
            <w:tcBorders>
              <w:top w:val="single" w:sz="8" w:color="0000EE"/>
            </w:tcBorders>
            <w:vMerge w:val="continue"/>
          </w:tcPr>
          <w:p>
            <w:pPr>
              <w:spacing w:after="0"/>
              <w:rPr>
                <w:sz w:val="14"/>
                <w:szCs w:val="14"/>
                <w:color w:val="auto"/>
              </w:rPr>
            </w:pPr>
          </w:p>
        </w:tc>
        <w:tc>
          <w:tcPr>
            <w:tcW w:w="2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gridSpan w:val="2"/>
            <w:vMerge w:val="restart"/>
          </w:tcPr>
          <w:p>
            <w:pPr>
              <w:spacing w:after="0"/>
              <w:rPr>
                <w:sz w:val="20"/>
                <w:szCs w:val="20"/>
                <w:color w:val="auto"/>
              </w:rPr>
            </w:pPr>
            <w:r>
              <w:rPr>
                <w:rFonts w:ascii="Arial" w:cs="Arial" w:eastAsia="Arial" w:hAnsi="Arial"/>
                <w:sz w:val="13"/>
                <w:szCs w:val="13"/>
                <w:color w:val="auto"/>
              </w:rPr>
              <w:t>(Middle)</w:t>
            </w:r>
          </w:p>
        </w:tc>
        <w:tc>
          <w:tcPr>
            <w:tcW w:w="6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84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5080 SPECTRUM DRIVE</w:t>
            </w:r>
          </w:p>
        </w:tc>
        <w:tc>
          <w:tcPr>
            <w:tcW w:w="1460" w:type="dxa"/>
            <w:vAlign w:val="bottom"/>
            <w:gridSpan w:val="4"/>
          </w:tcPr>
          <w:p>
            <w:pPr>
              <w:ind w:left="1340"/>
              <w:spacing w:after="0" w:line="143" w:lineRule="exact"/>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line="143"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4300" w:type="dxa"/>
            <w:vAlign w:val="bottom"/>
            <w:gridSpan w:val="5"/>
            <w:vMerge w:val="restart"/>
          </w:tcPr>
          <w:p>
            <w:pPr>
              <w:ind w:left="1340"/>
              <w:spacing w:after="0"/>
              <w:rPr>
                <w:sz w:val="20"/>
                <w:szCs w:val="20"/>
                <w:color w:val="auto"/>
              </w:rPr>
            </w:pPr>
            <w:r>
              <w:rPr>
                <w:rFonts w:ascii="Times New Roman" w:cs="Times New Roman" w:eastAsia="Times New Roman" w:hAnsi="Times New Roman"/>
                <w:sz w:val="17"/>
                <w:szCs w:val="17"/>
                <w:color w:val="0000FF"/>
              </w:rPr>
              <w:t>03/31/2026</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300" w:type="dxa"/>
            <w:vAlign w:val="bottom"/>
            <w:gridSpan w:val="5"/>
            <w:vMerge w:val="continue"/>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SUITE 800E</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0"/>
          <w:szCs w:val="20"/>
          <w:color w:val="auto"/>
        </w:rPr>
      </w:pPr>
    </w:p>
    <w:p>
      <w:pPr>
        <w:ind w:left="777"/>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1" w:lineRule="exact"/>
        <w:rPr>
          <w:sz w:val="20"/>
          <w:szCs w:val="20"/>
          <w:color w:val="auto"/>
        </w:rPr>
      </w:pPr>
    </w:p>
    <w:p>
      <w:pPr>
        <w:sectPr>
          <w:pgSz w:w="11900" w:h="16838" w:orient="portrait"/>
          <w:cols w:equalWidth="0" w:num="2">
            <w:col w:w="7660" w:space="63"/>
            <w:col w:w="3357"/>
          </w:cols>
          <w:pgMar w:left="460" w:top="217" w:right="359" w:bottom="0" w:gutter="0" w:footer="0" w:header="0"/>
          <w:type w:val="continuous"/>
        </w:sectPr>
      </w:pPr>
    </w:p>
    <w:p>
      <w:pPr>
        <w:spacing w:after="0" w:line="206"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ADDISON</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75001</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7" w:lineRule="exact"/>
        <w:rPr>
          <w:sz w:val="20"/>
          <w:szCs w:val="20"/>
          <w:color w:val="auto"/>
        </w:rPr>
      </w:pPr>
    </w:p>
    <w:p>
      <w:pPr>
        <w:sectPr>
          <w:pgSz w:w="11900" w:h="16838" w:orient="portrait"/>
          <w:cols w:equalWidth="0" w:num="2">
            <w:col w:w="3740" w:space="160"/>
            <w:col w:w="718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3"/>
                <w:szCs w:val="13"/>
                <w:color w:val="auto"/>
              </w:rPr>
            </w:pPr>
          </w:p>
        </w:tc>
        <w:tc>
          <w:tcPr>
            <w:tcW w:w="480" w:type="dxa"/>
            <w:vAlign w:val="bottom"/>
          </w:tcPr>
          <w:p>
            <w:pPr>
              <w:jc w:val="center"/>
              <w:ind w:right="204"/>
              <w:spacing w:after="0"/>
              <w:rPr>
                <w:sz w:val="20"/>
                <w:szCs w:val="20"/>
                <w:color w:val="auto"/>
              </w:rPr>
            </w:pPr>
            <w:r>
              <w:rPr>
                <w:rFonts w:ascii="Arial" w:cs="Arial" w:eastAsia="Arial" w:hAnsi="Arial"/>
                <w:sz w:val="12"/>
                <w:szCs w:val="12"/>
                <w:b w:val="1"/>
                <w:bCs w:val="1"/>
                <w:color w:val="auto"/>
                <w:w w:val="99"/>
              </w:rPr>
              <w:t>3.</w:t>
            </w:r>
          </w:p>
        </w:tc>
        <w:tc>
          <w:tcPr>
            <w:tcW w:w="320" w:type="dxa"/>
            <w:vAlign w:val="bottom"/>
          </w:tcPr>
          <w:p>
            <w:pPr>
              <w:spacing w:after="0"/>
              <w:rPr>
                <w:sz w:val="13"/>
                <w:szCs w:val="13"/>
                <w:color w:val="auto"/>
              </w:rPr>
            </w:pPr>
          </w:p>
        </w:tc>
        <w:tc>
          <w:tcPr>
            <w:tcW w:w="17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10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jc w:val="center"/>
              <w:ind w:right="204"/>
              <w:spacing w:after="0" w:line="129" w:lineRule="exact"/>
              <w:rPr>
                <w:sz w:val="20"/>
                <w:szCs w:val="20"/>
                <w:color w:val="auto"/>
              </w:rPr>
            </w:pPr>
            <w:r>
              <w:rPr>
                <w:rFonts w:ascii="Arial" w:cs="Arial" w:eastAsia="Arial" w:hAnsi="Arial"/>
                <w:sz w:val="12"/>
                <w:szCs w:val="12"/>
                <w:b w:val="1"/>
                <w:bCs w:val="1"/>
                <w:color w:val="auto"/>
                <w:w w:val="93"/>
              </w:rPr>
              <w:t>8)</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6"/>
              </w:rPr>
              <w:t>Amount</w:t>
            </w:r>
          </w:p>
        </w:tc>
        <w:tc>
          <w:tcPr>
            <w:tcW w:w="80" w:type="dxa"/>
            <w:vAlign w:val="bottom"/>
          </w:tcPr>
          <w:p>
            <w:pPr>
              <w:spacing w:after="0"/>
              <w:rPr>
                <w:sz w:val="11"/>
                <w:szCs w:val="11"/>
                <w:color w:val="auto"/>
              </w:rPr>
            </w:pPr>
          </w:p>
        </w:tc>
        <w:tc>
          <w:tcPr>
            <w:tcW w:w="580" w:type="dxa"/>
            <w:vAlign w:val="bottom"/>
            <w:gridSpan w:val="2"/>
          </w:tcPr>
          <w:p>
            <w:pPr>
              <w:ind w:left="260"/>
              <w:spacing w:after="0" w:line="129" w:lineRule="exact"/>
              <w:rPr>
                <w:sz w:val="20"/>
                <w:szCs w:val="20"/>
                <w:color w:val="auto"/>
              </w:rPr>
            </w:pPr>
            <w:r>
              <w:rPr>
                <w:rFonts w:ascii="Arial" w:cs="Arial" w:eastAsia="Arial" w:hAnsi="Arial"/>
                <w:sz w:val="12"/>
                <w:szCs w:val="12"/>
                <w:b w:val="1"/>
                <w:bCs w:val="1"/>
                <w:color w:val="auto"/>
                <w:w w:val="93"/>
              </w:rPr>
              <w:t>(A) or</w:t>
            </w:r>
          </w:p>
        </w:tc>
        <w:tc>
          <w:tcPr>
            <w:tcW w:w="5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4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03/31/2026</w:t>
            </w:r>
          </w:p>
        </w:tc>
        <w:tc>
          <w:tcPr>
            <w:tcW w:w="7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F</w:t>
            </w:r>
            <w:r>
              <w:rPr>
                <w:rFonts w:ascii="Times New Roman" w:cs="Times New Roman" w:eastAsia="Times New Roman" w:hAnsi="Times New Roman"/>
                <w:sz w:val="11"/>
                <w:szCs w:val="11"/>
                <w:color w:val="008000"/>
              </w:rPr>
              <w:t>(1)</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w w:val="99"/>
              </w:rPr>
              <w:t>2,110</w:t>
            </w:r>
          </w:p>
        </w:tc>
        <w:tc>
          <w:tcPr>
            <w:tcW w:w="5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right"/>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59.58</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450,688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444</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first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son</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444</w:t>
            </w:r>
          </w:p>
        </w:tc>
        <w:tc>
          <w:tcPr>
            <w:tcW w:w="280" w:type="dxa"/>
            <w:vAlign w:val="bottom"/>
          </w:tcPr>
          <w:p>
            <w:pPr>
              <w:spacing w:after="0"/>
              <w:rPr>
                <w:sz w:val="17"/>
                <w:szCs w:val="17"/>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second</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son</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444</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third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son</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444</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daughter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6200" w:type="dxa"/>
            <w:vAlign w:val="bottom"/>
            <w:tcBorders>
              <w:bottom w:val="single" w:sz="8" w:color="2C2C2C"/>
            </w:tcBorders>
            <w:gridSpan w:val="1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1"/>
          </w:tcPr>
          <w:p>
            <w:pPr>
              <w:jc w:val="center"/>
              <w:ind w:left="53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4"/>
          </w:tcPr>
          <w:p>
            <w:pPr>
              <w:spacing w:after="0"/>
              <w:rPr>
                <w:sz w:val="2"/>
                <w:szCs w:val="2"/>
                <w:color w:val="auto"/>
              </w:rPr>
            </w:pPr>
          </w:p>
        </w:tc>
        <w:tc>
          <w:tcPr>
            <w:tcW w:w="1240" w:type="dxa"/>
            <w:vAlign w:val="bottom"/>
            <w:tcBorders>
              <w:bottom w:val="single" w:sz="8" w:color="2C2C2C"/>
            </w:tcBorders>
            <w:gridSpan w:val="4"/>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0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0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jc w:val="center"/>
              <w:ind w:left="2"/>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6.36</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jc w:val="center"/>
              <w:ind w:right="144"/>
              <w:spacing w:after="0"/>
              <w:rPr>
                <w:sz w:val="20"/>
                <w:szCs w:val="20"/>
                <w:color w:val="auto"/>
              </w:rPr>
            </w:pPr>
            <w:r>
              <w:rPr>
                <w:rFonts w:ascii="Times New Roman" w:cs="Times New Roman" w:eastAsia="Times New Roman" w:hAnsi="Times New Roman"/>
                <w:sz w:val="11"/>
                <w:szCs w:val="11"/>
                <w:color w:val="008000"/>
                <w:w w:val="93"/>
              </w:rPr>
              <w:t>(2)</w:t>
            </w:r>
          </w:p>
        </w:tc>
        <w:tc>
          <w:tcPr>
            <w:tcW w:w="320" w:type="dxa"/>
            <w:vAlign w:val="bottom"/>
          </w:tcPr>
          <w:p>
            <w:pPr>
              <w:spacing w:after="0"/>
              <w:rPr>
                <w:sz w:val="17"/>
                <w:szCs w:val="17"/>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316,902</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gridSpan w:val="2"/>
          </w:tcPr>
          <w:p>
            <w:pPr>
              <w:jc w:val="center"/>
              <w:ind w:right="2"/>
              <w:spacing w:after="0"/>
              <w:rPr>
                <w:sz w:val="20"/>
                <w:szCs w:val="20"/>
                <w:color w:val="auto"/>
              </w:rPr>
            </w:pPr>
            <w:r>
              <w:rPr>
                <w:rFonts w:ascii="Times New Roman" w:cs="Times New Roman" w:eastAsia="Times New Roman" w:hAnsi="Times New Roman"/>
                <w:sz w:val="13"/>
                <w:szCs w:val="13"/>
                <w:color w:val="0000FF"/>
                <w:w w:val="99"/>
              </w:rPr>
              <w:t>316,902</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tcPr>
          <w:p>
            <w:pPr>
              <w:ind w:left="60"/>
              <w:spacing w:after="0" w:line="78" w:lineRule="exact"/>
              <w:rPr>
                <w:sz w:val="20"/>
                <w:szCs w:val="20"/>
                <w:color w:val="auto"/>
              </w:rPr>
            </w:pPr>
            <w:r>
              <w:rPr>
                <w:rFonts w:ascii="Times New Roman" w:cs="Times New Roman" w:eastAsia="Times New Roman" w:hAnsi="Times New Roman"/>
                <w:sz w:val="8"/>
                <w:szCs w:val="8"/>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ind w:left="20"/>
              <w:spacing w:after="0" w:line="78" w:lineRule="exact"/>
              <w:rPr>
                <w:sz w:val="20"/>
                <w:szCs w:val="20"/>
                <w:color w:val="auto"/>
              </w:rPr>
            </w:pPr>
            <w:r>
              <w:rPr>
                <w:rFonts w:ascii="Times New Roman" w:cs="Times New Roman" w:eastAsia="Times New Roman" w:hAnsi="Times New Roman"/>
                <w:sz w:val="8"/>
                <w:szCs w:val="8"/>
                <w:color w:val="0000FF"/>
              </w:rPr>
              <w:t>Stock</w:t>
            </w: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12.72</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jc w:val="center"/>
              <w:ind w:right="144"/>
              <w:spacing w:after="0"/>
              <w:rPr>
                <w:sz w:val="20"/>
                <w:szCs w:val="20"/>
                <w:color w:val="auto"/>
              </w:rPr>
            </w:pPr>
            <w:r>
              <w:rPr>
                <w:rFonts w:ascii="Times New Roman" w:cs="Times New Roman" w:eastAsia="Times New Roman" w:hAnsi="Times New Roman"/>
                <w:sz w:val="11"/>
                <w:szCs w:val="11"/>
                <w:color w:val="008000"/>
                <w:w w:val="93"/>
              </w:rPr>
              <w:t>(2)</w:t>
            </w:r>
          </w:p>
        </w:tc>
        <w:tc>
          <w:tcPr>
            <w:tcW w:w="320" w:type="dxa"/>
            <w:vAlign w:val="bottom"/>
          </w:tcPr>
          <w:p>
            <w:pPr>
              <w:spacing w:after="0"/>
              <w:rPr>
                <w:sz w:val="17"/>
                <w:szCs w:val="17"/>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598,204</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gridSpan w:val="2"/>
          </w:tcPr>
          <w:p>
            <w:pPr>
              <w:jc w:val="center"/>
              <w:ind w:right="2"/>
              <w:spacing w:after="0"/>
              <w:rPr>
                <w:sz w:val="20"/>
                <w:szCs w:val="20"/>
                <w:color w:val="auto"/>
              </w:rPr>
            </w:pPr>
            <w:r>
              <w:rPr>
                <w:rFonts w:ascii="Times New Roman" w:cs="Times New Roman" w:eastAsia="Times New Roman" w:hAnsi="Times New Roman"/>
                <w:sz w:val="13"/>
                <w:szCs w:val="13"/>
                <w:color w:val="0000FF"/>
                <w:w w:val="99"/>
              </w:rPr>
              <w:t>598,204</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tcPr>
          <w:p>
            <w:pPr>
              <w:ind w:left="60"/>
              <w:spacing w:after="0" w:line="78" w:lineRule="exact"/>
              <w:rPr>
                <w:sz w:val="20"/>
                <w:szCs w:val="20"/>
                <w:color w:val="auto"/>
              </w:rPr>
            </w:pPr>
            <w:r>
              <w:rPr>
                <w:rFonts w:ascii="Times New Roman" w:cs="Times New Roman" w:eastAsia="Times New Roman" w:hAnsi="Times New Roman"/>
                <w:sz w:val="8"/>
                <w:szCs w:val="8"/>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ind w:left="20"/>
              <w:spacing w:after="0" w:line="78" w:lineRule="exact"/>
              <w:rPr>
                <w:sz w:val="20"/>
                <w:szCs w:val="20"/>
                <w:color w:val="auto"/>
              </w:rPr>
            </w:pPr>
            <w:r>
              <w:rPr>
                <w:rFonts w:ascii="Times New Roman" w:cs="Times New Roman" w:eastAsia="Times New Roman" w:hAnsi="Times New Roman"/>
                <w:sz w:val="8"/>
                <w:szCs w:val="8"/>
                <w:color w:val="0000FF"/>
              </w:rPr>
              <w:t>Stock</w:t>
            </w: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21.31</w:t>
            </w: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vMerge w:val="restart"/>
          </w:tcPr>
          <w:p>
            <w:pPr>
              <w:jc w:val="center"/>
              <w:ind w:right="144"/>
              <w:spacing w:after="0"/>
              <w:rPr>
                <w:sz w:val="20"/>
                <w:szCs w:val="20"/>
                <w:color w:val="auto"/>
              </w:rPr>
            </w:pPr>
            <w:r>
              <w:rPr>
                <w:rFonts w:ascii="Times New Roman" w:cs="Times New Roman" w:eastAsia="Times New Roman" w:hAnsi="Times New Roman"/>
                <w:sz w:val="11"/>
                <w:szCs w:val="11"/>
                <w:color w:val="008000"/>
                <w:w w:val="93"/>
              </w:rPr>
              <w:t>(3)</w:t>
            </w:r>
          </w:p>
        </w:tc>
        <w:tc>
          <w:tcPr>
            <w:tcW w:w="320" w:type="dxa"/>
            <w:vAlign w:val="bottom"/>
          </w:tcPr>
          <w:p>
            <w:pPr>
              <w:spacing w:after="0"/>
              <w:rPr>
                <w:sz w:val="12"/>
                <w:szCs w:val="12"/>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40" w:type="dxa"/>
            <w:vAlign w:val="bottom"/>
          </w:tcPr>
          <w:p>
            <w:pPr>
              <w:spacing w:after="0"/>
              <w:rPr>
                <w:sz w:val="12"/>
                <w:szCs w:val="12"/>
                <w:color w:val="auto"/>
              </w:rPr>
            </w:pPr>
          </w:p>
        </w:tc>
        <w:tc>
          <w:tcPr>
            <w:tcW w:w="580" w:type="dxa"/>
            <w:vAlign w:val="bottom"/>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w w:val="98"/>
              </w:rPr>
              <w:t>25,446</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vMerge w:val="restart"/>
          </w:tcPr>
          <w:p>
            <w:pPr>
              <w:jc w:val="center"/>
              <w:ind w:left="159"/>
              <w:spacing w:after="0"/>
              <w:rPr>
                <w:sz w:val="20"/>
                <w:szCs w:val="20"/>
                <w:color w:val="auto"/>
              </w:rPr>
            </w:pPr>
            <w:r>
              <w:rPr>
                <w:rFonts w:ascii="Times New Roman" w:cs="Times New Roman" w:eastAsia="Times New Roman" w:hAnsi="Times New Roman"/>
                <w:sz w:val="13"/>
                <w:szCs w:val="13"/>
                <w:color w:val="0000FF"/>
                <w:w w:val="94"/>
              </w:rPr>
              <w:t>25,446</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23.5</w:t>
            </w: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vMerge w:val="restart"/>
          </w:tcPr>
          <w:p>
            <w:pPr>
              <w:jc w:val="center"/>
              <w:ind w:right="144"/>
              <w:spacing w:after="0"/>
              <w:rPr>
                <w:sz w:val="20"/>
                <w:szCs w:val="20"/>
                <w:color w:val="auto"/>
              </w:rPr>
            </w:pPr>
            <w:r>
              <w:rPr>
                <w:rFonts w:ascii="Times New Roman" w:cs="Times New Roman" w:eastAsia="Times New Roman" w:hAnsi="Times New Roman"/>
                <w:sz w:val="11"/>
                <w:szCs w:val="11"/>
                <w:color w:val="008000"/>
                <w:w w:val="93"/>
              </w:rPr>
              <w:t>(4)</w:t>
            </w:r>
          </w:p>
        </w:tc>
        <w:tc>
          <w:tcPr>
            <w:tcW w:w="320" w:type="dxa"/>
            <w:vAlign w:val="bottom"/>
          </w:tcPr>
          <w:p>
            <w:pPr>
              <w:spacing w:after="0"/>
              <w:rPr>
                <w:sz w:val="12"/>
                <w:szCs w:val="12"/>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40" w:type="dxa"/>
            <w:vAlign w:val="bottom"/>
          </w:tcPr>
          <w:p>
            <w:pPr>
              <w:spacing w:after="0"/>
              <w:rPr>
                <w:sz w:val="12"/>
                <w:szCs w:val="12"/>
                <w:color w:val="auto"/>
              </w:rPr>
            </w:pPr>
          </w:p>
        </w:tc>
        <w:tc>
          <w:tcPr>
            <w:tcW w:w="580" w:type="dxa"/>
            <w:vAlign w:val="bottom"/>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w w:val="98"/>
              </w:rPr>
              <w:t>67,347</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vMerge w:val="restart"/>
          </w:tcPr>
          <w:p>
            <w:pPr>
              <w:jc w:val="center"/>
              <w:ind w:left="159"/>
              <w:spacing w:after="0"/>
              <w:rPr>
                <w:sz w:val="20"/>
                <w:szCs w:val="20"/>
                <w:color w:val="auto"/>
              </w:rPr>
            </w:pPr>
            <w:r>
              <w:rPr>
                <w:rFonts w:ascii="Times New Roman" w:cs="Times New Roman" w:eastAsia="Times New Roman" w:hAnsi="Times New Roman"/>
                <w:sz w:val="13"/>
                <w:szCs w:val="13"/>
                <w:color w:val="0000FF"/>
                <w:w w:val="94"/>
              </w:rPr>
              <w:t>67,347</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57.06</w:t>
            </w: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vMerge w:val="restart"/>
          </w:tcPr>
          <w:p>
            <w:pPr>
              <w:jc w:val="center"/>
              <w:ind w:right="144"/>
              <w:spacing w:after="0"/>
              <w:rPr>
                <w:sz w:val="20"/>
                <w:szCs w:val="20"/>
                <w:color w:val="auto"/>
              </w:rPr>
            </w:pPr>
            <w:r>
              <w:rPr>
                <w:rFonts w:ascii="Times New Roman" w:cs="Times New Roman" w:eastAsia="Times New Roman" w:hAnsi="Times New Roman"/>
                <w:sz w:val="11"/>
                <w:szCs w:val="11"/>
                <w:color w:val="008000"/>
                <w:w w:val="93"/>
              </w:rPr>
              <w:t>(5)</w:t>
            </w:r>
          </w:p>
        </w:tc>
        <w:tc>
          <w:tcPr>
            <w:tcW w:w="320" w:type="dxa"/>
            <w:vAlign w:val="bottom"/>
          </w:tcPr>
          <w:p>
            <w:pPr>
              <w:spacing w:after="0"/>
              <w:rPr>
                <w:sz w:val="12"/>
                <w:szCs w:val="12"/>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008000"/>
              </w:rPr>
              <w:t>(5)</w:t>
            </w:r>
          </w:p>
        </w:tc>
        <w:tc>
          <w:tcPr>
            <w:tcW w:w="6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40" w:type="dxa"/>
            <w:vAlign w:val="bottom"/>
          </w:tcPr>
          <w:p>
            <w:pPr>
              <w:spacing w:after="0"/>
              <w:rPr>
                <w:sz w:val="12"/>
                <w:szCs w:val="12"/>
                <w:color w:val="auto"/>
              </w:rPr>
            </w:pPr>
          </w:p>
        </w:tc>
        <w:tc>
          <w:tcPr>
            <w:tcW w:w="580" w:type="dxa"/>
            <w:vAlign w:val="bottom"/>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w w:val="98"/>
              </w:rPr>
              <w:t>17,563</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vMerge w:val="restart"/>
          </w:tcPr>
          <w:p>
            <w:pPr>
              <w:jc w:val="center"/>
              <w:ind w:left="159"/>
              <w:spacing w:after="0"/>
              <w:rPr>
                <w:sz w:val="20"/>
                <w:szCs w:val="20"/>
                <w:color w:val="auto"/>
              </w:rPr>
            </w:pPr>
            <w:r>
              <w:rPr>
                <w:rFonts w:ascii="Times New Roman" w:cs="Times New Roman" w:eastAsia="Times New Roman" w:hAnsi="Times New Roman"/>
                <w:sz w:val="13"/>
                <w:szCs w:val="13"/>
                <w:color w:val="0000FF"/>
                <w:w w:val="94"/>
              </w:rPr>
              <w:t>17,563</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vMerge w:val="restart"/>
          </w:tcPr>
          <w:p>
            <w:pPr>
              <w:jc w:val="center"/>
              <w:ind w:right="144"/>
              <w:spacing w:after="0"/>
              <w:rPr>
                <w:sz w:val="20"/>
                <w:szCs w:val="20"/>
                <w:color w:val="auto"/>
              </w:rPr>
            </w:pPr>
            <w:r>
              <w:rPr>
                <w:rFonts w:ascii="Times New Roman" w:cs="Times New Roman" w:eastAsia="Times New Roman" w:hAnsi="Times New Roman"/>
                <w:sz w:val="11"/>
                <w:szCs w:val="11"/>
                <w:color w:val="008000"/>
                <w:w w:val="93"/>
              </w:rPr>
              <w:t>(7)</w:t>
            </w:r>
          </w:p>
        </w:tc>
        <w:tc>
          <w:tcPr>
            <w:tcW w:w="320" w:type="dxa"/>
            <w:vAlign w:val="bottom"/>
          </w:tcPr>
          <w:p>
            <w:pPr>
              <w:spacing w:after="0"/>
              <w:rPr>
                <w:sz w:val="15"/>
                <w:szCs w:val="15"/>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008000"/>
              </w:rPr>
              <w:t>(7)</w:t>
            </w: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225,000</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jc w:val="center"/>
              <w:ind w:right="2"/>
              <w:spacing w:after="0" w:line="129" w:lineRule="exact"/>
              <w:rPr>
                <w:sz w:val="20"/>
                <w:szCs w:val="20"/>
                <w:color w:val="auto"/>
              </w:rPr>
            </w:pPr>
            <w:r>
              <w:rPr>
                <w:rFonts w:ascii="Times New Roman" w:cs="Times New Roman" w:eastAsia="Times New Roman" w:hAnsi="Times New Roman"/>
                <w:sz w:val="13"/>
                <w:szCs w:val="13"/>
                <w:color w:val="0000FF"/>
                <w:w w:val="99"/>
              </w:rPr>
              <w:t>225,000</w:t>
            </w: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16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-4225925</wp:posOffset>
            </wp:positionV>
            <wp:extent cx="29210" cy="4333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4333240"/>
                    </a:xfrm>
                    <a:prstGeom prst="rect">
                      <a:avLst/>
                    </a:prstGeom>
                    <a:noFill/>
                  </pic:spPr>
                </pic:pic>
              </a:graphicData>
            </a:graphic>
          </wp:anchor>
        </w:drawing>
      </w:r>
    </w:p>
    <w:p>
      <w:pPr>
        <w:sectPr>
          <w:pgSz w:w="11900" w:h="16838" w:orient="portrait"/>
          <w:cols w:equalWidth="0" w:num="1">
            <w:col w:w="11080"/>
          </w:cols>
          <w:pgMar w:left="460" w:top="217"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2012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6595" cy="2012950"/>
                    </a:xfrm>
                    <a:prstGeom prst="rect">
                      <a:avLst/>
                    </a:prstGeom>
                    <a:noFill/>
                  </pic:spPr>
                </pic:pic>
              </a:graphicData>
            </a:graphic>
          </wp:anchor>
        </w:drawing>
        <w:t>Table II - Derivative Securities Acquired, Disposed of, or Beneficially Owned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(8)</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150,000</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150,000</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withheld for net settlement to cover the tax liability for the vesting of restricted stock units.</w:t>
      </w:r>
    </w:p>
    <w:p>
      <w:pPr>
        <w:spacing w:after="0" w:line="44"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vested in four installments beginning on June 6, 2021, and expires on June 6, 2027.</w:t>
      </w:r>
    </w:p>
    <w:p>
      <w:pPr>
        <w:spacing w:after="0" w:line="44"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in three equal annual installments beginning on March 15, 2025, and expires on March 15, 2034.</w:t>
      </w:r>
    </w:p>
    <w:p>
      <w:pPr>
        <w:spacing w:after="0" w:line="44"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in three equal annual installments beginning on March 17, 2026, and expires on March 17, 2035.</w:t>
      </w:r>
    </w:p>
    <w:p>
      <w:pPr>
        <w:spacing w:after="0" w:line="44"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in three equal annual installments beginning on March 16, 2027 and expires on March 16, 2036.</w:t>
      </w:r>
    </w:p>
    <w:p>
      <w:pPr>
        <w:spacing w:after="0" w:line="44"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performance-based restricted stock units. Each restricted stock unit represents a contingent right to receive one share of the Company's stock.</w:t>
      </w:r>
    </w:p>
    <w:p>
      <w:pPr>
        <w:spacing w:after="0" w:line="44" w:lineRule="exact"/>
        <w:rPr>
          <w:rFonts w:ascii="Times New Roman" w:cs="Times New Roman" w:eastAsia="Times New Roman" w:hAnsi="Times New Roman"/>
          <w:sz w:val="13"/>
          <w:szCs w:val="13"/>
          <w:color w:val="008000"/>
        </w:rPr>
      </w:pPr>
    </w:p>
    <w:p>
      <w:pPr>
        <w:ind w:left="20" w:right="300" w:firstLine="2"/>
        <w:spacing w:after="0" w:line="256"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of restricted stock units to the Company's common stock will occur on July 5, 2027 assuming the reporting person is still employed by the Company and if the shares of the Company's common stock have achieved certain stock price targets over the course of the performance period.</w:t>
      </w:r>
    </w:p>
    <w:p>
      <w:pPr>
        <w:spacing w:after="0" w:line="16" w:lineRule="exact"/>
        <w:rPr>
          <w:rFonts w:ascii="Times New Roman" w:cs="Times New Roman" w:eastAsia="Times New Roman" w:hAnsi="Times New Roman"/>
          <w:sz w:val="13"/>
          <w:szCs w:val="13"/>
          <w:color w:val="008000"/>
        </w:rPr>
      </w:pPr>
    </w:p>
    <w:p>
      <w:pPr>
        <w:ind w:left="20" w:right="280" w:firstLine="2"/>
        <w:spacing w:after="0" w:line="248"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of restricted stock units to the Company's common stock will occur on June 4, 2029 assuming the reporting person is still employed by the Company and if the shares of the Company's common stock have achieved certain stock price targets over the course of the performance period.</w:t>
      </w:r>
    </w:p>
    <w:p>
      <w:pPr>
        <w:ind w:left="6580"/>
        <w:spacing w:after="0" w:line="180" w:lineRule="auto"/>
        <w:rPr>
          <w:sz w:val="20"/>
          <w:szCs w:val="20"/>
          <w:color w:val="auto"/>
        </w:rPr>
      </w:pPr>
      <w:r>
        <w:rPr>
          <w:rFonts w:ascii="Times New Roman" w:cs="Times New Roman" w:eastAsia="Times New Roman" w:hAnsi="Times New Roman"/>
          <w:sz w:val="16"/>
          <w:szCs w:val="16"/>
          <w:color w:val="0000FF"/>
        </w:rPr>
        <w:t xml:space="preserve">/s/ Kiril Kovachev as Attorney- </w:t>
      </w:r>
      <w:r>
        <w:rPr>
          <w:rFonts w:ascii="Times New Roman" w:cs="Times New Roman" w:eastAsia="Times New Roman" w:hAnsi="Times New Roman"/>
          <w:sz w:val="32"/>
          <w:szCs w:val="32"/>
          <w:color w:val="0000FF"/>
          <w:vertAlign w:val="subscript"/>
        </w:rPr>
        <w:t>04/02/2026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-26670</wp:posOffset>
            </wp:positionV>
            <wp:extent cx="13436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36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-20320</wp:posOffset>
            </wp:positionV>
            <wp:extent cx="10725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072515" cy="8255"/>
                    </a:xfrm>
                    <a:prstGeom prst="rect">
                      <a:avLst/>
                    </a:prstGeom>
                    <a:noFill/>
                  </pic:spPr>
                </pic:pic>
              </a:graphicData>
            </a:graphic>
          </wp:anchor>
        </w:drawing>
        <w:drawing>
          <wp:anchor simplePos="0" relativeHeight="251657728" behindDoc="1" locked="0" layoutInCell="0" allowOverlap="1">
            <wp:simplePos x="0" y="0"/>
            <wp:positionH relativeFrom="column">
              <wp:posOffset>5572125</wp:posOffset>
            </wp:positionH>
            <wp:positionV relativeFrom="paragraph">
              <wp:posOffset>-85725</wp:posOffset>
            </wp:positionV>
            <wp:extent cx="4857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20" w:right="3560" w:firstLine="2"/>
        <w:spacing w:after="0" w:line="336" w:lineRule="auto"/>
        <w:tabs>
          <w:tab w:leader="none" w:pos="15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9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71235" TargetMode="External"/><Relationship Id="rId14"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2026-04-02T14:17:48Z</dcterms:created>
  <dcterms:modified xsi:type="dcterms:W3CDTF">2026-04-02T14:17:48Z</dcterms:modified>
</cp:coreProperties>
</file>